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6.xml" ContentType="application/vnd.openxmlformats-officedocument.wordprocessingml.foot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line="674" w:lineRule="exact" w:before="7"/>
        <w:ind w:left="1924" w:right="1919" w:hanging="3"/>
        <w:jc w:val="center"/>
        <w:rPr>
          <w:rFonts w:ascii="黑体" w:hAnsi="黑体" w:cs="黑体" w:eastAsia="黑体" w:hint="default"/>
          <w:sz w:val="52"/>
          <w:szCs w:val="52"/>
        </w:rPr>
      </w:pPr>
      <w:bookmarkStart w:name="600100_2010_n.pdf" w:id="1"/>
      <w:bookmarkEnd w:id="1"/>
      <w:r>
        <w:rPr/>
      </w:r>
      <w:r>
        <w:rPr>
          <w:rFonts w:ascii="黑体" w:hAnsi="黑体" w:cs="黑体" w:eastAsia="黑体" w:hint="default"/>
          <w:b/>
          <w:bCs/>
          <w:color w:val="FF0000"/>
          <w:sz w:val="52"/>
          <w:szCs w:val="52"/>
        </w:rPr>
        <w:t>同方股份有限公司</w:t>
      </w:r>
      <w:r>
        <w:rPr>
          <w:rFonts w:ascii="黑体" w:hAnsi="黑体" w:cs="黑体" w:eastAsia="黑体" w:hint="default"/>
          <w:b/>
          <w:bCs/>
          <w:color w:val="FF0000"/>
          <w:spacing w:val="2"/>
          <w:w w:val="99"/>
          <w:sz w:val="52"/>
          <w:szCs w:val="52"/>
        </w:rPr>
        <w:t> </w:t>
      </w:r>
      <w:r>
        <w:rPr>
          <w:rFonts w:ascii="黑体" w:hAnsi="黑体" w:cs="黑体" w:eastAsia="黑体" w:hint="default"/>
          <w:b/>
          <w:bCs/>
          <w:color w:val="FF0000"/>
          <w:sz w:val="52"/>
          <w:szCs w:val="52"/>
        </w:rPr>
        <w:t>二零一零年年度报告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2"/>
        <w:rPr>
          <w:rFonts w:ascii="黑体" w:hAnsi="黑体" w:cs="黑体" w:eastAsia="黑体" w:hint="default"/>
          <w:b/>
          <w:bCs/>
          <w:sz w:val="50"/>
          <w:szCs w:val="50"/>
        </w:rPr>
      </w:pPr>
    </w:p>
    <w:p>
      <w:pPr>
        <w:spacing w:before="0"/>
        <w:ind w:left="2540" w:right="2539" w:firstLine="0"/>
        <w:jc w:val="center"/>
        <w:rPr>
          <w:rFonts w:ascii="黑体" w:hAnsi="黑体" w:cs="黑体" w:eastAsia="黑体" w:hint="default"/>
          <w:sz w:val="36"/>
          <w:szCs w:val="36"/>
        </w:rPr>
      </w:pPr>
      <w:r>
        <w:rPr>
          <w:rFonts w:ascii="黑体" w:hAnsi="黑体" w:cs="黑体" w:eastAsia="黑体" w:hint="default"/>
          <w:b/>
          <w:bCs/>
          <w:color w:val="FF0000"/>
          <w:sz w:val="36"/>
          <w:szCs w:val="36"/>
        </w:rPr>
        <w:t>同方股份有限公司</w:t>
      </w:r>
      <w:r>
        <w:rPr>
          <w:rFonts w:ascii="黑体" w:hAnsi="黑体" w:cs="黑体" w:eastAsia="黑体" w:hint="default"/>
          <w:sz w:val="36"/>
          <w:szCs w:val="36"/>
        </w:rPr>
      </w:r>
    </w:p>
    <w:p>
      <w:pPr>
        <w:spacing w:before="5"/>
        <w:ind w:left="2540" w:right="2540" w:firstLine="0"/>
        <w:jc w:val="center"/>
        <w:rPr>
          <w:rFonts w:ascii="黑体" w:hAnsi="黑体" w:cs="黑体" w:eastAsia="黑体" w:hint="default"/>
          <w:sz w:val="28"/>
          <w:szCs w:val="28"/>
        </w:rPr>
      </w:pPr>
      <w:r>
        <w:rPr>
          <w:rFonts w:ascii="黑体" w:hAnsi="黑体" w:cs="黑体" w:eastAsia="黑体" w:hint="default"/>
          <w:color w:val="FF0000"/>
          <w:sz w:val="28"/>
          <w:szCs w:val="28"/>
        </w:rPr>
        <w:t>印制时间：2011</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年</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4</w:t>
      </w:r>
      <w:r>
        <w:rPr>
          <w:rFonts w:ascii="黑体" w:hAnsi="黑体" w:cs="黑体" w:eastAsia="黑体" w:hint="default"/>
          <w:color w:val="FF0000"/>
          <w:spacing w:val="-71"/>
          <w:sz w:val="28"/>
          <w:szCs w:val="28"/>
        </w:rPr>
        <w:t> </w:t>
      </w:r>
      <w:r>
        <w:rPr>
          <w:rFonts w:ascii="黑体" w:hAnsi="黑体" w:cs="黑体" w:eastAsia="黑体" w:hint="default"/>
          <w:color w:val="FF0000"/>
          <w:sz w:val="28"/>
          <w:szCs w:val="28"/>
        </w:rPr>
        <w:t>月</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8</w:t>
      </w:r>
      <w:r>
        <w:rPr>
          <w:rFonts w:ascii="黑体" w:hAnsi="黑体" w:cs="黑体" w:eastAsia="黑体" w:hint="default"/>
          <w:color w:val="FF0000"/>
          <w:spacing w:val="-70"/>
          <w:sz w:val="28"/>
          <w:szCs w:val="28"/>
        </w:rPr>
        <w:t> </w:t>
      </w:r>
      <w:r>
        <w:rPr>
          <w:rFonts w:ascii="黑体" w:hAnsi="黑体" w:cs="黑体" w:eastAsia="黑体" w:hint="default"/>
          <w:color w:val="FF0000"/>
          <w:sz w:val="28"/>
          <w:szCs w:val="28"/>
        </w:rPr>
        <w:t>日</w:t>
      </w:r>
      <w:r>
        <w:rPr>
          <w:rFonts w:ascii="黑体" w:hAnsi="黑体" w:cs="黑体" w:eastAsia="黑体" w:hint="default"/>
          <w:sz w:val="28"/>
          <w:szCs w:val="28"/>
        </w:rPr>
      </w:r>
    </w:p>
    <w:p>
      <w:pPr>
        <w:spacing w:after="0"/>
        <w:jc w:val="center"/>
        <w:rPr>
          <w:rFonts w:ascii="黑体" w:hAnsi="黑体" w:cs="黑体" w:eastAsia="黑体" w:hint="default"/>
          <w:sz w:val="28"/>
          <w:szCs w:val="28"/>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8"/>
          <w:szCs w:val="28"/>
        </w:rPr>
      </w:pPr>
    </w:p>
    <w:p>
      <w:pPr>
        <w:spacing w:line="674" w:lineRule="exact" w:before="7"/>
        <w:ind w:left="1932" w:right="2292" w:firstLine="260"/>
        <w:jc w:val="left"/>
        <w:rPr>
          <w:rFonts w:ascii="黑体" w:hAnsi="黑体" w:cs="黑体" w:eastAsia="黑体" w:hint="default"/>
          <w:sz w:val="52"/>
          <w:szCs w:val="52"/>
        </w:rPr>
      </w:pPr>
      <w:r>
        <w:rPr>
          <w:rFonts w:ascii="黑体" w:hAnsi="黑体" w:cs="黑体" w:eastAsia="黑体" w:hint="default"/>
          <w:sz w:val="52"/>
          <w:szCs w:val="52"/>
        </w:rPr>
        <w:t>同方股份有限公司</w:t>
      </w:r>
      <w:r>
        <w:rPr>
          <w:rFonts w:ascii="黑体" w:hAnsi="黑体" w:cs="黑体" w:eastAsia="黑体" w:hint="default"/>
          <w:w w:val="99"/>
          <w:sz w:val="52"/>
          <w:szCs w:val="52"/>
        </w:rPr>
        <w:t> </w:t>
      </w:r>
      <w:r>
        <w:rPr>
          <w:rFonts w:ascii="黑体" w:hAnsi="黑体" w:cs="黑体" w:eastAsia="黑体" w:hint="default"/>
          <w:sz w:val="52"/>
          <w:szCs w:val="52"/>
        </w:rPr>
        <w:t>二零一零年年度报告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373"/>
        <w:ind w:left="5567" w:right="0" w:firstLine="0"/>
        <w:jc w:val="left"/>
        <w:rPr>
          <w:rFonts w:ascii="黑体" w:hAnsi="黑体" w:cs="黑体" w:eastAsia="黑体" w:hint="default"/>
          <w:sz w:val="36"/>
          <w:szCs w:val="36"/>
        </w:rPr>
      </w:pPr>
      <w:r>
        <w:rPr/>
        <w:pict>
          <v:shape style="position:absolute;margin-left:430.919983pt;margin-top:48.595497pt;width:80.999985pt;height:54.720001pt;mso-position-horizontal-relative:page;mso-position-vertical-relative:paragraph;z-index:0" type="#_x0000_t75" stroked="false">
            <v:imagedata r:id="rId5" o:title=""/>
          </v:shape>
        </w:pict>
      </w:r>
      <w:r>
        <w:rPr>
          <w:rFonts w:ascii="黑体" w:hAnsi="黑体" w:cs="黑体" w:eastAsia="黑体" w:hint="default"/>
          <w:sz w:val="36"/>
          <w:szCs w:val="36"/>
        </w:rPr>
        <w:t>同方股份有限公司</w:t>
      </w:r>
    </w:p>
    <w:p>
      <w:pPr>
        <w:spacing w:line="240" w:lineRule="auto" w:before="8"/>
        <w:rPr>
          <w:rFonts w:ascii="黑体" w:hAnsi="黑体" w:cs="黑体" w:eastAsia="黑体" w:hint="default"/>
          <w:sz w:val="35"/>
          <w:szCs w:val="35"/>
        </w:rPr>
      </w:pPr>
    </w:p>
    <w:p>
      <w:pPr>
        <w:spacing w:before="0"/>
        <w:ind w:left="5456" w:right="0" w:firstLine="0"/>
        <w:jc w:val="left"/>
        <w:rPr>
          <w:rFonts w:ascii="黑体" w:hAnsi="黑体" w:cs="黑体" w:eastAsia="黑体" w:hint="default"/>
          <w:sz w:val="32"/>
          <w:szCs w:val="32"/>
        </w:rPr>
      </w:pPr>
      <w:r>
        <w:rPr>
          <w:rFonts w:ascii="黑体" w:hAnsi="黑体" w:cs="黑体" w:eastAsia="黑体" w:hint="default"/>
          <w:sz w:val="32"/>
          <w:szCs w:val="32"/>
        </w:rPr>
        <w:t>董事长：</w:t>
      </w:r>
    </w:p>
    <w:p>
      <w:pPr>
        <w:spacing w:line="240" w:lineRule="auto" w:before="0"/>
        <w:rPr>
          <w:rFonts w:ascii="黑体" w:hAnsi="黑体" w:cs="黑体" w:eastAsia="黑体" w:hint="default"/>
          <w:sz w:val="32"/>
          <w:szCs w:val="32"/>
        </w:rPr>
      </w:pPr>
    </w:p>
    <w:p>
      <w:pPr>
        <w:spacing w:line="240" w:lineRule="auto" w:before="1"/>
        <w:rPr>
          <w:rFonts w:ascii="黑体" w:hAnsi="黑体" w:cs="黑体" w:eastAsia="黑体" w:hint="default"/>
          <w:sz w:val="31"/>
          <w:szCs w:val="31"/>
        </w:rPr>
      </w:pPr>
    </w:p>
    <w:p>
      <w:pPr>
        <w:spacing w:before="0"/>
        <w:ind w:left="5927" w:right="0" w:firstLine="0"/>
        <w:jc w:val="left"/>
        <w:rPr>
          <w:rFonts w:ascii="黑体" w:hAnsi="黑体" w:cs="黑体" w:eastAsia="黑体" w:hint="default"/>
          <w:sz w:val="32"/>
          <w:szCs w:val="32"/>
        </w:rPr>
      </w:pPr>
      <w:r>
        <w:rPr>
          <w:rFonts w:ascii="黑体" w:hAnsi="黑体" w:cs="黑体" w:eastAsia="黑体" w:hint="default"/>
          <w:sz w:val="32"/>
          <w:szCs w:val="32"/>
        </w:rPr>
        <w:t>二零一一年四月八日</w:t>
      </w:r>
    </w:p>
    <w:p>
      <w:pPr>
        <w:spacing w:after="0"/>
        <w:jc w:val="left"/>
        <w:rPr>
          <w:rFonts w:ascii="黑体" w:hAnsi="黑体" w:cs="黑体" w:eastAsia="黑体" w:hint="default"/>
          <w:sz w:val="32"/>
          <w:szCs w:val="32"/>
        </w:rPr>
        <w:sectPr>
          <w:pgSz w:w="11910" w:h="16840"/>
          <w:pgMar w:top="1600" w:bottom="280" w:left="1680" w:right="13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21"/>
        <w:ind w:left="3754" w:right="3870" w:firstLine="0"/>
        <w:jc w:val="center"/>
        <w:rPr>
          <w:rFonts w:ascii="黑体" w:hAnsi="黑体" w:cs="黑体" w:eastAsia="黑体" w:hint="default"/>
          <w:sz w:val="44"/>
          <w:szCs w:val="44"/>
        </w:rPr>
      </w:pPr>
      <w:r>
        <w:rPr>
          <w:rFonts w:ascii="黑体" w:hAnsi="黑体" w:cs="黑体" w:eastAsia="黑体" w:hint="default"/>
          <w:sz w:val="44"/>
          <w:szCs w:val="44"/>
        </w:rPr>
        <w:t>重要提示</w:t>
      </w:r>
    </w:p>
    <w:p>
      <w:pPr>
        <w:spacing w:line="240" w:lineRule="auto" w:before="0"/>
        <w:rPr>
          <w:rFonts w:ascii="黑体" w:hAnsi="黑体" w:cs="黑体" w:eastAsia="黑体" w:hint="default"/>
          <w:sz w:val="44"/>
          <w:szCs w:val="44"/>
        </w:rPr>
      </w:pPr>
    </w:p>
    <w:p>
      <w:pPr>
        <w:spacing w:line="240" w:lineRule="auto" w:before="8"/>
        <w:rPr>
          <w:rFonts w:ascii="黑体" w:hAnsi="黑体" w:cs="黑体" w:eastAsia="黑体" w:hint="default"/>
          <w:sz w:val="41"/>
          <w:szCs w:val="41"/>
        </w:rPr>
      </w:pPr>
    </w:p>
    <w:p>
      <w:pPr>
        <w:pStyle w:val="BodyText"/>
        <w:spacing w:line="237" w:lineRule="auto"/>
        <w:ind w:left="118" w:right="234" w:firstLine="480"/>
        <w:jc w:val="both"/>
      </w:pPr>
      <w:r>
        <w:rPr>
          <w:spacing w:val="-2"/>
        </w:rPr>
        <w:t>本公司董事会、监事会及董事、监事、高级管理人员保证本报告所载资料不存在任</w:t>
      </w:r>
      <w:r>
        <w:rPr/>
        <w:t> </w:t>
      </w:r>
      <w:r>
        <w:rPr>
          <w:spacing w:val="-2"/>
        </w:rPr>
        <w:t>何虚假记载、误导性陈述或者重大遗漏，并对其内容的真实性、准确性和完整性负个别</w:t>
      </w:r>
      <w:r>
        <w:rPr>
          <w:spacing w:val="-95"/>
        </w:rPr>
        <w:t> </w:t>
      </w:r>
      <w:r>
        <w:rPr>
          <w:spacing w:val="-95"/>
        </w:rPr>
      </w:r>
      <w:r>
        <w:rPr/>
        <w:t>及连带责任。</w:t>
      </w:r>
    </w:p>
    <w:p>
      <w:pPr>
        <w:spacing w:line="240" w:lineRule="auto" w:before="1"/>
        <w:rPr>
          <w:rFonts w:ascii="宋体" w:hAnsi="宋体" w:cs="宋体" w:eastAsia="宋体" w:hint="default"/>
          <w:sz w:val="26"/>
          <w:szCs w:val="26"/>
        </w:rPr>
      </w:pPr>
    </w:p>
    <w:p>
      <w:pPr>
        <w:pStyle w:val="BodyText"/>
        <w:spacing w:line="310" w:lineRule="exact"/>
        <w:ind w:left="118" w:right="0" w:firstLine="480"/>
        <w:jc w:val="left"/>
      </w:pPr>
      <w:r>
        <w:rPr/>
        <w:t>本公司负责人董事长荣泳霖先生、总裁陆致成先生、主管会计工作负责人总会计师 </w:t>
      </w:r>
      <w:r>
        <w:rPr>
          <w:spacing w:val="-5"/>
        </w:rPr>
        <w:t>刘卫东先生、会计机构负责人王映浒先生声明：保证年度报告中财务报告的真实、完整。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spacing w:line="364" w:lineRule="exact" w:before="0"/>
        <w:ind w:left="0" w:right="234" w:firstLine="0"/>
        <w:jc w:val="right"/>
        <w:rPr>
          <w:rFonts w:ascii="黑体" w:hAnsi="黑体" w:cs="黑体" w:eastAsia="黑体" w:hint="default"/>
          <w:sz w:val="28"/>
          <w:szCs w:val="28"/>
        </w:rPr>
      </w:pPr>
      <w:r>
        <w:rPr>
          <w:rFonts w:ascii="黑体" w:hAnsi="黑体" w:cs="黑体" w:eastAsia="黑体" w:hint="default"/>
          <w:w w:val="95"/>
          <w:sz w:val="28"/>
          <w:szCs w:val="28"/>
        </w:rPr>
        <w:t>同方股份有限公司</w:t>
      </w:r>
      <w:r>
        <w:rPr>
          <w:rFonts w:ascii="黑体" w:hAnsi="黑体" w:cs="黑体" w:eastAsia="黑体" w:hint="default"/>
          <w:sz w:val="28"/>
          <w:szCs w:val="28"/>
        </w:rPr>
      </w:r>
    </w:p>
    <w:p>
      <w:pPr>
        <w:spacing w:line="364" w:lineRule="exact" w:before="34"/>
        <w:ind w:left="7158" w:right="235" w:firstLine="631"/>
        <w:jc w:val="left"/>
        <w:rPr>
          <w:rFonts w:ascii="黑体" w:hAnsi="黑体" w:cs="黑体" w:eastAsia="黑体" w:hint="default"/>
          <w:sz w:val="28"/>
          <w:szCs w:val="28"/>
        </w:rPr>
      </w:pPr>
      <w:r>
        <w:rPr>
          <w:rFonts w:ascii="黑体" w:hAnsi="黑体" w:cs="黑体" w:eastAsia="黑体" w:hint="default"/>
          <w:sz w:val="28"/>
          <w:szCs w:val="28"/>
        </w:rPr>
        <w:t>董事会</w:t>
      </w:r>
      <w:r>
        <w:rPr>
          <w:rFonts w:ascii="黑体" w:hAnsi="黑体" w:cs="黑体" w:eastAsia="黑体" w:hint="default"/>
          <w:w w:val="99"/>
          <w:sz w:val="28"/>
          <w:szCs w:val="28"/>
        </w:rPr>
        <w:t> </w:t>
      </w:r>
      <w:r>
        <w:rPr>
          <w:rFonts w:ascii="黑体" w:hAnsi="黑体" w:cs="黑体" w:eastAsia="黑体" w:hint="default"/>
          <w:sz w:val="28"/>
          <w:szCs w:val="28"/>
        </w:rPr>
        <w:t>2011</w:t>
      </w:r>
      <w:r>
        <w:rPr>
          <w:rFonts w:ascii="黑体" w:hAnsi="黑体" w:cs="黑体" w:eastAsia="黑体" w:hint="default"/>
          <w:spacing w:val="-71"/>
          <w:sz w:val="28"/>
          <w:szCs w:val="28"/>
        </w:rPr>
        <w:t> </w:t>
      </w:r>
      <w:r>
        <w:rPr>
          <w:rFonts w:ascii="黑体" w:hAnsi="黑体" w:cs="黑体" w:eastAsia="黑体" w:hint="default"/>
          <w:sz w:val="28"/>
          <w:szCs w:val="28"/>
        </w:rPr>
        <w:t>年</w:t>
      </w:r>
      <w:r>
        <w:rPr>
          <w:rFonts w:ascii="黑体" w:hAnsi="黑体" w:cs="黑体" w:eastAsia="黑体" w:hint="default"/>
          <w:spacing w:val="-72"/>
          <w:sz w:val="28"/>
          <w:szCs w:val="28"/>
        </w:rPr>
        <w:t> </w:t>
      </w:r>
      <w:r>
        <w:rPr>
          <w:rFonts w:ascii="黑体" w:hAnsi="黑体" w:cs="黑体" w:eastAsia="黑体" w:hint="default"/>
          <w:sz w:val="28"/>
          <w:szCs w:val="28"/>
        </w:rPr>
        <w:t>4</w:t>
      </w:r>
      <w:r>
        <w:rPr>
          <w:rFonts w:ascii="黑体" w:hAnsi="黑体" w:cs="黑体" w:eastAsia="黑体" w:hint="default"/>
          <w:spacing w:val="-71"/>
          <w:sz w:val="28"/>
          <w:szCs w:val="28"/>
        </w:rPr>
        <w:t> </w:t>
      </w:r>
      <w:r>
        <w:rPr>
          <w:rFonts w:ascii="黑体" w:hAnsi="黑体" w:cs="黑体" w:eastAsia="黑体" w:hint="default"/>
          <w:sz w:val="28"/>
          <w:szCs w:val="28"/>
        </w:rPr>
        <w:t>月</w:t>
      </w:r>
      <w:r>
        <w:rPr>
          <w:rFonts w:ascii="黑体" w:hAnsi="黑体" w:cs="黑体" w:eastAsia="黑体" w:hint="default"/>
          <w:spacing w:val="-72"/>
          <w:sz w:val="28"/>
          <w:szCs w:val="28"/>
        </w:rPr>
        <w:t> </w:t>
      </w:r>
      <w:r>
        <w:rPr>
          <w:rFonts w:ascii="黑体" w:hAnsi="黑体" w:cs="黑体" w:eastAsia="黑体" w:hint="default"/>
          <w:sz w:val="28"/>
          <w:szCs w:val="28"/>
        </w:rPr>
        <w:t>8</w:t>
      </w:r>
      <w:r>
        <w:rPr>
          <w:rFonts w:ascii="黑体" w:hAnsi="黑体" w:cs="黑体" w:eastAsia="黑体" w:hint="default"/>
          <w:spacing w:val="-71"/>
          <w:sz w:val="28"/>
          <w:szCs w:val="28"/>
        </w:rPr>
        <w:t> </w:t>
      </w:r>
      <w:r>
        <w:rPr>
          <w:rFonts w:ascii="黑体" w:hAnsi="黑体" w:cs="黑体" w:eastAsia="黑体" w:hint="default"/>
          <w:sz w:val="28"/>
          <w:szCs w:val="28"/>
        </w:rPr>
        <w:t>日</w:t>
      </w:r>
    </w:p>
    <w:p>
      <w:pPr>
        <w:spacing w:after="0" w:line="364" w:lineRule="exact"/>
        <w:jc w:val="left"/>
        <w:rPr>
          <w:rFonts w:ascii="黑体" w:hAnsi="黑体" w:cs="黑体" w:eastAsia="黑体" w:hint="default"/>
          <w:sz w:val="28"/>
          <w:szCs w:val="28"/>
        </w:rPr>
        <w:sectPr>
          <w:pgSz w:w="11910" w:h="16840"/>
          <w:pgMar w:top="1600" w:bottom="280" w:left="1300" w:right="11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5"/>
          <w:szCs w:val="15"/>
        </w:rPr>
      </w:pPr>
    </w:p>
    <w:p>
      <w:pPr>
        <w:spacing w:line="540" w:lineRule="exact" w:before="0"/>
        <w:ind w:left="4072" w:right="3811" w:firstLine="0"/>
        <w:jc w:val="center"/>
        <w:rPr>
          <w:rFonts w:ascii="黑体" w:hAnsi="黑体" w:cs="黑体" w:eastAsia="黑体" w:hint="default"/>
          <w:sz w:val="44"/>
          <w:szCs w:val="44"/>
        </w:rPr>
      </w:pPr>
      <w:r>
        <w:rPr>
          <w:rFonts w:ascii="黑体" w:hAnsi="黑体" w:cs="黑体" w:eastAsia="黑体" w:hint="default"/>
          <w:sz w:val="44"/>
          <w:szCs w:val="44"/>
        </w:rPr>
        <w:t>目录</w:t>
      </w:r>
    </w:p>
    <w:p>
      <w:pPr>
        <w:tabs>
          <w:tab w:pos="8206" w:val="left" w:leader="dot"/>
        </w:tabs>
        <w:spacing w:before="799"/>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一、公司基本情况简介…</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2</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二、会计数据和业务数据摘要…</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3</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三、股本变动及股东情况…</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5</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四、董事、监事、高级管理人员和员工情况…</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10</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五、公司治理结构…</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15</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六、股东大会情况简介…</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18</w:t>
      </w:r>
    </w:p>
    <w:p>
      <w:pPr>
        <w:tabs>
          <w:tab w:pos="8206" w:val="left" w:leader="dot"/>
        </w:tabs>
        <w:spacing w:before="177"/>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七、董事会报告…</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20</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八、监事会报告…</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57</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九、重要事项…</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60</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十、财务报告…</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68</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十一、备查文件…</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154</w:t>
      </w:r>
    </w:p>
    <w:p>
      <w:pPr>
        <w:spacing w:after="0"/>
        <w:jc w:val="left"/>
        <w:rPr>
          <w:rFonts w:ascii="宋体" w:hAnsi="宋体" w:cs="宋体" w:eastAsia="宋体" w:hint="default"/>
          <w:sz w:val="28"/>
          <w:szCs w:val="28"/>
        </w:rPr>
        <w:sectPr>
          <w:pgSz w:w="11910" w:h="16840"/>
          <w:pgMar w:top="1600" w:bottom="280" w:left="1420" w:right="1680"/>
        </w:sectPr>
      </w:pPr>
    </w:p>
    <w:p>
      <w:pPr>
        <w:spacing w:line="240" w:lineRule="auto" w:before="7"/>
        <w:rPr>
          <w:rFonts w:ascii="宋体" w:hAnsi="宋体" w:cs="宋体" w:eastAsia="宋体" w:hint="default"/>
          <w:sz w:val="22"/>
          <w:szCs w:val="22"/>
        </w:rPr>
      </w:pPr>
    </w:p>
    <w:p>
      <w:pPr>
        <w:spacing w:line="936" w:lineRule="exact"/>
        <w:ind w:left="100"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9pt;height:46.8pt;mso-position-horizontal-relative:char;mso-position-vertical-relative:line" coordorigin="0,0" coordsize="3678,936">
            <v:shape style="position:absolute;left:0;top:0;width:3678;height:936" type="#_x0000_t75" stroked="false">
              <v:imagedata r:id="rId8" o:title=""/>
            </v:shape>
            <v:group style="position:absolute;left:3510;top:92;width:8;height:610" coordorigin="3510,92" coordsize="8,610">
              <v:shape style="position:absolute;left:3510;top:92;width:8;height:610" coordorigin="3510,92" coordsize="8,610" path="m3510,92l3517,702e" filled="false" stroked="true" strokeweight=".25pt" strokecolor="#000000">
                <v:path arrowok="t"/>
              </v:shape>
            </v:group>
            <v:group style="position:absolute;left:78;top:730;width:3440;height:2" coordorigin="78,730" coordsize="3440,2">
              <v:shape style="position:absolute;left:78;top:730;width:3440;height:2" coordorigin="78,730" coordsize="3440,0" path="m78,730l3517,730e" filled="false" stroked="true" strokeweight=".25pt" strokecolor="#000000">
                <v:path arrowok="t"/>
              </v:shape>
              <v:shape style="position:absolute;left:0;top:0;width:3678;height:936" type="#_x0000_t202" filled="false" stroked="false">
                <v:textbox inset="0,0,0,0">
                  <w:txbxContent>
                    <w:p>
                      <w:pPr>
                        <w:spacing w:before="264"/>
                        <w:ind w:left="78" w:right="0" w:firstLine="0"/>
                        <w:jc w:val="left"/>
                        <w:rPr>
                          <w:rFonts w:ascii="黑体" w:hAnsi="黑体" w:cs="黑体" w:eastAsia="黑体" w:hint="default"/>
                          <w:sz w:val="30"/>
                          <w:szCs w:val="30"/>
                        </w:rPr>
                      </w:pPr>
                      <w:r>
                        <w:rPr>
                          <w:rFonts w:ascii="黑体" w:hAnsi="黑体" w:cs="黑体" w:eastAsia="黑体" w:hint="default"/>
                          <w:b/>
                          <w:bCs/>
                          <w:sz w:val="30"/>
                          <w:szCs w:val="30"/>
                        </w:rPr>
                        <w:t>一、公司基本情况简介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2"/>
        <w:rPr>
          <w:rFonts w:ascii="宋体" w:hAnsi="宋体" w:cs="宋体" w:eastAsia="宋体" w:hint="default"/>
          <w:sz w:val="30"/>
          <w:szCs w:val="30"/>
        </w:rPr>
      </w:pPr>
    </w:p>
    <w:p>
      <w:pPr>
        <w:pStyle w:val="BodyText"/>
        <w:spacing w:line="237" w:lineRule="auto"/>
        <w:ind w:left="178" w:right="5604"/>
        <w:jc w:val="left"/>
      </w:pPr>
      <w:r>
        <w:rPr/>
        <w:t>1.公司名称 </w:t>
      </w:r>
      <w:r>
        <w:rPr>
          <w:rFonts w:ascii="宋体" w:hAnsi="宋体" w:cs="宋体" w:eastAsia="宋体" w:hint="default"/>
          <w:b/>
          <w:bCs/>
        </w:rPr>
        <w:t>中文</w:t>
      </w:r>
      <w:r>
        <w:rPr/>
        <w:t>：同方股份有限公司 </w:t>
      </w:r>
      <w:r>
        <w:rPr>
          <w:rFonts w:ascii="宋体" w:hAnsi="宋体" w:cs="宋体" w:eastAsia="宋体" w:hint="default"/>
          <w:b/>
          <w:bCs/>
        </w:rPr>
        <w:t>原名称：</w:t>
      </w:r>
      <w:r>
        <w:rPr/>
        <w:t>清华同方股份有限公司</w:t>
      </w:r>
      <w:r>
        <w:rPr>
          <w:spacing w:val="-1"/>
        </w:rPr>
        <w:t> </w:t>
      </w:r>
      <w:r>
        <w:rPr>
          <w:rFonts w:ascii="宋体" w:hAnsi="宋体" w:cs="宋体" w:eastAsia="宋体" w:hint="default"/>
          <w:b/>
          <w:bCs/>
        </w:rPr>
        <w:t>英文</w:t>
      </w:r>
      <w:r>
        <w:rPr/>
        <w:t>：TSINGHUATONGFANG CO.,LTD.</w:t>
      </w:r>
    </w:p>
    <w:p>
      <w:pPr>
        <w:pStyle w:val="BodyText"/>
        <w:spacing w:line="475" w:lineRule="auto"/>
        <w:ind w:left="178" w:right="5965"/>
        <w:jc w:val="left"/>
      </w:pPr>
      <w:r>
        <w:rPr>
          <w:rFonts w:ascii="宋体" w:hAnsi="宋体" w:cs="宋体" w:eastAsia="宋体" w:hint="default"/>
          <w:b/>
          <w:bCs/>
        </w:rPr>
        <w:t>英文简称</w:t>
      </w:r>
      <w:r>
        <w:rPr/>
        <w:t>：THTF</w:t>
      </w:r>
      <w:r>
        <w:rPr>
          <w:spacing w:val="-1"/>
        </w:rPr>
        <w:t> </w:t>
      </w:r>
      <w:r>
        <w:rPr/>
        <w:t>2.公司法定代表人</w:t>
      </w:r>
      <w:r>
        <w:rPr>
          <w:rFonts w:ascii="宋体" w:hAnsi="宋体" w:cs="宋体" w:eastAsia="宋体" w:hint="default"/>
          <w:b/>
          <w:bCs/>
        </w:rPr>
        <w:t>：</w:t>
      </w:r>
      <w:r>
        <w:rPr/>
        <w:t>荣泳霖先生</w:t>
      </w:r>
    </w:p>
    <w:p>
      <w:pPr>
        <w:pStyle w:val="BodyText"/>
        <w:spacing w:line="237" w:lineRule="auto" w:before="76"/>
        <w:ind w:left="178" w:right="3846"/>
        <w:jc w:val="left"/>
        <w:rPr>
          <w:rFonts w:ascii="Times New Roman" w:hAnsi="Times New Roman" w:cs="Times New Roman" w:eastAsia="Times New Roman" w:hint="default"/>
        </w:rPr>
      </w:pPr>
      <w:r>
        <w:rPr/>
        <w:t>3.公司董事会秘书：孙岷先生 公司证券事务代表：张园园女士 </w:t>
      </w:r>
      <w:r>
        <w:rPr>
          <w:spacing w:val="6"/>
        </w:rPr>
        <w:t>联系地址：北京海淀区清华同方科技大厦A座</w:t>
      </w:r>
      <w:r>
        <w:rPr>
          <w:spacing w:val="-60"/>
        </w:rPr>
        <w:t> </w:t>
      </w:r>
      <w:r>
        <w:rPr>
          <w:spacing w:val="20"/>
        </w:rPr>
        <w:t>29层</w:t>
      </w:r>
      <w:r>
        <w:rPr>
          <w:spacing w:val="-60"/>
        </w:rPr>
        <w:t> </w:t>
      </w:r>
      <w:r>
        <w:rPr/>
        <w:t>联系电话：010－82399888</w:t>
      </w:r>
      <w:r>
        <w:rPr/>
        <w:t> 联系传真：010－82399765 E－Mail：</w:t>
      </w:r>
      <w:hyperlink r:id="rId9">
        <w:r>
          <w:rPr>
            <w:rFonts w:ascii="Times New Roman" w:hAnsi="Times New Roman" w:cs="Times New Roman" w:eastAsia="Times New Roman" w:hint="default"/>
          </w:rPr>
          <w:t>600100</w:t>
        </w:r>
        <w:r>
          <w:rPr/>
          <w:t>@</w:t>
        </w:r>
        <w:r>
          <w:rPr>
            <w:rFonts w:ascii="Times New Roman" w:hAnsi="Times New Roman" w:cs="Times New Roman" w:eastAsia="Times New Roman" w:hint="default"/>
          </w:rPr>
          <w:t>thtf.com.cn</w:t>
        </w:r>
      </w:hyperlink>
    </w:p>
    <w:p>
      <w:pPr>
        <w:spacing w:line="240" w:lineRule="auto" w:before="5"/>
        <w:rPr>
          <w:rFonts w:ascii="Times New Roman" w:hAnsi="Times New Roman" w:cs="Times New Roman" w:eastAsia="Times New Roman" w:hint="default"/>
          <w:sz w:val="25"/>
          <w:szCs w:val="25"/>
        </w:rPr>
      </w:pPr>
    </w:p>
    <w:p>
      <w:pPr>
        <w:pStyle w:val="BodyText"/>
        <w:spacing w:line="237" w:lineRule="auto"/>
        <w:ind w:left="178" w:right="1888"/>
        <w:jc w:val="left"/>
      </w:pPr>
      <w:r>
        <w:rPr/>
        <w:t>4.公司注册地址：北京海淀区王庄路</w:t>
      </w:r>
      <w:r>
        <w:rPr>
          <w:spacing w:val="-58"/>
        </w:rPr>
        <w:t> </w:t>
      </w:r>
      <w:r>
        <w:rPr/>
        <w:t>1</w:t>
      </w:r>
      <w:r>
        <w:rPr>
          <w:spacing w:val="-58"/>
        </w:rPr>
        <w:t> </w:t>
      </w:r>
      <w:r>
        <w:rPr>
          <w:spacing w:val="10"/>
        </w:rPr>
        <w:t>号清华同方科技大厦A座</w:t>
      </w:r>
      <w:r>
        <w:rPr>
          <w:spacing w:val="-58"/>
        </w:rPr>
        <w:t> </w:t>
      </w:r>
      <w:r>
        <w:rPr>
          <w:spacing w:val="20"/>
        </w:rPr>
        <w:t>30层</w:t>
      </w:r>
      <w:r>
        <w:rPr>
          <w:spacing w:val="-118"/>
        </w:rPr>
        <w:t> </w:t>
      </w:r>
      <w:r>
        <w:rPr>
          <w:spacing w:val="5"/>
        </w:rPr>
        <w:t>公司办公地址：北京海淀区清华同方科技大厦A座</w:t>
      </w:r>
      <w:r>
        <w:rPr>
          <w:spacing w:val="-60"/>
        </w:rPr>
        <w:t> </w:t>
      </w:r>
      <w:r>
        <w:rPr>
          <w:spacing w:val="20"/>
        </w:rPr>
        <w:t>29层</w:t>
      </w:r>
      <w:r>
        <w:rPr>
          <w:spacing w:val="-111"/>
        </w:rPr>
        <w:t> </w:t>
      </w:r>
      <w:r>
        <w:rPr/>
        <w:t>邮政编码：100083</w:t>
      </w:r>
    </w:p>
    <w:p>
      <w:pPr>
        <w:pStyle w:val="BodyText"/>
        <w:spacing w:line="312" w:lineRule="exact" w:before="27"/>
        <w:ind w:left="178" w:right="4286"/>
        <w:jc w:val="left"/>
      </w:pPr>
      <w:hyperlink r:id="rId10">
        <w:r>
          <w:rPr/>
          <w:t>公司国际互联网网址：http://www.thtf.com.cn</w:t>
        </w:r>
      </w:hyperlink>
      <w:r>
        <w:rPr/>
        <w:t> 公司</w:t>
      </w:r>
      <w:r>
        <w:rPr>
          <w:spacing w:val="-60"/>
        </w:rPr>
        <w:t> </w:t>
      </w:r>
      <w:hyperlink r:id="rId9">
        <w:r>
          <w:rPr/>
          <w:t>E－Mail：600100@thtf.com.cn</w:t>
        </w:r>
      </w:hyperlink>
    </w:p>
    <w:p>
      <w:pPr>
        <w:spacing w:line="240" w:lineRule="auto" w:before="11"/>
        <w:rPr>
          <w:rFonts w:ascii="宋体" w:hAnsi="宋体" w:cs="宋体" w:eastAsia="宋体" w:hint="default"/>
          <w:sz w:val="23"/>
          <w:szCs w:val="23"/>
        </w:rPr>
      </w:pPr>
    </w:p>
    <w:p>
      <w:pPr>
        <w:pStyle w:val="BodyText"/>
        <w:spacing w:line="310" w:lineRule="exact"/>
        <w:ind w:left="178" w:right="1046"/>
        <w:jc w:val="left"/>
      </w:pPr>
      <w:r>
        <w:rPr>
          <w:spacing w:val="-13"/>
        </w:rPr>
        <w:t>5.公司信息披露的指定报刊：《中国证券报》、《上海证券报》</w:t>
      </w:r>
      <w:r>
        <w:rPr>
          <w:spacing w:val="-103"/>
        </w:rPr>
        <w:t> </w:t>
      </w:r>
      <w:hyperlink r:id="rId11">
        <w:r>
          <w:rPr>
            <w:spacing w:val="-103"/>
          </w:rPr>
        </w:r>
        <w:r>
          <w:rPr/>
          <w:t>登载公司年度报告的中国证监会指定国际互联网网址：http://www.sse.com.cn</w:t>
        </w:r>
      </w:hyperlink>
      <w:r>
        <w:rPr/>
        <w:t> </w:t>
      </w:r>
      <w:r>
        <w:rPr>
          <w:spacing w:val="4"/>
        </w:rPr>
        <w:t>公司年度报告置备地点：北京海淀区清华同方科技大厦A座</w:t>
      </w:r>
      <w:r>
        <w:rPr>
          <w:spacing w:val="-52"/>
        </w:rPr>
        <w:t> </w:t>
      </w:r>
      <w:r>
        <w:rPr/>
        <w:t>29</w:t>
      </w:r>
      <w:r>
        <w:rPr>
          <w:spacing w:val="-52"/>
        </w:rPr>
        <w:t> </w:t>
      </w:r>
      <w:r>
        <w:rPr/>
        <w:t>层办公室</w:t>
      </w:r>
    </w:p>
    <w:p>
      <w:pPr>
        <w:spacing w:line="240" w:lineRule="auto" w:before="8"/>
        <w:rPr>
          <w:rFonts w:ascii="宋体" w:hAnsi="宋体" w:cs="宋体" w:eastAsia="宋体" w:hint="default"/>
          <w:sz w:val="21"/>
          <w:szCs w:val="21"/>
        </w:rPr>
      </w:pPr>
    </w:p>
    <w:p>
      <w:pPr>
        <w:pStyle w:val="BodyText"/>
        <w:spacing w:line="237" w:lineRule="auto"/>
        <w:ind w:left="178" w:right="5485"/>
        <w:jc w:val="left"/>
      </w:pPr>
      <w:r>
        <w:rPr/>
        <w:t>6.公司股票上市地</w:t>
      </w:r>
      <w:r>
        <w:rPr>
          <w:rFonts w:ascii="宋体" w:hAnsi="宋体" w:cs="宋体" w:eastAsia="宋体" w:hint="default"/>
          <w:b/>
          <w:bCs/>
        </w:rPr>
        <w:t>：</w:t>
      </w:r>
      <w:r>
        <w:rPr/>
        <w:t>上海证券交易所 股票简称：同方股份 原股票简称：清华同方 股票代码：600100</w:t>
      </w:r>
    </w:p>
    <w:p>
      <w:pPr>
        <w:spacing w:line="240" w:lineRule="auto" w:before="1"/>
        <w:rPr>
          <w:rFonts w:ascii="宋体" w:hAnsi="宋体" w:cs="宋体" w:eastAsia="宋体" w:hint="default"/>
          <w:sz w:val="26"/>
          <w:szCs w:val="26"/>
        </w:rPr>
      </w:pPr>
    </w:p>
    <w:p>
      <w:pPr>
        <w:pStyle w:val="BodyText"/>
        <w:spacing w:line="310" w:lineRule="exact"/>
        <w:ind w:left="178" w:right="1888"/>
        <w:jc w:val="left"/>
      </w:pPr>
      <w:r>
        <w:rPr/>
        <w:t>7.公司于</w:t>
      </w:r>
      <w:r>
        <w:rPr>
          <w:spacing w:val="-60"/>
        </w:rPr>
        <w:t> </w:t>
      </w:r>
      <w:r>
        <w:rPr>
          <w:spacing w:val="25"/>
        </w:rPr>
        <w:t>1997年6月</w:t>
      </w:r>
      <w:r>
        <w:rPr>
          <w:spacing w:val="-60"/>
        </w:rPr>
        <w:t> </w:t>
      </w:r>
      <w:r>
        <w:rPr/>
        <w:t>25</w:t>
      </w:r>
      <w:r>
        <w:rPr>
          <w:spacing w:val="-60"/>
        </w:rPr>
        <w:t> </w:t>
      </w:r>
      <w:r>
        <w:rPr/>
        <w:t>日在国家工商行政管理总局首次注册登记。</w:t>
      </w:r>
      <w:r>
        <w:rPr>
          <w:spacing w:val="-118"/>
        </w:rPr>
        <w:t> </w:t>
      </w:r>
      <w:r>
        <w:rPr>
          <w:spacing w:val="-118"/>
        </w:rPr>
      </w:r>
      <w:r>
        <w:rPr/>
        <w:t>公司于</w:t>
      </w:r>
      <w:r>
        <w:rPr>
          <w:spacing w:val="-59"/>
        </w:rPr>
        <w:t> </w:t>
      </w:r>
      <w:r>
        <w:rPr>
          <w:spacing w:val="25"/>
        </w:rPr>
        <w:t>2010年8月</w:t>
      </w:r>
      <w:r>
        <w:rPr>
          <w:spacing w:val="-59"/>
        </w:rPr>
        <w:t> </w:t>
      </w:r>
      <w:r>
        <w:rPr/>
        <w:t>11</w:t>
      </w:r>
      <w:r>
        <w:rPr>
          <w:spacing w:val="-59"/>
        </w:rPr>
        <w:t> </w:t>
      </w:r>
      <w:r>
        <w:rPr/>
        <w:t>日在北京市工商行政管理局进行变更注册登记。</w:t>
      </w:r>
    </w:p>
    <w:p>
      <w:pPr>
        <w:spacing w:line="240" w:lineRule="auto" w:before="8"/>
        <w:rPr>
          <w:rFonts w:ascii="宋体" w:hAnsi="宋体" w:cs="宋体" w:eastAsia="宋体" w:hint="default"/>
          <w:sz w:val="21"/>
          <w:szCs w:val="21"/>
        </w:rPr>
      </w:pPr>
    </w:p>
    <w:p>
      <w:pPr>
        <w:pStyle w:val="BodyText"/>
        <w:spacing w:line="237" w:lineRule="auto"/>
        <w:ind w:left="418" w:right="3705" w:hanging="240"/>
        <w:jc w:val="left"/>
      </w:pPr>
      <w:r>
        <w:rPr/>
        <w:t>8.公司的企业法人营业执照注册号：110000010720704 税务登记号码：110108100026793 组织机构代码：10002679-3</w:t>
      </w:r>
    </w:p>
    <w:p>
      <w:pPr>
        <w:spacing w:line="240" w:lineRule="auto" w:before="1"/>
        <w:rPr>
          <w:rFonts w:ascii="宋体" w:hAnsi="宋体" w:cs="宋体" w:eastAsia="宋体" w:hint="default"/>
          <w:sz w:val="26"/>
          <w:szCs w:val="26"/>
        </w:rPr>
      </w:pPr>
    </w:p>
    <w:p>
      <w:pPr>
        <w:pStyle w:val="BodyText"/>
        <w:spacing w:line="310" w:lineRule="exact"/>
        <w:ind w:left="178" w:right="1888"/>
        <w:jc w:val="left"/>
      </w:pPr>
      <w:r>
        <w:rPr/>
        <w:t>9.公司聘请的会计师事务所：信永中和会计师事务所有限公司 会计师事务所办公地址：北京市朝阳门北大街</w:t>
      </w:r>
      <w:r>
        <w:rPr>
          <w:spacing w:val="-60"/>
        </w:rPr>
        <w:t> </w:t>
      </w:r>
      <w:r>
        <w:rPr/>
        <w:t>8</w:t>
      </w:r>
      <w:r>
        <w:rPr>
          <w:spacing w:val="-60"/>
        </w:rPr>
        <w:t> </w:t>
      </w:r>
      <w:r>
        <w:rPr>
          <w:spacing w:val="17"/>
        </w:rPr>
        <w:t>号富华大厦C座</w:t>
      </w:r>
      <w:r>
        <w:rPr>
          <w:spacing w:val="-60"/>
        </w:rPr>
        <w:t> </w:t>
      </w:r>
      <w:r>
        <w:rPr>
          <w:spacing w:val="20"/>
        </w:rPr>
        <w:t>12层</w:t>
      </w:r>
      <w:r>
        <w:rPr>
          <w:spacing w:val="-60"/>
        </w:rPr>
        <w:t> </w:t>
      </w:r>
      <w:r>
        <w:rPr/>
      </w:r>
    </w:p>
    <w:p>
      <w:pPr>
        <w:spacing w:after="0" w:line="310" w:lineRule="exact"/>
        <w:jc w:val="left"/>
        <w:sectPr>
          <w:headerReference w:type="default" r:id="rId6"/>
          <w:footerReference w:type="default" r:id="rId7"/>
          <w:pgSz w:w="11910" w:h="16840"/>
          <w:pgMar w:header="610" w:footer="764" w:top="1080" w:bottom="960" w:left="1240" w:right="1140"/>
          <w:pgNumType w:start="2"/>
        </w:sectPr>
      </w:pPr>
    </w:p>
    <w:p>
      <w:pPr>
        <w:spacing w:line="240" w:lineRule="auto" w:before="8"/>
        <w:rPr>
          <w:rFonts w:ascii="宋体" w:hAnsi="宋体" w:cs="宋体" w:eastAsia="宋体" w:hint="default"/>
          <w:sz w:val="16"/>
          <w:szCs w:val="16"/>
        </w:rPr>
      </w:pPr>
    </w:p>
    <w:p>
      <w:pPr>
        <w:spacing w:line="938" w:lineRule="exact"/>
        <w:ind w:left="2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226.45pt;height:46.95pt;mso-position-horizontal-relative:char;mso-position-vertical-relative:line" coordorigin="0,0" coordsize="4529,939">
            <v:shape style="position:absolute;left:0;top:0;width:4529;height:938" type="#_x0000_t75" stroked="false">
              <v:imagedata r:id="rId12" o:title=""/>
            </v:shape>
            <v:group style="position:absolute;left:104;top:780;width:4337;height:2" coordorigin="104,780" coordsize="4337,2">
              <v:shape style="position:absolute;left:104;top:780;width:4337;height:2" coordorigin="104,780" coordsize="4337,0" path="m104,780l4441,780e" filled="false" stroked="true" strokeweight=".25pt" strokecolor="#000000">
                <v:path arrowok="t"/>
              </v:shape>
            </v:group>
            <v:group style="position:absolute;left:4440;top:263;width:2;height:572" coordorigin="4440,263" coordsize="2,572">
              <v:shape style="position:absolute;left:4440;top:263;width:2;height:572" coordorigin="4440,263" coordsize="2,572" path="m4440,263l4441,834e" filled="false" stroked="true" strokeweight=".25pt" strokecolor="#000000">
                <v:path arrowok="t"/>
              </v:shape>
              <v:shape style="position:absolute;left:0;top:0;width:4529;height:939" type="#_x0000_t202" filled="false" stroked="false">
                <v:textbox inset="0,0,0,0">
                  <w:txbxContent>
                    <w:p>
                      <w:pPr>
                        <w:spacing w:line="240" w:lineRule="auto" w:before="2"/>
                        <w:rPr>
                          <w:rFonts w:ascii="宋体" w:hAnsi="宋体" w:cs="宋体" w:eastAsia="宋体" w:hint="default"/>
                          <w:sz w:val="26"/>
                          <w:szCs w:val="26"/>
                        </w:rPr>
                      </w:pPr>
                    </w:p>
                    <w:p>
                      <w:pPr>
                        <w:spacing w:before="0"/>
                        <w:ind w:left="127" w:right="0" w:firstLine="0"/>
                        <w:jc w:val="left"/>
                        <w:rPr>
                          <w:rFonts w:ascii="黑体" w:hAnsi="黑体" w:cs="黑体" w:eastAsia="黑体" w:hint="default"/>
                          <w:sz w:val="30"/>
                          <w:szCs w:val="30"/>
                        </w:rPr>
                      </w:pPr>
                      <w:r>
                        <w:rPr>
                          <w:rFonts w:ascii="黑体" w:hAnsi="黑体" w:cs="黑体" w:eastAsia="黑体" w:hint="default"/>
                          <w:b/>
                          <w:bCs/>
                          <w:sz w:val="30"/>
                          <w:szCs w:val="30"/>
                        </w:rPr>
                        <w:t>二、会计数据和业务数据摘要</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before="162"/>
        <w:ind w:left="238" w:right="4506" w:firstLine="0"/>
        <w:jc w:val="left"/>
        <w:rPr>
          <w:rFonts w:ascii="宋体" w:hAnsi="宋体" w:cs="宋体" w:eastAsia="宋体" w:hint="default"/>
          <w:sz w:val="21"/>
          <w:szCs w:val="21"/>
        </w:rPr>
      </w:pPr>
      <w:r>
        <w:rPr>
          <w:rFonts w:ascii="宋体" w:hAnsi="宋体" w:cs="宋体" w:eastAsia="宋体" w:hint="default"/>
          <w:b/>
          <w:bCs/>
          <w:sz w:val="24"/>
          <w:szCs w:val="24"/>
        </w:rPr>
        <w:t>1、本年度利润总额及构成</w:t>
      </w:r>
      <w:r>
        <w:rPr>
          <w:rFonts w:ascii="宋体" w:hAnsi="宋体" w:cs="宋体" w:eastAsia="宋体" w:hint="default"/>
          <w:sz w:val="21"/>
          <w:szCs w:val="21"/>
        </w:rPr>
        <w:t>(合并报表)</w:t>
      </w:r>
    </w:p>
    <w:p>
      <w:pPr>
        <w:spacing w:line="240" w:lineRule="auto" w:before="7"/>
        <w:rPr>
          <w:rFonts w:ascii="宋体" w:hAnsi="宋体" w:cs="宋体" w:eastAsia="宋体" w:hint="default"/>
          <w:sz w:val="35"/>
          <w:szCs w:val="35"/>
        </w:rPr>
      </w:pPr>
    </w:p>
    <w:p>
      <w:pPr>
        <w:pStyle w:val="BodyText"/>
        <w:spacing w:line="357" w:lineRule="auto"/>
        <w:ind w:left="238" w:right="4506"/>
        <w:jc w:val="left"/>
      </w:pPr>
      <w:r>
        <w:rPr/>
        <w:t>营业利润：631,480,990.38</w:t>
      </w:r>
      <w:r>
        <w:rPr>
          <w:spacing w:val="-60"/>
        </w:rPr>
        <w:t> </w:t>
      </w:r>
      <w:r>
        <w:rPr/>
        <w:t>元</w:t>
      </w:r>
      <w:r>
        <w:rPr/>
        <w:t> 利润总额：718,015,109.14</w:t>
      </w:r>
      <w:r>
        <w:rPr>
          <w:spacing w:val="-60"/>
        </w:rPr>
        <w:t> </w:t>
      </w:r>
      <w:r>
        <w:rPr/>
        <w:t>元</w:t>
      </w:r>
      <w:r>
        <w:rPr/>
        <w:t> 归属于上市公司股东的净利润：479,555,528.80</w:t>
      </w:r>
      <w:r>
        <w:rPr>
          <w:spacing w:val="-60"/>
        </w:rPr>
        <w:t> </w:t>
      </w:r>
      <w:r>
        <w:rPr/>
        <w:t>元</w:t>
      </w:r>
    </w:p>
    <w:p>
      <w:pPr>
        <w:pStyle w:val="BodyText"/>
        <w:spacing w:line="357" w:lineRule="auto" w:before="35"/>
        <w:ind w:left="238" w:right="2106"/>
        <w:jc w:val="left"/>
      </w:pPr>
      <w:r>
        <w:rPr/>
        <w:t>归属于上市公司股东的扣除非经常性损益后的净利润：191,899,349.95</w:t>
      </w:r>
      <w:r>
        <w:rPr>
          <w:spacing w:val="-60"/>
        </w:rPr>
        <w:t> </w:t>
      </w:r>
      <w:r>
        <w:rPr/>
        <w:t>元</w:t>
      </w:r>
      <w:r>
        <w:rPr/>
        <w:t> 经营活动产生的现金流量净额：269,779,353.46</w:t>
      </w:r>
      <w:r>
        <w:rPr>
          <w:spacing w:val="-60"/>
        </w:rPr>
        <w:t> </w:t>
      </w:r>
      <w:r>
        <w:rPr/>
        <w:t>元</w:t>
      </w:r>
    </w:p>
    <w:p>
      <w:pPr>
        <w:spacing w:line="240" w:lineRule="auto" w:before="7"/>
        <w:rPr>
          <w:rFonts w:ascii="宋体" w:hAnsi="宋体" w:cs="宋体" w:eastAsia="宋体" w:hint="default"/>
          <w:sz w:val="26"/>
          <w:szCs w:val="26"/>
        </w:rPr>
      </w:pPr>
    </w:p>
    <w:p>
      <w:pPr>
        <w:spacing w:before="0"/>
        <w:ind w:left="238" w:right="4506" w:firstLine="0"/>
        <w:jc w:val="left"/>
        <w:rPr>
          <w:rFonts w:ascii="宋体" w:hAnsi="宋体" w:cs="宋体" w:eastAsia="宋体" w:hint="default"/>
          <w:sz w:val="21"/>
          <w:szCs w:val="21"/>
        </w:rPr>
      </w:pPr>
      <w:r>
        <w:rPr>
          <w:rFonts w:ascii="宋体" w:hAnsi="宋体" w:cs="宋体" w:eastAsia="宋体" w:hint="default"/>
          <w:b/>
          <w:bCs/>
          <w:sz w:val="24"/>
          <w:szCs w:val="24"/>
        </w:rPr>
        <w:t>2、会计数据及财务指标</w:t>
      </w:r>
      <w:r>
        <w:rPr>
          <w:rFonts w:ascii="宋体" w:hAnsi="宋体" w:cs="宋体" w:eastAsia="宋体" w:hint="default"/>
          <w:sz w:val="21"/>
          <w:szCs w:val="21"/>
        </w:rPr>
        <w:t>(合并报表)</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990"/>
        <w:gridCol w:w="1718"/>
        <w:gridCol w:w="1716"/>
        <w:gridCol w:w="1606"/>
        <w:gridCol w:w="1798"/>
      </w:tblGrid>
      <w:tr>
        <w:trPr>
          <w:trHeight w:val="502" w:hRule="exact"/>
        </w:trPr>
        <w:tc>
          <w:tcPr>
            <w:tcW w:w="299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7"/>
              <w:ind w:left="938" w:right="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sz w:val="18"/>
                <w:szCs w:val="18"/>
              </w:rPr>
            </w:r>
          </w:p>
        </w:tc>
        <w:tc>
          <w:tcPr>
            <w:tcW w:w="1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55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5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06"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z w:val="18"/>
                <w:szCs w:val="18"/>
              </w:rPr>
              <w:t>增减(%)</w:t>
            </w:r>
            <w:r>
              <w:rPr>
                <w:rFonts w:ascii="宋体" w:hAnsi="宋体" w:cs="宋体" w:eastAsia="宋体" w:hint="default"/>
                <w:sz w:val="18"/>
                <w:szCs w:val="18"/>
              </w:rPr>
            </w:r>
          </w:p>
        </w:tc>
        <w:tc>
          <w:tcPr>
            <w:tcW w:w="179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6"/>
              <w:ind w:left="5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18,257,509,421.67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15,387,735,746.25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w w:val="95"/>
                <w:sz w:val="18"/>
              </w:rPr>
              <w:t>18.65%</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0"/>
              <w:jc w:val="right"/>
              <w:rPr>
                <w:rFonts w:ascii="Times New Roman" w:hAnsi="Times New Roman" w:cs="Times New Roman" w:eastAsia="Times New Roman" w:hint="default"/>
                <w:sz w:val="18"/>
                <w:szCs w:val="18"/>
              </w:rPr>
            </w:pPr>
            <w:r>
              <w:rPr>
                <w:rFonts w:ascii="Times New Roman"/>
                <w:spacing w:val="-1"/>
                <w:sz w:val="18"/>
              </w:rPr>
              <w:t>13,928,032,690.73</w:t>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Times New Roman" w:hAnsi="Times New Roman" w:cs="Times New Roman" w:eastAsia="Times New Roman" w:hint="default"/>
                <w:sz w:val="18"/>
                <w:szCs w:val="18"/>
              </w:rPr>
            </w:pPr>
            <w:r>
              <w:rPr>
                <w:rFonts w:ascii="Times New Roman"/>
                <w:spacing w:val="-1"/>
                <w:sz w:val="18"/>
              </w:rPr>
              <w:t>718,015,109.14</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Times New Roman" w:hAnsi="Times New Roman" w:cs="Times New Roman" w:eastAsia="Times New Roman" w:hint="default"/>
                <w:sz w:val="18"/>
                <w:szCs w:val="18"/>
              </w:rPr>
            </w:pPr>
            <w:r>
              <w:rPr>
                <w:rFonts w:ascii="Times New Roman"/>
                <w:spacing w:val="-1"/>
                <w:sz w:val="18"/>
              </w:rPr>
              <w:t>563,192,585.89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w w:val="95"/>
                <w:sz w:val="18"/>
              </w:rPr>
              <w:t>27.49%</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89"/>
              <w:jc w:val="right"/>
              <w:rPr>
                <w:rFonts w:ascii="Times New Roman" w:hAnsi="Times New Roman" w:cs="Times New Roman" w:eastAsia="Times New Roman" w:hint="default"/>
                <w:sz w:val="18"/>
                <w:szCs w:val="18"/>
              </w:rPr>
            </w:pPr>
            <w:r>
              <w:rPr>
                <w:rFonts w:ascii="Times New Roman"/>
                <w:spacing w:val="-1"/>
                <w:sz w:val="18"/>
              </w:rPr>
              <w:t>455,921,631.18</w:t>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Times New Roman" w:hAnsi="Times New Roman" w:cs="Times New Roman" w:eastAsia="Times New Roman" w:hint="default"/>
                <w:sz w:val="18"/>
                <w:szCs w:val="18"/>
              </w:rPr>
            </w:pPr>
            <w:r>
              <w:rPr>
                <w:rFonts w:ascii="Times New Roman"/>
                <w:spacing w:val="-1"/>
                <w:sz w:val="18"/>
              </w:rPr>
              <w:t>479,555,528.80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Times New Roman" w:hAnsi="Times New Roman" w:cs="Times New Roman" w:eastAsia="Times New Roman" w:hint="default"/>
                <w:sz w:val="18"/>
                <w:szCs w:val="18"/>
              </w:rPr>
            </w:pPr>
            <w:r>
              <w:rPr>
                <w:rFonts w:ascii="Times New Roman"/>
                <w:spacing w:val="-1"/>
                <w:sz w:val="18"/>
              </w:rPr>
              <w:t>351,370,202.43</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w w:val="95"/>
                <w:sz w:val="18"/>
              </w:rPr>
              <w:t>36.48%</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89"/>
              <w:jc w:val="right"/>
              <w:rPr>
                <w:rFonts w:ascii="Times New Roman" w:hAnsi="Times New Roman" w:cs="Times New Roman" w:eastAsia="Times New Roman" w:hint="default"/>
                <w:sz w:val="18"/>
                <w:szCs w:val="18"/>
              </w:rPr>
            </w:pPr>
            <w:r>
              <w:rPr>
                <w:rFonts w:ascii="Times New Roman"/>
                <w:spacing w:val="-1"/>
                <w:sz w:val="18"/>
              </w:rPr>
              <w:t>240,595,757.71</w:t>
            </w:r>
          </w:p>
        </w:tc>
      </w:tr>
      <w:tr>
        <w:trPr>
          <w:trHeight w:val="496"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性损益的净利润</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pacing w:val="-1"/>
                <w:sz w:val="18"/>
              </w:rPr>
              <w:t>191,899,349.95</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pacing w:val="-1"/>
                <w:sz w:val="18"/>
              </w:rPr>
              <w:t>249,948,368.05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w w:val="95"/>
                <w:sz w:val="18"/>
              </w:rPr>
              <w:t>-23.22%</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pacing w:val="-1"/>
                <w:sz w:val="18"/>
              </w:rPr>
              <w:t>259,156,834.43</w:t>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Times New Roman" w:hAnsi="Times New Roman" w:cs="Times New Roman" w:eastAsia="Times New Roman" w:hint="default"/>
                <w:sz w:val="18"/>
                <w:szCs w:val="18"/>
              </w:rPr>
            </w:pPr>
            <w:r>
              <w:rPr>
                <w:rFonts w:ascii="Times New Roman"/>
                <w:spacing w:val="-1"/>
                <w:sz w:val="18"/>
              </w:rPr>
              <w:t>269,779,353.46</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Times New Roman" w:hAnsi="Times New Roman" w:cs="Times New Roman" w:eastAsia="Times New Roman" w:hint="default"/>
                <w:sz w:val="18"/>
                <w:szCs w:val="18"/>
              </w:rPr>
            </w:pPr>
            <w:r>
              <w:rPr>
                <w:rFonts w:ascii="Times New Roman"/>
                <w:spacing w:val="-1"/>
                <w:sz w:val="18"/>
              </w:rPr>
              <w:t>755,637,454.71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-64.30%</w:t>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0"/>
              <w:jc w:val="right"/>
              <w:rPr>
                <w:rFonts w:ascii="Times New Roman" w:hAnsi="Times New Roman" w:cs="Times New Roman" w:eastAsia="Times New Roman" w:hint="default"/>
                <w:sz w:val="18"/>
                <w:szCs w:val="18"/>
              </w:rPr>
            </w:pPr>
            <w:r>
              <w:rPr>
                <w:rFonts w:ascii="Times New Roman"/>
                <w:spacing w:val="-1"/>
                <w:sz w:val="18"/>
              </w:rPr>
              <w:t>47,575,992.00</w:t>
            </w:r>
          </w:p>
        </w:tc>
      </w:tr>
      <w:tr>
        <w:trPr>
          <w:trHeight w:val="494" w:hRule="exact"/>
        </w:trPr>
        <w:tc>
          <w:tcPr>
            <w:tcW w:w="2990" w:type="dxa"/>
            <w:tcBorders>
              <w:top w:val="single" w:sz="6" w:space="0" w:color="000000"/>
              <w:left w:val="single" w:sz="12"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6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年末</w:t>
            </w:r>
            <w:r>
              <w:rPr>
                <w:rFonts w:ascii="宋体" w:hAnsi="宋体" w:cs="宋体" w:eastAsia="宋体" w:hint="default"/>
                <w:sz w:val="18"/>
                <w:szCs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6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年末</w:t>
            </w:r>
            <w:r>
              <w:rPr>
                <w:rFonts w:ascii="宋体" w:hAnsi="宋体" w:cs="宋体" w:eastAsia="宋体" w:hint="default"/>
                <w:sz w:val="18"/>
                <w:szCs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本期末比上年同</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期末增减(%)</w:t>
            </w:r>
            <w:r>
              <w:rPr>
                <w:rFonts w:ascii="宋体" w:hAnsi="宋体" w:cs="宋体" w:eastAsia="宋体" w:hint="default"/>
                <w:sz w:val="18"/>
                <w:szCs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left="5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24,864,638,224.28</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21,389,921,659.44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w w:val="95"/>
                <w:sz w:val="18"/>
              </w:rPr>
              <w:t>16.24%</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0"/>
              <w:jc w:val="right"/>
              <w:rPr>
                <w:rFonts w:ascii="Times New Roman" w:hAnsi="Times New Roman" w:cs="Times New Roman" w:eastAsia="Times New Roman" w:hint="default"/>
                <w:sz w:val="18"/>
                <w:szCs w:val="18"/>
              </w:rPr>
            </w:pPr>
            <w:r>
              <w:rPr>
                <w:rFonts w:ascii="Times New Roman"/>
                <w:spacing w:val="-1"/>
                <w:sz w:val="18"/>
              </w:rPr>
              <w:t>18,081,994,134.09</w:t>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7,986,698,689.35</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7,307,856,491.27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w w:val="95"/>
                <w:sz w:val="18"/>
              </w:rPr>
              <w:t>9.29%</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0"/>
              <w:jc w:val="right"/>
              <w:rPr>
                <w:rFonts w:ascii="Times New Roman" w:hAnsi="Times New Roman" w:cs="Times New Roman" w:eastAsia="Times New Roman" w:hint="default"/>
                <w:sz w:val="18"/>
                <w:szCs w:val="18"/>
              </w:rPr>
            </w:pPr>
            <w:r>
              <w:rPr>
                <w:rFonts w:ascii="Times New Roman"/>
                <w:spacing w:val="-1"/>
                <w:sz w:val="18"/>
              </w:rPr>
              <w:t>7,035,296,963.45</w:t>
            </w:r>
          </w:p>
        </w:tc>
      </w:tr>
      <w:tr>
        <w:trPr>
          <w:trHeight w:val="496"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8" w:right="0"/>
              <w:jc w:val="left"/>
              <w:rPr>
                <w:rFonts w:ascii="宋体" w:hAnsi="宋体" w:cs="宋体" w:eastAsia="宋体" w:hint="default"/>
                <w:sz w:val="18"/>
                <w:szCs w:val="18"/>
              </w:rPr>
            </w:pPr>
            <w:r>
              <w:rPr>
                <w:rFonts w:ascii="宋体" w:hAnsi="宋体" w:cs="宋体" w:eastAsia="宋体" w:hint="default"/>
                <w:b/>
                <w:bCs/>
                <w:sz w:val="18"/>
                <w:szCs w:val="18"/>
              </w:rPr>
              <w:t>主要财务指标</w:t>
            </w:r>
            <w:r>
              <w:rPr>
                <w:rFonts w:ascii="宋体" w:hAnsi="宋体" w:cs="宋体" w:eastAsia="宋体" w:hint="default"/>
                <w:sz w:val="18"/>
                <w:szCs w:val="18"/>
              </w:rPr>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55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5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z w:val="18"/>
                <w:szCs w:val="18"/>
              </w:rPr>
              <w:t>增减(%)</w:t>
            </w:r>
            <w:r>
              <w:rPr>
                <w:rFonts w:ascii="宋体" w:hAnsi="宋体" w:cs="宋体" w:eastAsia="宋体" w:hint="default"/>
                <w:sz w:val="18"/>
                <w:szCs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left="5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z w:val="18"/>
              </w:rPr>
              <w:t>0.4867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z w:val="18"/>
              </w:rPr>
              <w:t>0.3597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w w:val="95"/>
                <w:sz w:val="18"/>
              </w:rPr>
              <w:t>35.31%</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0"/>
              <w:jc w:val="right"/>
              <w:rPr>
                <w:rFonts w:ascii="Times New Roman" w:hAnsi="Times New Roman" w:cs="Times New Roman" w:eastAsia="Times New Roman" w:hint="default"/>
                <w:sz w:val="18"/>
                <w:szCs w:val="18"/>
              </w:rPr>
            </w:pPr>
            <w:r>
              <w:rPr>
                <w:rFonts w:ascii="Times New Roman"/>
                <w:sz w:val="18"/>
              </w:rPr>
              <w:t>0.2557</w:t>
            </w:r>
          </w:p>
        </w:tc>
      </w:tr>
      <w:tr>
        <w:trPr>
          <w:trHeight w:val="27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z w:val="18"/>
              </w:rPr>
              <w:t>0.4867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z w:val="18"/>
              </w:rPr>
              <w:t>0.3597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w w:val="95"/>
                <w:sz w:val="18"/>
              </w:rPr>
              <w:t>35.31%</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0"/>
              <w:jc w:val="right"/>
              <w:rPr>
                <w:rFonts w:ascii="Times New Roman" w:hAnsi="Times New Roman" w:cs="Times New Roman" w:eastAsia="Times New Roman" w:hint="default"/>
                <w:sz w:val="18"/>
                <w:szCs w:val="18"/>
              </w:rPr>
            </w:pPr>
            <w:r>
              <w:rPr>
                <w:rFonts w:ascii="Times New Roman"/>
                <w:sz w:val="18"/>
              </w:rPr>
              <w:t>0.2557</w:t>
            </w:r>
          </w:p>
        </w:tc>
      </w:tr>
      <w:tr>
        <w:trPr>
          <w:trHeight w:val="494"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益（元／股）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0.1947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0.2558</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w w:val="95"/>
                <w:sz w:val="18"/>
              </w:rPr>
              <w:t>-23.89%</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0.2754</w:t>
            </w:r>
          </w:p>
        </w:tc>
      </w:tr>
      <w:tr>
        <w:trPr>
          <w:trHeight w:val="496"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w w:val="95"/>
                <w:sz w:val="18"/>
              </w:rPr>
              <w:t>6.25%</w:t>
            </w:r>
            <w:r>
              <w:rPr>
                <w:rFonts w:ascii="Times New Roman"/>
                <w:sz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w w:val="95"/>
                <w:sz w:val="18"/>
              </w:rPr>
              <w:t>4.90%</w:t>
            </w:r>
            <w:r>
              <w:rPr>
                <w:rFonts w:ascii="Times New Roman"/>
                <w:sz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18"/>
                <w:szCs w:val="18"/>
              </w:rPr>
            </w:pPr>
            <w:r>
              <w:rPr>
                <w:rFonts w:ascii="宋体" w:hAnsi="宋体" w:cs="宋体" w:eastAsia="宋体" w:hint="default"/>
                <w:sz w:val="18"/>
                <w:szCs w:val="18"/>
              </w:rPr>
              <w:t>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31"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r>
      <w:tr>
        <w:trPr>
          <w:trHeight w:val="494"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w w:val="95"/>
                <w:sz w:val="18"/>
              </w:rPr>
              <w:t>2.50%</w:t>
            </w:r>
            <w:r>
              <w:rPr>
                <w:rFonts w:ascii="Times New Roman"/>
                <w:sz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18"/>
                <w:szCs w:val="18"/>
              </w:rPr>
            </w:pPr>
            <w:r>
              <w:rPr>
                <w:rFonts w:ascii="宋体" w:hAnsi="宋体" w:cs="宋体" w:eastAsia="宋体" w:hint="default"/>
                <w:sz w:val="18"/>
                <w:szCs w:val="18"/>
              </w:rPr>
              <w:t>降低了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31"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4.00%</w:t>
            </w:r>
            <w:r>
              <w:rPr>
                <w:rFonts w:ascii="Times New Roman"/>
                <w:sz w:val="18"/>
              </w:rPr>
            </w:r>
          </w:p>
        </w:tc>
      </w:tr>
      <w:tr>
        <w:trPr>
          <w:trHeight w:val="496"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（元／股）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0.27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sz w:val="18"/>
              </w:rPr>
              <w:t>0.77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w w:val="95"/>
                <w:sz w:val="18"/>
              </w:rPr>
              <w:t>-64.94%</w:t>
            </w:r>
            <w:r>
              <w:rPr>
                <w:rFonts w:ascii="Times New Roman"/>
                <w:sz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0.05</w:t>
            </w:r>
          </w:p>
        </w:tc>
      </w:tr>
      <w:tr>
        <w:trPr>
          <w:trHeight w:val="494" w:hRule="exact"/>
        </w:trPr>
        <w:tc>
          <w:tcPr>
            <w:tcW w:w="2990" w:type="dxa"/>
            <w:tcBorders>
              <w:top w:val="single" w:sz="6" w:space="0" w:color="000000"/>
              <w:left w:val="single" w:sz="12"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6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年末</w:t>
            </w:r>
            <w:r>
              <w:rPr>
                <w:rFonts w:ascii="宋体" w:hAnsi="宋体" w:cs="宋体" w:eastAsia="宋体" w:hint="default"/>
                <w:sz w:val="18"/>
                <w:szCs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6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年末</w:t>
            </w:r>
            <w:r>
              <w:rPr>
                <w:rFonts w:ascii="宋体" w:hAnsi="宋体" w:cs="宋体" w:eastAsia="宋体" w:hint="default"/>
                <w:sz w:val="18"/>
                <w:szCs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本期末比上年同</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期末增减(%)</w:t>
            </w:r>
            <w:r>
              <w:rPr>
                <w:rFonts w:ascii="宋体" w:hAnsi="宋体" w:cs="宋体" w:eastAsia="宋体" w:hint="default"/>
                <w:sz w:val="18"/>
                <w:szCs w:val="18"/>
              </w:rPr>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left="5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503" w:hRule="exact"/>
        </w:trPr>
        <w:tc>
          <w:tcPr>
            <w:tcW w:w="2990" w:type="dxa"/>
            <w:tcBorders>
              <w:top w:val="single" w:sz="6" w:space="0" w:color="000000"/>
              <w:left w:val="single" w:sz="12" w:space="0" w:color="000000"/>
              <w:bottom w:val="single" w:sz="12"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（元／股）</w:t>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8.04</w:t>
            </w: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sz w:val="18"/>
              </w:rPr>
              <w:t>7.48</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w w:val="95"/>
                <w:sz w:val="18"/>
              </w:rPr>
              <w:t>7.49%</w:t>
            </w:r>
            <w:r>
              <w:rPr>
                <w:rFonts w:ascii="Times New Roman"/>
                <w:sz w:val="18"/>
              </w:rPr>
            </w:r>
          </w:p>
        </w:tc>
        <w:tc>
          <w:tcPr>
            <w:tcW w:w="17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7.20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64" w:top="1080" w:bottom="980" w:left="1180" w:right="6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26"/>
        <w:ind w:left="138" w:right="0" w:firstLine="0"/>
        <w:jc w:val="left"/>
        <w:rPr>
          <w:rFonts w:ascii="宋体" w:hAnsi="宋体" w:cs="宋体" w:eastAsia="宋体" w:hint="default"/>
          <w:sz w:val="21"/>
          <w:szCs w:val="21"/>
        </w:rPr>
      </w:pPr>
      <w:r>
        <w:rPr>
          <w:rFonts w:ascii="宋体" w:hAnsi="宋体" w:cs="宋体" w:eastAsia="宋体" w:hint="default"/>
          <w:b/>
          <w:bCs/>
          <w:spacing w:val="-9"/>
          <w:sz w:val="24"/>
          <w:szCs w:val="24"/>
        </w:rPr>
        <w:t>3、非经常性损益的构成</w:t>
      </w:r>
      <w:r>
        <w:rPr>
          <w:rFonts w:ascii="宋体" w:hAnsi="宋体" w:cs="宋体" w:eastAsia="宋体" w:hint="default"/>
          <w:spacing w:val="-9"/>
          <w:sz w:val="21"/>
          <w:szCs w:val="21"/>
        </w:rPr>
        <w:t>(单位：元)</w:t>
      </w:r>
      <w:r>
        <w:rPr>
          <w:rFonts w:ascii="宋体" w:hAnsi="宋体" w:cs="宋体" w:eastAsia="宋体" w:hint="default"/>
          <w:sz w:val="21"/>
          <w:szCs w:val="21"/>
        </w:rPr>
      </w:r>
    </w:p>
    <w:p>
      <w:pPr>
        <w:spacing w:line="240" w:lineRule="auto" w:before="7"/>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845"/>
        <w:gridCol w:w="2339"/>
      </w:tblGrid>
      <w:tr>
        <w:trPr>
          <w:trHeight w:val="295" w:hRule="exact"/>
        </w:trPr>
        <w:tc>
          <w:tcPr>
            <w:tcW w:w="6845" w:type="dxa"/>
            <w:tcBorders>
              <w:top w:val="single" w:sz="12" w:space="0" w:color="000000"/>
              <w:left w:val="single" w:sz="12" w:space="0" w:color="000000"/>
              <w:bottom w:val="single" w:sz="6" w:space="0" w:color="000000"/>
              <w:right w:val="single" w:sz="6" w:space="0" w:color="000000"/>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39"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287"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21"/>
                <w:szCs w:val="21"/>
              </w:rPr>
            </w:pPr>
            <w:r>
              <w:rPr>
                <w:rFonts w:ascii="Times New Roman"/>
                <w:spacing w:val="-1"/>
                <w:sz w:val="21"/>
              </w:rPr>
              <w:t>313,188,008.91</w:t>
            </w:r>
          </w:p>
        </w:tc>
      </w:tr>
      <w:tr>
        <w:trPr>
          <w:trHeight w:val="560"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计入当期损益的政府补助（与企业业务密切相关，按照国家统一标准定额</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或定量享受的政府补助除外）</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21"/>
                <w:szCs w:val="21"/>
              </w:rPr>
            </w:pPr>
            <w:r>
              <w:rPr>
                <w:rFonts w:ascii="Times New Roman"/>
                <w:spacing w:val="-1"/>
                <w:sz w:val="21"/>
              </w:rPr>
              <w:t>55,558,828.29</w:t>
            </w:r>
          </w:p>
        </w:tc>
      </w:tr>
      <w:tr>
        <w:trPr>
          <w:trHeight w:val="287"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339"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92"/>
                <w:sz w:val="21"/>
                <w:szCs w:val="21"/>
              </w:rPr>
              <w:t>、</w:t>
            </w:r>
            <w:r>
              <w:rPr>
                <w:rFonts w:ascii="宋体" w:hAnsi="宋体" w:cs="宋体" w:eastAsia="宋体" w:hint="default"/>
                <w:sz w:val="21"/>
                <w:szCs w:val="21"/>
              </w:rPr>
              <w:t>联营企业及合营企业的投资成本小于取得投资时应享有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被投资单位可辨认净资产公允价值产生的收益</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21"/>
                <w:szCs w:val="21"/>
              </w:rPr>
            </w:pPr>
            <w:r>
              <w:rPr>
                <w:rFonts w:ascii="Times New Roman"/>
                <w:spacing w:val="-1"/>
                <w:sz w:val="21"/>
              </w:rPr>
              <w:t>5,837,642.71</w:t>
            </w:r>
          </w:p>
        </w:tc>
      </w:tr>
      <w:tr>
        <w:trPr>
          <w:trHeight w:val="832"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4"/>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除同公司正常经营业务相关的有效套期保值业务外，持有交易性金融资</w:t>
            </w:r>
          </w:p>
          <w:p>
            <w:pPr>
              <w:pStyle w:val="TableParagraph"/>
              <w:spacing w:line="272" w:lineRule="exact" w:before="26"/>
              <w:ind w:left="93" w:right="-4"/>
              <w:jc w:val="left"/>
              <w:rPr>
                <w:rFonts w:ascii="宋体" w:hAnsi="宋体" w:cs="宋体" w:eastAsia="宋体" w:hint="default"/>
                <w:sz w:val="21"/>
                <w:szCs w:val="21"/>
              </w:rPr>
            </w:pPr>
            <w:r>
              <w:rPr>
                <w:rFonts w:ascii="宋体" w:hAnsi="宋体" w:cs="宋体" w:eastAsia="宋体" w:hint="default"/>
                <w:spacing w:val="-6"/>
                <w:sz w:val="21"/>
                <w:szCs w:val="21"/>
              </w:rPr>
              <w:t>产、交易性金融负债产生的公允价值变动损益，以及处置交易性金融资产、</w:t>
            </w:r>
            <w:r>
              <w:rPr>
                <w:rFonts w:ascii="宋体" w:hAnsi="宋体" w:cs="宋体" w:eastAsia="宋体" w:hint="default"/>
                <w:sz w:val="21"/>
                <w:szCs w:val="21"/>
              </w:rPr>
              <w:t> 交易性金融负债和可供出售金融资产取得的投资收益</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145,059,371.81</w:t>
            </w:r>
          </w:p>
        </w:tc>
      </w:tr>
      <w:tr>
        <w:trPr>
          <w:trHeight w:val="287"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89"/>
              <w:jc w:val="right"/>
              <w:rPr>
                <w:rFonts w:ascii="Times New Roman" w:hAnsi="Times New Roman" w:cs="Times New Roman" w:eastAsia="Times New Roman" w:hint="default"/>
                <w:sz w:val="21"/>
                <w:szCs w:val="21"/>
              </w:rPr>
            </w:pPr>
            <w:r>
              <w:rPr>
                <w:rFonts w:ascii="Times New Roman"/>
                <w:spacing w:val="-1"/>
                <w:sz w:val="21"/>
              </w:rPr>
              <w:t>1,304,490.00</w:t>
            </w:r>
          </w:p>
        </w:tc>
      </w:tr>
      <w:tr>
        <w:trPr>
          <w:trHeight w:val="288"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-22,902,302.85</w:t>
            </w:r>
            <w:r>
              <w:rPr>
                <w:rFonts w:ascii="Times New Roman"/>
                <w:sz w:val="21"/>
              </w:rPr>
            </w:r>
          </w:p>
        </w:tc>
      </w:tr>
      <w:tr>
        <w:trPr>
          <w:trHeight w:val="287"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pacing w:val="-1"/>
                <w:sz w:val="21"/>
              </w:rPr>
              <w:t>-122,006,422.99</w:t>
            </w:r>
          </w:p>
        </w:tc>
      </w:tr>
      <w:tr>
        <w:trPr>
          <w:trHeight w:val="288"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-89,574,858.60</w:t>
            </w:r>
            <w:r>
              <w:rPr>
                <w:rFonts w:ascii="Times New Roman"/>
                <w:sz w:val="21"/>
              </w:rPr>
            </w:r>
          </w:p>
        </w:tc>
      </w:tr>
      <w:tr>
        <w:trPr>
          <w:trHeight w:val="287" w:hRule="exact"/>
        </w:trPr>
        <w:tc>
          <w:tcPr>
            <w:tcW w:w="684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89"/>
              <w:jc w:val="right"/>
              <w:rPr>
                <w:rFonts w:ascii="Times New Roman" w:hAnsi="Times New Roman" w:cs="Times New Roman" w:eastAsia="Times New Roman" w:hint="default"/>
                <w:sz w:val="21"/>
                <w:szCs w:val="21"/>
              </w:rPr>
            </w:pPr>
            <w:r>
              <w:rPr>
                <w:rFonts w:ascii="Times New Roman"/>
                <w:spacing w:val="-1"/>
                <w:sz w:val="21"/>
              </w:rPr>
              <w:t>1,191,421.57</w:t>
            </w:r>
          </w:p>
        </w:tc>
      </w:tr>
      <w:tr>
        <w:trPr>
          <w:trHeight w:val="296" w:hRule="exact"/>
        </w:trPr>
        <w:tc>
          <w:tcPr>
            <w:tcW w:w="684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21"/>
                <w:szCs w:val="21"/>
              </w:rPr>
            </w:pPr>
            <w:r>
              <w:rPr>
                <w:rFonts w:ascii="Times New Roman"/>
                <w:spacing w:val="-1"/>
                <w:sz w:val="21"/>
              </w:rPr>
              <w:t>287,656,178.85</w:t>
            </w:r>
          </w:p>
        </w:tc>
      </w:tr>
    </w:tbl>
    <w:p>
      <w:pPr>
        <w:spacing w:line="238"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注：其他符合非经常性损益定义的损益项目主要是公司下属全资子公司同方江新造船有限公司因与船</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东达成弃船和解协议，引致公司于本报告期确认非经营性损失。</w:t>
      </w:r>
    </w:p>
    <w:p>
      <w:pPr>
        <w:spacing w:after="0" w:line="274" w:lineRule="exact"/>
        <w:jc w:val="left"/>
        <w:rPr>
          <w:rFonts w:ascii="宋体" w:hAnsi="宋体" w:cs="宋体" w:eastAsia="宋体" w:hint="default"/>
          <w:sz w:val="21"/>
          <w:szCs w:val="21"/>
        </w:rPr>
        <w:sectPr>
          <w:pgSz w:w="11910" w:h="16840"/>
          <w:pgMar w:header="610" w:footer="764" w:top="1080" w:bottom="980" w:left="1280" w:right="1140"/>
        </w:sectPr>
      </w:pPr>
    </w:p>
    <w:p>
      <w:pPr>
        <w:spacing w:line="240" w:lineRule="auto" w:before="7"/>
        <w:rPr>
          <w:rFonts w:ascii="宋体" w:hAnsi="宋体" w:cs="宋体" w:eastAsia="宋体" w:hint="default"/>
          <w:sz w:val="22"/>
          <w:szCs w:val="22"/>
        </w:rPr>
      </w:pPr>
    </w:p>
    <w:p>
      <w:pPr>
        <w:spacing w:line="847" w:lineRule="exact"/>
        <w:ind w:left="14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231.1pt;height:42.4pt;mso-position-horizontal-relative:char;mso-position-vertical-relative:line" coordorigin="0,0" coordsize="4622,848">
            <v:shape style="position:absolute;left:0;top:0;width:4621;height:847" type="#_x0000_t75" stroked="false">
              <v:imagedata r:id="rId13" o:title=""/>
            </v:shape>
            <v:group style="position:absolute;left:106;top:702;width:4426;height:2" coordorigin="106,702" coordsize="4426,2">
              <v:shape style="position:absolute;left:106;top:702;width:4426;height:2" coordorigin="106,702" coordsize="4426,0" path="m106,702l4531,702e" filled="false" stroked="true" strokeweight=".25pt" strokecolor="#000000">
                <v:path arrowok="t"/>
              </v:shape>
            </v:group>
            <v:group style="position:absolute;left:4530;top:185;width:2;height:572" coordorigin="4530,185" coordsize="2,572">
              <v:shape style="position:absolute;left:4530;top:185;width:2;height:572" coordorigin="4530,185" coordsize="2,572" path="m4530,185l4531,756e" filled="false" stroked="true" strokeweight=".25pt" strokecolor="#000000">
                <v:path arrowok="t"/>
              </v:shape>
              <v:shape style="position:absolute;left:0;top:0;width:4622;height:848" type="#_x0000_t202" filled="false" stroked="false">
                <v:textbox inset="0,0,0,0">
                  <w:txbxContent>
                    <w:p>
                      <w:pPr>
                        <w:spacing w:before="264"/>
                        <w:ind w:left="142" w:right="0" w:firstLine="0"/>
                        <w:jc w:val="left"/>
                        <w:rPr>
                          <w:rFonts w:ascii="黑体" w:hAnsi="黑体" w:cs="黑体" w:eastAsia="黑体" w:hint="default"/>
                          <w:sz w:val="30"/>
                          <w:szCs w:val="30"/>
                        </w:rPr>
                      </w:pPr>
                      <w:r>
                        <w:rPr>
                          <w:rFonts w:ascii="黑体" w:hAnsi="黑体" w:cs="黑体" w:eastAsia="黑体" w:hint="default"/>
                          <w:b/>
                          <w:bCs/>
                          <w:sz w:val="30"/>
                          <w:szCs w:val="30"/>
                        </w:rPr>
                        <w:t>三、股本变动及股东情况介绍</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6"/>
          <w:sz w:val="20"/>
          <w:szCs w:val="20"/>
        </w:rPr>
      </w:r>
    </w:p>
    <w:p>
      <w:pPr>
        <w:spacing w:line="240" w:lineRule="auto" w:before="1"/>
        <w:rPr>
          <w:rFonts w:ascii="宋体" w:hAnsi="宋体" w:cs="宋体" w:eastAsia="宋体" w:hint="default"/>
          <w:sz w:val="12"/>
          <w:szCs w:val="12"/>
        </w:rPr>
      </w:pPr>
    </w:p>
    <w:p>
      <w:pPr>
        <w:pStyle w:val="Heading2"/>
        <w:spacing w:line="240" w:lineRule="auto" w:before="13"/>
        <w:ind w:right="0"/>
        <w:jc w:val="both"/>
        <w:rPr>
          <w:b w:val="0"/>
          <w:bCs w:val="0"/>
        </w:rPr>
      </w:pPr>
      <w:r>
        <w:rPr/>
        <w:t>(一)股本变动情况</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right="0"/>
        <w:jc w:val="both"/>
        <w:rPr>
          <w:b w:val="0"/>
          <w:bCs w:val="0"/>
        </w:rPr>
      </w:pPr>
      <w:r>
        <w:rPr/>
        <w:t>1、公司股票发行与上市之沿革</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公司于</w:t>
      </w:r>
      <w:r>
        <w:rPr>
          <w:spacing w:val="-81"/>
        </w:rPr>
        <w:t> </w:t>
      </w:r>
      <w:r>
        <w:rPr/>
        <w:t>1997</w:t>
      </w:r>
      <w:r>
        <w:rPr>
          <w:spacing w:val="-81"/>
        </w:rPr>
        <w:t> </w:t>
      </w:r>
      <w:r>
        <w:rPr/>
        <w:t>年</w:t>
      </w:r>
      <w:r>
        <w:rPr>
          <w:spacing w:val="-81"/>
        </w:rPr>
        <w:t> </w:t>
      </w:r>
      <w:r>
        <w:rPr/>
        <w:t>6</w:t>
      </w:r>
      <w:r>
        <w:rPr>
          <w:spacing w:val="-80"/>
        </w:rPr>
        <w:t> </w:t>
      </w:r>
      <w:r>
        <w:rPr/>
        <w:t>月</w:t>
      </w:r>
      <w:r>
        <w:rPr>
          <w:spacing w:val="-81"/>
        </w:rPr>
        <w:t> </w:t>
      </w:r>
      <w:r>
        <w:rPr/>
        <w:t>12</w:t>
      </w:r>
      <w:r>
        <w:rPr>
          <w:spacing w:val="-80"/>
        </w:rPr>
        <w:t> </w:t>
      </w:r>
      <w:r>
        <w:rPr/>
        <w:t>日首次向社会公众发行了普通股(A)42,000,000</w:t>
      </w:r>
      <w:r>
        <w:rPr>
          <w:spacing w:val="-81"/>
        </w:rPr>
        <w:t> </w:t>
      </w:r>
      <w:r>
        <w:rPr/>
        <w:t>股(其中</w:t>
      </w:r>
      <w:r>
        <w:rPr>
          <w:spacing w:val="-81"/>
        </w:rPr>
        <w:t> </w:t>
      </w:r>
      <w:r>
        <w:rPr/>
        <w:t>4,200,000</w:t>
      </w:r>
    </w:p>
    <w:p>
      <w:pPr>
        <w:pStyle w:val="BodyText"/>
        <w:spacing w:line="312" w:lineRule="exact" w:before="29"/>
        <w:ind w:right="213"/>
        <w:jc w:val="left"/>
      </w:pPr>
      <w:r>
        <w:rPr/>
        <w:t>股为内部职工股)，每股发行价</w:t>
      </w:r>
      <w:r>
        <w:rPr>
          <w:spacing w:val="-51"/>
        </w:rPr>
        <w:t> </w:t>
      </w:r>
      <w:r>
        <w:rPr/>
        <w:t>8.28</w:t>
      </w:r>
      <w:r>
        <w:rPr>
          <w:spacing w:val="-51"/>
        </w:rPr>
        <w:t> </w:t>
      </w:r>
      <w:r>
        <w:rPr/>
        <w:t>元，所发行股票于</w:t>
      </w:r>
      <w:r>
        <w:rPr>
          <w:spacing w:val="-51"/>
        </w:rPr>
        <w:t> </w:t>
      </w:r>
      <w:r>
        <w:rPr/>
        <w:t>1997</w:t>
      </w:r>
      <w:r>
        <w:rPr>
          <w:spacing w:val="-51"/>
        </w:rPr>
        <w:t> </w:t>
      </w:r>
      <w:r>
        <w:rPr/>
        <w:t>年</w:t>
      </w:r>
      <w:r>
        <w:rPr>
          <w:spacing w:val="-50"/>
        </w:rPr>
        <w:t> </w:t>
      </w:r>
      <w:r>
        <w:rPr/>
        <w:t>6</w:t>
      </w:r>
      <w:r>
        <w:rPr>
          <w:spacing w:val="-51"/>
        </w:rPr>
        <w:t> </w:t>
      </w:r>
      <w:r>
        <w:rPr/>
        <w:t>月</w:t>
      </w:r>
      <w:r>
        <w:rPr>
          <w:spacing w:val="-51"/>
        </w:rPr>
        <w:t> </w:t>
      </w:r>
      <w:r>
        <w:rPr/>
        <w:t>27</w:t>
      </w:r>
      <w:r>
        <w:rPr>
          <w:spacing w:val="-51"/>
        </w:rPr>
        <w:t> </w:t>
      </w:r>
      <w:r>
        <w:rPr/>
        <w:t>日在上海证券交</w:t>
      </w:r>
      <w:r>
        <w:rPr/>
        <w:t> 易所挂牌交易。发行后，公司总股本为</w:t>
      </w:r>
      <w:r>
        <w:rPr>
          <w:spacing w:val="-60"/>
        </w:rPr>
        <w:t> </w:t>
      </w:r>
      <w:r>
        <w:rPr/>
        <w:t>110,700,000</w:t>
      </w:r>
      <w:r>
        <w:rPr>
          <w:spacing w:val="-60"/>
        </w:rPr>
        <w:t> </w:t>
      </w:r>
      <w:r>
        <w:rPr/>
        <w:t>股，其中已流通股占</w:t>
      </w:r>
      <w:r>
        <w:rPr>
          <w:spacing w:val="-60"/>
        </w:rPr>
        <w:t> </w:t>
      </w:r>
      <w:r>
        <w:rPr/>
        <w:t>37.94%。</w:t>
      </w:r>
    </w:p>
    <w:p>
      <w:pPr>
        <w:spacing w:line="240" w:lineRule="auto" w:before="11"/>
        <w:rPr>
          <w:rFonts w:ascii="宋体" w:hAnsi="宋体" w:cs="宋体" w:eastAsia="宋体" w:hint="default"/>
          <w:sz w:val="23"/>
          <w:szCs w:val="23"/>
        </w:rPr>
      </w:pPr>
    </w:p>
    <w:p>
      <w:pPr>
        <w:pStyle w:val="BodyText"/>
        <w:spacing w:line="310" w:lineRule="exact"/>
        <w:ind w:right="223"/>
        <w:jc w:val="both"/>
      </w:pPr>
      <w:r>
        <w:rPr/>
        <w:t>公司于</w:t>
      </w:r>
      <w:r>
        <w:rPr>
          <w:spacing w:val="-68"/>
        </w:rPr>
        <w:t> </w:t>
      </w:r>
      <w:r>
        <w:rPr>
          <w:spacing w:val="24"/>
        </w:rPr>
        <w:t>1998年1月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5</w:t>
      </w:r>
      <w:r>
        <w:rPr>
          <w:spacing w:val="-68"/>
        </w:rPr>
        <w:t> </w:t>
      </w:r>
      <w:r>
        <w:rPr/>
        <w:t>股的资本公积转增股本的方</w:t>
      </w:r>
      <w:r>
        <w:rPr>
          <w:spacing w:val="-1"/>
        </w:rPr>
        <w:t> </w:t>
      </w:r>
      <w:r>
        <w:rPr>
          <w:spacing w:val="-3"/>
        </w:rPr>
        <w:t>案。所转增股份的上市交易日为</w:t>
      </w:r>
      <w:r>
        <w:rPr>
          <w:spacing w:val="-57"/>
        </w:rPr>
        <w:t> </w:t>
      </w:r>
      <w:r>
        <w:rPr>
          <w:spacing w:val="25"/>
        </w:rPr>
        <w:t>1998年1月</w:t>
      </w:r>
      <w:r>
        <w:rPr>
          <w:spacing w:val="-57"/>
        </w:rPr>
        <w:t> </w:t>
      </w:r>
      <w:r>
        <w:rPr/>
        <w:t>16</w:t>
      </w:r>
      <w:r>
        <w:rPr>
          <w:spacing w:val="-57"/>
        </w:rPr>
        <w:t> </w:t>
      </w:r>
      <w:r>
        <w:rPr>
          <w:spacing w:val="-6"/>
        </w:rPr>
        <w:t>日。转增后，公司总股本为</w:t>
      </w:r>
      <w:r>
        <w:rPr>
          <w:spacing w:val="-57"/>
        </w:rPr>
        <w:t> </w:t>
      </w:r>
      <w:r>
        <w:rPr/>
        <w:t>166,050,000</w:t>
      </w:r>
      <w:r>
        <w:rPr/>
        <w:t> 股，其中已流通股占</w:t>
      </w:r>
      <w:r>
        <w:rPr>
          <w:spacing w:val="-60"/>
        </w:rPr>
        <w:t> </w:t>
      </w:r>
      <w:r>
        <w:rPr/>
        <w:t>37.94%。</w:t>
      </w:r>
    </w:p>
    <w:p>
      <w:pPr>
        <w:spacing w:line="240" w:lineRule="auto" w:before="6"/>
        <w:rPr>
          <w:rFonts w:ascii="宋体" w:hAnsi="宋体" w:cs="宋体" w:eastAsia="宋体" w:hint="default"/>
          <w:sz w:val="21"/>
          <w:szCs w:val="21"/>
        </w:rPr>
      </w:pPr>
    </w:p>
    <w:p>
      <w:pPr>
        <w:pStyle w:val="BodyText"/>
        <w:spacing w:line="312" w:lineRule="exact"/>
        <w:ind w:right="0"/>
        <w:jc w:val="both"/>
      </w:pPr>
      <w:r>
        <w:rPr/>
        <w:t>公司于</w:t>
      </w:r>
      <w:r>
        <w:rPr>
          <w:spacing w:val="-56"/>
        </w:rPr>
        <w:t> </w:t>
      </w:r>
      <w:r>
        <w:rPr/>
        <w:t>1999</w:t>
      </w:r>
      <w:r>
        <w:rPr>
          <w:spacing w:val="-56"/>
        </w:rPr>
        <w:t> </w:t>
      </w:r>
      <w:r>
        <w:rPr/>
        <w:t>年</w:t>
      </w:r>
      <w:r>
        <w:rPr>
          <w:spacing w:val="-56"/>
        </w:rPr>
        <w:t> </w:t>
      </w:r>
      <w:r>
        <w:rPr/>
        <w:t>6</w:t>
      </w:r>
      <w:r>
        <w:rPr>
          <w:spacing w:val="-58"/>
        </w:rPr>
        <w:t> </w:t>
      </w:r>
      <w:r>
        <w:rPr/>
        <w:t>月</w:t>
      </w:r>
      <w:r>
        <w:rPr>
          <w:spacing w:val="-56"/>
        </w:rPr>
        <w:t> </w:t>
      </w:r>
      <w:r>
        <w:rPr/>
        <w:t>24</w:t>
      </w:r>
      <w:r>
        <w:rPr>
          <w:spacing w:val="-56"/>
        </w:rPr>
        <w:t> </w:t>
      </w:r>
      <w:r>
        <w:rPr/>
        <w:t>日公告了向全体股东以每</w:t>
      </w:r>
      <w:r>
        <w:rPr>
          <w:spacing w:val="-56"/>
        </w:rPr>
        <w:t> </w:t>
      </w:r>
      <w:r>
        <w:rPr/>
        <w:t>10</w:t>
      </w:r>
      <w:r>
        <w:rPr>
          <w:spacing w:val="-56"/>
        </w:rPr>
        <w:t> </w:t>
      </w:r>
      <w:r>
        <w:rPr/>
        <w:t>股配</w:t>
      </w:r>
      <w:r>
        <w:rPr>
          <w:spacing w:val="-56"/>
        </w:rPr>
        <w:t> </w:t>
      </w:r>
      <w:r>
        <w:rPr/>
        <w:t>3</w:t>
      </w:r>
      <w:r>
        <w:rPr>
          <w:spacing w:val="-56"/>
        </w:rPr>
        <w:t> </w:t>
      </w:r>
      <w:r>
        <w:rPr/>
        <w:t>股、配股价为每股</w:t>
      </w:r>
      <w:r>
        <w:rPr>
          <w:spacing w:val="-56"/>
        </w:rPr>
        <w:t> </w:t>
      </w:r>
      <w:r>
        <w:rPr/>
        <w:t>20</w:t>
      </w:r>
      <w:r>
        <w:rPr>
          <w:spacing w:val="-56"/>
        </w:rPr>
        <w:t> </w:t>
      </w:r>
      <w:r>
        <w:rPr/>
        <w:t>元的配</w:t>
      </w:r>
    </w:p>
    <w:p>
      <w:pPr>
        <w:pStyle w:val="BodyText"/>
        <w:spacing w:line="312" w:lineRule="exact" w:before="29"/>
        <w:ind w:right="213"/>
        <w:jc w:val="left"/>
      </w:pPr>
      <w:r>
        <w:rPr>
          <w:spacing w:val="-3"/>
        </w:rPr>
        <w:t>股方案。所配股份上市交易日为</w:t>
      </w:r>
      <w:r>
        <w:rPr>
          <w:spacing w:val="-57"/>
        </w:rPr>
        <w:t> </w:t>
      </w:r>
      <w:r>
        <w:rPr>
          <w:spacing w:val="25"/>
        </w:rPr>
        <w:t>1999年8月</w:t>
      </w:r>
      <w:r>
        <w:rPr>
          <w:spacing w:val="-57"/>
        </w:rPr>
        <w:t> </w:t>
      </w:r>
      <w:r>
        <w:rPr/>
        <w:t>10</w:t>
      </w:r>
      <w:r>
        <w:rPr>
          <w:spacing w:val="-57"/>
        </w:rPr>
        <w:t> </w:t>
      </w:r>
      <w:r>
        <w:rPr>
          <w:spacing w:val="-6"/>
        </w:rPr>
        <w:t>日。配股后，公司总股本为</w:t>
      </w:r>
      <w:r>
        <w:rPr>
          <w:spacing w:val="-57"/>
        </w:rPr>
        <w:t> </w:t>
      </w:r>
      <w:r>
        <w:rPr/>
        <w:t>189,800,000</w:t>
      </w:r>
      <w:r>
        <w:rPr/>
        <w:t> 股，其中已流通股占</w:t>
      </w:r>
      <w:r>
        <w:rPr>
          <w:spacing w:val="-60"/>
        </w:rPr>
        <w:t> </w:t>
      </w:r>
      <w:r>
        <w:rPr/>
        <w:t>43.15%。</w:t>
      </w:r>
    </w:p>
    <w:p>
      <w:pPr>
        <w:spacing w:line="240" w:lineRule="auto" w:before="11"/>
        <w:rPr>
          <w:rFonts w:ascii="宋体" w:hAnsi="宋体" w:cs="宋体" w:eastAsia="宋体" w:hint="default"/>
          <w:sz w:val="23"/>
          <w:szCs w:val="23"/>
        </w:rPr>
      </w:pPr>
    </w:p>
    <w:p>
      <w:pPr>
        <w:pStyle w:val="BodyText"/>
        <w:spacing w:line="310" w:lineRule="exact"/>
        <w:ind w:right="206"/>
        <w:jc w:val="left"/>
      </w:pPr>
      <w:r>
        <w:rPr/>
        <w:t>公司于</w:t>
      </w:r>
      <w:r>
        <w:rPr>
          <w:spacing w:val="-56"/>
        </w:rPr>
        <w:t> </w:t>
      </w:r>
      <w:r>
        <w:rPr>
          <w:spacing w:val="29"/>
        </w:rPr>
        <w:t>1999年6月</w:t>
      </w:r>
      <w:r>
        <w:rPr>
          <w:spacing w:val="-56"/>
        </w:rPr>
        <w:t> </w:t>
      </w:r>
      <w:r>
        <w:rPr/>
        <w:t>12</w:t>
      </w:r>
      <w:r>
        <w:rPr>
          <w:spacing w:val="-56"/>
        </w:rPr>
        <w:t> </w:t>
      </w:r>
      <w:r>
        <w:rPr/>
        <w:t>日公告了以每</w:t>
      </w:r>
      <w:r>
        <w:rPr>
          <w:spacing w:val="-56"/>
        </w:rPr>
        <w:t> </w:t>
      </w:r>
      <w:r>
        <w:rPr/>
        <w:t>1.8</w:t>
      </w:r>
      <w:r>
        <w:rPr>
          <w:spacing w:val="-56"/>
        </w:rPr>
        <w:t> </w:t>
      </w:r>
      <w:r>
        <w:rPr/>
        <w:t>股鲁颖电子股份折合</w:t>
      </w:r>
      <w:r>
        <w:rPr>
          <w:spacing w:val="-56"/>
        </w:rPr>
        <w:t> </w:t>
      </w:r>
      <w:r>
        <w:rPr/>
        <w:t>1</w:t>
      </w:r>
      <w:r>
        <w:rPr>
          <w:spacing w:val="-56"/>
        </w:rPr>
        <w:t> </w:t>
      </w:r>
      <w:r>
        <w:rPr/>
        <w:t>股的比例，向鲁颖电子</w:t>
      </w:r>
      <w:r>
        <w:rPr>
          <w:spacing w:val="-1"/>
        </w:rPr>
        <w:t> </w:t>
      </w:r>
      <w:r>
        <w:rPr/>
        <w:t>全体股东定向发行 15,172,328</w:t>
      </w:r>
      <w:r>
        <w:rPr>
          <w:spacing w:val="-40"/>
        </w:rPr>
        <w:t> </w:t>
      </w:r>
      <w:r>
        <w:rPr/>
        <w:t>股,吸收合并山东鲁颖电子股份有限公司(简称鲁颖电子)</w:t>
      </w:r>
    </w:p>
    <w:p>
      <w:pPr>
        <w:pStyle w:val="BodyText"/>
        <w:spacing w:line="282" w:lineRule="exact"/>
        <w:ind w:right="0"/>
        <w:jc w:val="both"/>
      </w:pPr>
      <w:r>
        <w:rPr/>
        <w:t>的合并方案</w:t>
      </w:r>
      <w:r>
        <w:rPr>
          <w:spacing w:val="-120"/>
        </w:rPr>
        <w:t>。</w:t>
      </w:r>
      <w:r>
        <w:rPr>
          <w:spacing w:val="-1"/>
        </w:rPr>
        <w:t>199</w:t>
      </w:r>
      <w:r>
        <w:rPr/>
        <w:t>9</w:t>
      </w:r>
      <w:r>
        <w:rPr>
          <w:spacing w:val="-67"/>
        </w:rPr>
        <w:t> </w:t>
      </w:r>
      <w:r>
        <w:rPr/>
        <w:t>年</w:t>
      </w:r>
      <w:r>
        <w:rPr>
          <w:spacing w:val="-67"/>
        </w:rPr>
        <w:t> </w:t>
      </w:r>
      <w:r>
        <w:rPr/>
        <w:t>8</w:t>
      </w:r>
      <w:r>
        <w:rPr>
          <w:spacing w:val="-68"/>
        </w:rPr>
        <w:t> </w:t>
      </w:r>
      <w:r>
        <w:rPr/>
        <w:t>月</w:t>
      </w:r>
      <w:r>
        <w:rPr>
          <w:spacing w:val="-67"/>
        </w:rPr>
        <w:t> </w:t>
      </w:r>
      <w:r>
        <w:rPr/>
        <w:t>5</w:t>
      </w:r>
      <w:r>
        <w:rPr>
          <w:spacing w:val="-67"/>
        </w:rPr>
        <w:t> </w:t>
      </w:r>
      <w:r>
        <w:rPr>
          <w:spacing w:val="-1"/>
        </w:rPr>
        <w:t>日刊登股份变动公告</w:t>
      </w:r>
      <w:r>
        <w:rPr>
          <w:spacing w:val="-120"/>
        </w:rPr>
        <w:t>。</w:t>
      </w:r>
      <w:r>
        <w:rPr/>
        <w:t>吸收合并后</w:t>
      </w:r>
      <w:r>
        <w:rPr>
          <w:spacing w:val="-120"/>
        </w:rPr>
        <w:t>，</w:t>
      </w:r>
      <w:r>
        <w:rPr/>
        <w:t>公司总股本为</w:t>
      </w:r>
      <w:r>
        <w:rPr>
          <w:spacing w:val="-66"/>
        </w:rPr>
        <w:t> </w:t>
      </w:r>
      <w:r>
        <w:rPr/>
        <w:t>204,972,328</w:t>
      </w:r>
    </w:p>
    <w:p>
      <w:pPr>
        <w:pStyle w:val="BodyText"/>
        <w:spacing w:line="313" w:lineRule="exact"/>
        <w:ind w:right="0"/>
        <w:jc w:val="both"/>
      </w:pPr>
      <w:r>
        <w:rPr/>
        <w:t>股，其中已流通股占</w:t>
      </w:r>
      <w:r>
        <w:rPr>
          <w:spacing w:val="-60"/>
        </w:rPr>
        <w:t> </w:t>
      </w:r>
      <w:r>
        <w:rPr/>
        <w:t>39.95%。</w:t>
      </w:r>
    </w:p>
    <w:p>
      <w:pPr>
        <w:spacing w:line="240" w:lineRule="auto" w:before="11"/>
        <w:rPr>
          <w:rFonts w:ascii="宋体" w:hAnsi="宋体" w:cs="宋体" w:eastAsia="宋体" w:hint="default"/>
          <w:sz w:val="25"/>
          <w:szCs w:val="25"/>
        </w:rPr>
      </w:pPr>
    </w:p>
    <w:p>
      <w:pPr>
        <w:pStyle w:val="BodyText"/>
        <w:spacing w:line="312" w:lineRule="exact"/>
        <w:ind w:right="206"/>
        <w:jc w:val="left"/>
      </w:pPr>
      <w:r>
        <w:rPr/>
        <w:t>公司于</w:t>
      </w:r>
      <w:r>
        <w:rPr>
          <w:spacing w:val="-56"/>
        </w:rPr>
        <w:t> </w:t>
      </w:r>
      <w:r>
        <w:rPr>
          <w:spacing w:val="32"/>
        </w:rPr>
        <w:t>1999年9月9</w:t>
      </w:r>
      <w:r>
        <w:rPr>
          <w:spacing w:val="-54"/>
        </w:rPr>
        <w:t> </w:t>
      </w:r>
      <w:r>
        <w:rPr/>
        <w:t>日公告了向全体股东以每</w:t>
      </w:r>
      <w:r>
        <w:rPr>
          <w:spacing w:val="-56"/>
        </w:rPr>
        <w:t> </w:t>
      </w:r>
      <w:r>
        <w:rPr/>
        <w:t>10</w:t>
      </w:r>
      <w:r>
        <w:rPr>
          <w:spacing w:val="-56"/>
        </w:rPr>
        <w:t> </w:t>
      </w:r>
      <w:r>
        <w:rPr/>
        <w:t>股送</w:t>
      </w:r>
      <w:r>
        <w:rPr>
          <w:spacing w:val="-54"/>
        </w:rPr>
        <w:t> </w:t>
      </w:r>
      <w:r>
        <w:rPr/>
        <w:t>3</w:t>
      </w:r>
      <w:r>
        <w:rPr>
          <w:spacing w:val="-56"/>
        </w:rPr>
        <w:t> </w:t>
      </w:r>
      <w:r>
        <w:rPr/>
        <w:t>股(按截至</w:t>
      </w:r>
      <w:r>
        <w:rPr>
          <w:spacing w:val="-56"/>
        </w:rPr>
        <w:t> </w:t>
      </w:r>
      <w:r>
        <w:rPr/>
        <w:t>1999</w:t>
      </w:r>
      <w:r>
        <w:rPr>
          <w:spacing w:val="-56"/>
        </w:rPr>
        <w:t> </w:t>
      </w:r>
      <w:r>
        <w:rPr/>
        <w:t>年</w:t>
      </w:r>
      <w:r>
        <w:rPr>
          <w:spacing w:val="-54"/>
        </w:rPr>
        <w:t> </w:t>
      </w:r>
      <w:r>
        <w:rPr>
          <w:spacing w:val="42"/>
        </w:rPr>
        <w:t>9月9</w:t>
      </w:r>
      <w:r>
        <w:rPr>
          <w:spacing w:val="-56"/>
        </w:rPr>
        <w:t> </w:t>
      </w:r>
      <w:r>
        <w:rPr/>
        <w:t>日股</w:t>
      </w:r>
      <w:r>
        <w:rPr/>
        <w:t> 本总数</w:t>
      </w:r>
      <w:r>
        <w:rPr>
          <w:spacing w:val="-40"/>
        </w:rPr>
        <w:t> </w:t>
      </w:r>
      <w:r>
        <w:rPr/>
        <w:t>204,972,328</w:t>
      </w:r>
      <w:r>
        <w:rPr>
          <w:spacing w:val="-40"/>
        </w:rPr>
        <w:t> </w:t>
      </w:r>
      <w:r>
        <w:rPr/>
        <w:t>股为基数，折算的送股比例为每</w:t>
      </w:r>
      <w:r>
        <w:rPr>
          <w:spacing w:val="-40"/>
        </w:rPr>
        <w:t> </w:t>
      </w:r>
      <w:r>
        <w:rPr/>
        <w:t>10</w:t>
      </w:r>
      <w:r>
        <w:rPr>
          <w:spacing w:val="-40"/>
        </w:rPr>
        <w:t> </w:t>
      </w:r>
      <w:r>
        <w:rPr/>
        <w:t>股派送红股</w:t>
      </w:r>
      <w:r>
        <w:rPr>
          <w:spacing w:val="-40"/>
        </w:rPr>
        <w:t> </w:t>
      </w:r>
      <w:r>
        <w:rPr/>
        <w:t>2.6524</w:t>
      </w:r>
      <w:r>
        <w:rPr>
          <w:spacing w:val="-40"/>
        </w:rPr>
        <w:t> </w:t>
      </w:r>
      <w:r>
        <w:rPr/>
        <w:t>股)的</w:t>
      </w:r>
      <w:r>
        <w:rPr>
          <w:spacing w:val="-40"/>
        </w:rPr>
        <w:t> </w:t>
      </w:r>
      <w:r>
        <w:rPr/>
        <w:t>1998</w:t>
      </w:r>
    </w:p>
    <w:p>
      <w:pPr>
        <w:pStyle w:val="BodyText"/>
        <w:spacing w:line="281" w:lineRule="exact"/>
        <w:ind w:right="0"/>
        <w:jc w:val="both"/>
      </w:pPr>
      <w:r>
        <w:rPr/>
        <w:t>年利润分配方案。所送股份上市交易日为 1999 年 9 月 14</w:t>
      </w:r>
      <w:r>
        <w:rPr>
          <w:spacing w:val="-40"/>
        </w:rPr>
        <w:t> </w:t>
      </w:r>
      <w:r>
        <w:rPr/>
        <w:t>日。送股后，公司总股本为</w:t>
      </w:r>
    </w:p>
    <w:p>
      <w:pPr>
        <w:pStyle w:val="BodyText"/>
        <w:spacing w:line="313" w:lineRule="exact"/>
        <w:ind w:right="0"/>
        <w:jc w:val="both"/>
      </w:pPr>
      <w:r>
        <w:rPr/>
        <w:t>259,339,024</w:t>
      </w:r>
      <w:r>
        <w:rPr>
          <w:spacing w:val="-60"/>
        </w:rPr>
        <w:t> </w:t>
      </w:r>
      <w:r>
        <w:rPr/>
        <w:t>股，其中已流通股占</w:t>
      </w:r>
      <w:r>
        <w:rPr>
          <w:spacing w:val="-60"/>
        </w:rPr>
        <w:t> </w:t>
      </w:r>
      <w:r>
        <w:rPr/>
        <w:t>39.95%。</w:t>
      </w:r>
    </w:p>
    <w:p>
      <w:pPr>
        <w:spacing w:line="240" w:lineRule="auto" w:before="9"/>
        <w:rPr>
          <w:rFonts w:ascii="宋体" w:hAnsi="宋体" w:cs="宋体" w:eastAsia="宋体" w:hint="default"/>
          <w:sz w:val="23"/>
          <w:szCs w:val="23"/>
        </w:rPr>
      </w:pPr>
    </w:p>
    <w:p>
      <w:pPr>
        <w:pStyle w:val="BodyText"/>
        <w:spacing w:line="237" w:lineRule="auto"/>
        <w:ind w:right="222"/>
        <w:jc w:val="both"/>
      </w:pPr>
      <w:r>
        <w:rPr/>
        <w:t>公司于</w:t>
      </w:r>
      <w:r>
        <w:rPr>
          <w:spacing w:val="-68"/>
        </w:rPr>
        <w:t> </w:t>
      </w:r>
      <w:r>
        <w:rPr>
          <w:spacing w:val="24"/>
        </w:rPr>
        <w:t>2000年5月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4</w:t>
      </w:r>
      <w:r>
        <w:rPr>
          <w:spacing w:val="-68"/>
        </w:rPr>
        <w:t> </w:t>
      </w:r>
      <w:r>
        <w:rPr/>
        <w:t>股的资本公积金转增股本方</w:t>
      </w:r>
      <w:r>
        <w:rPr>
          <w:spacing w:val="-1"/>
        </w:rPr>
        <w:t> </w:t>
      </w:r>
      <w:r>
        <w:rPr/>
        <w:t>案。所转增股份上市交易日为</w:t>
      </w:r>
      <w:r>
        <w:rPr>
          <w:spacing w:val="-40"/>
        </w:rPr>
        <w:t> </w:t>
      </w:r>
      <w:r>
        <w:rPr>
          <w:spacing w:val="34"/>
        </w:rPr>
        <w:t>2000年5月</w:t>
      </w:r>
      <w:r>
        <w:rPr>
          <w:spacing w:val="-40"/>
        </w:rPr>
        <w:t> </w:t>
      </w:r>
      <w:r>
        <w:rPr/>
        <w:t>19</w:t>
      </w:r>
      <w:r>
        <w:rPr>
          <w:spacing w:val="-40"/>
        </w:rPr>
        <w:t> </w:t>
      </w:r>
      <w:r>
        <w:rPr/>
        <w:t>日。转增后，公司总股本为</w:t>
      </w:r>
      <w:r>
        <w:rPr>
          <w:spacing w:val="-40"/>
        </w:rPr>
        <w:t> </w:t>
      </w:r>
      <w:r>
        <w:rPr/>
        <w:t>363,074,634</w:t>
      </w:r>
      <w:r>
        <w:rPr/>
        <w:t> 股，其中已流通股占</w:t>
      </w:r>
      <w:r>
        <w:rPr>
          <w:spacing w:val="-60"/>
        </w:rPr>
        <w:t> </w:t>
      </w:r>
      <w:r>
        <w:rPr/>
        <w:t>39.95%。</w:t>
      </w:r>
    </w:p>
    <w:p>
      <w:pPr>
        <w:spacing w:line="240" w:lineRule="auto" w:before="8"/>
        <w:rPr>
          <w:rFonts w:ascii="宋体" w:hAnsi="宋体" w:cs="宋体" w:eastAsia="宋体" w:hint="default"/>
          <w:sz w:val="23"/>
          <w:szCs w:val="23"/>
        </w:rPr>
      </w:pPr>
    </w:p>
    <w:p>
      <w:pPr>
        <w:pStyle w:val="BodyText"/>
        <w:spacing w:line="312" w:lineRule="exact"/>
        <w:ind w:right="0"/>
        <w:jc w:val="both"/>
      </w:pPr>
      <w:r>
        <w:rPr/>
        <w:t>公司于</w:t>
      </w:r>
      <w:r>
        <w:rPr>
          <w:spacing w:val="-60"/>
        </w:rPr>
        <w:t> </w:t>
      </w:r>
      <w:r>
        <w:rPr/>
        <w:t>2000</w:t>
      </w:r>
      <w:r>
        <w:rPr>
          <w:spacing w:val="-60"/>
        </w:rPr>
        <w:t> </w:t>
      </w:r>
      <w:r>
        <w:rPr/>
        <w:t>年</w:t>
      </w:r>
      <w:r>
        <w:rPr>
          <w:spacing w:val="-60"/>
        </w:rPr>
        <w:t> </w:t>
      </w:r>
      <w:r>
        <w:rPr/>
        <w:t>12</w:t>
      </w:r>
      <w:r>
        <w:rPr>
          <w:spacing w:val="-60"/>
        </w:rPr>
        <w:t> </w:t>
      </w:r>
      <w:r>
        <w:rPr/>
        <w:t>月</w:t>
      </w:r>
      <w:r>
        <w:rPr>
          <w:spacing w:val="-60"/>
        </w:rPr>
        <w:t> </w:t>
      </w:r>
      <w:r>
        <w:rPr/>
        <w:t>4</w:t>
      </w:r>
      <w:r>
        <w:rPr>
          <w:spacing w:val="-60"/>
        </w:rPr>
        <w:t> </w:t>
      </w:r>
      <w:r>
        <w:rPr/>
        <w:t>日公告了向机构投资者和老股东增发</w:t>
      </w:r>
      <w:r>
        <w:rPr>
          <w:spacing w:val="-60"/>
        </w:rPr>
        <w:t> </w:t>
      </w:r>
      <w:r>
        <w:rPr/>
        <w:t>20,000,000</w:t>
      </w:r>
      <w:r>
        <w:rPr>
          <w:spacing w:val="-60"/>
        </w:rPr>
        <w:t> </w:t>
      </w:r>
      <w:r>
        <w:rPr>
          <w:spacing w:val="-6"/>
        </w:rPr>
        <w:t>股、发行价格为</w:t>
      </w:r>
    </w:p>
    <w:p>
      <w:pPr>
        <w:pStyle w:val="BodyText"/>
        <w:spacing w:line="312" w:lineRule="exact" w:before="29"/>
        <w:ind w:right="213"/>
        <w:jc w:val="left"/>
      </w:pPr>
      <w:r>
        <w:rPr/>
        <w:t>每股</w:t>
      </w:r>
      <w:r>
        <w:rPr>
          <w:spacing w:val="-51"/>
        </w:rPr>
        <w:t> </w:t>
      </w:r>
      <w:r>
        <w:rPr/>
        <w:t>46</w:t>
      </w:r>
      <w:r>
        <w:rPr>
          <w:spacing w:val="-51"/>
        </w:rPr>
        <w:t> </w:t>
      </w:r>
      <w:r>
        <w:rPr/>
        <w:t>元的增发方案。所增发股份上市交易日为</w:t>
      </w:r>
      <w:r>
        <w:rPr>
          <w:spacing w:val="-51"/>
        </w:rPr>
        <w:t> </w:t>
      </w:r>
      <w:r>
        <w:rPr/>
        <w:t>2000</w:t>
      </w:r>
      <w:r>
        <w:rPr>
          <w:spacing w:val="-50"/>
        </w:rPr>
        <w:t> </w:t>
      </w:r>
      <w:r>
        <w:rPr/>
        <w:t>年</w:t>
      </w:r>
      <w:r>
        <w:rPr>
          <w:spacing w:val="-51"/>
        </w:rPr>
        <w:t> </w:t>
      </w:r>
      <w:r>
        <w:rPr/>
        <w:t>12</w:t>
      </w:r>
      <w:r>
        <w:rPr>
          <w:spacing w:val="-51"/>
        </w:rPr>
        <w:t> </w:t>
      </w:r>
      <w:r>
        <w:rPr/>
        <w:t>月</w:t>
      </w:r>
      <w:r>
        <w:rPr>
          <w:spacing w:val="-51"/>
        </w:rPr>
        <w:t> </w:t>
      </w:r>
      <w:r>
        <w:rPr/>
        <w:t>27</w:t>
      </w:r>
      <w:r>
        <w:rPr>
          <w:spacing w:val="-51"/>
        </w:rPr>
        <w:t> </w:t>
      </w:r>
      <w:r>
        <w:rPr/>
        <w:t>日。增发后，公司总</w:t>
      </w:r>
      <w:r>
        <w:rPr/>
        <w:t> 股本为</w:t>
      </w:r>
      <w:r>
        <w:rPr>
          <w:spacing w:val="-60"/>
        </w:rPr>
        <w:t> </w:t>
      </w:r>
      <w:r>
        <w:rPr/>
        <w:t>383,074,634</w:t>
      </w:r>
      <w:r>
        <w:rPr>
          <w:spacing w:val="-60"/>
        </w:rPr>
        <w:t> </w:t>
      </w:r>
      <w:r>
        <w:rPr/>
        <w:t>股，其中已流通股占</w:t>
      </w:r>
      <w:r>
        <w:rPr>
          <w:spacing w:val="-60"/>
        </w:rPr>
        <w:t> </w:t>
      </w:r>
      <w:r>
        <w:rPr/>
        <w:t>42.19%。</w:t>
      </w:r>
    </w:p>
    <w:p>
      <w:pPr>
        <w:spacing w:line="240" w:lineRule="auto" w:before="4"/>
        <w:rPr>
          <w:rFonts w:ascii="宋体" w:hAnsi="宋体" w:cs="宋体" w:eastAsia="宋体" w:hint="default"/>
          <w:sz w:val="21"/>
          <w:szCs w:val="21"/>
        </w:rPr>
      </w:pPr>
    </w:p>
    <w:p>
      <w:pPr>
        <w:pStyle w:val="BodyText"/>
        <w:spacing w:line="313" w:lineRule="exact"/>
        <w:ind w:right="0"/>
        <w:jc w:val="both"/>
      </w:pPr>
      <w:r>
        <w:rPr/>
        <w:t>公司于</w:t>
      </w:r>
      <w:r>
        <w:rPr>
          <w:spacing w:val="-65"/>
        </w:rPr>
        <w:t> </w:t>
      </w:r>
      <w:r>
        <w:rPr/>
        <w:t>2001</w:t>
      </w:r>
      <w:r>
        <w:rPr>
          <w:spacing w:val="-65"/>
        </w:rPr>
        <w:t> </w:t>
      </w:r>
      <w:r>
        <w:rPr/>
        <w:t>年</w:t>
      </w:r>
      <w:r>
        <w:rPr>
          <w:spacing w:val="-65"/>
        </w:rPr>
        <w:t> </w:t>
      </w:r>
      <w:r>
        <w:rPr/>
        <w:t>5</w:t>
      </w:r>
      <w:r>
        <w:rPr>
          <w:spacing w:val="-65"/>
        </w:rPr>
        <w:t> </w:t>
      </w:r>
      <w:r>
        <w:rPr/>
        <w:t>月</w:t>
      </w:r>
      <w:r>
        <w:rPr>
          <w:spacing w:val="-66"/>
        </w:rPr>
        <w:t> </w:t>
      </w:r>
      <w:r>
        <w:rPr/>
        <w:t>9</w:t>
      </w:r>
      <w:r>
        <w:rPr>
          <w:spacing w:val="-66"/>
        </w:rPr>
        <w:t> </w:t>
      </w:r>
      <w:r>
        <w:rPr/>
        <w:t>日公告了向全体股东以每</w:t>
      </w:r>
      <w:r>
        <w:rPr>
          <w:spacing w:val="-65"/>
        </w:rPr>
        <w:t> </w:t>
      </w:r>
      <w:r>
        <w:rPr/>
        <w:t>10</w:t>
      </w:r>
      <w:r>
        <w:rPr>
          <w:spacing w:val="-65"/>
        </w:rPr>
        <w:t> </w:t>
      </w:r>
      <w:r>
        <w:rPr/>
        <w:t>股转增</w:t>
      </w:r>
      <w:r>
        <w:rPr>
          <w:spacing w:val="-65"/>
        </w:rPr>
        <w:t> </w:t>
      </w:r>
      <w:r>
        <w:rPr/>
        <w:t>5</w:t>
      </w:r>
      <w:r>
        <w:rPr>
          <w:spacing w:val="-65"/>
        </w:rPr>
        <w:t> </w:t>
      </w:r>
      <w:r>
        <w:rPr/>
        <w:t>股和每</w:t>
      </w:r>
      <w:r>
        <w:rPr>
          <w:spacing w:val="-65"/>
        </w:rPr>
        <w:t> </w:t>
      </w:r>
      <w:r>
        <w:rPr/>
        <w:t>10</w:t>
      </w:r>
      <w:r>
        <w:rPr>
          <w:spacing w:val="-65"/>
        </w:rPr>
        <w:t> </w:t>
      </w:r>
      <w:r>
        <w:rPr/>
        <w:t>股派发</w:t>
      </w:r>
      <w:r>
        <w:rPr>
          <w:spacing w:val="-65"/>
        </w:rPr>
        <w:t> </w:t>
      </w:r>
      <w:r>
        <w:rPr/>
        <w:t>1</w:t>
      </w:r>
      <w:r>
        <w:rPr>
          <w:spacing w:val="-65"/>
        </w:rPr>
        <w:t> </w:t>
      </w:r>
      <w:r>
        <w:rPr/>
        <w:t>元的资本</w:t>
      </w:r>
    </w:p>
    <w:p>
      <w:pPr>
        <w:pStyle w:val="BodyText"/>
        <w:spacing w:line="310" w:lineRule="exact" w:before="31"/>
        <w:ind w:right="207"/>
        <w:jc w:val="left"/>
      </w:pPr>
      <w:r>
        <w:rPr/>
        <w:t>公积金转增股本及派发红利的分配方案。所转增股份上市交易日为</w:t>
      </w:r>
      <w:r>
        <w:rPr>
          <w:spacing w:val="-47"/>
        </w:rPr>
        <w:t> </w:t>
      </w:r>
      <w:r>
        <w:rPr/>
        <w:t>2001</w:t>
      </w:r>
      <w:r>
        <w:rPr>
          <w:spacing w:val="-47"/>
        </w:rPr>
        <w:t> </w:t>
      </w:r>
      <w:r>
        <w:rPr/>
        <w:t>年</w:t>
      </w:r>
      <w:r>
        <w:rPr>
          <w:spacing w:val="-47"/>
        </w:rPr>
        <w:t> </w:t>
      </w:r>
      <w:r>
        <w:rPr/>
        <w:t>5</w:t>
      </w:r>
      <w:r>
        <w:rPr>
          <w:spacing w:val="-46"/>
        </w:rPr>
        <w:t> </w:t>
      </w:r>
      <w:r>
        <w:rPr/>
        <w:t>月</w:t>
      </w:r>
      <w:r>
        <w:rPr>
          <w:spacing w:val="-47"/>
        </w:rPr>
        <w:t> </w:t>
      </w:r>
      <w:r>
        <w:rPr/>
        <w:t>16</w:t>
      </w:r>
      <w:r>
        <w:rPr>
          <w:spacing w:val="-47"/>
        </w:rPr>
        <w:t> </w:t>
      </w:r>
      <w:r>
        <w:rPr/>
        <w:t>日。</w:t>
      </w:r>
      <w:r>
        <w:rPr/>
        <w:t> 转增后，公司总股本为</w:t>
      </w:r>
      <w:r>
        <w:rPr>
          <w:spacing w:val="-60"/>
        </w:rPr>
        <w:t> </w:t>
      </w:r>
      <w:r>
        <w:rPr/>
        <w:t>574,611,951</w:t>
      </w:r>
      <w:r>
        <w:rPr>
          <w:spacing w:val="-60"/>
        </w:rPr>
        <w:t> </w:t>
      </w:r>
      <w:r>
        <w:rPr/>
        <w:t>股，其中已流通股占</w:t>
      </w:r>
      <w:r>
        <w:rPr>
          <w:spacing w:val="-60"/>
        </w:rPr>
        <w:t> </w:t>
      </w:r>
      <w:r>
        <w:rPr/>
        <w:t>43.09%。</w:t>
      </w:r>
    </w:p>
    <w:p>
      <w:pPr>
        <w:spacing w:line="240" w:lineRule="auto" w:before="8"/>
        <w:rPr>
          <w:rFonts w:ascii="宋体" w:hAnsi="宋体" w:cs="宋体" w:eastAsia="宋体" w:hint="default"/>
          <w:sz w:val="21"/>
          <w:szCs w:val="21"/>
        </w:rPr>
      </w:pPr>
    </w:p>
    <w:p>
      <w:pPr>
        <w:pStyle w:val="BodyText"/>
        <w:spacing w:line="237" w:lineRule="auto"/>
        <w:ind w:right="86"/>
        <w:jc w:val="left"/>
      </w:pPr>
      <w:r>
        <w:rPr/>
        <w:t>公司于</w:t>
      </w:r>
      <w:r>
        <w:rPr>
          <w:spacing w:val="-56"/>
        </w:rPr>
        <w:t> </w:t>
      </w:r>
      <w:r>
        <w:rPr>
          <w:spacing w:val="25"/>
        </w:rPr>
        <w:t>2001年6月</w:t>
      </w:r>
      <w:r>
        <w:rPr>
          <w:spacing w:val="-56"/>
        </w:rPr>
        <w:t> </w:t>
      </w:r>
      <w:r>
        <w:rPr/>
        <w:t>28</w:t>
      </w:r>
      <w:r>
        <w:rPr>
          <w:spacing w:val="-56"/>
        </w:rPr>
        <w:t> </w:t>
      </w:r>
      <w:r>
        <w:rPr>
          <w:spacing w:val="-3"/>
        </w:rPr>
        <w:t>日刊登公告，根据中国证券登记结算有限公司上海分公司(原上海</w:t>
      </w:r>
      <w:r>
        <w:rPr>
          <w:spacing w:val="-109"/>
        </w:rPr>
        <w:t> </w:t>
      </w:r>
      <w:r>
        <w:rPr>
          <w:spacing w:val="-109"/>
        </w:rPr>
      </w:r>
      <w:r>
        <w:rPr/>
        <w:t>证券中央登记结算公司)出具的关于清华同方(上证登股[2001</w:t>
      </w:r>
      <w:r>
        <w:rPr>
          <w:spacing w:val="-80"/>
        </w:rPr>
        <w:t> </w:t>
      </w:r>
      <w:r>
        <w:rPr/>
        <w:t>查]0060</w:t>
      </w:r>
      <w:r>
        <w:rPr>
          <w:spacing w:val="-80"/>
        </w:rPr>
        <w:t> </w:t>
      </w:r>
      <w:r>
        <w:rPr/>
        <w:t>号)股本结构证明，</w:t>
      </w:r>
      <w:r>
        <w:rPr/>
        <w:t> 公司股本总数由于送配股尾数四舍五入进位所致，由 574,611,951 股转至</w:t>
      </w:r>
      <w:r>
        <w:rPr>
          <w:spacing w:val="-42"/>
        </w:rPr>
        <w:t> </w:t>
      </w:r>
      <w:r>
        <w:rPr/>
        <w:t>574,612,295</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both"/>
      </w:pPr>
      <w:r>
        <w:rPr/>
        <w:t>股，其中已流通股仍占</w:t>
      </w:r>
      <w:r>
        <w:rPr>
          <w:spacing w:val="-60"/>
        </w:rPr>
        <w:t> </w:t>
      </w:r>
      <w:r>
        <w:rPr/>
        <w:t>43.09%。</w:t>
      </w:r>
    </w:p>
    <w:p>
      <w:pPr>
        <w:spacing w:line="240" w:lineRule="auto" w:before="11"/>
        <w:rPr>
          <w:rFonts w:ascii="宋体" w:hAnsi="宋体" w:cs="宋体" w:eastAsia="宋体" w:hint="default"/>
          <w:sz w:val="25"/>
          <w:szCs w:val="25"/>
        </w:rPr>
      </w:pPr>
    </w:p>
    <w:p>
      <w:pPr>
        <w:pStyle w:val="BodyText"/>
        <w:spacing w:line="312" w:lineRule="exact"/>
        <w:ind w:left="238" w:right="823"/>
        <w:jc w:val="both"/>
      </w:pPr>
      <w:r>
        <w:rPr/>
        <w:t>公司于</w:t>
      </w:r>
      <w:r>
        <w:rPr>
          <w:spacing w:val="-47"/>
        </w:rPr>
        <w:t> </w:t>
      </w:r>
      <w:r>
        <w:rPr>
          <w:spacing w:val="31"/>
        </w:rPr>
        <w:t>2002年7月</w:t>
      </w:r>
      <w:r>
        <w:rPr>
          <w:spacing w:val="-47"/>
        </w:rPr>
        <w:t> </w:t>
      </w:r>
      <w:r>
        <w:rPr/>
        <w:t>31</w:t>
      </w:r>
      <w:r>
        <w:rPr>
          <w:spacing w:val="-47"/>
        </w:rPr>
        <w:t> </w:t>
      </w:r>
      <w:r>
        <w:rPr/>
        <w:t>日刊登公告，根据有关柜台交易公司内部职工股期满三年后上市</w:t>
      </w:r>
      <w:r>
        <w:rPr/>
        <w:t> </w:t>
      </w:r>
      <w:r>
        <w:rPr>
          <w:spacing w:val="-6"/>
        </w:rPr>
        <w:t>流通的规定，公司在</w:t>
      </w:r>
      <w:r>
        <w:rPr>
          <w:spacing w:val="-72"/>
        </w:rPr>
        <w:t> </w:t>
      </w:r>
      <w:r>
        <w:rPr/>
        <w:t>1999</w:t>
      </w:r>
      <w:r>
        <w:rPr>
          <w:spacing w:val="-72"/>
        </w:rPr>
        <w:t> </w:t>
      </w:r>
      <w:r>
        <w:rPr/>
        <w:t>年吸收合并山东鲁颖电子股份有限公司所形成的柜台交易公司</w:t>
      </w:r>
    </w:p>
    <w:p>
      <w:pPr>
        <w:pStyle w:val="BodyText"/>
        <w:spacing w:line="282" w:lineRule="exact"/>
        <w:ind w:left="238" w:right="0"/>
        <w:jc w:val="both"/>
      </w:pPr>
      <w:r>
        <w:rPr>
          <w:spacing w:val="-7"/>
        </w:rPr>
        <w:t>内部职工股，共计</w:t>
      </w:r>
      <w:r>
        <w:rPr>
          <w:spacing w:val="-58"/>
        </w:rPr>
        <w:t> </w:t>
      </w:r>
      <w:r>
        <w:rPr/>
        <w:t>25,421,906</w:t>
      </w:r>
      <w:r>
        <w:rPr>
          <w:spacing w:val="-58"/>
        </w:rPr>
        <w:t> </w:t>
      </w:r>
      <w:r>
        <w:rPr/>
        <w:t>股于</w:t>
      </w:r>
      <w:r>
        <w:rPr>
          <w:spacing w:val="-58"/>
        </w:rPr>
        <w:t> </w:t>
      </w:r>
      <w:r>
        <w:rPr/>
        <w:t>2002</w:t>
      </w:r>
      <w:r>
        <w:rPr>
          <w:spacing w:val="-58"/>
        </w:rPr>
        <w:t> </w:t>
      </w:r>
      <w:r>
        <w:rPr/>
        <w:t>年</w:t>
      </w:r>
      <w:r>
        <w:rPr>
          <w:spacing w:val="-58"/>
        </w:rPr>
        <w:t> </w:t>
      </w:r>
      <w:r>
        <w:rPr/>
        <w:t>8</w:t>
      </w:r>
      <w:r>
        <w:rPr>
          <w:spacing w:val="-58"/>
        </w:rPr>
        <w:t> </w:t>
      </w:r>
      <w:r>
        <w:rPr>
          <w:spacing w:val="-4"/>
        </w:rPr>
        <w:t>月上市流通，上市后公司流通股占</w:t>
      </w:r>
      <w:r>
        <w:rPr>
          <w:spacing w:val="-58"/>
        </w:rPr>
        <w:t> </w:t>
      </w:r>
      <w:r>
        <w:rPr/>
        <w:t>47.52%。</w:t>
      </w:r>
    </w:p>
    <w:p>
      <w:pPr>
        <w:spacing w:line="240" w:lineRule="auto" w:before="1"/>
        <w:rPr>
          <w:rFonts w:ascii="宋体" w:hAnsi="宋体" w:cs="宋体" w:eastAsia="宋体" w:hint="default"/>
          <w:sz w:val="26"/>
          <w:szCs w:val="26"/>
        </w:rPr>
      </w:pPr>
    </w:p>
    <w:p>
      <w:pPr>
        <w:pStyle w:val="BodyText"/>
        <w:spacing w:line="310" w:lineRule="exact"/>
        <w:ind w:left="238" w:right="823"/>
        <w:jc w:val="both"/>
      </w:pPr>
      <w:r>
        <w:rPr/>
        <w:t>公司于</w:t>
      </w:r>
      <w:r>
        <w:rPr>
          <w:spacing w:val="-47"/>
        </w:rPr>
        <w:t> </w:t>
      </w:r>
      <w:r>
        <w:rPr>
          <w:spacing w:val="31"/>
        </w:rPr>
        <w:t>2006年2月</w:t>
      </w:r>
      <w:r>
        <w:rPr>
          <w:spacing w:val="-47"/>
        </w:rPr>
        <w:t> </w:t>
      </w:r>
      <w:r>
        <w:rPr/>
        <w:t>10</w:t>
      </w:r>
      <w:r>
        <w:rPr>
          <w:spacing w:val="-47"/>
        </w:rPr>
        <w:t> </w:t>
      </w:r>
      <w:r>
        <w:rPr/>
        <w:t>日实施股权分置改革。根据股权分置改革方案，非流通股股东向</w:t>
      </w:r>
      <w:r>
        <w:rPr/>
        <w:t> 流通股股东支付</w:t>
      </w:r>
      <w:r>
        <w:rPr>
          <w:spacing w:val="-70"/>
        </w:rPr>
        <w:t> </w:t>
      </w:r>
      <w:r>
        <w:rPr/>
        <w:t>103,751,603</w:t>
      </w:r>
      <w:r>
        <w:rPr>
          <w:spacing w:val="-70"/>
        </w:rPr>
        <w:t> </w:t>
      </w:r>
      <w:r>
        <w:rPr/>
        <w:t>股，即方案实施股权登记日在册的流通股股东每</w:t>
      </w:r>
      <w:r>
        <w:rPr>
          <w:spacing w:val="-70"/>
        </w:rPr>
        <w:t> </w:t>
      </w:r>
      <w:r>
        <w:rPr/>
        <w:t>10</w:t>
      </w:r>
      <w:r>
        <w:rPr>
          <w:spacing w:val="-70"/>
        </w:rPr>
        <w:t> </w:t>
      </w:r>
      <w:r>
        <w:rPr/>
        <w:t>股获得</w:t>
      </w:r>
    </w:p>
    <w:p>
      <w:pPr>
        <w:pStyle w:val="BodyText"/>
        <w:spacing w:line="310" w:lineRule="exact" w:before="2"/>
        <w:ind w:left="238" w:right="823"/>
        <w:jc w:val="both"/>
      </w:pPr>
      <w:r>
        <w:rPr/>
        <w:t>3.8</w:t>
      </w:r>
      <w:r>
        <w:rPr>
          <w:spacing w:val="-62"/>
        </w:rPr>
        <w:t> </w:t>
      </w:r>
      <w:r>
        <w:rPr>
          <w:spacing w:val="-4"/>
        </w:rPr>
        <w:t>股。股权分置改革完成后，公司有限售条件的流通股为</w:t>
      </w:r>
      <w:r>
        <w:rPr>
          <w:spacing w:val="-62"/>
        </w:rPr>
        <w:t> </w:t>
      </w:r>
      <w:r>
        <w:rPr/>
        <w:t>197,830,159</w:t>
      </w:r>
      <w:r>
        <w:rPr>
          <w:spacing w:val="-62"/>
        </w:rPr>
        <w:t> </w:t>
      </w:r>
      <w:r>
        <w:rPr>
          <w:spacing w:val="-6"/>
        </w:rPr>
        <w:t>股，占公司股本</w:t>
      </w:r>
      <w:r>
        <w:rPr>
          <w:spacing w:val="-1"/>
        </w:rPr>
        <w:t> </w:t>
      </w:r>
      <w:r>
        <w:rPr/>
        <w:t>的</w:t>
      </w:r>
      <w:r>
        <w:rPr>
          <w:spacing w:val="-40"/>
        </w:rPr>
        <w:t> </w:t>
      </w:r>
      <w:r>
        <w:rPr/>
        <w:t>34.43%，其中清华控股有限公司持有的公司股份在三十六个月内不通过上海证券交易</w:t>
      </w:r>
      <w:r>
        <w:rPr/>
        <w:t> 所以竞价方式出售。</w:t>
      </w:r>
    </w:p>
    <w:p>
      <w:pPr>
        <w:spacing w:line="240" w:lineRule="auto" w:before="6"/>
        <w:rPr>
          <w:rFonts w:ascii="宋体" w:hAnsi="宋体" w:cs="宋体" w:eastAsia="宋体" w:hint="default"/>
          <w:sz w:val="21"/>
          <w:szCs w:val="21"/>
        </w:rPr>
      </w:pPr>
    </w:p>
    <w:p>
      <w:pPr>
        <w:pStyle w:val="BodyText"/>
        <w:spacing w:line="312" w:lineRule="exact"/>
        <w:ind w:left="238" w:right="0"/>
        <w:jc w:val="both"/>
      </w:pPr>
      <w:r>
        <w:rPr/>
        <w:t>公司于</w:t>
      </w:r>
      <w:r>
        <w:rPr>
          <w:spacing w:val="-45"/>
        </w:rPr>
        <w:t> </w:t>
      </w:r>
      <w:r>
        <w:rPr>
          <w:spacing w:val="37"/>
        </w:rPr>
        <w:t>2007年8月3</w:t>
      </w:r>
      <w:r>
        <w:rPr>
          <w:spacing w:val="-45"/>
        </w:rPr>
        <w:t> </w:t>
      </w:r>
      <w:r>
        <w:rPr/>
        <w:t>日刊登公告，实施向</w:t>
      </w:r>
      <w:r>
        <w:rPr>
          <w:spacing w:val="-45"/>
        </w:rPr>
        <w:t> </w:t>
      </w:r>
      <w:r>
        <w:rPr/>
        <w:t>10</w:t>
      </w:r>
      <w:r>
        <w:rPr>
          <w:spacing w:val="-45"/>
        </w:rPr>
        <w:t> </w:t>
      </w:r>
      <w:r>
        <w:rPr/>
        <w:t>名特定对象以非公开发行方式发行</w:t>
      </w:r>
      <w:r>
        <w:rPr>
          <w:spacing w:val="-45"/>
        </w:rPr>
        <w:t> </w:t>
      </w:r>
      <w:r>
        <w:rPr/>
        <w:t>5,400</w:t>
      </w:r>
    </w:p>
    <w:p>
      <w:pPr>
        <w:pStyle w:val="BodyText"/>
        <w:spacing w:line="311" w:lineRule="exact"/>
        <w:ind w:left="238" w:right="0"/>
        <w:jc w:val="both"/>
      </w:pPr>
      <w:r>
        <w:rPr/>
        <w:t>万股的增发方案，所增发股份上市流通日为 </w:t>
      </w:r>
      <w:r>
        <w:rPr>
          <w:spacing w:val="46"/>
        </w:rPr>
        <w:t>2008年8月1</w:t>
      </w:r>
      <w:r>
        <w:rPr>
          <w:spacing w:val="-51"/>
        </w:rPr>
        <w:t> </w:t>
      </w:r>
      <w:r>
        <w:rPr/>
        <w:t>日。增发后，公司总股本为</w:t>
      </w:r>
    </w:p>
    <w:p>
      <w:pPr>
        <w:pStyle w:val="BodyText"/>
        <w:spacing w:line="313" w:lineRule="exact"/>
        <w:ind w:left="238" w:right="0"/>
        <w:jc w:val="both"/>
      </w:pPr>
      <w:r>
        <w:rPr/>
        <w:t>628,612,295</w:t>
      </w:r>
      <w:r>
        <w:rPr>
          <w:spacing w:val="-60"/>
        </w:rPr>
        <w:t> </w:t>
      </w:r>
      <w:r>
        <w:rPr/>
        <w:t>股。</w:t>
      </w:r>
    </w:p>
    <w:p>
      <w:pPr>
        <w:spacing w:line="240" w:lineRule="auto" w:before="1"/>
        <w:rPr>
          <w:rFonts w:ascii="宋体" w:hAnsi="宋体" w:cs="宋体" w:eastAsia="宋体" w:hint="default"/>
          <w:sz w:val="26"/>
          <w:szCs w:val="26"/>
        </w:rPr>
      </w:pPr>
    </w:p>
    <w:p>
      <w:pPr>
        <w:pStyle w:val="BodyText"/>
        <w:spacing w:line="310" w:lineRule="exact"/>
        <w:ind w:left="238" w:right="690"/>
        <w:jc w:val="left"/>
      </w:pPr>
      <w:r>
        <w:rPr/>
        <w:t>公司于</w:t>
      </w:r>
      <w:r>
        <w:rPr>
          <w:spacing w:val="-60"/>
        </w:rPr>
        <w:t> </w:t>
      </w:r>
      <w:r>
        <w:rPr>
          <w:spacing w:val="25"/>
        </w:rPr>
        <w:t>2008年5月</w:t>
      </w:r>
      <w:r>
        <w:rPr>
          <w:spacing w:val="-60"/>
        </w:rPr>
        <w:t> </w:t>
      </w:r>
      <w:r>
        <w:rPr/>
        <w:t>30</w:t>
      </w:r>
      <w:r>
        <w:rPr>
          <w:spacing w:val="-60"/>
        </w:rPr>
        <w:t> </w:t>
      </w:r>
      <w:r>
        <w:rPr>
          <w:spacing w:val="-4"/>
        </w:rPr>
        <w:t>日刊登公告，实施完成向全体股东每</w:t>
      </w:r>
      <w:r>
        <w:rPr>
          <w:spacing w:val="-61"/>
        </w:rPr>
        <w:t> </w:t>
      </w:r>
      <w:r>
        <w:rPr/>
        <w:t>10</w:t>
      </w:r>
      <w:r>
        <w:rPr>
          <w:spacing w:val="-61"/>
        </w:rPr>
        <w:t> </w:t>
      </w:r>
      <w:r>
        <w:rPr/>
        <w:t>股配</w:t>
      </w:r>
      <w:r>
        <w:rPr>
          <w:spacing w:val="-61"/>
        </w:rPr>
        <w:t> </w:t>
      </w:r>
      <w:r>
        <w:rPr/>
        <w:t>2</w:t>
      </w:r>
      <w:r>
        <w:rPr>
          <w:spacing w:val="-61"/>
        </w:rPr>
        <w:t> </w:t>
      </w:r>
      <w:r>
        <w:rPr/>
        <w:t>股的比例配售股份</w:t>
      </w:r>
      <w:r>
        <w:rPr>
          <w:spacing w:val="-1"/>
        </w:rPr>
        <w:t> </w:t>
      </w:r>
      <w:r>
        <w:rPr/>
        <w:t>的方案，配股价格为每股</w:t>
      </w:r>
      <w:r>
        <w:rPr>
          <w:spacing w:val="-71"/>
        </w:rPr>
        <w:t> </w:t>
      </w:r>
      <w:r>
        <w:rPr/>
        <w:t>16</w:t>
      </w:r>
      <w:r>
        <w:rPr>
          <w:spacing w:val="-71"/>
        </w:rPr>
        <w:t> </w:t>
      </w:r>
      <w:r>
        <w:rPr/>
        <w:t>元。配股股份上市流通日为</w:t>
      </w:r>
      <w:r>
        <w:rPr>
          <w:spacing w:val="-71"/>
        </w:rPr>
        <w:t> </w:t>
      </w:r>
      <w:r>
        <w:rPr>
          <w:spacing w:val="30"/>
        </w:rPr>
        <w:t>2008年6月3</w:t>
      </w:r>
      <w:r>
        <w:rPr>
          <w:spacing w:val="-71"/>
        </w:rPr>
        <w:t> </w:t>
      </w:r>
      <w:r>
        <w:rPr/>
        <w:t>日。配股完成后，</w:t>
      </w:r>
    </w:p>
    <w:p>
      <w:pPr>
        <w:pStyle w:val="BodyText"/>
        <w:spacing w:line="283" w:lineRule="exact"/>
        <w:ind w:left="238" w:right="0"/>
        <w:jc w:val="both"/>
      </w:pPr>
      <w:r>
        <w:rPr/>
        <w:t>公司总股本由</w:t>
      </w:r>
      <w:r>
        <w:rPr>
          <w:spacing w:val="-60"/>
        </w:rPr>
        <w:t> </w:t>
      </w:r>
      <w:r>
        <w:rPr/>
        <w:t>628,612,295</w:t>
      </w:r>
      <w:r>
        <w:rPr>
          <w:spacing w:val="-60"/>
        </w:rPr>
        <w:t> </w:t>
      </w:r>
      <w:r>
        <w:rPr/>
        <w:t>股变更为</w:t>
      </w:r>
      <w:r>
        <w:rPr>
          <w:spacing w:val="-60"/>
        </w:rPr>
        <w:t> </w:t>
      </w:r>
      <w:r>
        <w:rPr/>
        <w:t>751,515,811</w:t>
      </w:r>
      <w:r>
        <w:rPr>
          <w:spacing w:val="-60"/>
        </w:rPr>
        <w:t> </w:t>
      </w:r>
      <w:r>
        <w:rPr/>
        <w:t>股。</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公司于</w:t>
      </w:r>
      <w:r>
        <w:rPr>
          <w:spacing w:val="-14"/>
        </w:rPr>
        <w:t> </w:t>
      </w:r>
      <w:r>
        <w:rPr/>
        <w:t>2008</w:t>
      </w:r>
      <w:r>
        <w:rPr>
          <w:spacing w:val="-14"/>
        </w:rPr>
        <w:t> </w:t>
      </w:r>
      <w:r>
        <w:rPr/>
        <w:t>年</w:t>
      </w:r>
      <w:r>
        <w:rPr>
          <w:spacing w:val="-14"/>
        </w:rPr>
        <w:t> </w:t>
      </w:r>
      <w:r>
        <w:rPr/>
        <w:t>8</w:t>
      </w:r>
      <w:r>
        <w:rPr>
          <w:spacing w:val="-14"/>
        </w:rPr>
        <w:t> </w:t>
      </w:r>
      <w:r>
        <w:rPr/>
        <w:t>月</w:t>
      </w:r>
      <w:r>
        <w:rPr>
          <w:spacing w:val="-14"/>
        </w:rPr>
        <w:t> </w:t>
      </w:r>
      <w:r>
        <w:rPr/>
        <w:t>11</w:t>
      </w:r>
      <w:r>
        <w:rPr>
          <w:spacing w:val="-14"/>
        </w:rPr>
        <w:t> </w:t>
      </w:r>
      <w:r>
        <w:rPr/>
        <w:t>日刊登公告，实施了以公司截至</w:t>
      </w:r>
      <w:r>
        <w:rPr>
          <w:spacing w:val="-14"/>
        </w:rPr>
        <w:t> </w:t>
      </w:r>
      <w:r>
        <w:rPr/>
        <w:t>2008</w:t>
      </w:r>
      <w:r>
        <w:rPr>
          <w:spacing w:val="-14"/>
        </w:rPr>
        <w:t> </w:t>
      </w:r>
      <w:r>
        <w:rPr/>
        <w:t>年</w:t>
      </w:r>
      <w:r>
        <w:rPr>
          <w:spacing w:val="-14"/>
        </w:rPr>
        <w:t> </w:t>
      </w:r>
      <w:r>
        <w:rPr/>
        <w:t>5</w:t>
      </w:r>
      <w:r>
        <w:rPr>
          <w:spacing w:val="-14"/>
        </w:rPr>
        <w:t> </w:t>
      </w:r>
      <w:r>
        <w:rPr/>
        <w:t>月</w:t>
      </w:r>
      <w:r>
        <w:rPr>
          <w:spacing w:val="-14"/>
        </w:rPr>
        <w:t> </w:t>
      </w:r>
      <w:r>
        <w:rPr/>
        <w:t>30</w:t>
      </w:r>
      <w:r>
        <w:rPr>
          <w:spacing w:val="-14"/>
        </w:rPr>
        <w:t> </w:t>
      </w:r>
      <w:r>
        <w:rPr/>
        <w:t>日的总股本</w:t>
      </w:r>
    </w:p>
    <w:p>
      <w:pPr>
        <w:pStyle w:val="BodyText"/>
        <w:spacing w:line="311" w:lineRule="exact"/>
        <w:ind w:left="238" w:right="0"/>
        <w:jc w:val="both"/>
      </w:pPr>
      <w:r>
        <w:rPr/>
        <w:t>751,515,811</w:t>
      </w:r>
      <w:r>
        <w:rPr>
          <w:spacing w:val="-14"/>
        </w:rPr>
        <w:t> </w:t>
      </w:r>
      <w:r>
        <w:rPr/>
        <w:t>股为基数，向全体股东以每</w:t>
      </w:r>
      <w:r>
        <w:rPr>
          <w:spacing w:val="-67"/>
        </w:rPr>
        <w:t> </w:t>
      </w:r>
      <w:r>
        <w:rPr/>
        <w:t>10</w:t>
      </w:r>
      <w:r>
        <w:rPr>
          <w:spacing w:val="-67"/>
        </w:rPr>
        <w:t> </w:t>
      </w:r>
      <w:r>
        <w:rPr/>
        <w:t>股转增</w:t>
      </w:r>
      <w:r>
        <w:rPr>
          <w:spacing w:val="-67"/>
        </w:rPr>
        <w:t> </w:t>
      </w:r>
      <w:r>
        <w:rPr/>
        <w:t>3</w:t>
      </w:r>
      <w:r>
        <w:rPr>
          <w:spacing w:val="-67"/>
        </w:rPr>
        <w:t> </w:t>
      </w:r>
      <w:r>
        <w:rPr/>
        <w:t>股的资本公积金转增股本方案。转</w:t>
      </w:r>
    </w:p>
    <w:p>
      <w:pPr>
        <w:pStyle w:val="BodyText"/>
        <w:spacing w:line="313" w:lineRule="exact"/>
        <w:ind w:left="238" w:right="0"/>
        <w:jc w:val="both"/>
      </w:pPr>
      <w:r>
        <w:rPr/>
        <w:t>增完成后，公司总股本由</w:t>
      </w:r>
      <w:r>
        <w:rPr>
          <w:spacing w:val="-60"/>
        </w:rPr>
        <w:t> </w:t>
      </w:r>
      <w:r>
        <w:rPr/>
        <w:t>751,515,811</w:t>
      </w:r>
      <w:r>
        <w:rPr>
          <w:spacing w:val="-60"/>
        </w:rPr>
        <w:t> </w:t>
      </w:r>
      <w:r>
        <w:rPr/>
        <w:t>股变更为</w:t>
      </w:r>
      <w:r>
        <w:rPr>
          <w:spacing w:val="-60"/>
        </w:rPr>
        <w:t> </w:t>
      </w:r>
      <w:r>
        <w:rPr/>
        <w:t>976,970,554</w:t>
      </w:r>
      <w:r>
        <w:rPr>
          <w:spacing w:val="-60"/>
        </w:rPr>
        <w:t> </w:t>
      </w:r>
      <w:r>
        <w:rPr/>
        <w:t>股。</w:t>
      </w:r>
    </w:p>
    <w:p>
      <w:pPr>
        <w:spacing w:line="240" w:lineRule="auto" w:before="1"/>
        <w:rPr>
          <w:rFonts w:ascii="宋体" w:hAnsi="宋体" w:cs="宋体" w:eastAsia="宋体" w:hint="default"/>
          <w:sz w:val="26"/>
          <w:szCs w:val="26"/>
        </w:rPr>
      </w:pPr>
    </w:p>
    <w:p>
      <w:pPr>
        <w:pStyle w:val="BodyText"/>
        <w:spacing w:line="310" w:lineRule="exact"/>
        <w:ind w:left="238" w:right="822"/>
        <w:jc w:val="both"/>
      </w:pPr>
      <w:r>
        <w:rPr/>
        <w:t>公司于</w:t>
      </w:r>
      <w:r>
        <w:rPr>
          <w:spacing w:val="-60"/>
        </w:rPr>
        <w:t> </w:t>
      </w:r>
      <w:r>
        <w:rPr>
          <w:spacing w:val="25"/>
        </w:rPr>
        <w:t>2010年7月</w:t>
      </w:r>
      <w:r>
        <w:rPr>
          <w:spacing w:val="-60"/>
        </w:rPr>
        <w:t> </w:t>
      </w:r>
      <w:r>
        <w:rPr/>
        <w:t>23</w:t>
      </w:r>
      <w:r>
        <w:rPr>
          <w:spacing w:val="-60"/>
        </w:rPr>
        <w:t> </w:t>
      </w:r>
      <w:r>
        <w:rPr>
          <w:spacing w:val="-3"/>
        </w:rPr>
        <w:t>日刊登公告，实施了向唐山晶源科技有限公司发行</w:t>
      </w:r>
      <w:r>
        <w:rPr>
          <w:spacing w:val="-61"/>
        </w:rPr>
        <w:t> </w:t>
      </w:r>
      <w:r>
        <w:rPr/>
        <w:t>16,880,000</w:t>
      </w:r>
      <w:r>
        <w:rPr>
          <w:spacing w:val="-61"/>
        </w:rPr>
        <w:t> </w:t>
      </w:r>
      <w:r>
        <w:rPr/>
        <w:t>股</w:t>
      </w:r>
      <w:r>
        <w:rPr/>
        <w:t> 股份购买其持有的唐山晶源裕丰电子股份有限公司</w:t>
      </w:r>
      <w:r>
        <w:rPr>
          <w:spacing w:val="-54"/>
        </w:rPr>
        <w:t> </w:t>
      </w:r>
      <w:r>
        <w:rPr>
          <w:spacing w:val="-6"/>
        </w:rPr>
        <w:t>25%股权的方案。发行完成后，公司总</w:t>
      </w:r>
      <w:r>
        <w:rPr/>
        <w:t> 股本由</w:t>
      </w:r>
      <w:r>
        <w:rPr>
          <w:spacing w:val="-60"/>
        </w:rPr>
        <w:t> </w:t>
      </w:r>
      <w:r>
        <w:rPr/>
        <w:t>976,970,554</w:t>
      </w:r>
      <w:r>
        <w:rPr>
          <w:spacing w:val="-60"/>
        </w:rPr>
        <w:t> </w:t>
      </w:r>
      <w:r>
        <w:rPr/>
        <w:t>股变更为</w:t>
      </w:r>
      <w:r>
        <w:rPr>
          <w:spacing w:val="-60"/>
        </w:rPr>
        <w:t> </w:t>
      </w:r>
      <w:r>
        <w:rPr/>
        <w:t>993,850,554</w:t>
      </w:r>
      <w:r>
        <w:rPr>
          <w:spacing w:val="-60"/>
        </w:rPr>
        <w:t> </w:t>
      </w:r>
      <w:r>
        <w:rPr/>
        <w:t>股。</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610" w:footer="764" w:top="1080" w:bottom="980" w:left="1180" w:right="460"/>
        </w:sectPr>
      </w:pPr>
    </w:p>
    <w:p>
      <w:pPr>
        <w:pStyle w:val="Heading3"/>
        <w:spacing w:line="240" w:lineRule="auto" w:before="26"/>
        <w:ind w:left="238" w:right="-16"/>
        <w:jc w:val="left"/>
        <w:rPr>
          <w:b w:val="0"/>
          <w:bCs w:val="0"/>
        </w:rPr>
      </w:pPr>
      <w:r>
        <w:rPr/>
        <w:t>2、截止</w:t>
      </w:r>
      <w:r>
        <w:rPr>
          <w:spacing w:val="-61"/>
        </w:rPr>
        <w:t> </w:t>
      </w:r>
      <w:r>
        <w:rPr/>
        <w:t>2010</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日股本结构情况如下：</w:t>
      </w:r>
      <w:r>
        <w:rPr>
          <w:b w:val="0"/>
          <w:bCs w:val="0"/>
        </w:rPr>
      </w:r>
    </w:p>
    <w:p>
      <w:pPr>
        <w:spacing w:line="240" w:lineRule="auto" w:before="5"/>
        <w:rPr>
          <w:rFonts w:ascii="宋体" w:hAnsi="宋体" w:cs="宋体" w:eastAsia="宋体" w:hint="default"/>
          <w:b/>
          <w:bCs/>
          <w:sz w:val="26"/>
          <w:szCs w:val="26"/>
        </w:rPr>
      </w:pPr>
      <w:r>
        <w:rPr/>
        <w:br w:type="column"/>
      </w:r>
      <w:r>
        <w:rPr>
          <w:rFonts w:ascii="宋体"/>
          <w:b/>
          <w:sz w:val="26"/>
        </w:rPr>
      </w:r>
    </w:p>
    <w:p>
      <w:pPr>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1180" w:right="460"/>
          <w:cols w:num="2" w:equalWidth="0">
            <w:col w:w="5304" w:space="3177"/>
            <w:col w:w="1789"/>
          </w:cols>
        </w:sectPr>
      </w:pPr>
    </w:p>
    <w:p>
      <w:pPr>
        <w:spacing w:line="240" w:lineRule="auto" w:before="3"/>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16"/>
        <w:gridCol w:w="1106"/>
        <w:gridCol w:w="730"/>
        <w:gridCol w:w="1014"/>
        <w:gridCol w:w="678"/>
        <w:gridCol w:w="1136"/>
        <w:gridCol w:w="648"/>
        <w:gridCol w:w="1116"/>
        <w:gridCol w:w="1020"/>
        <w:gridCol w:w="735"/>
      </w:tblGrid>
      <w:tr>
        <w:trPr>
          <w:trHeight w:val="337" w:hRule="exact"/>
        </w:trPr>
        <w:tc>
          <w:tcPr>
            <w:tcW w:w="1816" w:type="dxa"/>
            <w:vMerge w:val="restart"/>
            <w:tcBorders>
              <w:top w:val="single" w:sz="12" w:space="0" w:color="000000"/>
              <w:left w:val="single" w:sz="12" w:space="0" w:color="000000"/>
              <w:right w:val="single" w:sz="6" w:space="0" w:color="000000"/>
            </w:tcBorders>
          </w:tcPr>
          <w:p>
            <w:pPr>
              <w:pStyle w:val="TableParagraph"/>
              <w:spacing w:line="240" w:lineRule="auto" w:before="126"/>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8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500"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592"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1509"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75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460"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316" w:hRule="exact"/>
        </w:trPr>
        <w:tc>
          <w:tcPr>
            <w:tcW w:w="1816" w:type="dxa"/>
            <w:vMerge/>
            <w:tcBorders>
              <w:left w:val="single" w:sz="12"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66"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50"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5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left="1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86"/>
              <w:jc w:val="center"/>
              <w:rPr>
                <w:rFonts w:ascii="宋体" w:hAnsi="宋体" w:cs="宋体" w:eastAsia="宋体" w:hint="default"/>
                <w:sz w:val="18"/>
                <w:szCs w:val="18"/>
              </w:rPr>
            </w:pPr>
            <w:r>
              <w:rPr>
                <w:rFonts w:ascii="宋体"/>
                <w:w w:val="90"/>
                <w:sz w:val="18"/>
              </w:rPr>
              <w:t>+16,880,000</w:t>
            </w:r>
            <w:r>
              <w:rPr>
                <w:rFonts w:ascii="宋体"/>
                <w:sz w:val="18"/>
              </w:rPr>
            </w: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1" w:right="0"/>
              <w:jc w:val="center"/>
              <w:rPr>
                <w:rFonts w:ascii="宋体" w:hAnsi="宋体" w:cs="宋体" w:eastAsia="宋体" w:hint="default"/>
                <w:sz w:val="18"/>
                <w:szCs w:val="18"/>
              </w:rPr>
            </w:pPr>
            <w:r>
              <w:rPr>
                <w:rFonts w:ascii="宋体"/>
                <w:w w:val="95"/>
                <w:sz w:val="18"/>
              </w:rPr>
              <w:t>+16,880,000</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w w:val="95"/>
                <w:sz w:val="18"/>
              </w:rPr>
              <w:t>16,880,000</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宋体" w:hAnsi="宋体" w:cs="宋体" w:eastAsia="宋体" w:hint="default"/>
                <w:sz w:val="18"/>
                <w:szCs w:val="18"/>
              </w:rPr>
            </w:pPr>
            <w:r>
              <w:rPr>
                <w:rFonts w:ascii="宋体"/>
                <w:w w:val="85"/>
                <w:sz w:val="18"/>
              </w:rPr>
              <w:t>1.70%</w:t>
            </w:r>
            <w:r>
              <w:rPr>
                <w:rFonts w:ascii="宋体"/>
                <w:sz w:val="18"/>
              </w:rPr>
            </w: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6"/>
              <w:jc w:val="center"/>
              <w:rPr>
                <w:rFonts w:ascii="宋体" w:hAnsi="宋体" w:cs="宋体" w:eastAsia="宋体" w:hint="default"/>
                <w:sz w:val="18"/>
                <w:szCs w:val="18"/>
              </w:rPr>
            </w:pPr>
            <w:r>
              <w:rPr>
                <w:rFonts w:ascii="宋体"/>
                <w:w w:val="90"/>
                <w:sz w:val="18"/>
              </w:rPr>
              <w:t>+16,880,000</w:t>
            </w:r>
            <w:r>
              <w:rPr>
                <w:rFonts w:ascii="宋体"/>
                <w:sz w:val="18"/>
              </w:rPr>
            </w: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 w:right="0"/>
              <w:jc w:val="center"/>
              <w:rPr>
                <w:rFonts w:ascii="宋体" w:hAnsi="宋体" w:cs="宋体" w:eastAsia="宋体" w:hint="default"/>
                <w:sz w:val="18"/>
                <w:szCs w:val="18"/>
              </w:rPr>
            </w:pPr>
            <w:r>
              <w:rPr>
                <w:rFonts w:ascii="宋体"/>
                <w:w w:val="95"/>
                <w:sz w:val="18"/>
              </w:rPr>
              <w:t>+16,880,000</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w w:val="95"/>
                <w:sz w:val="18"/>
              </w:rPr>
              <w:t>16,880,000</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w w:val="85"/>
                <w:sz w:val="18"/>
              </w:rPr>
              <w:t>1.70%</w:t>
            </w:r>
            <w:r>
              <w:rPr>
                <w:rFonts w:ascii="宋体"/>
                <w:sz w:val="18"/>
              </w:rPr>
            </w:r>
          </w:p>
        </w:tc>
      </w:tr>
      <w:tr>
        <w:trPr>
          <w:trHeight w:val="49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01"/>
              <w:jc w:val="left"/>
              <w:rPr>
                <w:rFonts w:ascii="宋体" w:hAnsi="宋体" w:cs="宋体" w:eastAsia="宋体" w:hint="default"/>
                <w:sz w:val="18"/>
                <w:szCs w:val="18"/>
              </w:rPr>
            </w:pPr>
            <w:r>
              <w:rPr>
                <w:rFonts w:ascii="宋体" w:hAnsi="宋体" w:cs="宋体" w:eastAsia="宋体" w:hint="default"/>
                <w:spacing w:val="-3"/>
                <w:w w:val="90"/>
                <w:sz w:val="18"/>
                <w:szCs w:val="18"/>
              </w:rPr>
              <w:t>其中：境内非国有法人</w:t>
            </w:r>
            <w:r>
              <w:rPr>
                <w:rFonts w:ascii="宋体" w:hAnsi="宋体" w:cs="宋体" w:eastAsia="宋体" w:hint="default"/>
                <w:spacing w:val="-78"/>
                <w:w w:val="90"/>
                <w:sz w:val="18"/>
                <w:szCs w:val="18"/>
              </w:rPr>
              <w:t> </w:t>
            </w:r>
            <w:r>
              <w:rPr>
                <w:rFonts w:ascii="宋体" w:hAnsi="宋体" w:cs="宋体" w:eastAsia="宋体" w:hint="default"/>
                <w:spacing w:val="-78"/>
                <w:w w:val="90"/>
                <w:sz w:val="18"/>
                <w:szCs w:val="18"/>
              </w:rPr>
            </w:r>
            <w:r>
              <w:rPr>
                <w:rFonts w:ascii="宋体" w:hAnsi="宋体" w:cs="宋体" w:eastAsia="宋体" w:hint="default"/>
                <w:sz w:val="18"/>
                <w:szCs w:val="18"/>
              </w:rPr>
              <w:t>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86"/>
              <w:jc w:val="center"/>
              <w:rPr>
                <w:rFonts w:ascii="宋体" w:hAnsi="宋体" w:cs="宋体" w:eastAsia="宋体" w:hint="default"/>
                <w:sz w:val="18"/>
                <w:szCs w:val="18"/>
              </w:rPr>
            </w:pPr>
            <w:r>
              <w:rPr>
                <w:rFonts w:ascii="宋体"/>
                <w:w w:val="90"/>
                <w:sz w:val="18"/>
              </w:rPr>
              <w:t>+16,880,000</w:t>
            </w:r>
            <w:r>
              <w:rPr>
                <w:rFonts w:ascii="宋体"/>
                <w:sz w:val="18"/>
              </w:rPr>
            </w: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1" w:right="0"/>
              <w:jc w:val="center"/>
              <w:rPr>
                <w:rFonts w:ascii="宋体" w:hAnsi="宋体" w:cs="宋体" w:eastAsia="宋体" w:hint="default"/>
                <w:sz w:val="18"/>
                <w:szCs w:val="18"/>
              </w:rPr>
            </w:pPr>
            <w:r>
              <w:rPr>
                <w:rFonts w:ascii="宋体"/>
                <w:w w:val="95"/>
                <w:sz w:val="18"/>
              </w:rPr>
              <w:t>+16,880,000</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宋体" w:hAnsi="宋体" w:cs="宋体" w:eastAsia="宋体" w:hint="default"/>
                <w:sz w:val="18"/>
                <w:szCs w:val="18"/>
              </w:rPr>
            </w:pPr>
            <w:r>
              <w:rPr>
                <w:rFonts w:ascii="宋体"/>
                <w:w w:val="95"/>
                <w:sz w:val="18"/>
              </w:rPr>
              <w:t>16,880,000</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w w:val="85"/>
                <w:sz w:val="18"/>
              </w:rPr>
              <w:t>1.70%</w:t>
            </w:r>
            <w:r>
              <w:rPr>
                <w:rFonts w:ascii="宋体"/>
                <w:sz w:val="18"/>
              </w:rPr>
            </w: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w w:val="95"/>
                <w:sz w:val="18"/>
              </w:rPr>
              <w:t>976,970,554</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52"/>
              <w:jc w:val="center"/>
              <w:rPr>
                <w:rFonts w:ascii="宋体" w:hAnsi="宋体" w:cs="宋体" w:eastAsia="宋体" w:hint="default"/>
                <w:sz w:val="18"/>
                <w:szCs w:val="18"/>
              </w:rPr>
            </w:pPr>
            <w:r>
              <w:rPr>
                <w:rFonts w:ascii="宋体"/>
                <w:w w:val="95"/>
                <w:sz w:val="18"/>
              </w:rPr>
              <w:t>100.00%</w:t>
            </w:r>
            <w:r>
              <w:rPr>
                <w:rFonts w:ascii="宋体"/>
                <w:sz w:val="18"/>
              </w:rPr>
            </w: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83"/>
              <w:jc w:val="center"/>
              <w:rPr>
                <w:rFonts w:ascii="宋体" w:hAnsi="宋体" w:cs="宋体" w:eastAsia="宋体" w:hint="default"/>
                <w:sz w:val="18"/>
                <w:szCs w:val="18"/>
              </w:rPr>
            </w:pPr>
            <w:r>
              <w:rPr>
                <w:rFonts w:ascii="宋体"/>
                <w:w w:val="90"/>
                <w:sz w:val="18"/>
              </w:rPr>
              <w:t>976,970,554</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宋体" w:hAnsi="宋体" w:cs="宋体" w:eastAsia="宋体" w:hint="default"/>
                <w:sz w:val="18"/>
                <w:szCs w:val="18"/>
              </w:rPr>
            </w:pPr>
            <w:r>
              <w:rPr>
                <w:rFonts w:ascii="宋体"/>
                <w:w w:val="85"/>
                <w:sz w:val="18"/>
              </w:rPr>
              <w:t>98.30%</w:t>
            </w:r>
            <w:r>
              <w:rPr>
                <w:rFonts w:ascii="宋体"/>
                <w:sz w:val="18"/>
              </w:rPr>
            </w:r>
          </w:p>
        </w:tc>
      </w:tr>
      <w:tr>
        <w:trPr>
          <w:trHeight w:val="322" w:hRule="exact"/>
        </w:trPr>
        <w:tc>
          <w:tcPr>
            <w:tcW w:w="1816"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w w:val="95"/>
                <w:sz w:val="18"/>
              </w:rPr>
              <w:t>976,970,554</w:t>
            </w:r>
            <w:r>
              <w:rPr>
                <w:rFonts w:ascii="宋体"/>
                <w:sz w:val="18"/>
              </w:rPr>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52"/>
              <w:jc w:val="center"/>
              <w:rPr>
                <w:rFonts w:ascii="宋体" w:hAnsi="宋体" w:cs="宋体" w:eastAsia="宋体" w:hint="default"/>
                <w:sz w:val="18"/>
                <w:szCs w:val="18"/>
              </w:rPr>
            </w:pPr>
            <w:r>
              <w:rPr>
                <w:rFonts w:ascii="宋体"/>
                <w:w w:val="95"/>
                <w:sz w:val="18"/>
              </w:rPr>
              <w:t>100.00%</w:t>
            </w:r>
            <w:r>
              <w:rPr>
                <w:rFonts w:ascii="宋体"/>
                <w:sz w:val="18"/>
              </w:rPr>
            </w:r>
          </w:p>
        </w:tc>
        <w:tc>
          <w:tcPr>
            <w:tcW w:w="1014" w:type="dxa"/>
            <w:tcBorders>
              <w:top w:val="single" w:sz="6" w:space="0" w:color="000000"/>
              <w:left w:val="single" w:sz="6" w:space="0" w:color="000000"/>
              <w:bottom w:val="single" w:sz="12" w:space="0" w:color="000000"/>
              <w:right w:val="single" w:sz="6" w:space="0" w:color="000000"/>
            </w:tcBorders>
          </w:tcPr>
          <w:p>
            <w:pPr/>
          </w:p>
        </w:tc>
        <w:tc>
          <w:tcPr>
            <w:tcW w:w="678"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
        </w:tc>
        <w:tc>
          <w:tcPr>
            <w:tcW w:w="648" w:type="dxa"/>
            <w:tcBorders>
              <w:top w:val="single" w:sz="6" w:space="0" w:color="000000"/>
              <w:left w:val="single" w:sz="6"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6" w:space="0" w:color="000000"/>
            </w:tcBorders>
          </w:tcPr>
          <w:p>
            <w:pP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83"/>
              <w:jc w:val="center"/>
              <w:rPr>
                <w:rFonts w:ascii="宋体" w:hAnsi="宋体" w:cs="宋体" w:eastAsia="宋体" w:hint="default"/>
                <w:sz w:val="18"/>
                <w:szCs w:val="18"/>
              </w:rPr>
            </w:pPr>
            <w:r>
              <w:rPr>
                <w:rFonts w:ascii="宋体"/>
                <w:w w:val="90"/>
                <w:sz w:val="18"/>
              </w:rPr>
              <w:t>976,970,554</w:t>
            </w:r>
            <w:r>
              <w:rPr>
                <w:rFonts w:ascii="宋体"/>
                <w:sz w:val="18"/>
              </w:rPr>
            </w:r>
          </w:p>
        </w:tc>
        <w:tc>
          <w:tcPr>
            <w:tcW w:w="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2"/>
              <w:jc w:val="right"/>
              <w:rPr>
                <w:rFonts w:ascii="宋体" w:hAnsi="宋体" w:cs="宋体" w:eastAsia="宋体" w:hint="default"/>
                <w:sz w:val="18"/>
                <w:szCs w:val="18"/>
              </w:rPr>
            </w:pPr>
            <w:r>
              <w:rPr>
                <w:rFonts w:ascii="宋体"/>
                <w:w w:val="85"/>
                <w:sz w:val="18"/>
              </w:rPr>
              <w:t>98.30%</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600" w:bottom="280" w:left="118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816"/>
        <w:gridCol w:w="1106"/>
        <w:gridCol w:w="730"/>
        <w:gridCol w:w="1014"/>
        <w:gridCol w:w="678"/>
        <w:gridCol w:w="1136"/>
        <w:gridCol w:w="648"/>
        <w:gridCol w:w="1116"/>
        <w:gridCol w:w="1020"/>
        <w:gridCol w:w="735"/>
      </w:tblGrid>
      <w:tr>
        <w:trPr>
          <w:trHeight w:val="337" w:hRule="exact"/>
        </w:trPr>
        <w:tc>
          <w:tcPr>
            <w:tcW w:w="1816" w:type="dxa"/>
            <w:vMerge w:val="restart"/>
            <w:tcBorders>
              <w:top w:val="single" w:sz="12" w:space="0" w:color="000000"/>
              <w:left w:val="single" w:sz="12" w:space="0" w:color="000000"/>
              <w:right w:val="single" w:sz="6" w:space="0" w:color="000000"/>
            </w:tcBorders>
          </w:tcPr>
          <w:p>
            <w:pPr>
              <w:pStyle w:val="TableParagraph"/>
              <w:spacing w:line="240" w:lineRule="auto" w:before="126"/>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8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500"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592"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1509"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75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460"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316" w:hRule="exact"/>
        </w:trPr>
        <w:tc>
          <w:tcPr>
            <w:tcW w:w="1816" w:type="dxa"/>
            <w:vMerge/>
            <w:tcBorders>
              <w:left w:val="single" w:sz="12"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71"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66"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50"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5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2、境内上市的外资股</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3、境外上市的外资股</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23" w:hRule="exact"/>
        </w:trPr>
        <w:tc>
          <w:tcPr>
            <w:tcW w:w="18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w w:val="95"/>
                <w:sz w:val="18"/>
              </w:rPr>
              <w:t>976,970,554</w:t>
            </w:r>
            <w:r>
              <w:rPr>
                <w:rFonts w:ascii="宋体"/>
                <w:sz w:val="18"/>
              </w:rPr>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52"/>
              <w:jc w:val="center"/>
              <w:rPr>
                <w:rFonts w:ascii="宋体" w:hAnsi="宋体" w:cs="宋体" w:eastAsia="宋体" w:hint="default"/>
                <w:sz w:val="18"/>
                <w:szCs w:val="18"/>
              </w:rPr>
            </w:pPr>
            <w:r>
              <w:rPr>
                <w:rFonts w:ascii="宋体"/>
                <w:w w:val="95"/>
                <w:sz w:val="18"/>
              </w:rPr>
              <w:t>100.00%</w:t>
            </w:r>
            <w:r>
              <w:rPr>
                <w:rFonts w:ascii="宋体"/>
                <w:sz w:val="18"/>
              </w:rPr>
            </w:r>
          </w:p>
        </w:tc>
        <w:tc>
          <w:tcPr>
            <w:tcW w:w="1014" w:type="dxa"/>
            <w:tcBorders>
              <w:top w:val="single" w:sz="6" w:space="0" w:color="000000"/>
              <w:left w:val="single" w:sz="6" w:space="0" w:color="000000"/>
              <w:bottom w:val="single" w:sz="12" w:space="0" w:color="000000"/>
              <w:right w:val="single" w:sz="6" w:space="0" w:color="000000"/>
            </w:tcBorders>
          </w:tcPr>
          <w:p>
            <w:pPr/>
          </w:p>
        </w:tc>
        <w:tc>
          <w:tcPr>
            <w:tcW w:w="678"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
        </w:tc>
        <w:tc>
          <w:tcPr>
            <w:tcW w:w="648" w:type="dxa"/>
            <w:tcBorders>
              <w:top w:val="single" w:sz="6" w:space="0" w:color="000000"/>
              <w:left w:val="single" w:sz="6"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0" w:right="0"/>
              <w:jc w:val="center"/>
              <w:rPr>
                <w:rFonts w:ascii="宋体" w:hAnsi="宋体" w:cs="宋体" w:eastAsia="宋体" w:hint="default"/>
                <w:sz w:val="18"/>
                <w:szCs w:val="18"/>
              </w:rPr>
            </w:pPr>
            <w:r>
              <w:rPr>
                <w:rFonts w:ascii="宋体"/>
                <w:w w:val="95"/>
                <w:sz w:val="18"/>
              </w:rPr>
              <w:t>+16,880,000</w:t>
            </w:r>
            <w:r>
              <w:rPr>
                <w:rFonts w:ascii="宋体"/>
                <w:sz w:val="18"/>
              </w:rPr>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83"/>
              <w:jc w:val="center"/>
              <w:rPr>
                <w:rFonts w:ascii="宋体" w:hAnsi="宋体" w:cs="宋体" w:eastAsia="宋体" w:hint="default"/>
                <w:sz w:val="18"/>
                <w:szCs w:val="18"/>
              </w:rPr>
            </w:pPr>
            <w:r>
              <w:rPr>
                <w:rFonts w:ascii="宋体"/>
                <w:w w:val="90"/>
                <w:sz w:val="18"/>
              </w:rPr>
              <w:t>993,850,554</w:t>
            </w:r>
            <w:r>
              <w:rPr>
                <w:rFonts w:ascii="宋体"/>
                <w:sz w:val="18"/>
              </w:rPr>
            </w:r>
          </w:p>
        </w:tc>
        <w:tc>
          <w:tcPr>
            <w:tcW w:w="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39"/>
              <w:jc w:val="center"/>
              <w:rPr>
                <w:rFonts w:ascii="宋体" w:hAnsi="宋体" w:cs="宋体" w:eastAsia="宋体" w:hint="default"/>
                <w:sz w:val="18"/>
                <w:szCs w:val="18"/>
              </w:rPr>
            </w:pPr>
            <w:r>
              <w:rPr>
                <w:rFonts w:ascii="宋体"/>
                <w:w w:val="95"/>
                <w:sz w:val="18"/>
              </w:rPr>
              <w:t>100.00%</w:t>
            </w:r>
            <w:r>
              <w:rPr>
                <w:rFonts w:ascii="宋体"/>
                <w:sz w:val="18"/>
              </w:rPr>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610" w:footer="764" w:top="1080" w:bottom="980" w:left="1180" w:right="460"/>
        </w:sectPr>
      </w:pPr>
    </w:p>
    <w:p>
      <w:pPr>
        <w:pStyle w:val="Heading3"/>
        <w:spacing w:line="240" w:lineRule="auto" w:before="26"/>
        <w:ind w:left="238" w:right="-16"/>
        <w:jc w:val="left"/>
        <w:rPr>
          <w:b w:val="0"/>
          <w:bCs w:val="0"/>
        </w:rPr>
      </w:pPr>
      <w:r>
        <w:rPr/>
        <w:t>3、截至</w:t>
      </w:r>
      <w:r>
        <w:rPr>
          <w:spacing w:val="-61"/>
        </w:rPr>
        <w:t> </w:t>
      </w:r>
      <w:r>
        <w:rPr/>
        <w:t>2010</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日，公司限售股份变动情况如下：</w:t>
      </w:r>
      <w:r>
        <w:rPr>
          <w:b w:val="0"/>
          <w:bCs w:val="0"/>
        </w:rPr>
      </w:r>
    </w:p>
    <w:p>
      <w:pPr>
        <w:spacing w:line="240" w:lineRule="auto" w:before="0"/>
        <w:rPr>
          <w:rFonts w:ascii="宋体" w:hAnsi="宋体" w:cs="宋体" w:eastAsia="宋体" w:hint="default"/>
          <w:b/>
          <w:bCs/>
          <w:sz w:val="26"/>
          <w:szCs w:val="26"/>
        </w:rPr>
      </w:pPr>
      <w:r>
        <w:rPr/>
        <w:br w:type="column"/>
      </w:r>
      <w:r>
        <w:rPr>
          <w:rFonts w:ascii="宋体"/>
          <w:b/>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180" w:right="460"/>
          <w:cols w:num="2" w:equalWidth="0">
            <w:col w:w="6509" w:space="1853"/>
            <w:col w:w="190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28"/>
        <w:gridCol w:w="1214"/>
        <w:gridCol w:w="1214"/>
        <w:gridCol w:w="1123"/>
        <w:gridCol w:w="1214"/>
        <w:gridCol w:w="1264"/>
        <w:gridCol w:w="1558"/>
      </w:tblGrid>
      <w:tr>
        <w:trPr>
          <w:trHeight w:val="502" w:hRule="exact"/>
        </w:trPr>
        <w:tc>
          <w:tcPr>
            <w:tcW w:w="18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8" w:right="145" w:hanging="362"/>
              <w:jc w:val="left"/>
              <w:rPr>
                <w:rFonts w:ascii="宋体" w:hAnsi="宋体" w:cs="宋体" w:eastAsia="宋体" w:hint="default"/>
                <w:sz w:val="18"/>
                <w:szCs w:val="18"/>
              </w:rPr>
            </w:pPr>
            <w:r>
              <w:rPr>
                <w:rFonts w:ascii="宋体" w:hAnsi="宋体" w:cs="宋体" w:eastAsia="宋体" w:hint="default"/>
                <w:b/>
                <w:bCs/>
                <w:sz w:val="18"/>
                <w:szCs w:val="18"/>
              </w:rPr>
              <w:t>年初限售股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27" w:right="145" w:hanging="180"/>
              <w:jc w:val="left"/>
              <w:rPr>
                <w:rFonts w:ascii="宋体" w:hAnsi="宋体" w:cs="宋体" w:eastAsia="宋体" w:hint="default"/>
                <w:sz w:val="18"/>
                <w:szCs w:val="18"/>
              </w:rPr>
            </w:pPr>
            <w:r>
              <w:rPr>
                <w:rFonts w:ascii="宋体" w:hAnsi="宋体" w:cs="宋体" w:eastAsia="宋体" w:hint="default"/>
                <w:b/>
                <w:bCs/>
                <w:sz w:val="18"/>
                <w:szCs w:val="18"/>
              </w:rPr>
              <w:t>本年解除限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83" w:right="98" w:hanging="180"/>
              <w:jc w:val="left"/>
              <w:rPr>
                <w:rFonts w:ascii="宋体" w:hAnsi="宋体" w:cs="宋体" w:eastAsia="宋体" w:hint="default"/>
                <w:sz w:val="18"/>
                <w:szCs w:val="18"/>
              </w:rPr>
            </w:pPr>
            <w:r>
              <w:rPr>
                <w:rFonts w:ascii="宋体" w:hAnsi="宋体" w:cs="宋体" w:eastAsia="宋体" w:hint="default"/>
                <w:b/>
                <w:bCs/>
                <w:sz w:val="18"/>
                <w:szCs w:val="18"/>
              </w:rPr>
              <w:t>本年增加限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9" w:right="145" w:hanging="362"/>
              <w:jc w:val="left"/>
              <w:rPr>
                <w:rFonts w:ascii="宋体" w:hAnsi="宋体" w:cs="宋体" w:eastAsia="宋体" w:hint="default"/>
                <w:sz w:val="18"/>
                <w:szCs w:val="18"/>
              </w:rPr>
            </w:pPr>
            <w:r>
              <w:rPr>
                <w:rFonts w:ascii="宋体" w:hAnsi="宋体" w:cs="宋体" w:eastAsia="宋体" w:hint="default"/>
                <w:b/>
                <w:bCs/>
                <w:sz w:val="18"/>
                <w:szCs w:val="18"/>
              </w:rPr>
              <w:t>年末限售股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63" w:right="0"/>
              <w:jc w:val="left"/>
              <w:rPr>
                <w:rFonts w:ascii="宋体" w:hAnsi="宋体" w:cs="宋体" w:eastAsia="宋体" w:hint="default"/>
                <w:sz w:val="18"/>
                <w:szCs w:val="18"/>
              </w:rPr>
            </w:pPr>
            <w:r>
              <w:rPr>
                <w:rFonts w:ascii="宋体" w:hAnsi="宋体" w:cs="宋体" w:eastAsia="宋体" w:hint="default"/>
                <w:b/>
                <w:bCs/>
                <w:sz w:val="18"/>
                <w:szCs w:val="18"/>
              </w:rPr>
              <w:t>限售原因</w:t>
            </w:r>
            <w:r>
              <w:rPr>
                <w:rFonts w:ascii="宋体" w:hAnsi="宋体" w:cs="宋体" w:eastAsia="宋体" w:hint="default"/>
                <w:sz w:val="18"/>
                <w:szCs w:val="18"/>
              </w:rPr>
            </w:r>
          </w:p>
        </w:tc>
        <w:tc>
          <w:tcPr>
            <w:tcW w:w="15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b/>
                <w:bCs/>
                <w:sz w:val="18"/>
                <w:szCs w:val="18"/>
              </w:rPr>
              <w:t>解除限售日期</w:t>
            </w:r>
            <w:r>
              <w:rPr>
                <w:rFonts w:ascii="宋体" w:hAnsi="宋体" w:cs="宋体" w:eastAsia="宋体" w:hint="default"/>
                <w:sz w:val="18"/>
                <w:szCs w:val="18"/>
              </w:rPr>
            </w:r>
          </w:p>
        </w:tc>
      </w:tr>
      <w:tr>
        <w:trPr>
          <w:trHeight w:val="496" w:hRule="exact"/>
        </w:trPr>
        <w:tc>
          <w:tcPr>
            <w:tcW w:w="182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74"/>
              <w:jc w:val="left"/>
              <w:rPr>
                <w:rFonts w:ascii="宋体" w:hAnsi="宋体" w:cs="宋体" w:eastAsia="宋体" w:hint="default"/>
                <w:sz w:val="18"/>
                <w:szCs w:val="18"/>
              </w:rPr>
            </w:pPr>
            <w:r>
              <w:rPr>
                <w:rFonts w:ascii="宋体" w:hAnsi="宋体" w:cs="宋体" w:eastAsia="宋体" w:hint="default"/>
                <w:spacing w:val="16"/>
                <w:sz w:val="18"/>
                <w:szCs w:val="18"/>
              </w:rPr>
              <w:t>唐山晶</w:t>
            </w:r>
            <w:r>
              <w:rPr>
                <w:rFonts w:ascii="宋体" w:hAnsi="宋体" w:cs="宋体" w:eastAsia="宋体" w:hint="default"/>
                <w:spacing w:val="-65"/>
                <w:sz w:val="18"/>
                <w:szCs w:val="18"/>
              </w:rPr>
              <w:t> </w:t>
            </w:r>
            <w:r>
              <w:rPr>
                <w:rFonts w:ascii="宋体" w:hAnsi="宋体" w:cs="宋体" w:eastAsia="宋体" w:hint="default"/>
                <w:spacing w:val="12"/>
                <w:sz w:val="18"/>
                <w:szCs w:val="18"/>
              </w:rPr>
              <w:t>源科</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pacing w:val="-65"/>
                <w:sz w:val="18"/>
                <w:szCs w:val="18"/>
              </w:rPr>
              <w:t> </w:t>
            </w:r>
            <w:r>
              <w:rPr>
                <w:rFonts w:ascii="宋体" w:hAnsi="宋体" w:cs="宋体" w:eastAsia="宋体" w:hint="default"/>
                <w:spacing w:val="12"/>
                <w:sz w:val="18"/>
                <w:szCs w:val="18"/>
              </w:rPr>
              <w:t>有限</w:t>
            </w:r>
            <w:r>
              <w:rPr>
                <w:rFonts w:ascii="宋体" w:hAnsi="宋体" w:cs="宋体" w:eastAsia="宋体" w:hint="default"/>
                <w:spacing w:val="-66"/>
                <w:sz w:val="18"/>
                <w:szCs w:val="18"/>
              </w:rPr>
              <w:t> </w:t>
            </w:r>
            <w:r>
              <w:rPr>
                <w:rFonts w:ascii="宋体" w:hAnsi="宋体" w:cs="宋体" w:eastAsia="宋体" w:hint="default"/>
                <w:sz w:val="18"/>
                <w:szCs w:val="18"/>
              </w:rPr>
              <w:t>公司</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sz w:val="18"/>
              </w:rPr>
              <w:t>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sz w:val="18"/>
              </w:rPr>
              <w:t>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宋体" w:hAnsi="宋体" w:cs="宋体" w:eastAsia="宋体" w:hint="default"/>
                <w:sz w:val="18"/>
                <w:szCs w:val="18"/>
              </w:rPr>
            </w:pPr>
            <w:r>
              <w:rPr>
                <w:rFonts w:ascii="宋体"/>
                <w:w w:val="85"/>
                <w:sz w:val="18"/>
              </w:rPr>
              <w:t>16,880,000</w:t>
            </w:r>
            <w:r>
              <w:rPr>
                <w:rFonts w:ascii="宋体"/>
                <w:sz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0" w:right="0"/>
              <w:jc w:val="center"/>
              <w:rPr>
                <w:rFonts w:ascii="宋体" w:hAnsi="宋体" w:cs="宋体" w:eastAsia="宋体" w:hint="default"/>
                <w:sz w:val="18"/>
                <w:szCs w:val="18"/>
              </w:rPr>
            </w:pPr>
            <w:r>
              <w:rPr>
                <w:rFonts w:ascii="宋体"/>
                <w:w w:val="95"/>
                <w:sz w:val="18"/>
              </w:rPr>
              <w:t>16,880,000</w:t>
            </w:r>
            <w:r>
              <w:rPr>
                <w:rFonts w:ascii="宋体"/>
                <w:sz w:val="18"/>
              </w:rPr>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66"/>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8" w:right="0"/>
              <w:jc w:val="center"/>
              <w:rPr>
                <w:rFonts w:ascii="宋体" w:hAnsi="宋体" w:cs="宋体" w:eastAsia="宋体" w:hint="default"/>
                <w:sz w:val="18"/>
                <w:szCs w:val="18"/>
              </w:rPr>
            </w:pPr>
            <w:r>
              <w:rPr>
                <w:rFonts w:ascii="宋体" w:hAnsi="宋体" w:cs="宋体" w:eastAsia="宋体" w:hint="default"/>
                <w:spacing w:val="14"/>
                <w:sz w:val="18"/>
                <w:szCs w:val="18"/>
              </w:rPr>
              <w:t>2011年7月</w:t>
            </w:r>
            <w:r>
              <w:rPr>
                <w:rFonts w:ascii="宋体" w:hAnsi="宋体" w:cs="宋体" w:eastAsia="宋体" w:hint="default"/>
                <w:spacing w:val="-54"/>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262" w:hRule="exact"/>
        </w:trPr>
        <w:tc>
          <w:tcPr>
            <w:tcW w:w="1828"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right="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b/>
                <w:w w:val="99"/>
                <w:sz w:val="18"/>
              </w:rPr>
              <w:t>0</w:t>
            </w:r>
            <w:r>
              <w:rPr>
                <w:rFonts w:ascii="宋体"/>
                <w:sz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b/>
                <w:w w:val="99"/>
                <w:sz w:val="18"/>
              </w:rPr>
              <w:t>0</w:t>
            </w:r>
            <w:r>
              <w:rPr>
                <w:rFonts w:ascii="宋体"/>
                <w:sz w:val="18"/>
              </w:rPr>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b/>
                <w:w w:val="95"/>
                <w:sz w:val="18"/>
              </w:rPr>
              <w:t>16,880,000</w:t>
            </w:r>
            <w:r>
              <w:rPr>
                <w:rFonts w:ascii="宋体"/>
                <w:sz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89" w:right="0"/>
              <w:jc w:val="center"/>
              <w:rPr>
                <w:rFonts w:ascii="宋体" w:hAnsi="宋体" w:cs="宋体" w:eastAsia="宋体" w:hint="default"/>
                <w:sz w:val="18"/>
                <w:szCs w:val="18"/>
              </w:rPr>
            </w:pPr>
            <w:r>
              <w:rPr>
                <w:rFonts w:ascii="宋体"/>
                <w:b/>
                <w:sz w:val="18"/>
              </w:rPr>
              <w:t>16,880,000</w:t>
            </w:r>
            <w:r>
              <w:rPr>
                <w:rFonts w:ascii="宋体"/>
                <w:sz w:val="18"/>
              </w:rPr>
            </w:r>
          </w:p>
        </w:tc>
        <w:tc>
          <w:tcPr>
            <w:tcW w:w="1264"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19"/>
          <w:szCs w:val="19"/>
        </w:rPr>
      </w:pPr>
    </w:p>
    <w:p>
      <w:pPr>
        <w:pStyle w:val="Heading2"/>
        <w:spacing w:line="240" w:lineRule="auto" w:before="13"/>
        <w:ind w:left="238" w:right="690"/>
        <w:jc w:val="left"/>
        <w:rPr>
          <w:b w:val="0"/>
          <w:bCs w:val="0"/>
        </w:rPr>
      </w:pPr>
      <w:r>
        <w:rPr/>
        <w:t>(二)报告期内股东情况介绍</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238" w:right="690"/>
        <w:jc w:val="left"/>
        <w:rPr>
          <w:b w:val="0"/>
          <w:bCs w:val="0"/>
        </w:rPr>
      </w:pPr>
      <w:r>
        <w:rPr/>
        <w:t>1、股东人数</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238" w:right="690"/>
        <w:jc w:val="left"/>
      </w:pPr>
      <w:r>
        <w:rPr/>
        <w:t>截止</w:t>
      </w:r>
      <w:r>
        <w:rPr>
          <w:spacing w:val="-59"/>
        </w:rPr>
        <w:t> </w:t>
      </w:r>
      <w:r>
        <w:rPr/>
        <w:t>2010</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日，公司在中国证券登记结算有限公司上海分公司登记的股东共有</w:t>
      </w:r>
      <w:r>
        <w:rPr/>
      </w:r>
    </w:p>
    <w:p>
      <w:pPr>
        <w:pStyle w:val="BodyText"/>
        <w:spacing w:line="313" w:lineRule="exact"/>
        <w:ind w:left="238" w:right="690"/>
        <w:jc w:val="left"/>
      </w:pPr>
      <w:r>
        <w:rPr/>
        <w:t>119,999</w:t>
      </w:r>
      <w:r>
        <w:rPr>
          <w:spacing w:val="-60"/>
        </w:rPr>
        <w:t> </w:t>
      </w:r>
      <w:r>
        <w:rPr/>
        <w:t>户，持股</w:t>
      </w:r>
      <w:r>
        <w:rPr>
          <w:spacing w:val="-60"/>
        </w:rPr>
        <w:t> </w:t>
      </w:r>
      <w:r>
        <w:rPr/>
        <w:t>993,850,554</w:t>
      </w:r>
      <w:r>
        <w:rPr>
          <w:spacing w:val="-60"/>
        </w:rPr>
        <w:t> </w:t>
      </w:r>
      <w:r>
        <w:rPr/>
        <w:t>股。</w:t>
      </w:r>
    </w:p>
    <w:p>
      <w:pPr>
        <w:spacing w:line="240" w:lineRule="auto" w:before="7"/>
        <w:rPr>
          <w:rFonts w:ascii="宋体" w:hAnsi="宋体" w:cs="宋体" w:eastAsia="宋体" w:hint="default"/>
          <w:sz w:val="23"/>
          <w:szCs w:val="23"/>
        </w:rPr>
      </w:pPr>
    </w:p>
    <w:p>
      <w:pPr>
        <w:pStyle w:val="Heading3"/>
        <w:spacing w:line="240" w:lineRule="auto"/>
        <w:ind w:left="238" w:right="690"/>
        <w:jc w:val="left"/>
        <w:rPr>
          <w:b w:val="0"/>
          <w:bCs w:val="0"/>
        </w:rPr>
      </w:pPr>
      <w:r>
        <w:rPr/>
        <w:t>2、公司主要股东持股情况(前十名股东)</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3889"/>
        <w:gridCol w:w="1442"/>
        <w:gridCol w:w="1439"/>
        <w:gridCol w:w="2536"/>
      </w:tblGrid>
      <w:tr>
        <w:trPr>
          <w:trHeight w:val="334" w:hRule="exact"/>
        </w:trPr>
        <w:tc>
          <w:tcPr>
            <w:tcW w:w="3889"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439"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占总股本数</w:t>
            </w:r>
            <w:r>
              <w:rPr>
                <w:rFonts w:ascii="宋体" w:hAnsi="宋体" w:cs="宋体" w:eastAsia="宋体" w:hint="default"/>
                <w:sz w:val="21"/>
                <w:szCs w:val="21"/>
              </w:rPr>
            </w:r>
          </w:p>
        </w:tc>
        <w:tc>
          <w:tcPr>
            <w:tcW w:w="2536"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838"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r>
      <w:tr>
        <w:trPr>
          <w:trHeight w:val="328"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237,379,689</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23.88%</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50,000,000</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5.03%</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工银瑞信核心价值股票型证券投资基金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35,645,681</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3.59%</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诺安股票证券投资基金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19,029,943</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1.91%</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唐山晶源科技有限公司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16,880,000</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1.70%</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银华核心价值优选股票型证券投资基金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10,004,189</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1.01%</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638"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34"/>
                <w:sz w:val="21"/>
                <w:szCs w:val="21"/>
              </w:rPr>
              <w:t>华夏行业精选股票型证券投资基金</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sz w:val="21"/>
              </w:rPr>
              <w:t>(LOF)</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9,999,940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1.01%</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华夏红利混合型开放式证券投资基金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9,159,733</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0.92%</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林广茂</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8,029,837</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0.81%</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银华优质增长股票型证券投资基金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6,000,000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0.60%</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8" w:hRule="exact"/>
        </w:trPr>
        <w:tc>
          <w:tcPr>
            <w:tcW w:w="38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402,129,012</w:t>
            </w:r>
          </w:p>
        </w:tc>
        <w:tc>
          <w:tcPr>
            <w:tcW w:w="1439"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40.46%</w:t>
            </w:r>
          </w:p>
        </w:tc>
        <w:tc>
          <w:tcPr>
            <w:tcW w:w="2536" w:type="dxa"/>
            <w:tcBorders>
              <w:top w:val="single" w:sz="6" w:space="0" w:color="000000"/>
              <w:left w:val="single" w:sz="6" w:space="0" w:color="000000"/>
              <w:bottom w:val="single" w:sz="12" w:space="0" w:color="000000"/>
              <w:right w:val="single" w:sz="12" w:space="0" w:color="000000"/>
            </w:tcBorders>
          </w:tcPr>
          <w:p>
            <w:pPr/>
          </w:p>
        </w:tc>
      </w:tr>
    </w:tbl>
    <w:p>
      <w:pPr>
        <w:spacing w:line="238" w:lineRule="exact" w:before="0"/>
        <w:ind w:left="238" w:right="690" w:firstLine="0"/>
        <w:jc w:val="left"/>
        <w:rPr>
          <w:rFonts w:ascii="宋体" w:hAnsi="宋体" w:cs="宋体" w:eastAsia="宋体" w:hint="default"/>
          <w:sz w:val="21"/>
          <w:szCs w:val="21"/>
        </w:rPr>
      </w:pPr>
      <w:r>
        <w:rPr>
          <w:rFonts w:ascii="宋体" w:hAnsi="宋体" w:cs="宋体" w:eastAsia="宋体" w:hint="default"/>
          <w:sz w:val="21"/>
          <w:szCs w:val="21"/>
        </w:rPr>
        <w:t>注：前十名股东中，除华夏行业精选股票型证券投资基金(LOF)、华夏红利混合型开放式证券投资基</w:t>
      </w:r>
    </w:p>
    <w:p>
      <w:pPr>
        <w:spacing w:line="272" w:lineRule="exact" w:before="26"/>
        <w:ind w:left="238" w:right="810" w:firstLine="0"/>
        <w:jc w:val="left"/>
        <w:rPr>
          <w:rFonts w:ascii="宋体" w:hAnsi="宋体" w:cs="宋体" w:eastAsia="宋体" w:hint="default"/>
          <w:sz w:val="21"/>
          <w:szCs w:val="21"/>
        </w:rPr>
      </w:pPr>
      <w:r>
        <w:rPr>
          <w:rFonts w:ascii="宋体" w:hAnsi="宋体" w:cs="宋体" w:eastAsia="宋体" w:hint="default"/>
          <w:spacing w:val="-1"/>
          <w:sz w:val="21"/>
          <w:szCs w:val="21"/>
        </w:rPr>
        <w:t>金同属华夏基金管理有限公司；银华核心价值优选股票型证券投资基金、银华优质增长股票型证券投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资基金同属银华基金管理有限公司外，公司未获知上述股东之间是否存在关联关系。</w:t>
      </w:r>
    </w:p>
    <w:p>
      <w:pPr>
        <w:spacing w:line="240" w:lineRule="auto" w:before="5"/>
        <w:rPr>
          <w:rFonts w:ascii="宋体" w:hAnsi="宋体" w:cs="宋体" w:eastAsia="宋体" w:hint="default"/>
          <w:sz w:val="21"/>
          <w:szCs w:val="21"/>
        </w:rPr>
      </w:pPr>
    </w:p>
    <w:p>
      <w:pPr>
        <w:pStyle w:val="Heading3"/>
        <w:spacing w:line="240" w:lineRule="auto"/>
        <w:ind w:left="238" w:right="690"/>
        <w:jc w:val="left"/>
        <w:rPr>
          <w:b w:val="0"/>
          <w:bCs w:val="0"/>
        </w:rPr>
      </w:pPr>
      <w:r>
        <w:rPr/>
        <w:t>3、控股股东及实际控制人情况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238" w:right="406"/>
        <w:jc w:val="left"/>
      </w:pPr>
      <w:r>
        <w:rPr/>
        <w:t>公司总股本为</w:t>
      </w:r>
      <w:r>
        <w:rPr>
          <w:spacing w:val="-56"/>
        </w:rPr>
        <w:t> </w:t>
      </w:r>
      <w:r>
        <w:rPr/>
        <w:t>993,850,554</w:t>
      </w:r>
      <w:r>
        <w:rPr>
          <w:spacing w:val="-56"/>
        </w:rPr>
        <w:t> </w:t>
      </w:r>
      <w:r>
        <w:rPr>
          <w:spacing w:val="-3"/>
        </w:rPr>
        <w:t>股。在本报告期末，清华控股有限公司持有</w:t>
      </w:r>
      <w:r>
        <w:rPr>
          <w:spacing w:val="-56"/>
        </w:rPr>
        <w:t> </w:t>
      </w:r>
      <w:r>
        <w:rPr/>
        <w:t>237,379,689</w:t>
      </w:r>
      <w:r>
        <w:rPr>
          <w:spacing w:val="-56"/>
        </w:rPr>
        <w:t> </w:t>
      </w:r>
      <w:r>
        <w:rPr/>
        <w:t>股，</w:t>
      </w:r>
    </w:p>
    <w:p>
      <w:pPr>
        <w:spacing w:after="0" w:line="240" w:lineRule="auto"/>
        <w:jc w:val="left"/>
        <w:sectPr>
          <w:type w:val="continuous"/>
          <w:pgSz w:w="11910" w:h="16840"/>
          <w:pgMar w:top="1600" w:bottom="280" w:left="1180" w:right="4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06"/>
        <w:jc w:val="left"/>
      </w:pPr>
      <w:r>
        <w:rPr/>
        <w:t>占公司总股本的</w:t>
      </w:r>
      <w:r>
        <w:rPr>
          <w:spacing w:val="-40"/>
        </w:rPr>
        <w:t> </w:t>
      </w:r>
      <w:r>
        <w:rPr/>
        <w:t>23.88%，为本公司最大股东，全部为无限售条件的流通股。其行政主管</w:t>
      </w:r>
      <w:r>
        <w:rPr/>
        <w:t> 部门为教育部，实际控制人为教育部。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69" w:lineRule="exact"/>
        <w:ind w:left="3259"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pt;mso-position-horizontal-relative:char;mso-position-vertical-relative:line" type="#_x0000_t202" filled="false" stroked="true" strokeweight=".75pt" strokecolor="#000000">
            <w10:anchorlock/>
            <v:textbox inset="0,0,0,0">
              <w:txbxContent>
                <w:p>
                  <w:pPr>
                    <w:pStyle w:val="BodyText"/>
                    <w:spacing w:line="240" w:lineRule="auto" w:before="33"/>
                    <w:ind w:left="2" w:right="0"/>
                    <w:jc w:val="center"/>
                    <w:rPr>
                      <w:rFonts w:ascii="宋体" w:hAnsi="宋体" w:cs="宋体" w:eastAsia="宋体" w:hint="default"/>
                    </w:rPr>
                  </w:pPr>
                  <w:r>
                    <w:rPr>
                      <w:rFonts w:ascii="宋体" w:hAnsi="宋体" w:cs="宋体" w:eastAsia="宋体" w:hint="default"/>
                    </w:rPr>
                    <w:t>教育部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469" w:lineRule="exact"/>
        <w:ind w:left="327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pt;mso-position-horizontal-relative:char;mso-position-vertical-relative:line" type="#_x0000_t202" filled="false" stroked="true" strokeweight=".75pt" strokecolor="#000000">
            <w10:anchorlock/>
            <v:textbox inset="0,0,0,0">
              <w:txbxContent>
                <w:p>
                  <w:pPr>
                    <w:pStyle w:val="BodyText"/>
                    <w:spacing w:line="240" w:lineRule="auto" w:before="33"/>
                    <w:ind w:left="772" w:right="0"/>
                    <w:jc w:val="left"/>
                    <w:rPr>
                      <w:rFonts w:ascii="宋体" w:hAnsi="宋体" w:cs="宋体" w:eastAsia="宋体" w:hint="default"/>
                    </w:rPr>
                  </w:pPr>
                  <w:r>
                    <w:rPr>
                      <w:rFonts w:ascii="宋体" w:hAnsi="宋体" w:cs="宋体" w:eastAsia="宋体" w:hint="default"/>
                    </w:rPr>
                    <w:t>清华大学</w:t>
                  </w:r>
                </w:p>
              </w:txbxContent>
            </v:textbox>
          </v:shape>
        </w:pict>
      </w:r>
      <w:r>
        <w:rPr>
          <w:rFonts w:ascii="宋体" w:hAnsi="宋体" w:cs="宋体" w:eastAsia="宋体" w:hint="default"/>
          <w:position w:val="-8"/>
          <w:sz w:val="20"/>
          <w:szCs w:val="20"/>
        </w:rPr>
      </w:r>
    </w:p>
    <w:p>
      <w:pPr>
        <w:spacing w:line="240" w:lineRule="auto" w:before="10"/>
        <w:rPr>
          <w:rFonts w:ascii="宋体" w:hAnsi="宋体" w:cs="宋体" w:eastAsia="宋体" w:hint="default"/>
          <w:sz w:val="12"/>
          <w:szCs w:val="12"/>
        </w:rPr>
      </w:pPr>
    </w:p>
    <w:p>
      <w:pPr>
        <w:spacing w:before="73"/>
        <w:ind w:left="4633" w:right="4085" w:firstLine="0"/>
        <w:jc w:val="center"/>
        <w:rPr>
          <w:rFonts w:ascii="Times New Roman" w:hAnsi="Times New Roman" w:cs="Times New Roman" w:eastAsia="Times New Roman" w:hint="default"/>
          <w:sz w:val="21"/>
          <w:szCs w:val="21"/>
        </w:rPr>
      </w:pPr>
      <w:r>
        <w:rPr/>
        <w:pict>
          <v:group style="position:absolute;margin-left:287.160004pt;margin-top:-55.186935pt;width:6.75pt;height:23.4pt;mso-position-horizontal-relative:page;mso-position-vertical-relative:paragraph;z-index:-1049752" coordorigin="5743,-1104" coordsize="135,468">
            <v:shape style="position:absolute;left:5743;top:-1104;width:135;height:468" coordorigin="5743,-1104" coordsize="135,468" path="m5788,-771l5743,-771,5810,-636,5866,-749,5788,-749,5788,-771xe" filled="true" fillcolor="#000000" stroked="false">
              <v:path arrowok="t"/>
              <v:fill type="solid"/>
            </v:shape>
            <v:shape style="position:absolute;left:5743;top:-1104;width:135;height:468" coordorigin="5743,-1104" coordsize="135,468" path="m5833,-1104l5789,-1104,5788,-749,5833,-749,5833,-1104xe" filled="true" fillcolor="#000000" stroked="false">
              <v:path arrowok="t"/>
              <v:fill type="solid"/>
            </v:shape>
            <v:shape style="position:absolute;left:5743;top:-1104;width:135;height:468" coordorigin="5743,-1104" coordsize="135,468" path="m5878,-771l5833,-771,5833,-749,5866,-749,5878,-771xe" filled="true" fillcolor="#000000" stroked="false">
              <v:path arrowok="t"/>
              <v:fill type="solid"/>
            </v:shape>
            <w10:wrap type="none"/>
          </v:group>
        </w:pict>
      </w:r>
      <w:r>
        <w:rPr/>
        <w:pict>
          <v:group style="position:absolute;margin-left:285.359985pt;margin-top:-4.846936pt;width:6.75pt;height:31.2pt;mso-position-horizontal-relative:page;mso-position-vertical-relative:paragraph;z-index:1312" coordorigin="5707,-97" coordsize="135,624">
            <v:shape style="position:absolute;left:5707;top:-97;width:135;height:624" coordorigin="5707,-97" coordsize="135,624" path="m5707,391l5774,527,5831,414,5752,414,5752,392,5707,391xe" filled="true" fillcolor="#000000" stroked="false">
              <v:path arrowok="t"/>
              <v:fill type="solid"/>
            </v:shape>
            <v:shape style="position:absolute;left:5707;top:-97;width:135;height:624" coordorigin="5707,-97" coordsize="135,624" path="m5752,392l5752,414,5797,414,5797,392,5752,392xe" filled="true" fillcolor="#000000" stroked="false">
              <v:path arrowok="t"/>
              <v:fill type="solid"/>
            </v:shape>
            <v:shape style="position:absolute;left:5707;top:-97;width:135;height:624" coordorigin="5707,-97" coordsize="135,624" path="m5797,392l5797,414,5831,414,5842,393,5797,392xe" filled="true" fillcolor="#000000" stroked="false">
              <v:path arrowok="t"/>
              <v:fill type="solid"/>
            </v:shape>
            <v:shape style="position:absolute;left:5707;top:-97;width:135;height:624" coordorigin="5707,-97" coordsize="135,624" path="m5797,-97l5753,-97,5752,392,5797,392,5797,-97xe" filled="true" fillcolor="#000000" stroked="false">
              <v:path arrowok="t"/>
              <v:fill type="solid"/>
            </v:shape>
            <w10:wrap type="none"/>
          </v:group>
        </w:pict>
      </w:r>
      <w:r>
        <w:rPr>
          <w:rFonts w:ascii="Times New Roman"/>
          <w:sz w:val="21"/>
        </w:rPr>
        <w:t>100%</w:t>
      </w:r>
    </w:p>
    <w:p>
      <w:pPr>
        <w:spacing w:line="240" w:lineRule="auto" w:before="9"/>
        <w:rPr>
          <w:rFonts w:ascii="Times New Roman" w:hAnsi="Times New Roman" w:cs="Times New Roman" w:eastAsia="Times New Roman" w:hint="default"/>
          <w:sz w:val="19"/>
          <w:szCs w:val="19"/>
        </w:rPr>
      </w:pPr>
    </w:p>
    <w:p>
      <w:pPr>
        <w:spacing w:line="468" w:lineRule="exact"/>
        <w:ind w:left="33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28.9500pt;height:23.4pt;mso-position-horizontal-relative:char;mso-position-vertical-relative:line" type="#_x0000_t202" filled="true" fillcolor="#ffffff" stroked="true" strokeweight="1pt" strokecolor="#000000">
            <w10:anchorlock/>
            <v:textbox inset="0,0,0,0">
              <w:txbxContent>
                <w:p>
                  <w:pPr>
                    <w:pStyle w:val="BodyText"/>
                    <w:spacing w:line="240" w:lineRule="auto" w:before="17"/>
                    <w:ind w:left="303" w:right="0"/>
                    <w:jc w:val="left"/>
                    <w:rPr>
                      <w:rFonts w:ascii="宋体" w:hAnsi="宋体" w:cs="宋体" w:eastAsia="宋体" w:hint="default"/>
                    </w:rPr>
                  </w:pPr>
                  <w:r>
                    <w:rPr>
                      <w:rFonts w:ascii="宋体" w:hAnsi="宋体" w:cs="宋体" w:eastAsia="宋体" w:hint="default"/>
                    </w:rPr>
                    <w:t>清华控股有限公司</w:t>
                  </w:r>
                </w:p>
              </w:txbxContent>
            </v:textbox>
            <v:fill type="solid"/>
          </v:shape>
        </w:pict>
      </w:r>
      <w:r>
        <w:rPr>
          <w:rFonts w:ascii="Times New Roman" w:hAnsi="Times New Roman" w:cs="Times New Roman" w:eastAsia="Times New Roman" w:hint="default"/>
          <w:position w:val="-8"/>
          <w:sz w:val="20"/>
          <w:szCs w:val="20"/>
        </w:rPr>
      </w:r>
    </w:p>
    <w:p>
      <w:pPr>
        <w:spacing w:line="240" w:lineRule="auto" w:before="6"/>
        <w:rPr>
          <w:rFonts w:ascii="Times New Roman" w:hAnsi="Times New Roman" w:cs="Times New Roman" w:eastAsia="Times New Roman" w:hint="default"/>
          <w:sz w:val="6"/>
          <w:szCs w:val="6"/>
        </w:rPr>
      </w:pPr>
    </w:p>
    <w:p>
      <w:pPr>
        <w:spacing w:before="73"/>
        <w:ind w:left="4791" w:right="4084" w:firstLine="0"/>
        <w:jc w:val="center"/>
        <w:rPr>
          <w:rFonts w:ascii="Times New Roman" w:hAnsi="Times New Roman" w:cs="Times New Roman" w:eastAsia="Times New Roman" w:hint="default"/>
          <w:sz w:val="21"/>
          <w:szCs w:val="21"/>
        </w:rPr>
      </w:pPr>
      <w:r>
        <w:rPr/>
        <w:pict>
          <v:group style="position:absolute;margin-left:285.359985pt;margin-top:-4.486987pt;width:6.75pt;height:31.2pt;mso-position-horizontal-relative:page;mso-position-vertical-relative:paragraph;z-index:-1049704" coordorigin="5707,-90" coordsize="135,624">
            <v:shape style="position:absolute;left:5707;top:-90;width:135;height:624" coordorigin="5707,-90" coordsize="135,624" path="m5707,399l5774,534,5831,421,5752,421,5752,399,5707,399xe" filled="true" fillcolor="#000000" stroked="false">
              <v:path arrowok="t"/>
              <v:fill type="solid"/>
            </v:shape>
            <v:shape style="position:absolute;left:5707;top:-90;width:135;height:624" coordorigin="5707,-90" coordsize="135,624" path="m5752,399l5752,421,5797,421,5797,399,5752,399xe" filled="true" fillcolor="#000000" stroked="false">
              <v:path arrowok="t"/>
              <v:fill type="solid"/>
            </v:shape>
            <v:shape style="position:absolute;left:5707;top:-90;width:135;height:624" coordorigin="5707,-90" coordsize="135,624" path="m5797,399l5797,421,5831,421,5842,400,5797,399xe" filled="true" fillcolor="#000000" stroked="false">
              <v:path arrowok="t"/>
              <v:fill type="solid"/>
            </v:shape>
            <v:shape style="position:absolute;left:5707;top:-90;width:135;height:624" coordorigin="5707,-90" coordsize="135,624" path="m5797,-90l5753,-90,5752,399,5797,399,5797,-90xe" filled="true" fillcolor="#000000" stroked="false">
              <v:path arrowok="t"/>
              <v:fill type="solid"/>
            </v:shape>
            <w10:wrap type="none"/>
          </v:group>
        </w:pict>
      </w:r>
      <w:r>
        <w:rPr>
          <w:rFonts w:ascii="Times New Roman"/>
          <w:sz w:val="21"/>
        </w:rPr>
        <w:t>23.88%</w:t>
      </w:r>
    </w:p>
    <w:p>
      <w:pPr>
        <w:spacing w:line="240" w:lineRule="auto" w:before="5"/>
        <w:rPr>
          <w:rFonts w:ascii="Times New Roman" w:hAnsi="Times New Roman" w:cs="Times New Roman" w:eastAsia="Times New Roman" w:hint="default"/>
          <w:sz w:val="20"/>
          <w:szCs w:val="20"/>
        </w:rPr>
      </w:pPr>
    </w:p>
    <w:p>
      <w:pPr>
        <w:spacing w:line="482" w:lineRule="exact"/>
        <w:ind w:left="27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189pt;height:24.15pt;mso-position-horizontal-relative:char;mso-position-vertical-relative:line" type="#_x0000_t202" filled="true" fillcolor="#ffffff" stroked="true" strokeweight="1pt" strokecolor="#000000">
            <w10:anchorlock/>
            <v:textbox inset="0,0,0,0">
              <w:txbxContent>
                <w:p>
                  <w:pPr>
                    <w:pStyle w:val="BodyText"/>
                    <w:spacing w:line="240" w:lineRule="auto" w:before="17"/>
                    <w:ind w:left="904" w:right="0"/>
                    <w:jc w:val="left"/>
                    <w:rPr>
                      <w:rFonts w:ascii="宋体" w:hAnsi="宋体" w:cs="宋体" w:eastAsia="宋体" w:hint="default"/>
                    </w:rPr>
                  </w:pPr>
                  <w:r>
                    <w:rPr>
                      <w:rFonts w:ascii="宋体" w:hAnsi="宋体" w:cs="宋体" w:eastAsia="宋体" w:hint="default"/>
                    </w:rPr>
                    <w:t>同方股份有限公司</w:t>
                  </w:r>
                </w:p>
              </w:txbxContent>
            </v:textbox>
            <v:fill type="solid"/>
          </v:shape>
        </w:pict>
      </w:r>
      <w:r>
        <w:rPr>
          <w:rFonts w:ascii="Times New Roman" w:hAnsi="Times New Roman" w:cs="Times New Roman" w:eastAsia="Times New Roman" w:hint="default"/>
          <w:position w:val="-9"/>
          <w:sz w:val="20"/>
          <w:szCs w:val="20"/>
        </w:rPr>
      </w:r>
    </w:p>
    <w:p>
      <w:pPr>
        <w:spacing w:line="240" w:lineRule="auto" w:before="11"/>
        <w:rPr>
          <w:rFonts w:ascii="Times New Roman" w:hAnsi="Times New Roman" w:cs="Times New Roman" w:eastAsia="Times New Roman" w:hint="default"/>
          <w:sz w:val="12"/>
          <w:szCs w:val="12"/>
        </w:rPr>
      </w:pPr>
    </w:p>
    <w:p>
      <w:pPr>
        <w:pStyle w:val="BodyText"/>
        <w:spacing w:line="237" w:lineRule="auto" w:before="28"/>
        <w:ind w:right="103"/>
        <w:jc w:val="both"/>
      </w:pPr>
      <w:r>
        <w:rPr/>
        <w:t>清华控股有限公司(以下简称“清华控股”)成立于</w:t>
      </w:r>
      <w:r>
        <w:rPr>
          <w:spacing w:val="-47"/>
        </w:rPr>
        <w:t> </w:t>
      </w:r>
      <w:r>
        <w:rPr>
          <w:spacing w:val="31"/>
        </w:rPr>
        <w:t>1992年8月</w:t>
      </w:r>
      <w:r>
        <w:rPr>
          <w:spacing w:val="-47"/>
        </w:rPr>
        <w:t> </w:t>
      </w:r>
      <w:r>
        <w:rPr/>
        <w:t>26</w:t>
      </w:r>
      <w:r>
        <w:rPr>
          <w:spacing w:val="-47"/>
        </w:rPr>
        <w:t> </w:t>
      </w:r>
      <w:r>
        <w:rPr/>
        <w:t>日，原名称为“北京</w:t>
      </w:r>
      <w:r>
        <w:rPr/>
        <w:t> </w:t>
      </w:r>
      <w:r>
        <w:rPr>
          <w:spacing w:val="-7"/>
        </w:rPr>
        <w:t>清华大学企业集团”，系清华大学所属的全民所有制企业，2003</w:t>
      </w:r>
      <w:r>
        <w:rPr>
          <w:spacing w:val="-55"/>
        </w:rPr>
        <w:t> </w:t>
      </w:r>
      <w:r>
        <w:rPr/>
        <w:t>年</w:t>
      </w:r>
      <w:r>
        <w:rPr>
          <w:spacing w:val="-55"/>
        </w:rPr>
        <w:t> </w:t>
      </w:r>
      <w:r>
        <w:rPr/>
        <w:t>9</w:t>
      </w:r>
      <w:r>
        <w:rPr>
          <w:spacing w:val="-58"/>
        </w:rPr>
        <w:t> </w:t>
      </w:r>
      <w:r>
        <w:rPr>
          <w:spacing w:val="-4"/>
        </w:rPr>
        <w:t>月，根据国务院办公</w:t>
      </w:r>
      <w:r>
        <w:rPr>
          <w:spacing w:val="-109"/>
        </w:rPr>
        <w:t> </w:t>
      </w:r>
      <w:r>
        <w:rPr>
          <w:spacing w:val="-109"/>
        </w:rPr>
      </w:r>
      <w:r>
        <w:rPr/>
        <w:t>厅《关于北京大学清华大学规范校办企业管理体制试点问题的通知》(国办函〔2001〕58</w:t>
      </w:r>
      <w:r>
        <w:rPr/>
        <w:t> 号)文件要求，经国务院批准，改制为国有独资有限责任公司，名称变更为“清华控股有 </w:t>
      </w:r>
      <w:r>
        <w:rPr>
          <w:spacing w:val="-14"/>
        </w:rPr>
        <w:t>限公司”，注册资本</w:t>
      </w:r>
      <w:r>
        <w:rPr>
          <w:spacing w:val="-57"/>
        </w:rPr>
        <w:t> </w:t>
      </w:r>
      <w:r>
        <w:rPr/>
        <w:t>20</w:t>
      </w:r>
      <w:r>
        <w:rPr>
          <w:spacing w:val="-57"/>
        </w:rPr>
        <w:t> </w:t>
      </w:r>
      <w:r>
        <w:rPr/>
        <w:t>亿元，法定代表人为荣泳霖先生。</w:t>
      </w:r>
    </w:p>
    <w:p>
      <w:pPr>
        <w:spacing w:line="240" w:lineRule="auto" w:before="11"/>
        <w:rPr>
          <w:rFonts w:ascii="宋体" w:hAnsi="宋体" w:cs="宋体" w:eastAsia="宋体" w:hint="default"/>
          <w:sz w:val="23"/>
          <w:szCs w:val="23"/>
        </w:rPr>
      </w:pPr>
    </w:p>
    <w:p>
      <w:pPr>
        <w:pStyle w:val="BodyText"/>
        <w:spacing w:line="237" w:lineRule="auto"/>
        <w:ind w:right="86"/>
        <w:jc w:val="left"/>
      </w:pPr>
      <w:r>
        <w:rPr>
          <w:spacing w:val="-2"/>
        </w:rPr>
        <w:t>清华控股依托清华大学雄厚的科技优势和人才资源，在制定清华大学科技产业发展战略、</w:t>
      </w:r>
      <w:r>
        <w:rPr>
          <w:spacing w:val="-1"/>
        </w:rPr>
        <w:t> </w:t>
      </w:r>
      <w:r>
        <w:rPr/>
        <w:t>整合资产、调整结构、协调利益等方面发挥主导作用，是清华大学科技企业投融资、科</w:t>
      </w:r>
      <w:r>
        <w:rPr>
          <w:spacing w:val="-47"/>
        </w:rPr>
        <w:t> </w:t>
      </w:r>
      <w:r>
        <w:rPr>
          <w:spacing w:val="-47"/>
        </w:rPr>
      </w:r>
      <w:r>
        <w:rPr/>
        <w:t>技开发、成果转化、高新技术企业孵化、对外贸易及经济技术合作交流等重大经营活动</w:t>
      </w:r>
      <w:r>
        <w:rPr>
          <w:spacing w:val="-47"/>
        </w:rPr>
        <w:t> </w:t>
      </w:r>
      <w:r>
        <w:rPr>
          <w:spacing w:val="-47"/>
        </w:rPr>
      </w:r>
      <w:r>
        <w:rPr/>
        <w:t>的决策和管理中心。作为清华大学唯一的国有独资有限公司和国有资产授权经营单位，</w:t>
      </w:r>
      <w:r>
        <w:rPr>
          <w:spacing w:val="-47"/>
        </w:rPr>
        <w:t> </w:t>
      </w:r>
      <w:r>
        <w:rPr>
          <w:spacing w:val="-47"/>
        </w:rPr>
      </w:r>
      <w:r>
        <w:rPr/>
        <w:t>清华控股负责经营管理清华大学全部科技型企业，是清华大学科技成果转化的平台和孵</w:t>
      </w:r>
      <w:r>
        <w:rPr>
          <w:spacing w:val="-47"/>
        </w:rPr>
        <w:t> </w:t>
      </w:r>
      <w:r>
        <w:rPr>
          <w:spacing w:val="-47"/>
        </w:rPr>
      </w:r>
      <w:r>
        <w:rPr/>
        <w:t>化器。其经营范围包括资产管理；资产受托管理；实业投资及管理；企业收购、兼并、</w:t>
      </w:r>
      <w:r>
        <w:rPr>
          <w:spacing w:val="-47"/>
        </w:rPr>
        <w:t> </w:t>
      </w:r>
      <w:r>
        <w:rPr>
          <w:spacing w:val="-47"/>
        </w:rPr>
      </w:r>
      <w:r>
        <w:rPr/>
        <w:t>资产重组的策划；科技、经济及相关业务的咨询及人员培训。</w:t>
      </w:r>
    </w:p>
    <w:p>
      <w:pPr>
        <w:spacing w:line="240" w:lineRule="auto" w:before="11"/>
        <w:rPr>
          <w:rFonts w:ascii="宋体" w:hAnsi="宋体" w:cs="宋体" w:eastAsia="宋体" w:hint="default"/>
          <w:sz w:val="23"/>
          <w:szCs w:val="23"/>
        </w:rPr>
      </w:pPr>
    </w:p>
    <w:p>
      <w:pPr>
        <w:pStyle w:val="BodyText"/>
        <w:spacing w:line="237" w:lineRule="auto"/>
        <w:ind w:right="221"/>
        <w:jc w:val="both"/>
      </w:pPr>
      <w:r>
        <w:rPr/>
        <w:t>清华控股主要拥有同方股份(股票代码“600100”)、紫光股份(股票代码“000938”)、</w:t>
      </w:r>
      <w:r>
        <w:rPr>
          <w:spacing w:val="-58"/>
        </w:rPr>
        <w:t> </w:t>
      </w:r>
      <w:r>
        <w:rPr>
          <w:spacing w:val="-58"/>
        </w:rPr>
      </w:r>
      <w:r>
        <w:rPr/>
        <w:t>诚志股份(股票代码“000990”)、启迪股份、清华大学出版社、清尚装饰、阳光能源、</w:t>
      </w:r>
      <w:r>
        <w:rPr>
          <w:spacing w:val="-49"/>
        </w:rPr>
        <w:t> </w:t>
      </w:r>
      <w:r>
        <w:rPr>
          <w:spacing w:val="-49"/>
        </w:rPr>
      </w:r>
      <w:r>
        <w:rPr/>
        <w:t>浦华环保等</w:t>
      </w:r>
      <w:r>
        <w:rPr>
          <w:spacing w:val="-79"/>
        </w:rPr>
        <w:t> </w:t>
      </w:r>
      <w:r>
        <w:rPr/>
        <w:t>23</w:t>
      </w:r>
      <w:r>
        <w:rPr>
          <w:spacing w:val="-79"/>
        </w:rPr>
        <w:t> </w:t>
      </w:r>
      <w:r>
        <w:rPr/>
        <w:t>家控股子公司，涉及信息技术、能源环保、生命科技、科技服务四大产业</w:t>
      </w:r>
      <w:r>
        <w:rPr/>
        <w:t> 领域。</w:t>
      </w:r>
    </w:p>
    <w:p>
      <w:pPr>
        <w:spacing w:line="240" w:lineRule="auto" w:before="7"/>
        <w:rPr>
          <w:rFonts w:ascii="宋体" w:hAnsi="宋体" w:cs="宋体" w:eastAsia="宋体" w:hint="default"/>
          <w:sz w:val="23"/>
          <w:szCs w:val="23"/>
        </w:rPr>
      </w:pPr>
    </w:p>
    <w:p>
      <w:pPr>
        <w:spacing w:line="475" w:lineRule="auto" w:before="0"/>
        <w:ind w:left="138" w:right="526" w:firstLine="0"/>
        <w:jc w:val="left"/>
        <w:rPr>
          <w:rFonts w:ascii="宋体" w:hAnsi="宋体" w:cs="宋体" w:eastAsia="宋体" w:hint="default"/>
          <w:sz w:val="24"/>
          <w:szCs w:val="24"/>
        </w:rPr>
      </w:pPr>
      <w:r>
        <w:rPr>
          <w:rFonts w:ascii="宋体" w:hAnsi="宋体" w:cs="宋体" w:eastAsia="宋体" w:hint="default"/>
          <w:sz w:val="24"/>
          <w:szCs w:val="24"/>
        </w:rPr>
        <w:t>本报告期内，清华控股有限公司持有本公司的股份未发生质押、冻结、托管的情况。 </w:t>
      </w:r>
      <w:r>
        <w:rPr>
          <w:rFonts w:ascii="宋体" w:hAnsi="宋体" w:cs="宋体" w:eastAsia="宋体" w:hint="default"/>
          <w:b/>
          <w:bCs/>
          <w:sz w:val="24"/>
          <w:szCs w:val="24"/>
        </w:rPr>
        <w:t>4、公司前十名无限售条件股东持股情况</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3976"/>
        <w:gridCol w:w="1660"/>
        <w:gridCol w:w="1361"/>
        <w:gridCol w:w="2019"/>
      </w:tblGrid>
      <w:tr>
        <w:trPr>
          <w:trHeight w:val="334" w:hRule="exact"/>
        </w:trPr>
        <w:tc>
          <w:tcPr>
            <w:tcW w:w="397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66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45"/>
              <w:jc w:val="right"/>
              <w:rPr>
                <w:rFonts w:ascii="宋体" w:hAnsi="宋体" w:cs="宋体" w:eastAsia="宋体" w:hint="default"/>
                <w:sz w:val="21"/>
                <w:szCs w:val="21"/>
              </w:rPr>
            </w:pPr>
            <w:r>
              <w:rPr>
                <w:rFonts w:ascii="宋体" w:hAnsi="宋体" w:cs="宋体" w:eastAsia="宋体" w:hint="default"/>
                <w:b/>
                <w:bCs/>
                <w:w w:val="95"/>
                <w:sz w:val="21"/>
                <w:szCs w:val="21"/>
              </w:rPr>
              <w:t>占总股本数</w:t>
            </w:r>
            <w:r>
              <w:rPr>
                <w:rFonts w:ascii="宋体" w:hAnsi="宋体" w:cs="宋体" w:eastAsia="宋体" w:hint="default"/>
                <w:sz w:val="21"/>
                <w:szCs w:val="21"/>
              </w:rPr>
            </w:r>
          </w:p>
        </w:tc>
        <w:tc>
          <w:tcPr>
            <w:tcW w:w="201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237,379,689</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23.88%</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50,000,000</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5.03%</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34" w:hRule="exact"/>
        </w:trPr>
        <w:tc>
          <w:tcPr>
            <w:tcW w:w="397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工银瑞信核心价值股票型证券投资基金</w:t>
            </w:r>
          </w:p>
        </w:tc>
        <w:tc>
          <w:tcPr>
            <w:tcW w:w="166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35,645,681</w:t>
            </w:r>
            <w:r>
              <w:rPr>
                <w:rFonts w:ascii="宋体"/>
                <w:sz w:val="21"/>
              </w:rPr>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3.59%</w:t>
            </w:r>
            <w:r>
              <w:rPr>
                <w:rFonts w:ascii="宋体"/>
                <w:sz w:val="21"/>
              </w:rPr>
            </w:r>
          </w:p>
        </w:tc>
        <w:tc>
          <w:tcPr>
            <w:tcW w:w="2019" w:type="dxa"/>
            <w:tcBorders>
              <w:top w:val="single" w:sz="6" w:space="0" w:color="000000"/>
              <w:left w:val="single" w:sz="6" w:space="0" w:color="000000"/>
              <w:bottom w:val="single" w:sz="12"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bl>
    <w:p>
      <w:pPr>
        <w:spacing w:after="0" w:line="258" w:lineRule="exact"/>
        <w:jc w:val="right"/>
        <w:rPr>
          <w:rFonts w:ascii="宋体" w:hAnsi="宋体" w:cs="宋体" w:eastAsia="宋体" w:hint="default"/>
          <w:sz w:val="21"/>
          <w:szCs w:val="21"/>
        </w:rPr>
        <w:sectPr>
          <w:pgSz w:w="11910" w:h="16840"/>
          <w:pgMar w:header="610" w:footer="764" w:top="1080" w:bottom="980" w:left="12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3976"/>
        <w:gridCol w:w="1660"/>
        <w:gridCol w:w="1361"/>
        <w:gridCol w:w="2019"/>
      </w:tblGrid>
      <w:tr>
        <w:trPr>
          <w:trHeight w:val="333" w:hRule="exact"/>
        </w:trPr>
        <w:tc>
          <w:tcPr>
            <w:tcW w:w="397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66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45"/>
              <w:jc w:val="right"/>
              <w:rPr>
                <w:rFonts w:ascii="宋体" w:hAnsi="宋体" w:cs="宋体" w:eastAsia="宋体" w:hint="default"/>
                <w:sz w:val="21"/>
                <w:szCs w:val="21"/>
              </w:rPr>
            </w:pPr>
            <w:r>
              <w:rPr>
                <w:rFonts w:ascii="宋体" w:hAnsi="宋体" w:cs="宋体" w:eastAsia="宋体" w:hint="default"/>
                <w:b/>
                <w:bCs/>
                <w:w w:val="95"/>
                <w:sz w:val="21"/>
                <w:szCs w:val="21"/>
              </w:rPr>
              <w:t>占总股本数</w:t>
            </w:r>
            <w:r>
              <w:rPr>
                <w:rFonts w:ascii="宋体" w:hAnsi="宋体" w:cs="宋体" w:eastAsia="宋体" w:hint="default"/>
                <w:sz w:val="21"/>
                <w:szCs w:val="21"/>
              </w:rPr>
            </w:r>
          </w:p>
        </w:tc>
        <w:tc>
          <w:tcPr>
            <w:tcW w:w="201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诺安股票证券投资基金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19,029,943</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1.91%</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银华核心价值优选股票型证券投资基金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10,004,189</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1.01%</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华夏行业精选股票型证券投资基金(LOF)</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9,999,940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1.01%</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华夏红利混合型开放式证券投资基金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9,159,733</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0.92%</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林广茂</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8,029,837</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0.81%</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银华优质增长股票型证券投资基金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6,000,000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0.60%</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35" w:hRule="exact"/>
        </w:trPr>
        <w:tc>
          <w:tcPr>
            <w:tcW w:w="397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华安策略优选股票型证券投资基金</w:t>
            </w:r>
          </w:p>
        </w:tc>
        <w:tc>
          <w:tcPr>
            <w:tcW w:w="166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4,826,938</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0.49%</w:t>
            </w:r>
          </w:p>
        </w:tc>
        <w:tc>
          <w:tcPr>
            <w:tcW w:w="2019" w:type="dxa"/>
            <w:tcBorders>
              <w:top w:val="single" w:sz="6" w:space="0" w:color="000000"/>
              <w:left w:val="single" w:sz="6" w:space="0" w:color="000000"/>
              <w:bottom w:val="single" w:sz="12" w:space="0" w:color="000000"/>
              <w:right w:val="single" w:sz="12" w:space="0" w:color="000000"/>
            </w:tcBorders>
          </w:tcPr>
          <w:p>
            <w:pPr>
              <w:pStyle w:val="TableParagraph"/>
              <w:spacing w:line="258" w:lineRule="exact"/>
              <w:ind w:right="36"/>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bl>
    <w:p>
      <w:pPr>
        <w:spacing w:line="238"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注：前十名股东中，除华夏行业精选股票型证券投资基金(LOF)、华夏红利混合型开放式证券投资基</w:t>
      </w:r>
    </w:p>
    <w:p>
      <w:pPr>
        <w:spacing w:line="272" w:lineRule="exact" w:before="26"/>
        <w:ind w:left="138" w:right="130" w:firstLine="0"/>
        <w:jc w:val="left"/>
        <w:rPr>
          <w:rFonts w:ascii="宋体" w:hAnsi="宋体" w:cs="宋体" w:eastAsia="宋体" w:hint="default"/>
          <w:sz w:val="21"/>
          <w:szCs w:val="21"/>
        </w:rPr>
      </w:pPr>
      <w:r>
        <w:rPr>
          <w:rFonts w:ascii="宋体" w:hAnsi="宋体" w:cs="宋体" w:eastAsia="宋体" w:hint="default"/>
          <w:spacing w:val="-1"/>
          <w:sz w:val="21"/>
          <w:szCs w:val="21"/>
        </w:rPr>
        <w:t>金同属华夏基金管理有限公司；银华核心价值优选股票型证券投资基金、银华优质增长股票型证券投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资基金同属银华基金管理有限公司外，公司未获知上述股东之间是否存在关联关系。</w:t>
      </w:r>
    </w:p>
    <w:p>
      <w:pPr>
        <w:spacing w:after="0" w:line="272" w:lineRule="exact"/>
        <w:jc w:val="left"/>
        <w:rPr>
          <w:rFonts w:ascii="宋体" w:hAnsi="宋体" w:cs="宋体" w:eastAsia="宋体" w:hint="default"/>
          <w:sz w:val="21"/>
          <w:szCs w:val="21"/>
        </w:rPr>
        <w:sectPr>
          <w:pgSz w:w="11910" w:h="16840"/>
          <w:pgMar w:header="610" w:footer="764" w:top="1080" w:bottom="980" w:left="1280" w:right="1140"/>
        </w:sectPr>
      </w:pPr>
    </w:p>
    <w:p>
      <w:pPr>
        <w:spacing w:line="240" w:lineRule="auto" w:before="8"/>
        <w:rPr>
          <w:rFonts w:ascii="宋体" w:hAnsi="宋体" w:cs="宋体" w:eastAsia="宋体" w:hint="default"/>
          <w:sz w:val="10"/>
          <w:szCs w:val="10"/>
        </w:rPr>
      </w:pPr>
    </w:p>
    <w:p>
      <w:pPr>
        <w:spacing w:line="954" w:lineRule="exact"/>
        <w:ind w:left="111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33.6pt;height:47.7pt;mso-position-horizontal-relative:char;mso-position-vertical-relative:line" coordorigin="0,0" coordsize="6672,954">
            <v:shape style="position:absolute;left:0;top:0;width:6672;height:954" type="#_x0000_t75" stroked="false">
              <v:imagedata r:id="rId14" o:title=""/>
            </v:shape>
            <v:group style="position:absolute;left:180;top:936;width:6300;height:2" coordorigin="180,936" coordsize="6300,2">
              <v:shape style="position:absolute;left:180;top:936;width:6300;height:2" coordorigin="180,936" coordsize="6300,0" path="m180,936l6480,936e" filled="false" stroked="true" strokeweight=".25pt" strokecolor="#000000">
                <v:path arrowok="t"/>
              </v:shape>
            </v:group>
            <v:group style="position:absolute;left:6480;top:312;width:2;height:624" coordorigin="6480,312" coordsize="2,624">
              <v:shape style="position:absolute;left:6480;top:312;width:2;height:624" coordorigin="6480,312" coordsize="0,624" path="m6480,312l6480,936e" filled="false" stroked="true" strokeweight=".25pt" strokecolor="#000000">
                <v:path arrowok="t"/>
              </v:shape>
              <v:shape style="position:absolute;left:0;top:0;width:6672;height:954" type="#_x0000_t202" filled="false" stroked="false">
                <v:textbox inset="0,0,0,0">
                  <w:txbxContent>
                    <w:p>
                      <w:pPr>
                        <w:spacing w:line="240" w:lineRule="auto" w:before="1"/>
                        <w:rPr>
                          <w:rFonts w:ascii="宋体" w:hAnsi="宋体" w:cs="宋体" w:eastAsia="宋体" w:hint="default"/>
                          <w:sz w:val="32"/>
                          <w:szCs w:val="32"/>
                        </w:rPr>
                      </w:pPr>
                    </w:p>
                    <w:p>
                      <w:pPr>
                        <w:spacing w:before="0"/>
                        <w:ind w:left="210" w:right="0" w:firstLine="0"/>
                        <w:jc w:val="left"/>
                        <w:rPr>
                          <w:rFonts w:ascii="黑体" w:hAnsi="黑体" w:cs="黑体" w:eastAsia="黑体" w:hint="default"/>
                          <w:sz w:val="30"/>
                          <w:szCs w:val="30"/>
                        </w:rPr>
                      </w:pPr>
                      <w:r>
                        <w:rPr>
                          <w:rFonts w:ascii="黑体" w:hAnsi="黑体" w:cs="黑体" w:eastAsia="黑体" w:hint="default"/>
                          <w:b/>
                          <w:bCs/>
                          <w:sz w:val="30"/>
                          <w:szCs w:val="30"/>
                        </w:rPr>
                        <w:t>四、董事、监事、高级管理人员和员工情况</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610" w:footer="764" w:top="1080" w:bottom="980" w:left="300" w:right="160"/>
        </w:sectPr>
      </w:pPr>
    </w:p>
    <w:p>
      <w:pPr>
        <w:pStyle w:val="Heading2"/>
        <w:spacing w:line="240" w:lineRule="auto" w:before="13"/>
        <w:ind w:left="1118" w:right="0"/>
        <w:jc w:val="left"/>
        <w:rPr>
          <w:b w:val="0"/>
          <w:bCs w:val="0"/>
        </w:rPr>
      </w:pPr>
      <w:r>
        <w:rPr>
          <w:w w:val="95"/>
        </w:rPr>
        <w:t>(一)公司董事、监事、高级管理人员持股变动及薪酬情况</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spacing w:before="0"/>
        <w:ind w:left="1098" w:right="1103" w:firstLine="0"/>
        <w:jc w:val="center"/>
        <w:rPr>
          <w:rFonts w:ascii="宋体" w:hAnsi="宋体" w:cs="宋体" w:eastAsia="宋体" w:hint="default"/>
          <w:sz w:val="21"/>
          <w:szCs w:val="21"/>
        </w:rPr>
      </w:pPr>
      <w:r>
        <w:rPr>
          <w:rFonts w:ascii="宋体" w:hAnsi="宋体" w:cs="宋体" w:eastAsia="宋体" w:hint="default"/>
          <w:sz w:val="21"/>
          <w:szCs w:val="21"/>
        </w:rPr>
        <w:t>单位：股</w:t>
      </w:r>
    </w:p>
    <w:p>
      <w:pPr>
        <w:spacing w:after="0"/>
        <w:jc w:val="center"/>
        <w:rPr>
          <w:rFonts w:ascii="宋体" w:hAnsi="宋体" w:cs="宋体" w:eastAsia="宋体" w:hint="default"/>
          <w:sz w:val="21"/>
          <w:szCs w:val="21"/>
        </w:rPr>
        <w:sectPr>
          <w:type w:val="continuous"/>
          <w:pgSz w:w="11910" w:h="16840"/>
          <w:pgMar w:top="1600" w:bottom="280" w:left="300" w:right="160"/>
          <w:cols w:num="2" w:equalWidth="0">
            <w:col w:w="8147" w:space="214"/>
            <w:col w:w="3089"/>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034"/>
        <w:gridCol w:w="986"/>
        <w:gridCol w:w="624"/>
        <w:gridCol w:w="624"/>
        <w:gridCol w:w="1162"/>
        <w:gridCol w:w="1266"/>
        <w:gridCol w:w="950"/>
        <w:gridCol w:w="952"/>
        <w:gridCol w:w="739"/>
        <w:gridCol w:w="1422"/>
        <w:gridCol w:w="1420"/>
      </w:tblGrid>
      <w:tr>
        <w:trPr>
          <w:trHeight w:val="1222" w:hRule="exact"/>
        </w:trPr>
        <w:tc>
          <w:tcPr>
            <w:tcW w:w="1034"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90"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986"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74" w:right="0"/>
              <w:jc w:val="left"/>
              <w:rPr>
                <w:rFonts w:ascii="宋体" w:hAnsi="宋体" w:cs="宋体" w:eastAsia="宋体" w:hint="default"/>
                <w:sz w:val="21"/>
                <w:szCs w:val="21"/>
              </w:rPr>
            </w:pPr>
            <w:r>
              <w:rPr>
                <w:rFonts w:ascii="宋体" w:hAnsi="宋体" w:cs="宋体" w:eastAsia="宋体" w:hint="default"/>
                <w:b/>
                <w:bCs/>
                <w:sz w:val="21"/>
                <w:szCs w:val="21"/>
              </w:rPr>
              <w:t>任职</w:t>
            </w:r>
            <w:r>
              <w:rPr>
                <w:rFonts w:ascii="宋体" w:hAnsi="宋体" w:cs="宋体" w:eastAsia="宋体" w:hint="default"/>
                <w:sz w:val="21"/>
                <w:szCs w:val="21"/>
              </w:rPr>
            </w:r>
          </w:p>
        </w:tc>
        <w:tc>
          <w:tcPr>
            <w:tcW w:w="62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199" w:right="198"/>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62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199" w:right="198"/>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16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467" w:right="149" w:hanging="317"/>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66"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519" w:right="200" w:hanging="316"/>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5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256" w:right="148" w:hanging="105"/>
              <w:jc w:val="left"/>
              <w:rPr>
                <w:rFonts w:ascii="宋体" w:hAnsi="宋体" w:cs="宋体" w:eastAsia="宋体" w:hint="default"/>
                <w:sz w:val="21"/>
                <w:szCs w:val="21"/>
              </w:rPr>
            </w:pPr>
            <w:r>
              <w:rPr>
                <w:rFonts w:ascii="宋体" w:hAnsi="宋体" w:cs="宋体" w:eastAsia="宋体" w:hint="default"/>
                <w:b/>
                <w:bCs/>
                <w:sz w:val="21"/>
                <w:szCs w:val="21"/>
              </w:rPr>
              <w:t>年初持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95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256" w:right="149" w:hanging="105"/>
              <w:jc w:val="left"/>
              <w:rPr>
                <w:rFonts w:ascii="宋体" w:hAnsi="宋体" w:cs="宋体" w:eastAsia="宋体" w:hint="default"/>
                <w:sz w:val="21"/>
                <w:szCs w:val="21"/>
              </w:rPr>
            </w:pPr>
            <w:r>
              <w:rPr>
                <w:rFonts w:ascii="宋体" w:hAnsi="宋体" w:cs="宋体" w:eastAsia="宋体" w:hint="default"/>
                <w:b/>
                <w:bCs/>
                <w:sz w:val="21"/>
                <w:szCs w:val="21"/>
              </w:rPr>
              <w:t>年末持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73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151" w:right="149"/>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42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04" w:lineRule="exact"/>
              <w:ind w:right="40"/>
              <w:jc w:val="center"/>
              <w:rPr>
                <w:rFonts w:ascii="宋体" w:hAnsi="宋体" w:cs="宋体" w:eastAsia="宋体" w:hint="default"/>
                <w:sz w:val="21"/>
                <w:szCs w:val="21"/>
              </w:rPr>
            </w:pPr>
            <w:r>
              <w:rPr>
                <w:rFonts w:ascii="宋体" w:hAnsi="宋体" w:cs="宋体" w:eastAsia="宋体" w:hint="default"/>
                <w:b/>
                <w:bCs/>
                <w:sz w:val="21"/>
                <w:szCs w:val="21"/>
              </w:rPr>
              <w:t>报告期内从</w:t>
            </w:r>
            <w:r>
              <w:rPr>
                <w:rFonts w:ascii="宋体" w:hAnsi="宋体" w:cs="宋体" w:eastAsia="宋体" w:hint="default"/>
                <w:sz w:val="21"/>
                <w:szCs w:val="21"/>
              </w:rPr>
            </w:r>
          </w:p>
          <w:p>
            <w:pPr>
              <w:pStyle w:val="TableParagraph"/>
              <w:spacing w:line="240" w:lineRule="exact" w:before="36"/>
              <w:ind w:left="155" w:right="196"/>
              <w:jc w:val="center"/>
              <w:rPr>
                <w:rFonts w:ascii="宋体" w:hAnsi="宋体" w:cs="宋体" w:eastAsia="宋体" w:hint="default"/>
                <w:sz w:val="21"/>
                <w:szCs w:val="21"/>
              </w:rPr>
            </w:pPr>
            <w:r>
              <w:rPr>
                <w:rFonts w:ascii="宋体" w:hAnsi="宋体" w:cs="宋体" w:eastAsia="宋体" w:hint="default"/>
                <w:b/>
                <w:bCs/>
                <w:sz w:val="21"/>
                <w:szCs w:val="21"/>
              </w:rPr>
              <w:t>公司领取的</w:t>
            </w:r>
            <w:r>
              <w:rPr>
                <w:rFonts w:ascii="宋体" w:hAnsi="宋体" w:cs="宋体" w:eastAsia="宋体" w:hint="default"/>
                <w:b/>
                <w:bCs/>
                <w:w w:val="99"/>
                <w:sz w:val="21"/>
                <w:szCs w:val="21"/>
              </w:rPr>
              <w:t> </w:t>
            </w:r>
            <w:r>
              <w:rPr>
                <w:rFonts w:ascii="宋体" w:hAnsi="宋体" w:cs="宋体" w:eastAsia="宋体" w:hint="default"/>
                <w:b/>
                <w:bCs/>
                <w:sz w:val="21"/>
                <w:szCs w:val="21"/>
              </w:rPr>
              <w:t>税前报酬总</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t>单位万 元</w:t>
            </w:r>
            <w:r>
              <w:rPr>
                <w:rFonts w:ascii="宋体" w:hAnsi="宋体" w:cs="宋体" w:eastAsia="宋体" w:hint="default"/>
                <w:b/>
                <w:bCs/>
                <w:sz w:val="21"/>
                <w:szCs w:val="21"/>
              </w:rPr>
              <w:t>)</w:t>
            </w:r>
            <w:r>
              <w:rPr>
                <w:rFonts w:ascii="宋体" w:hAnsi="宋体" w:cs="宋体" w:eastAsia="宋体" w:hint="default"/>
                <w:sz w:val="21"/>
                <w:szCs w:val="21"/>
              </w:rPr>
            </w:r>
          </w:p>
        </w:tc>
        <w:tc>
          <w:tcPr>
            <w:tcW w:w="1420"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8"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94"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荣泳霖</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64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 w:right="0"/>
              <w:jc w:val="center"/>
              <w:rPr>
                <w:rFonts w:ascii="宋体" w:hAnsi="宋体" w:cs="宋体" w:eastAsia="宋体" w:hint="default"/>
                <w:sz w:val="21"/>
                <w:szCs w:val="21"/>
              </w:rPr>
            </w:pPr>
            <w:r>
              <w:rPr>
                <w:rFonts w:ascii="宋体"/>
                <w:sz w:val="21"/>
              </w:rPr>
              <w:t>0</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53"/>
              <w:jc w:val="left"/>
              <w:rPr>
                <w:rFonts w:ascii="宋体" w:hAnsi="宋体" w:cs="宋体" w:eastAsia="宋体" w:hint="default"/>
                <w:sz w:val="21"/>
                <w:szCs w:val="21"/>
              </w:rPr>
            </w:pPr>
            <w:r>
              <w:rPr>
                <w:rFonts w:ascii="宋体" w:hAnsi="宋体" w:cs="宋体" w:eastAsia="宋体" w:hint="default"/>
                <w:spacing w:val="30"/>
                <w:sz w:val="21"/>
                <w:szCs w:val="21"/>
              </w:rPr>
              <w:t>在清华大学</w:t>
            </w:r>
            <w:r>
              <w:rPr>
                <w:rFonts w:ascii="宋体" w:hAnsi="宋体" w:cs="宋体" w:eastAsia="宋体" w:hint="default"/>
                <w:spacing w:val="-67"/>
                <w:sz w:val="21"/>
                <w:szCs w:val="21"/>
              </w:rPr>
              <w:t> </w:t>
            </w:r>
            <w:r>
              <w:rPr>
                <w:rFonts w:ascii="宋体" w:hAnsi="宋体" w:cs="宋体" w:eastAsia="宋体" w:hint="default"/>
                <w:sz w:val="21"/>
                <w:szCs w:val="21"/>
              </w:rPr>
              <w:t>领取薪金</w:t>
            </w:r>
          </w:p>
        </w:tc>
      </w:tr>
      <w:tr>
        <w:trPr>
          <w:trHeight w:val="5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14" w:hanging="1"/>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53"/>
                <w:sz w:val="21"/>
                <w:szCs w:val="21"/>
              </w:rPr>
              <w:t> </w:t>
            </w:r>
            <w:r>
              <w:rPr>
                <w:rFonts w:ascii="宋体" w:hAnsi="宋体" w:cs="宋体" w:eastAsia="宋体" w:hint="default"/>
                <w:sz w:val="21"/>
                <w:szCs w:val="21"/>
              </w:rPr>
              <w:t>事</w:t>
            </w:r>
            <w:r>
              <w:rPr>
                <w:rFonts w:ascii="宋体" w:hAnsi="宋体" w:cs="宋体" w:eastAsia="宋体" w:hint="default"/>
                <w:sz w:val="21"/>
                <w:szCs w:val="21"/>
              </w:rPr>
              <w:t> 长、总裁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238,509</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pacing w:val="-1"/>
                <w:sz w:val="21"/>
              </w:rPr>
              <w:t>238,509</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98.69</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马二恩</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63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53"/>
              <w:jc w:val="both"/>
              <w:rPr>
                <w:rFonts w:ascii="宋体" w:hAnsi="宋体" w:cs="宋体" w:eastAsia="宋体" w:hint="default"/>
                <w:sz w:val="21"/>
                <w:szCs w:val="21"/>
              </w:rPr>
            </w:pPr>
            <w:r>
              <w:rPr>
                <w:rFonts w:ascii="宋体" w:hAnsi="宋体" w:cs="宋体" w:eastAsia="宋体" w:hint="default"/>
                <w:spacing w:val="30"/>
                <w:sz w:val="21"/>
                <w:szCs w:val="21"/>
              </w:rPr>
              <w:t>在清华控股</w:t>
            </w:r>
            <w:r>
              <w:rPr>
                <w:rFonts w:ascii="宋体" w:hAnsi="宋体" w:cs="宋体" w:eastAsia="宋体" w:hint="default"/>
                <w:spacing w:val="-67"/>
                <w:sz w:val="21"/>
                <w:szCs w:val="21"/>
              </w:rPr>
              <w:t> </w:t>
            </w:r>
            <w:r>
              <w:rPr>
                <w:rFonts w:ascii="宋体" w:hAnsi="宋体" w:cs="宋体" w:eastAsia="宋体" w:hint="default"/>
                <w:spacing w:val="30"/>
                <w:sz w:val="21"/>
                <w:szCs w:val="21"/>
              </w:rPr>
              <w:t>有限公司领</w:t>
            </w:r>
            <w:r>
              <w:rPr>
                <w:rFonts w:ascii="宋体" w:hAnsi="宋体" w:cs="宋体" w:eastAsia="宋体" w:hint="default"/>
                <w:spacing w:val="-67"/>
                <w:sz w:val="21"/>
                <w:szCs w:val="21"/>
              </w:rPr>
              <w:t> </w:t>
            </w:r>
            <w:r>
              <w:rPr>
                <w:rFonts w:ascii="宋体" w:hAnsi="宋体" w:cs="宋体" w:eastAsia="宋体" w:hint="default"/>
                <w:sz w:val="21"/>
                <w:szCs w:val="21"/>
              </w:rPr>
              <w:t>取薪金</w:t>
            </w:r>
          </w:p>
        </w:tc>
      </w:tr>
      <w:tr>
        <w:trPr>
          <w:trHeight w:val="73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53"/>
              <w:jc w:val="both"/>
              <w:rPr>
                <w:rFonts w:ascii="宋体" w:hAnsi="宋体" w:cs="宋体" w:eastAsia="宋体" w:hint="default"/>
                <w:sz w:val="21"/>
                <w:szCs w:val="21"/>
              </w:rPr>
            </w:pPr>
            <w:r>
              <w:rPr>
                <w:rFonts w:ascii="宋体" w:hAnsi="宋体" w:cs="宋体" w:eastAsia="宋体" w:hint="default"/>
                <w:spacing w:val="30"/>
                <w:sz w:val="21"/>
                <w:szCs w:val="21"/>
              </w:rPr>
              <w:t>在清华控股</w:t>
            </w:r>
            <w:r>
              <w:rPr>
                <w:rFonts w:ascii="宋体" w:hAnsi="宋体" w:cs="宋体" w:eastAsia="宋体" w:hint="default"/>
                <w:spacing w:val="-67"/>
                <w:sz w:val="21"/>
                <w:szCs w:val="21"/>
              </w:rPr>
              <w:t> </w:t>
            </w:r>
            <w:r>
              <w:rPr>
                <w:rFonts w:ascii="宋体" w:hAnsi="宋体" w:cs="宋体" w:eastAsia="宋体" w:hint="default"/>
                <w:spacing w:val="30"/>
                <w:sz w:val="21"/>
                <w:szCs w:val="21"/>
              </w:rPr>
              <w:t>有限公司领</w:t>
            </w:r>
            <w:r>
              <w:rPr>
                <w:rFonts w:ascii="宋体" w:hAnsi="宋体" w:cs="宋体" w:eastAsia="宋体" w:hint="default"/>
                <w:spacing w:val="-67"/>
                <w:sz w:val="21"/>
                <w:szCs w:val="21"/>
              </w:rPr>
              <w:t> </w:t>
            </w:r>
            <w:r>
              <w:rPr>
                <w:rFonts w:ascii="宋体" w:hAnsi="宋体" w:cs="宋体" w:eastAsia="宋体" w:hint="default"/>
                <w:sz w:val="21"/>
                <w:szCs w:val="21"/>
              </w:rPr>
              <w:t>取薪金</w:t>
            </w:r>
          </w:p>
        </w:tc>
      </w:tr>
      <w:tr>
        <w:trPr>
          <w:trHeight w:val="3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程凤朝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51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10</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陈金占</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58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10</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tabs>
                <w:tab w:pos="514"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夏</w:t>
              <w:tab/>
              <w:t>斌</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59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10</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14" w:hanging="1"/>
              <w:jc w:val="left"/>
              <w:rPr>
                <w:rFonts w:ascii="宋体" w:hAnsi="宋体" w:cs="宋体" w:eastAsia="宋体" w:hint="default"/>
                <w:sz w:val="21"/>
                <w:szCs w:val="21"/>
              </w:rPr>
            </w:pPr>
            <w:r>
              <w:rPr>
                <w:rFonts w:ascii="宋体" w:hAnsi="宋体" w:cs="宋体" w:eastAsia="宋体" w:hint="default"/>
                <w:spacing w:val="13"/>
                <w:sz w:val="21"/>
                <w:szCs w:val="21"/>
              </w:rPr>
              <w:t>监事会主</w:t>
            </w:r>
            <w:r>
              <w:rPr>
                <w:rFonts w:ascii="宋体" w:hAnsi="宋体" w:cs="宋体" w:eastAsia="宋体" w:hint="default"/>
                <w:sz w:val="21"/>
                <w:szCs w:val="21"/>
              </w:rPr>
              <w:t> 席</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53"/>
              <w:jc w:val="left"/>
              <w:rPr>
                <w:rFonts w:ascii="宋体" w:hAnsi="宋体" w:cs="宋体" w:eastAsia="宋体" w:hint="default"/>
                <w:sz w:val="21"/>
                <w:szCs w:val="21"/>
              </w:rPr>
            </w:pPr>
            <w:r>
              <w:rPr>
                <w:rFonts w:ascii="宋体" w:hAnsi="宋体" w:cs="宋体" w:eastAsia="宋体" w:hint="default"/>
                <w:spacing w:val="30"/>
                <w:sz w:val="21"/>
                <w:szCs w:val="21"/>
              </w:rPr>
              <w:t>在清华大学</w:t>
            </w:r>
            <w:r>
              <w:rPr>
                <w:rFonts w:ascii="宋体" w:hAnsi="宋体" w:cs="宋体" w:eastAsia="宋体" w:hint="default"/>
                <w:spacing w:val="-67"/>
                <w:sz w:val="21"/>
                <w:szCs w:val="21"/>
              </w:rPr>
              <w:t> </w:t>
            </w:r>
            <w:r>
              <w:rPr>
                <w:rFonts w:ascii="宋体" w:hAnsi="宋体" w:cs="宋体" w:eastAsia="宋体" w:hint="default"/>
                <w:sz w:val="21"/>
                <w:szCs w:val="21"/>
              </w:rPr>
              <w:t>领取薪金</w:t>
            </w:r>
          </w:p>
        </w:tc>
      </w:tr>
      <w:tr>
        <w:trPr>
          <w:trHeight w:val="734"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tabs>
                <w:tab w:pos="514"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秦</w:t>
              <w:tab/>
              <w:t>蓬</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sz w:val="21"/>
              </w:rPr>
              <w:t>36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53"/>
              <w:jc w:val="both"/>
              <w:rPr>
                <w:rFonts w:ascii="宋体" w:hAnsi="宋体" w:cs="宋体" w:eastAsia="宋体" w:hint="default"/>
                <w:sz w:val="21"/>
                <w:szCs w:val="21"/>
              </w:rPr>
            </w:pPr>
            <w:r>
              <w:rPr>
                <w:rFonts w:ascii="宋体" w:hAnsi="宋体" w:cs="宋体" w:eastAsia="宋体" w:hint="default"/>
                <w:spacing w:val="30"/>
                <w:sz w:val="21"/>
                <w:szCs w:val="21"/>
              </w:rPr>
              <w:t>在清华控股</w:t>
            </w:r>
            <w:r>
              <w:rPr>
                <w:rFonts w:ascii="宋体" w:hAnsi="宋体" w:cs="宋体" w:eastAsia="宋体" w:hint="default"/>
                <w:spacing w:val="-67"/>
                <w:sz w:val="21"/>
                <w:szCs w:val="21"/>
              </w:rPr>
              <w:t> </w:t>
            </w:r>
            <w:r>
              <w:rPr>
                <w:rFonts w:ascii="宋体" w:hAnsi="宋体" w:cs="宋体" w:eastAsia="宋体" w:hint="default"/>
                <w:spacing w:val="30"/>
                <w:sz w:val="21"/>
                <w:szCs w:val="21"/>
              </w:rPr>
              <w:t>有限公司领</w:t>
            </w:r>
            <w:r>
              <w:rPr>
                <w:rFonts w:ascii="宋体" w:hAnsi="宋体" w:cs="宋体" w:eastAsia="宋体" w:hint="default"/>
                <w:spacing w:val="-67"/>
                <w:sz w:val="21"/>
                <w:szCs w:val="21"/>
              </w:rPr>
              <w:t> </w:t>
            </w:r>
            <w:r>
              <w:rPr>
                <w:rFonts w:ascii="宋体" w:hAnsi="宋体" w:cs="宋体" w:eastAsia="宋体" w:hint="default"/>
                <w:sz w:val="21"/>
                <w:szCs w:val="21"/>
              </w:rPr>
              <w:t>取薪金</w:t>
            </w:r>
          </w:p>
        </w:tc>
      </w:tr>
      <w:tr>
        <w:trPr>
          <w:trHeight w:val="328"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tabs>
                <w:tab w:pos="514"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刘</w:t>
              <w:tab/>
              <w:t>刚</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sz w:val="21"/>
              </w:rPr>
              <w:t>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31.77</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4,575</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4,575</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66.42</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王良海</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36.49</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2010.6-12</w:t>
            </w:r>
          </w:p>
        </w:tc>
      </w:tr>
      <w:tr>
        <w:trPr>
          <w:trHeight w:val="3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王明亮</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54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35.45</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2010.6-12</w:t>
            </w:r>
          </w:p>
        </w:tc>
      </w:tr>
      <w:tr>
        <w:trPr>
          <w:trHeight w:val="328"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薛霖</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5,000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5,000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35.45</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2010.6-12</w:t>
            </w:r>
          </w:p>
        </w:tc>
      </w:tr>
      <w:tr>
        <w:trPr>
          <w:trHeight w:val="3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杨志明</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34.5</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2010.6-12</w:t>
            </w:r>
          </w:p>
        </w:tc>
      </w:tr>
      <w:tr>
        <w:trPr>
          <w:trHeight w:val="328"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10,140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10,140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37.32</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2010.6-12</w:t>
            </w:r>
          </w:p>
        </w:tc>
      </w:tr>
      <w:tr>
        <w:trPr>
          <w:trHeight w:val="3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45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4,306</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4,306</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63.51</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5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tabs>
                <w:tab w:pos="514"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孙</w:t>
              <w:tab/>
              <w:t>岷</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14"/>
              <w:jc w:val="left"/>
              <w:rPr>
                <w:rFonts w:ascii="宋体" w:hAnsi="宋体" w:cs="宋体" w:eastAsia="宋体" w:hint="default"/>
                <w:sz w:val="21"/>
                <w:szCs w:val="21"/>
              </w:rPr>
            </w:pPr>
            <w:r>
              <w:rPr>
                <w:rFonts w:ascii="宋体" w:hAnsi="宋体" w:cs="宋体" w:eastAsia="宋体" w:hint="default"/>
                <w:spacing w:val="13"/>
                <w:sz w:val="21"/>
                <w:szCs w:val="21"/>
              </w:rPr>
              <w:t>董事会秘</w:t>
            </w:r>
            <w:r>
              <w:rPr>
                <w:rFonts w:ascii="宋体" w:hAnsi="宋体" w:cs="宋体" w:eastAsia="宋体" w:hint="default"/>
                <w:sz w:val="21"/>
                <w:szCs w:val="21"/>
              </w:rPr>
              <w:t> 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22,308</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22,308</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62.52</w:t>
            </w:r>
          </w:p>
        </w:tc>
        <w:tc>
          <w:tcPr>
            <w:tcW w:w="1420"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赵维健</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2010-5-12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2010-10-19</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27.36</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2010.6-10</w:t>
            </w:r>
          </w:p>
        </w:tc>
      </w:tr>
      <w:tr>
        <w:trPr>
          <w:trHeight w:val="328" w:hRule="exact"/>
        </w:trPr>
        <w:tc>
          <w:tcPr>
            <w:tcW w:w="1034"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49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 w:right="0"/>
              <w:jc w:val="center"/>
              <w:rPr>
                <w:rFonts w:ascii="宋体" w:hAnsi="宋体" w:cs="宋体" w:eastAsia="宋体" w:hint="default"/>
                <w:sz w:val="21"/>
                <w:szCs w:val="21"/>
              </w:rPr>
            </w:pPr>
            <w:r>
              <w:rPr>
                <w:rFonts w:ascii="宋体"/>
                <w:sz w:val="21"/>
              </w:rPr>
              <w:t>2007-5-11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2010-5-11</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20,000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20,000</w:t>
            </w:r>
          </w:p>
        </w:tc>
        <w:tc>
          <w:tcPr>
            <w:tcW w:w="739"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29.57</w:t>
            </w:r>
          </w:p>
        </w:tc>
        <w:tc>
          <w:tcPr>
            <w:tcW w:w="142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2010.1-5</w:t>
            </w:r>
          </w:p>
        </w:tc>
      </w:tr>
      <w:tr>
        <w:trPr>
          <w:trHeight w:val="334" w:hRule="exact"/>
        </w:trPr>
        <w:tc>
          <w:tcPr>
            <w:tcW w:w="1034" w:type="dxa"/>
            <w:tcBorders>
              <w:top w:val="single" w:sz="6" w:space="0" w:color="000000"/>
              <w:left w:val="single" w:sz="12" w:space="0" w:color="000000"/>
              <w:bottom w:val="single" w:sz="12"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6" w:type="dxa"/>
            <w:tcBorders>
              <w:top w:val="single" w:sz="6" w:space="0" w:color="000000"/>
              <w:left w:val="single" w:sz="6" w:space="0" w:color="000000"/>
              <w:bottom w:val="single" w:sz="12" w:space="0" w:color="000000"/>
              <w:right w:val="single" w:sz="6" w:space="0" w:color="000000"/>
            </w:tcBorders>
          </w:tcPr>
          <w:p>
            <w:pPr/>
          </w:p>
        </w:tc>
        <w:tc>
          <w:tcPr>
            <w:tcW w:w="624" w:type="dxa"/>
            <w:tcBorders>
              <w:top w:val="single" w:sz="6" w:space="0" w:color="000000"/>
              <w:left w:val="single" w:sz="6" w:space="0" w:color="000000"/>
              <w:bottom w:val="single" w:sz="12" w:space="0" w:color="000000"/>
              <w:right w:val="single" w:sz="6" w:space="0" w:color="000000"/>
            </w:tcBorders>
          </w:tcPr>
          <w:p>
            <w:pPr/>
          </w:p>
        </w:tc>
        <w:tc>
          <w:tcPr>
            <w:tcW w:w="624" w:type="dxa"/>
            <w:tcBorders>
              <w:top w:val="single" w:sz="6" w:space="0" w:color="000000"/>
              <w:left w:val="single" w:sz="6"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single" w:sz="6" w:space="0" w:color="000000"/>
            </w:tcBorders>
          </w:tcPr>
          <w:p>
            <w:pPr/>
          </w:p>
        </w:tc>
        <w:tc>
          <w:tcPr>
            <w:tcW w:w="1266" w:type="dxa"/>
            <w:tcBorders>
              <w:top w:val="single" w:sz="6" w:space="0" w:color="000000"/>
              <w:left w:val="single" w:sz="6" w:space="0" w:color="000000"/>
              <w:bottom w:val="single" w:sz="12" w:space="0" w:color="000000"/>
              <w:right w:val="single" w:sz="6" w:space="0" w:color="000000"/>
            </w:tcBorders>
          </w:tcPr>
          <w:p>
            <w:pP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304,838</w:t>
            </w:r>
          </w:p>
        </w:tc>
        <w:tc>
          <w:tcPr>
            <w:tcW w:w="952"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304,838</w:t>
            </w:r>
          </w:p>
        </w:tc>
        <w:tc>
          <w:tcPr>
            <w:tcW w:w="739" w:type="dxa"/>
            <w:tcBorders>
              <w:top w:val="single" w:sz="6" w:space="0" w:color="000000"/>
              <w:left w:val="single" w:sz="6" w:space="0" w:color="000000"/>
              <w:bottom w:val="single" w:sz="12" w:space="0" w:color="000000"/>
              <w:right w:val="single" w:sz="6" w:space="0" w:color="000000"/>
            </w:tcBorders>
          </w:tcPr>
          <w:p>
            <w:pPr/>
          </w:p>
        </w:tc>
        <w:tc>
          <w:tcPr>
            <w:tcW w:w="142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589.05</w:t>
            </w:r>
          </w:p>
        </w:tc>
        <w:tc>
          <w:tcPr>
            <w:tcW w:w="1420" w:type="dxa"/>
            <w:tcBorders>
              <w:top w:val="single" w:sz="6" w:space="0" w:color="000000"/>
              <w:left w:val="single" w:sz="6" w:space="0" w:color="000000"/>
              <w:bottom w:val="single" w:sz="12" w:space="0" w:color="000000"/>
              <w:right w:val="single" w:sz="12" w:space="0" w:color="000000"/>
            </w:tcBorders>
          </w:tcPr>
          <w:p>
            <w:pPr/>
          </w:p>
        </w:tc>
      </w:tr>
    </w:tbl>
    <w:p>
      <w:pPr>
        <w:spacing w:line="238" w:lineRule="exact" w:before="0"/>
        <w:ind w:left="1118" w:right="0" w:firstLine="0"/>
        <w:jc w:val="left"/>
        <w:rPr>
          <w:rFonts w:ascii="宋体" w:hAnsi="宋体" w:cs="宋体" w:eastAsia="宋体" w:hint="default"/>
          <w:sz w:val="21"/>
          <w:szCs w:val="21"/>
        </w:rPr>
      </w:pPr>
      <w:r>
        <w:rPr>
          <w:rFonts w:ascii="宋体" w:hAnsi="宋体" w:cs="宋体" w:eastAsia="宋体" w:hint="default"/>
          <w:sz w:val="21"/>
          <w:szCs w:val="21"/>
        </w:rPr>
        <w:t>注：税前报酬总额包括基本工资、奖金、津贴、补贴、职工福利费和各项保险费、公积金以及以其他</w:t>
      </w:r>
    </w:p>
    <w:p>
      <w:pPr>
        <w:spacing w:line="274" w:lineRule="exact" w:before="0"/>
        <w:ind w:left="1118" w:right="0" w:firstLine="0"/>
        <w:jc w:val="left"/>
        <w:rPr>
          <w:rFonts w:ascii="宋体" w:hAnsi="宋体" w:cs="宋体" w:eastAsia="宋体" w:hint="default"/>
          <w:sz w:val="21"/>
          <w:szCs w:val="21"/>
        </w:rPr>
      </w:pPr>
      <w:r>
        <w:rPr>
          <w:rFonts w:ascii="宋体" w:hAnsi="宋体" w:cs="宋体" w:eastAsia="宋体" w:hint="default"/>
          <w:sz w:val="21"/>
          <w:szCs w:val="21"/>
        </w:rPr>
        <w:t>形式从公司获得的报酬。</w:t>
      </w:r>
    </w:p>
    <w:p>
      <w:pPr>
        <w:spacing w:line="240" w:lineRule="auto" w:before="7"/>
        <w:rPr>
          <w:rFonts w:ascii="宋体" w:hAnsi="宋体" w:cs="宋体" w:eastAsia="宋体" w:hint="default"/>
          <w:sz w:val="22"/>
          <w:szCs w:val="22"/>
        </w:rPr>
      </w:pPr>
    </w:p>
    <w:p>
      <w:pPr>
        <w:pStyle w:val="Heading2"/>
        <w:spacing w:line="364" w:lineRule="exact"/>
        <w:ind w:left="1118" w:right="0"/>
        <w:jc w:val="left"/>
        <w:rPr>
          <w:b w:val="0"/>
          <w:bCs w:val="0"/>
        </w:rPr>
      </w:pPr>
      <w:r>
        <w:rPr>
          <w:spacing w:val="-2"/>
          <w:w w:val="95"/>
        </w:rPr>
        <w:t>(二)董事、监事、高级管理人员最近五年的主要工作经历及在股东单位、其</w:t>
      </w:r>
      <w:r>
        <w:rPr>
          <w:spacing w:val="39"/>
          <w:w w:val="95"/>
        </w:rPr>
        <w:t> </w:t>
      </w:r>
      <w:r>
        <w:rPr>
          <w:spacing w:val="39"/>
          <w:w w:val="95"/>
        </w:rPr>
      </w:r>
      <w:r>
        <w:rPr/>
        <w:t>他单位任职情况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1118" w:right="0"/>
        <w:jc w:val="left"/>
      </w:pPr>
      <w:r>
        <w:rPr>
          <w:rFonts w:ascii="宋体" w:hAnsi="宋体" w:cs="宋体" w:eastAsia="宋体" w:hint="default"/>
          <w:b/>
          <w:bCs/>
        </w:rPr>
        <w:t>荣泳霖先生</w:t>
      </w:r>
      <w:r>
        <w:rPr/>
        <w:t>，64</w:t>
      </w:r>
      <w:r>
        <w:rPr>
          <w:spacing w:val="-53"/>
        </w:rPr>
        <w:t> </w:t>
      </w:r>
      <w:r>
        <w:rPr/>
        <w:t>岁，研究员，毕业于清华大学化学系。2010</w:t>
      </w:r>
      <w:r>
        <w:rPr>
          <w:spacing w:val="-53"/>
        </w:rPr>
        <w:t> </w:t>
      </w:r>
      <w:r>
        <w:rPr/>
        <w:t>年</w:t>
      </w:r>
      <w:r>
        <w:rPr>
          <w:spacing w:val="-53"/>
        </w:rPr>
        <w:t> </w:t>
      </w:r>
      <w:r>
        <w:rPr/>
        <w:t>5</w:t>
      </w:r>
      <w:r>
        <w:rPr>
          <w:spacing w:val="-54"/>
        </w:rPr>
        <w:t> </w:t>
      </w:r>
      <w:r>
        <w:rPr/>
        <w:t>月</w:t>
      </w:r>
      <w:r>
        <w:rPr>
          <w:spacing w:val="-53"/>
        </w:rPr>
        <w:t> </w:t>
      </w:r>
      <w:r>
        <w:rPr/>
        <w:t>12</w:t>
      </w:r>
      <w:r>
        <w:rPr>
          <w:spacing w:val="-53"/>
        </w:rPr>
        <w:t> </w:t>
      </w:r>
      <w:r>
        <w:rPr/>
        <w:t>日至报告期末，</w:t>
      </w:r>
    </w:p>
    <w:p>
      <w:pPr>
        <w:spacing w:after="0" w:line="240" w:lineRule="auto"/>
        <w:jc w:val="left"/>
        <w:sectPr>
          <w:type w:val="continuous"/>
          <w:pgSz w:w="11910" w:h="16840"/>
          <w:pgMar w:top="1600" w:bottom="280" w:left="300" w:right="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242"/>
        <w:jc w:val="both"/>
      </w:pPr>
      <w:r>
        <w:rPr>
          <w:spacing w:val="4"/>
        </w:rPr>
        <w:t>任公司第五届董事会董事长之职。1998年9</w:t>
      </w:r>
      <w:r>
        <w:rPr>
          <w:spacing w:val="-56"/>
        </w:rPr>
        <w:t> </w:t>
      </w:r>
      <w:r>
        <w:rPr/>
        <w:t>月至</w:t>
      </w:r>
      <w:r>
        <w:rPr>
          <w:spacing w:val="-56"/>
        </w:rPr>
        <w:t> </w:t>
      </w:r>
      <w:r>
        <w:rPr>
          <w:spacing w:val="20"/>
        </w:rPr>
        <w:t>2006年3</w:t>
      </w:r>
      <w:r>
        <w:rPr>
          <w:spacing w:val="-56"/>
        </w:rPr>
        <w:t> </w:t>
      </w:r>
      <w:r>
        <w:rPr>
          <w:spacing w:val="-6"/>
        </w:rPr>
        <w:t>月，任清华大学校长助理、清</w:t>
      </w:r>
      <w:r>
        <w:rPr/>
        <w:t> </w:t>
      </w:r>
      <w:r>
        <w:rPr>
          <w:spacing w:val="5"/>
        </w:rPr>
        <w:t>华控股有限公司董事长。2006年3</w:t>
      </w:r>
      <w:r>
        <w:rPr>
          <w:spacing w:val="-60"/>
        </w:rPr>
        <w:t> </w:t>
      </w:r>
      <w:r>
        <w:rPr/>
        <w:t>月至</w:t>
      </w:r>
      <w:r>
        <w:rPr>
          <w:spacing w:val="-60"/>
        </w:rPr>
        <w:t> </w:t>
      </w:r>
      <w:r>
        <w:rPr>
          <w:spacing w:val="20"/>
        </w:rPr>
        <w:t>2010年4</w:t>
      </w:r>
      <w:r>
        <w:rPr>
          <w:spacing w:val="-60"/>
        </w:rPr>
        <w:t> </w:t>
      </w:r>
      <w:r>
        <w:rPr>
          <w:spacing w:val="-4"/>
        </w:rPr>
        <w:t>月，任清华大学校务委员会副主任、清</w:t>
      </w:r>
      <w:r>
        <w:rPr/>
        <w:t> 华大学经营性资产管理办公室主任。2010</w:t>
      </w:r>
      <w:r>
        <w:rPr>
          <w:spacing w:val="-53"/>
        </w:rPr>
        <w:t> </w:t>
      </w:r>
      <w:r>
        <w:rPr/>
        <w:t>年</w:t>
      </w:r>
      <w:r>
        <w:rPr>
          <w:spacing w:val="-53"/>
        </w:rPr>
        <w:t> </w:t>
      </w:r>
      <w:r>
        <w:rPr/>
        <w:t>4</w:t>
      </w:r>
      <w:r>
        <w:rPr>
          <w:spacing w:val="-53"/>
        </w:rPr>
        <w:t> </w:t>
      </w:r>
      <w:r>
        <w:rPr/>
        <w:t>月至报告期末，任清华控股有限公司董事</w:t>
      </w:r>
      <w:r>
        <w:rPr/>
        <w:t> 长。1997</w:t>
      </w:r>
      <w:r>
        <w:rPr>
          <w:spacing w:val="-53"/>
        </w:rPr>
        <w:t> </w:t>
      </w:r>
      <w:r>
        <w:rPr/>
        <w:t>年</w:t>
      </w:r>
      <w:r>
        <w:rPr>
          <w:spacing w:val="-53"/>
        </w:rPr>
        <w:t> </w:t>
      </w:r>
      <w:r>
        <w:rPr/>
        <w:t>6</w:t>
      </w:r>
      <w:r>
        <w:rPr>
          <w:spacing w:val="-53"/>
        </w:rPr>
        <w:t> </w:t>
      </w:r>
      <w:r>
        <w:rPr/>
        <w:t>月至报告期末，历任公司副董事长、董事长。在清华大学领取薪金，不在</w:t>
      </w:r>
      <w:r>
        <w:rPr/>
        <w:t> 本公司受领年薪。在其他单位任职或兼职情况：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2010-7-21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2013－7-21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78" w:hRule="exact"/>
        </w:trPr>
        <w:tc>
          <w:tcPr>
            <w:tcW w:w="3403"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诚志股份有限公司</w:t>
            </w:r>
          </w:p>
        </w:tc>
        <w:tc>
          <w:tcPr>
            <w:tcW w:w="143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2010-10-1</w:t>
            </w:r>
          </w:p>
        </w:tc>
        <w:tc>
          <w:tcPr>
            <w:tcW w:w="149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2013-10-1</w:t>
            </w:r>
          </w:p>
        </w:tc>
        <w:tc>
          <w:tcPr>
            <w:tcW w:w="1583"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62"/>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1" w:hRule="exact"/>
        </w:trPr>
        <w:tc>
          <w:tcPr>
            <w:tcW w:w="3403" w:type="dxa"/>
            <w:tcBorders>
              <w:top w:val="single" w:sz="4" w:space="0" w:color="000000"/>
              <w:left w:val="single" w:sz="12" w:space="0" w:color="000000"/>
              <w:bottom w:val="single" w:sz="12" w:space="0" w:color="000000"/>
              <w:right w:val="single" w:sz="6" w:space="0" w:color="000000"/>
            </w:tcBorders>
          </w:tcPr>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清华大学出版社</w:t>
            </w:r>
          </w:p>
        </w:tc>
        <w:tc>
          <w:tcPr>
            <w:tcW w:w="143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sz w:val="21"/>
              </w:rPr>
              <w:t>2010-6-1</w:t>
            </w:r>
          </w:p>
        </w:tc>
        <w:tc>
          <w:tcPr>
            <w:tcW w:w="1499"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2013-6-1</w:t>
            </w:r>
          </w:p>
        </w:tc>
        <w:tc>
          <w:tcPr>
            <w:tcW w:w="1583" w:type="dxa"/>
            <w:tcBorders>
              <w:top w:val="single" w:sz="4" w:space="0" w:color="000000"/>
              <w:left w:val="single" w:sz="6" w:space="0" w:color="000000"/>
              <w:bottom w:val="single" w:sz="12" w:space="0" w:color="000000"/>
              <w:right w:val="single" w:sz="12"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238" w:right="108"/>
        <w:jc w:val="left"/>
      </w:pPr>
      <w:r>
        <w:rPr>
          <w:rFonts w:ascii="宋体" w:hAnsi="宋体" w:cs="宋体" w:eastAsia="宋体" w:hint="default"/>
          <w:b/>
          <w:bCs/>
        </w:rPr>
        <w:t>陆致成先生</w:t>
      </w:r>
      <w:r>
        <w:rPr/>
        <w:t>，62</w:t>
      </w:r>
      <w:r>
        <w:rPr>
          <w:spacing w:val="-46"/>
        </w:rPr>
        <w:t> </w:t>
      </w:r>
      <w:r>
        <w:rPr>
          <w:spacing w:val="8"/>
        </w:rPr>
        <w:t>岁，研究员，毕业于清华大学热能工程系。2010年5月</w:t>
      </w:r>
      <w:r>
        <w:rPr>
          <w:spacing w:val="-46"/>
        </w:rPr>
        <w:t> </w:t>
      </w:r>
      <w:r>
        <w:rPr/>
        <w:t>12</w:t>
      </w:r>
      <w:r>
        <w:rPr>
          <w:spacing w:val="-47"/>
        </w:rPr>
        <w:t> </w:t>
      </w:r>
      <w:r>
        <w:rPr/>
        <w:t>日至报告期</w:t>
      </w:r>
      <w:r>
        <w:rPr>
          <w:spacing w:val="-117"/>
        </w:rPr>
        <w:t> </w:t>
      </w:r>
      <w:r>
        <w:rPr>
          <w:spacing w:val="-117"/>
        </w:rPr>
      </w:r>
      <w:r>
        <w:rPr>
          <w:spacing w:val="4"/>
        </w:rPr>
        <w:t>末，任公司第五届董事会副董事长兼公司总裁之职。2010年8</w:t>
      </w:r>
      <w:r>
        <w:rPr>
          <w:spacing w:val="-48"/>
        </w:rPr>
        <w:t> </w:t>
      </w:r>
      <w:r>
        <w:rPr/>
        <w:t>月至报告期末，任清华控</w:t>
      </w:r>
      <w:r>
        <w:rPr>
          <w:spacing w:val="-110"/>
        </w:rPr>
        <w:t> </w:t>
      </w:r>
      <w:r>
        <w:rPr>
          <w:spacing w:val="-110"/>
        </w:rPr>
      </w:r>
      <w:r>
        <w:rPr>
          <w:spacing w:val="-3"/>
        </w:rPr>
        <w:t>股有限公司第三届董事会董事之职。1997</w:t>
      </w:r>
      <w:r>
        <w:rPr>
          <w:spacing w:val="-55"/>
        </w:rPr>
        <w:t> </w:t>
      </w:r>
      <w:r>
        <w:rPr/>
        <w:t>年</w:t>
      </w:r>
      <w:r>
        <w:rPr>
          <w:spacing w:val="-55"/>
        </w:rPr>
        <w:t> </w:t>
      </w:r>
      <w:r>
        <w:rPr/>
        <w:t>6</w:t>
      </w:r>
      <w:r>
        <w:rPr>
          <w:spacing w:val="-55"/>
        </w:rPr>
        <w:t> </w:t>
      </w:r>
      <w:r>
        <w:rPr>
          <w:spacing w:val="-3"/>
        </w:rPr>
        <w:t>月至报告期末，历任公司董事兼公司总裁、</w:t>
      </w:r>
      <w:r>
        <w:rPr/>
        <w:t> 副董事长兼公司总裁。未在除公司子公司以外的其他单位任职或兼职，在股东单位任职</w:t>
      </w:r>
      <w:r>
        <w:rPr>
          <w:spacing w:val="-47"/>
        </w:rPr>
        <w:t> </w:t>
      </w:r>
      <w:r>
        <w:rPr>
          <w:spacing w:val="-47"/>
        </w:rPr>
      </w:r>
      <w:r>
        <w:rPr/>
        <w:t>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left="497"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9"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2010-8-23</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2013-8-23</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8"/>
          <w:szCs w:val="18"/>
        </w:rPr>
      </w:pPr>
    </w:p>
    <w:p>
      <w:pPr>
        <w:pStyle w:val="BodyText"/>
        <w:spacing w:line="237" w:lineRule="auto" w:before="28"/>
        <w:ind w:left="238" w:right="114"/>
        <w:jc w:val="left"/>
      </w:pPr>
      <w:r>
        <w:rPr>
          <w:rFonts w:ascii="宋体" w:hAnsi="宋体" w:cs="宋体" w:eastAsia="宋体" w:hint="default"/>
          <w:b/>
          <w:bCs/>
        </w:rPr>
        <w:t>马二恩女士，</w:t>
      </w:r>
      <w:r>
        <w:rPr/>
        <w:t>63</w:t>
      </w:r>
      <w:r>
        <w:rPr>
          <w:spacing w:val="-49"/>
        </w:rPr>
        <w:t> </w:t>
      </w:r>
      <w:r>
        <w:rPr/>
        <w:t>岁，研究员，毕业于清华大学冶金系。2010</w:t>
      </w:r>
      <w:r>
        <w:rPr>
          <w:spacing w:val="-49"/>
        </w:rPr>
        <w:t> </w:t>
      </w:r>
      <w:r>
        <w:rPr/>
        <w:t>年</w:t>
      </w:r>
      <w:r>
        <w:rPr>
          <w:spacing w:val="-49"/>
        </w:rPr>
        <w:t> </w:t>
      </w:r>
      <w:r>
        <w:rPr/>
        <w:t>5</w:t>
      </w:r>
      <w:r>
        <w:rPr>
          <w:spacing w:val="-48"/>
        </w:rPr>
        <w:t> </w:t>
      </w:r>
      <w:r>
        <w:rPr/>
        <w:t>月</w:t>
      </w:r>
      <w:r>
        <w:rPr>
          <w:spacing w:val="-49"/>
        </w:rPr>
        <w:t> </w:t>
      </w:r>
      <w:r>
        <w:rPr/>
        <w:t>12</w:t>
      </w:r>
      <w:r>
        <w:rPr>
          <w:spacing w:val="-49"/>
        </w:rPr>
        <w:t> </w:t>
      </w:r>
      <w:r>
        <w:rPr/>
        <w:t>日至报告期末，</w:t>
      </w:r>
      <w:r>
        <w:rPr/>
        <w:t> </w:t>
      </w:r>
      <w:r>
        <w:rPr>
          <w:spacing w:val="-3"/>
        </w:rPr>
        <w:t>任公司第五届董事会董事之职。1992</w:t>
      </w:r>
      <w:r>
        <w:rPr>
          <w:spacing w:val="-60"/>
        </w:rPr>
        <w:t> </w:t>
      </w:r>
      <w:r>
        <w:rPr/>
        <w:t>年</w:t>
      </w:r>
      <w:r>
        <w:rPr>
          <w:spacing w:val="-60"/>
        </w:rPr>
        <w:t> </w:t>
      </w:r>
      <w:r>
        <w:rPr/>
        <w:t>11</w:t>
      </w:r>
      <w:r>
        <w:rPr>
          <w:spacing w:val="-60"/>
        </w:rPr>
        <w:t> </w:t>
      </w:r>
      <w:r>
        <w:rPr/>
        <w:t>月至</w:t>
      </w:r>
      <w:r>
        <w:rPr>
          <w:spacing w:val="-60"/>
        </w:rPr>
        <w:t> </w:t>
      </w:r>
      <w:r>
        <w:rPr/>
        <w:t>1995</w:t>
      </w:r>
      <w:r>
        <w:rPr>
          <w:spacing w:val="-60"/>
        </w:rPr>
        <w:t> </w:t>
      </w:r>
      <w:r>
        <w:rPr/>
        <w:t>年</w:t>
      </w:r>
      <w:r>
        <w:rPr>
          <w:spacing w:val="-60"/>
        </w:rPr>
        <w:t> </w:t>
      </w:r>
      <w:r>
        <w:rPr/>
        <w:t>11</w:t>
      </w:r>
      <w:r>
        <w:rPr>
          <w:spacing w:val="-60"/>
        </w:rPr>
        <w:t> </w:t>
      </w:r>
      <w:r>
        <w:rPr>
          <w:spacing w:val="-4"/>
        </w:rPr>
        <w:t>月，任清华大学产业党委副书</w:t>
      </w:r>
      <w:r>
        <w:rPr/>
        <w:t> </w:t>
      </w:r>
      <w:r>
        <w:rPr>
          <w:spacing w:val="-10"/>
        </w:rPr>
        <w:t>记。1995</w:t>
      </w:r>
      <w:r>
        <w:rPr>
          <w:spacing w:val="-50"/>
        </w:rPr>
        <w:t> </w:t>
      </w:r>
      <w:r>
        <w:rPr/>
        <w:t>年</w:t>
      </w:r>
      <w:r>
        <w:rPr>
          <w:spacing w:val="-50"/>
        </w:rPr>
        <w:t> </w:t>
      </w:r>
      <w:r>
        <w:rPr/>
        <w:t>11</w:t>
      </w:r>
      <w:r>
        <w:rPr>
          <w:spacing w:val="-50"/>
        </w:rPr>
        <w:t> </w:t>
      </w:r>
      <w:r>
        <w:rPr>
          <w:spacing w:val="-6"/>
        </w:rPr>
        <w:t>月至报告期末，历任清华控股有限公司副董事长、党委书记、党委副书记。</w:t>
      </w:r>
      <w:r>
        <w:rPr>
          <w:spacing w:val="-118"/>
        </w:rPr>
        <w:t> </w:t>
      </w:r>
      <w:r>
        <w:rPr>
          <w:spacing w:val="-118"/>
        </w:rPr>
      </w:r>
      <w:r>
        <w:rPr/>
        <w:t>在清华控股有限公司领取薪金，不在本公司受领年薪。除在本公司控股子公司任职外，</w:t>
      </w:r>
      <w:r>
        <w:rPr>
          <w:spacing w:val="-47"/>
        </w:rPr>
        <w:t> </w:t>
      </w:r>
      <w:r>
        <w:rPr>
          <w:spacing w:val="-47"/>
        </w:rPr>
      </w:r>
      <w:r>
        <w:rPr/>
        <w:t>在其他单位任职或兼职情况：</w:t>
      </w:r>
    </w:p>
    <w:p>
      <w:pPr>
        <w:spacing w:line="240" w:lineRule="auto" w:before="9"/>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8"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2007-12-1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2010-12-30</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72" w:hRule="exact"/>
        </w:trPr>
        <w:tc>
          <w:tcPr>
            <w:tcW w:w="3403" w:type="dxa"/>
            <w:tcBorders>
              <w:top w:val="single" w:sz="6" w:space="0" w:color="000000"/>
              <w:left w:val="single" w:sz="12" w:space="0" w:color="000000"/>
              <w:bottom w:val="single" w:sz="4"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紫光股份有限公司</w:t>
            </w:r>
          </w:p>
        </w:tc>
        <w:tc>
          <w:tcPr>
            <w:tcW w:w="143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sz w:val="21"/>
              </w:rPr>
              <w:t>2008-3-16</w:t>
            </w:r>
          </w:p>
        </w:tc>
        <w:tc>
          <w:tcPr>
            <w:tcW w:w="149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2011-3-16</w:t>
            </w:r>
          </w:p>
        </w:tc>
        <w:tc>
          <w:tcPr>
            <w:tcW w:w="1583"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9"/>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85" w:hRule="exact"/>
        </w:trPr>
        <w:tc>
          <w:tcPr>
            <w:tcW w:w="3403" w:type="dxa"/>
            <w:tcBorders>
              <w:top w:val="single" w:sz="4"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北京泽华化学工程有限公司</w:t>
            </w:r>
          </w:p>
        </w:tc>
        <w:tc>
          <w:tcPr>
            <w:tcW w:w="1434"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99"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left="322" w:right="0"/>
              <w:jc w:val="left"/>
              <w:rPr>
                <w:rFonts w:ascii="宋体" w:hAnsi="宋体" w:cs="宋体" w:eastAsia="宋体" w:hint="default"/>
                <w:sz w:val="21"/>
                <w:szCs w:val="21"/>
              </w:rPr>
            </w:pPr>
            <w:r>
              <w:rPr>
                <w:rFonts w:ascii="宋体"/>
                <w:sz w:val="21"/>
              </w:rPr>
              <w:t>2008-3-1</w:t>
            </w:r>
          </w:p>
        </w:tc>
        <w:tc>
          <w:tcPr>
            <w:tcW w:w="1499"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2011-3-1</w:t>
            </w:r>
          </w:p>
        </w:tc>
        <w:tc>
          <w:tcPr>
            <w:tcW w:w="1583" w:type="dxa"/>
            <w:tcBorders>
              <w:top w:val="single" w:sz="4" w:space="0" w:color="000000"/>
              <w:left w:val="single" w:sz="6" w:space="0" w:color="000000"/>
              <w:bottom w:val="single" w:sz="12" w:space="0" w:color="000000"/>
              <w:right w:val="single" w:sz="12" w:space="0" w:color="000000"/>
            </w:tcBorders>
          </w:tcPr>
          <w:p>
            <w:pPr>
              <w:pStyle w:val="TableParagraph"/>
              <w:spacing w:line="240" w:lineRule="auto" w:before="60"/>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8"/>
          <w:szCs w:val="18"/>
        </w:rPr>
      </w:pPr>
    </w:p>
    <w:p>
      <w:pPr>
        <w:pStyle w:val="BodyText"/>
        <w:spacing w:line="237" w:lineRule="auto" w:before="28"/>
        <w:ind w:left="238" w:right="240"/>
        <w:jc w:val="both"/>
      </w:pPr>
      <w:r>
        <w:rPr>
          <w:rFonts w:ascii="宋体" w:hAnsi="宋体" w:cs="宋体" w:eastAsia="宋体" w:hint="default"/>
          <w:b/>
          <w:bCs/>
        </w:rPr>
        <w:t>周立业先生，</w:t>
      </w:r>
      <w:r>
        <w:rPr/>
        <w:t>47</w:t>
      </w:r>
      <w:r>
        <w:rPr>
          <w:spacing w:val="-68"/>
        </w:rPr>
        <w:t> </w:t>
      </w:r>
      <w:r>
        <w:rPr/>
        <w:t>岁，研究员，毕业于清华大学物理系，硕士。</w:t>
      </w:r>
      <w:r>
        <w:rPr>
          <w:spacing w:val="-23"/>
        </w:rPr>
        <w:t> </w:t>
      </w:r>
      <w:r>
        <w:rPr>
          <w:spacing w:val="25"/>
        </w:rPr>
        <w:t>2010年5月</w:t>
      </w:r>
      <w:r>
        <w:rPr>
          <w:spacing w:val="-68"/>
        </w:rPr>
        <w:t> </w:t>
      </w:r>
      <w:r>
        <w:rPr/>
        <w:t>12</w:t>
      </w:r>
      <w:r>
        <w:rPr>
          <w:spacing w:val="-68"/>
        </w:rPr>
        <w:t> </w:t>
      </w:r>
      <w:r>
        <w:rPr/>
        <w:t>日至报告</w:t>
      </w:r>
      <w:r>
        <w:rPr/>
        <w:t> </w:t>
      </w:r>
      <w:r>
        <w:rPr>
          <w:spacing w:val="-4"/>
        </w:rPr>
        <w:t>期末，任公司第五届董事会董事之职。1987</w:t>
      </w:r>
      <w:r>
        <w:rPr>
          <w:spacing w:val="-59"/>
        </w:rPr>
        <w:t> </w:t>
      </w:r>
      <w:r>
        <w:rPr/>
        <w:t>年</w:t>
      </w:r>
      <w:r>
        <w:rPr>
          <w:spacing w:val="-57"/>
        </w:rPr>
        <w:t> </w:t>
      </w:r>
      <w:r>
        <w:rPr/>
        <w:t>1</w:t>
      </w:r>
      <w:r>
        <w:rPr>
          <w:spacing w:val="-57"/>
        </w:rPr>
        <w:t> </w:t>
      </w:r>
      <w:r>
        <w:rPr/>
        <w:t>月至</w:t>
      </w:r>
      <w:r>
        <w:rPr>
          <w:spacing w:val="-57"/>
        </w:rPr>
        <w:t> </w:t>
      </w:r>
      <w:r>
        <w:rPr>
          <w:spacing w:val="20"/>
        </w:rPr>
        <w:t>2001年2</w:t>
      </w:r>
      <w:r>
        <w:rPr>
          <w:spacing w:val="-57"/>
        </w:rPr>
        <w:t> </w:t>
      </w:r>
      <w:r>
        <w:rPr>
          <w:spacing w:val="-3"/>
        </w:rPr>
        <w:t>月，任清华大学核研院党</w:t>
      </w:r>
      <w:r>
        <w:rPr/>
        <w:t> </w:t>
      </w:r>
      <w:r>
        <w:rPr>
          <w:spacing w:val="10"/>
        </w:rPr>
        <w:t>委委员等职务；2001年3</w:t>
      </w:r>
      <w:r>
        <w:rPr>
          <w:spacing w:val="-47"/>
        </w:rPr>
        <w:t> </w:t>
      </w:r>
      <w:r>
        <w:rPr/>
        <w:t>月至</w:t>
      </w:r>
      <w:r>
        <w:rPr>
          <w:spacing w:val="-47"/>
        </w:rPr>
        <w:t> </w:t>
      </w:r>
      <w:r>
        <w:rPr>
          <w:spacing w:val="22"/>
        </w:rPr>
        <w:t>2003年8</w:t>
      </w:r>
      <w:r>
        <w:rPr>
          <w:spacing w:val="-47"/>
        </w:rPr>
        <w:t> </w:t>
      </w:r>
      <w:r>
        <w:rPr>
          <w:spacing w:val="6"/>
        </w:rPr>
        <w:t>月，任清华大学核研院副院长；2002年4</w:t>
      </w:r>
      <w:r>
        <w:rPr>
          <w:spacing w:val="-47"/>
        </w:rPr>
        <w:t> </w:t>
      </w:r>
      <w:r>
        <w:rPr/>
        <w:t>月至</w:t>
      </w:r>
      <w:r>
        <w:rPr/>
        <w:t> 2003</w:t>
      </w:r>
      <w:r>
        <w:rPr>
          <w:spacing w:val="-47"/>
        </w:rPr>
        <w:t> </w:t>
      </w:r>
      <w:r>
        <w:rPr/>
        <w:t>年</w:t>
      </w:r>
      <w:r>
        <w:rPr>
          <w:spacing w:val="-47"/>
        </w:rPr>
        <w:t> </w:t>
      </w:r>
      <w:r>
        <w:rPr/>
        <w:t>6</w:t>
      </w:r>
      <w:r>
        <w:rPr>
          <w:spacing w:val="-46"/>
        </w:rPr>
        <w:t> </w:t>
      </w:r>
      <w:r>
        <w:rPr/>
        <w:t>月，兼任内蒙古宏峰实业股份有限公司总经理；2003</w:t>
      </w:r>
      <w:r>
        <w:rPr>
          <w:spacing w:val="-47"/>
        </w:rPr>
        <w:t> </w:t>
      </w:r>
      <w:r>
        <w:rPr/>
        <w:t>年</w:t>
      </w:r>
      <w:r>
        <w:rPr>
          <w:spacing w:val="-47"/>
        </w:rPr>
        <w:t> </w:t>
      </w:r>
      <w:r>
        <w:rPr/>
        <w:t>11</w:t>
      </w:r>
      <w:r>
        <w:rPr>
          <w:spacing w:val="-47"/>
        </w:rPr>
        <w:t> </w:t>
      </w:r>
      <w:r>
        <w:rPr/>
        <w:t>月至报告期末，历</w:t>
      </w:r>
      <w:r>
        <w:rPr/>
        <w:t> 任清华控股有限公司副总裁、董事兼总裁。在清华控股有限公司领取薪金，不在本公司</w:t>
      </w:r>
      <w:r>
        <w:rPr>
          <w:spacing w:val="-47"/>
        </w:rPr>
        <w:t> </w:t>
      </w:r>
      <w:r>
        <w:rPr>
          <w:spacing w:val="-47"/>
        </w:rPr>
      </w:r>
      <w:r>
        <w:rPr/>
        <w:t>受领年薪。在其他单位任职或兼职情况：</w:t>
      </w:r>
    </w:p>
    <w:p>
      <w:pPr>
        <w:spacing w:after="0" w:line="237"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8"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2010-7-21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2013-7-21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博奥生物有限公司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2010-1-1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2013-1-1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辽宁省路桥建设有限公司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2009-10-1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2012-10-1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北京华环电子股份有限公司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2008-3-1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2011-3-1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浦华环保有限公司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2009-6-1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2012-6-1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2009-3-1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2012-3-1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6"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93" w:right="0"/>
              <w:jc w:val="left"/>
              <w:rPr>
                <w:rFonts w:ascii="宋体" w:hAnsi="宋体" w:cs="宋体" w:eastAsia="宋体" w:hint="default"/>
                <w:sz w:val="21"/>
                <w:szCs w:val="21"/>
              </w:rPr>
            </w:pPr>
            <w:r>
              <w:rPr>
                <w:rFonts w:ascii="宋体" w:hAnsi="宋体" w:cs="宋体" w:eastAsia="宋体" w:hint="default"/>
                <w:sz w:val="21"/>
                <w:szCs w:val="21"/>
              </w:rPr>
              <w:t>河北华控弘屹科技有限公司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2008-3-1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2011-3-1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龙江环保集团股份有限公司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2013-3-1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深圳华融泰资产管理有限公司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2010-1-1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2013-1-1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4"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中核能源科技有限公司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2010-6-1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2013-6-1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5"/>
          <w:szCs w:val="15"/>
        </w:rPr>
      </w:pPr>
    </w:p>
    <w:p>
      <w:pPr>
        <w:pStyle w:val="BodyText"/>
        <w:spacing w:line="237" w:lineRule="auto" w:before="28"/>
        <w:ind w:left="238" w:right="108"/>
        <w:jc w:val="left"/>
      </w:pPr>
      <w:r>
        <w:rPr>
          <w:rFonts w:ascii="宋体" w:hAnsi="宋体" w:cs="宋体" w:eastAsia="宋体" w:hint="default"/>
          <w:b/>
          <w:bCs/>
        </w:rPr>
        <w:t>程凤朝先生</w:t>
      </w:r>
      <w:r>
        <w:rPr/>
        <w:t>，</w:t>
      </w:r>
      <w:r>
        <w:rPr>
          <w:spacing w:val="-19"/>
        </w:rPr>
        <w:t> </w:t>
      </w:r>
      <w:r>
        <w:rPr/>
        <w:t>51</w:t>
      </w:r>
      <w:r>
        <w:rPr>
          <w:spacing w:val="-59"/>
        </w:rPr>
        <w:t> </w:t>
      </w:r>
      <w:r>
        <w:rPr>
          <w:spacing w:val="-3"/>
        </w:rPr>
        <w:t>岁，博士，注册会计师、注册资产评估师，毕业于湖南大学工商管理学</w:t>
      </w:r>
      <w:r>
        <w:rPr>
          <w:spacing w:val="-117"/>
        </w:rPr>
        <w:t> </w:t>
      </w:r>
      <w:r>
        <w:rPr>
          <w:spacing w:val="-117"/>
        </w:rPr>
      </w:r>
      <w:r>
        <w:rPr>
          <w:spacing w:val="7"/>
        </w:rPr>
        <w:t>院管理科学与工程专业。2010年5月</w:t>
      </w:r>
      <w:r>
        <w:rPr>
          <w:spacing w:val="-56"/>
        </w:rPr>
        <w:t> </w:t>
      </w:r>
      <w:r>
        <w:rPr/>
        <w:t>12</w:t>
      </w:r>
      <w:r>
        <w:rPr>
          <w:spacing w:val="-56"/>
        </w:rPr>
        <w:t> </w:t>
      </w:r>
      <w:r>
        <w:rPr>
          <w:spacing w:val="-3"/>
        </w:rPr>
        <w:t>日至报告期末，任公司第五届董事会独立董事之</w:t>
      </w:r>
      <w:r>
        <w:rPr>
          <w:spacing w:val="-112"/>
        </w:rPr>
        <w:t> </w:t>
      </w:r>
      <w:r>
        <w:rPr>
          <w:spacing w:val="-112"/>
        </w:rPr>
      </w:r>
      <w:r>
        <w:rPr>
          <w:spacing w:val="-19"/>
        </w:rPr>
        <w:t>职。2001</w:t>
      </w:r>
      <w:r>
        <w:rPr>
          <w:spacing w:val="-56"/>
        </w:rPr>
        <w:t> </w:t>
      </w:r>
      <w:r>
        <w:rPr/>
        <w:t>年至</w:t>
      </w:r>
      <w:r>
        <w:rPr>
          <w:spacing w:val="-56"/>
        </w:rPr>
        <w:t> </w:t>
      </w:r>
      <w:r>
        <w:rPr>
          <w:spacing w:val="20"/>
        </w:rPr>
        <w:t>2009年1</w:t>
      </w:r>
      <w:r>
        <w:rPr>
          <w:spacing w:val="-56"/>
        </w:rPr>
        <w:t> </w:t>
      </w:r>
      <w:r>
        <w:rPr>
          <w:spacing w:val="-4"/>
        </w:rPr>
        <w:t>月，历任中国长城资产管理公司评估管理部(风险监测部)总经理、</w:t>
      </w:r>
      <w:r>
        <w:rPr/>
        <w:t> </w:t>
      </w:r>
      <w:r>
        <w:rPr>
          <w:spacing w:val="5"/>
        </w:rPr>
        <w:t>天津办事处总经理、发展研究部总经理。2009年1</w:t>
      </w:r>
      <w:r>
        <w:rPr>
          <w:spacing w:val="-49"/>
        </w:rPr>
        <w:t> </w:t>
      </w:r>
      <w:r>
        <w:rPr/>
        <w:t>月至报告期末，任中国农业银行股份</w:t>
      </w:r>
      <w:r>
        <w:rPr>
          <w:spacing w:val="-113"/>
        </w:rPr>
        <w:t> </w:t>
      </w:r>
      <w:r>
        <w:rPr>
          <w:spacing w:val="-113"/>
        </w:rPr>
      </w:r>
      <w:r>
        <w:rPr/>
        <w:t>有限公司董事。在中国投资有限责任公司领取薪金，不在本公司受领年薪。在其他单位</w:t>
      </w:r>
      <w:r>
        <w:rPr>
          <w:spacing w:val="-47"/>
        </w:rPr>
        <w:t> </w:t>
      </w:r>
      <w:r>
        <w:rPr>
          <w:spacing w:val="-47"/>
        </w:rPr>
      </w:r>
      <w:r>
        <w:rPr/>
        <w:t>任职情况：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20"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2009-1-1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1"/>
        <w:jc w:val="both"/>
      </w:pPr>
      <w:r>
        <w:rPr>
          <w:rFonts w:ascii="宋体" w:hAnsi="宋体" w:cs="宋体" w:eastAsia="宋体" w:hint="default"/>
          <w:b/>
          <w:bCs/>
        </w:rPr>
        <w:t>陈金占先生</w:t>
      </w:r>
      <w:r>
        <w:rPr/>
        <w:t>，58</w:t>
      </w:r>
      <w:r>
        <w:rPr>
          <w:spacing w:val="-48"/>
        </w:rPr>
        <w:t> </w:t>
      </w:r>
      <w:r>
        <w:rPr/>
        <w:t>岁，经济师、律师，毕业于中国人民大学法律系。2010</w:t>
      </w:r>
      <w:r>
        <w:rPr>
          <w:spacing w:val="-48"/>
        </w:rPr>
        <w:t> </w:t>
      </w:r>
      <w:r>
        <w:rPr/>
        <w:t>年</w:t>
      </w:r>
      <w:r>
        <w:rPr>
          <w:spacing w:val="-48"/>
        </w:rPr>
        <w:t> </w:t>
      </w:r>
      <w:r>
        <w:rPr/>
        <w:t>5</w:t>
      </w:r>
      <w:r>
        <w:rPr>
          <w:spacing w:val="-49"/>
        </w:rPr>
        <w:t> </w:t>
      </w:r>
      <w:r>
        <w:rPr/>
        <w:t>月</w:t>
      </w:r>
      <w:r>
        <w:rPr>
          <w:spacing w:val="-48"/>
        </w:rPr>
        <w:t> </w:t>
      </w:r>
      <w:r>
        <w:rPr/>
        <w:t>12</w:t>
      </w:r>
      <w:r>
        <w:rPr>
          <w:spacing w:val="-48"/>
        </w:rPr>
        <w:t> </w:t>
      </w:r>
      <w:r>
        <w:rPr/>
        <w:t>日至</w:t>
      </w:r>
      <w:r>
        <w:rPr/>
        <w:t> </w:t>
      </w:r>
      <w:r>
        <w:rPr>
          <w:spacing w:val="-4"/>
        </w:rPr>
        <w:t>报告期末，任公司第五届董事会独立董事之职。1994</w:t>
      </w:r>
      <w:r>
        <w:rPr>
          <w:spacing w:val="-60"/>
        </w:rPr>
        <w:t> </w:t>
      </w:r>
      <w:r>
        <w:rPr/>
        <w:t>年至</w:t>
      </w:r>
      <w:r>
        <w:rPr>
          <w:spacing w:val="-60"/>
        </w:rPr>
        <w:t> </w:t>
      </w:r>
      <w:r>
        <w:rPr/>
        <w:t>2003</w:t>
      </w:r>
      <w:r>
        <w:rPr>
          <w:spacing w:val="-60"/>
        </w:rPr>
        <w:t> </w:t>
      </w:r>
      <w:r>
        <w:rPr/>
        <w:t>年任通商律师事务所兼职</w:t>
      </w:r>
      <w:r>
        <w:rPr/>
        <w:t> </w:t>
      </w:r>
      <w:r>
        <w:rPr>
          <w:spacing w:val="-5"/>
        </w:rPr>
        <w:t>律师，2001</w:t>
      </w:r>
      <w:r>
        <w:rPr>
          <w:spacing w:val="-52"/>
        </w:rPr>
        <w:t> </w:t>
      </w:r>
      <w:r>
        <w:rPr/>
        <w:t>年</w:t>
      </w:r>
      <w:r>
        <w:rPr>
          <w:spacing w:val="-52"/>
        </w:rPr>
        <w:t> </w:t>
      </w:r>
      <w:r>
        <w:rPr/>
        <w:t>12</w:t>
      </w:r>
      <w:r>
        <w:rPr>
          <w:spacing w:val="-52"/>
        </w:rPr>
        <w:t> </w:t>
      </w:r>
      <w:r>
        <w:rPr>
          <w:spacing w:val="-3"/>
        </w:rPr>
        <w:t>月至报告期末，历任国都证券有限责任公司副总裁兼合规总监。在国都</w:t>
      </w:r>
      <w:r>
        <w:rPr/>
        <w:t> 证券有限责任公司领取薪金，不在本公司受领年薪。在其他单位任职情况：</w:t>
      </w:r>
    </w:p>
    <w:p>
      <w:pPr>
        <w:spacing w:line="240" w:lineRule="auto" w:before="7"/>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21"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国都证券有限责任公司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sz w:val="21"/>
              </w:rPr>
              <w:t>2001-12-1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2011-12-1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0"/>
        <w:jc w:val="both"/>
      </w:pPr>
      <w:r>
        <w:rPr>
          <w:rFonts w:ascii="宋体" w:hAnsi="宋体" w:cs="宋体" w:eastAsia="宋体" w:hint="default"/>
          <w:b/>
          <w:bCs/>
        </w:rPr>
        <w:t>夏 </w:t>
      </w:r>
      <w:r>
        <w:rPr>
          <w:rFonts w:ascii="宋体" w:hAnsi="宋体" w:cs="宋体" w:eastAsia="宋体" w:hint="default"/>
          <w:b/>
          <w:bCs/>
          <w:spacing w:val="-3"/>
        </w:rPr>
        <w:t>斌先生</w:t>
      </w:r>
      <w:r>
        <w:rPr>
          <w:spacing w:val="-3"/>
        </w:rPr>
        <w:t>，59</w:t>
      </w:r>
      <w:r>
        <w:rPr>
          <w:spacing w:val="-56"/>
        </w:rPr>
        <w:t> </w:t>
      </w:r>
      <w:r>
        <w:rPr>
          <w:spacing w:val="-3"/>
        </w:rPr>
        <w:t>岁，国务院参事，研究员、博士生导师，享有国务院特殊津贴，毕业于中</w:t>
      </w:r>
      <w:r>
        <w:rPr/>
        <w:t> </w:t>
      </w:r>
      <w:r>
        <w:rPr>
          <w:spacing w:val="6"/>
        </w:rPr>
        <w:t>国人民银行研究生院金融系。2010年5月</w:t>
      </w:r>
      <w:r>
        <w:rPr>
          <w:spacing w:val="-53"/>
        </w:rPr>
        <w:t> </w:t>
      </w:r>
      <w:r>
        <w:rPr/>
        <w:t>12</w:t>
      </w:r>
      <w:r>
        <w:rPr>
          <w:spacing w:val="-53"/>
        </w:rPr>
        <w:t> </w:t>
      </w:r>
      <w:r>
        <w:rPr>
          <w:spacing w:val="-3"/>
        </w:rPr>
        <w:t>日至报告期末，任公司第五届董事会独立董</w:t>
      </w:r>
      <w:r>
        <w:rPr/>
        <w:t> 事之职。1996</w:t>
      </w:r>
      <w:r>
        <w:rPr>
          <w:spacing w:val="-40"/>
        </w:rPr>
        <w:t> </w:t>
      </w:r>
      <w:r>
        <w:rPr/>
        <w:t>年至</w:t>
      </w:r>
      <w:r>
        <w:rPr>
          <w:spacing w:val="-40"/>
        </w:rPr>
        <w:t> </w:t>
      </w:r>
      <w:r>
        <w:rPr/>
        <w:t>2002</w:t>
      </w:r>
      <w:r>
        <w:rPr>
          <w:spacing w:val="-40"/>
        </w:rPr>
        <w:t> </w:t>
      </w:r>
      <w:r>
        <w:rPr/>
        <w:t>年任中国人民银行非银行司司长，2002</w:t>
      </w:r>
      <w:r>
        <w:rPr>
          <w:spacing w:val="-40"/>
        </w:rPr>
        <w:t> </w:t>
      </w:r>
      <w:r>
        <w:rPr/>
        <w:t>年至报告期末，任国务</w:t>
      </w:r>
      <w:r>
        <w:rPr/>
        <w:t> 院发展研究中心金融研究所所长。在国务院发展研究中心金融研究所领取薪金，不在本</w:t>
      </w:r>
      <w:r>
        <w:rPr>
          <w:spacing w:val="-47"/>
        </w:rPr>
        <w:t> </w:t>
      </w:r>
      <w:r>
        <w:rPr>
          <w:spacing w:val="-47"/>
        </w:rPr>
      </w:r>
      <w:r>
        <w:rPr/>
        <w:t>公司受领年薪。在其他单位任职情况：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20"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国务院发展研究中心金融研究所</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2002-1-1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headerReference w:type="default" r:id="rId15"/>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2" w:lineRule="exact" w:before="56"/>
        <w:ind w:left="378" w:right="400"/>
        <w:jc w:val="both"/>
      </w:pPr>
      <w:r>
        <w:rPr>
          <w:rFonts w:ascii="宋体" w:hAnsi="宋体" w:cs="宋体" w:eastAsia="宋体" w:hint="default"/>
          <w:b/>
          <w:bCs/>
        </w:rPr>
        <w:t>夏冬林先生，</w:t>
      </w:r>
      <w:r>
        <w:rPr/>
        <w:t>49</w:t>
      </w:r>
      <w:r>
        <w:rPr>
          <w:spacing w:val="-49"/>
        </w:rPr>
        <w:t> </w:t>
      </w:r>
      <w:r>
        <w:rPr/>
        <w:t>岁，经济学(会计学)博士、教授，中国会计学会基本理论专业委员会副</w:t>
      </w:r>
      <w:r>
        <w:rPr/>
        <w:t> 主任委员，财政部会计准则委员会咨询专家，全国会计硕士专业学位教学指导委员会委</w:t>
      </w:r>
      <w:r>
        <w:rPr>
          <w:spacing w:val="-47"/>
        </w:rPr>
        <w:t> </w:t>
      </w:r>
      <w:r>
        <w:rPr>
          <w:spacing w:val="-47"/>
        </w:rPr>
      </w:r>
      <w:r>
        <w:rPr>
          <w:spacing w:val="-4"/>
        </w:rPr>
        <w:t>员，毕业于财政部财政科学研究所。2010</w:t>
      </w:r>
      <w:r>
        <w:rPr>
          <w:spacing w:val="-55"/>
        </w:rPr>
        <w:t> </w:t>
      </w:r>
      <w:r>
        <w:rPr/>
        <w:t>年</w:t>
      </w:r>
      <w:r>
        <w:rPr>
          <w:spacing w:val="-55"/>
        </w:rPr>
        <w:t> </w:t>
      </w:r>
      <w:r>
        <w:rPr/>
        <w:t>5</w:t>
      </w:r>
      <w:r>
        <w:rPr>
          <w:spacing w:val="-57"/>
        </w:rPr>
        <w:t> </w:t>
      </w:r>
      <w:r>
        <w:rPr/>
        <w:t>月</w:t>
      </w:r>
      <w:r>
        <w:rPr>
          <w:spacing w:val="-55"/>
        </w:rPr>
        <w:t> </w:t>
      </w:r>
      <w:r>
        <w:rPr/>
        <w:t>12</w:t>
      </w:r>
      <w:r>
        <w:rPr>
          <w:spacing w:val="-55"/>
        </w:rPr>
        <w:t> </w:t>
      </w:r>
      <w:r>
        <w:rPr>
          <w:spacing w:val="-3"/>
        </w:rPr>
        <w:t>日至报告期末，任公司第五届监事会</w:t>
      </w:r>
      <w:r>
        <w:rPr/>
        <w:t> </w:t>
      </w:r>
      <w:r>
        <w:rPr>
          <w:spacing w:val="9"/>
        </w:rPr>
        <w:t>监事会主席之职。1995年3</w:t>
      </w:r>
      <w:r>
        <w:rPr>
          <w:spacing w:val="-48"/>
        </w:rPr>
        <w:t> </w:t>
      </w:r>
      <w:r>
        <w:rPr/>
        <w:t>月至今，历任清华大学经济管理学院会计系主任、副院长。</w:t>
      </w:r>
      <w:r>
        <w:rPr/>
        <w:t> 在清华大学领取年薪，不在本公司受领年薪。在其他单位任职或兼职情况：</w:t>
      </w:r>
    </w:p>
    <w:p>
      <w:pPr>
        <w:spacing w:line="240" w:lineRule="auto" w:before="5"/>
        <w:rPr>
          <w:rFonts w:ascii="宋体" w:hAnsi="宋体" w:cs="宋体" w:eastAsia="宋体" w:hint="default"/>
          <w:sz w:val="24"/>
          <w:szCs w:val="24"/>
        </w:rPr>
      </w:pPr>
    </w:p>
    <w:tbl>
      <w:tblPr>
        <w:tblW w:w="0" w:type="auto"/>
        <w:jc w:val="left"/>
        <w:tblInd w:w="25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清华大学经济管理学院</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2009-6-1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3" w:right="0"/>
              <w:jc w:val="left"/>
              <w:rPr>
                <w:rFonts w:ascii="宋体" w:hAnsi="宋体" w:cs="宋体" w:eastAsia="宋体" w:hint="default"/>
                <w:sz w:val="21"/>
                <w:szCs w:val="21"/>
              </w:rPr>
            </w:pPr>
            <w:r>
              <w:rPr>
                <w:rFonts w:ascii="宋体"/>
                <w:sz w:val="21"/>
              </w:rPr>
              <w:t>2012-6-1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6"/>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山推股份有限公司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2008-6-1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2011-6-1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6"/>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9"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深圳发展银行股份有限公司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2010-12-23</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2013-12-23</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112"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0"/>
        <w:rPr>
          <w:rFonts w:ascii="宋体" w:hAnsi="宋体" w:cs="宋体" w:eastAsia="宋体" w:hint="default"/>
          <w:sz w:val="18"/>
          <w:szCs w:val="18"/>
        </w:rPr>
      </w:pPr>
    </w:p>
    <w:p>
      <w:pPr>
        <w:pStyle w:val="BodyText"/>
        <w:spacing w:line="237" w:lineRule="auto" w:before="28"/>
        <w:ind w:left="378" w:right="400"/>
        <w:jc w:val="both"/>
      </w:pPr>
      <w:r>
        <w:rPr>
          <w:rFonts w:ascii="宋体" w:hAnsi="宋体" w:cs="宋体" w:eastAsia="宋体" w:hint="default"/>
          <w:b/>
          <w:bCs/>
        </w:rPr>
        <w:t>秦 蓬先生，</w:t>
      </w:r>
      <w:r>
        <w:rPr/>
        <w:t>36 岁，审计师，毕业于中国人民大学工商管理专业，硕士研究生。2010</w:t>
      </w:r>
      <w:r>
        <w:rPr>
          <w:spacing w:val="-47"/>
        </w:rPr>
        <w:t> </w:t>
      </w:r>
      <w:r>
        <w:rPr/>
        <w:t>年</w:t>
      </w:r>
      <w:r>
        <w:rPr/>
        <w:t> 5</w:t>
      </w:r>
      <w:r>
        <w:rPr>
          <w:spacing w:val="-47"/>
        </w:rPr>
        <w:t> </w:t>
      </w:r>
      <w:r>
        <w:rPr/>
        <w:t>月</w:t>
      </w:r>
      <w:r>
        <w:rPr>
          <w:spacing w:val="-47"/>
        </w:rPr>
        <w:t> </w:t>
      </w:r>
      <w:r>
        <w:rPr/>
        <w:t>12</w:t>
      </w:r>
      <w:r>
        <w:rPr>
          <w:spacing w:val="-47"/>
        </w:rPr>
        <w:t> </w:t>
      </w:r>
      <w:r>
        <w:rPr/>
        <w:t>日至报告期末，任公司第五届监事会监事之职。1998</w:t>
      </w:r>
      <w:r>
        <w:rPr>
          <w:spacing w:val="-47"/>
        </w:rPr>
        <w:t> </w:t>
      </w:r>
      <w:r>
        <w:rPr/>
        <w:t>年至</w:t>
      </w:r>
      <w:r>
        <w:rPr>
          <w:spacing w:val="-47"/>
        </w:rPr>
        <w:t> </w:t>
      </w:r>
      <w:r>
        <w:rPr/>
        <w:t>2002</w:t>
      </w:r>
      <w:r>
        <w:rPr>
          <w:spacing w:val="-47"/>
        </w:rPr>
        <w:t> </w:t>
      </w:r>
      <w:r>
        <w:rPr/>
        <w:t>年，历任岳华会</w:t>
      </w:r>
      <w:r>
        <w:rPr/>
        <w:t> 计师事务所有限公司资产评估部审计及评估项目经理、高级项目经理。2004</w:t>
      </w:r>
      <w:r>
        <w:rPr>
          <w:spacing w:val="-40"/>
        </w:rPr>
        <w:t> </w:t>
      </w:r>
      <w:r>
        <w:rPr/>
        <w:t>年至报告期</w:t>
      </w:r>
      <w:r>
        <w:rPr/>
        <w:t> 末，历任清华控股有限公司财务部副部长、部长、资金管理中心主任。在清华控股有限</w:t>
      </w:r>
      <w:r>
        <w:rPr>
          <w:spacing w:val="-47"/>
        </w:rPr>
        <w:t> </w:t>
      </w:r>
      <w:r>
        <w:rPr>
          <w:spacing w:val="-47"/>
        </w:rPr>
      </w:r>
      <w:r>
        <w:rPr/>
        <w:t>公司领取薪金，不在本公司受领年薪。在其他单位任职或兼职情况：</w:t>
      </w:r>
    </w:p>
    <w:p>
      <w:pPr>
        <w:spacing w:line="240" w:lineRule="auto" w:before="8"/>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3403"/>
        <w:gridCol w:w="1902"/>
        <w:gridCol w:w="1338"/>
        <w:gridCol w:w="1499"/>
        <w:gridCol w:w="1582"/>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90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33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2"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5"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资金管理中心主任</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2010-7-21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2013-7-21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2009-4-1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2012-4-1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北京紫光泰和通环保技术有限公司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2008-4-1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2011-4-1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北京固鸿科技有限公司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2008-3-1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2011-3-1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清华大学出版社有限公司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2012-3-1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3403" w:type="dxa"/>
            <w:tcBorders>
              <w:top w:val="single" w:sz="6" w:space="0" w:color="000000"/>
              <w:left w:val="single" w:sz="12" w:space="0" w:color="000000"/>
              <w:bottom w:val="single" w:sz="4"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诺德基金管理有限公司</w:t>
            </w:r>
          </w:p>
        </w:tc>
        <w:tc>
          <w:tcPr>
            <w:tcW w:w="19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2009-10-1</w:t>
            </w:r>
          </w:p>
        </w:tc>
        <w:tc>
          <w:tcPr>
            <w:tcW w:w="149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2012-10-1</w:t>
            </w:r>
          </w:p>
        </w:tc>
        <w:tc>
          <w:tcPr>
            <w:tcW w:w="1582" w:type="dxa"/>
            <w:tcBorders>
              <w:top w:val="single" w:sz="6" w:space="0" w:color="000000"/>
              <w:left w:val="single" w:sz="6" w:space="0" w:color="000000"/>
              <w:bottom w:val="single" w:sz="4"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5" w:hRule="exact"/>
        </w:trPr>
        <w:tc>
          <w:tcPr>
            <w:tcW w:w="3403" w:type="dxa"/>
            <w:tcBorders>
              <w:top w:val="single" w:sz="4"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c>
          <w:tcPr>
            <w:tcW w:w="1902"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8"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2009-10-1</w:t>
            </w:r>
          </w:p>
        </w:tc>
        <w:tc>
          <w:tcPr>
            <w:tcW w:w="1499"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2012-10-1</w:t>
            </w:r>
          </w:p>
        </w:tc>
        <w:tc>
          <w:tcPr>
            <w:tcW w:w="1582" w:type="dxa"/>
            <w:tcBorders>
              <w:top w:val="single" w:sz="4" w:space="0" w:color="000000"/>
              <w:left w:val="single" w:sz="6" w:space="0" w:color="000000"/>
              <w:bottom w:val="single" w:sz="12" w:space="0" w:color="000000"/>
              <w:right w:val="single" w:sz="12"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378" w:right="400"/>
        <w:jc w:val="both"/>
      </w:pPr>
      <w:r>
        <w:rPr>
          <w:rFonts w:ascii="宋体" w:hAnsi="宋体" w:cs="宋体" w:eastAsia="宋体" w:hint="default"/>
          <w:b/>
          <w:bCs/>
        </w:rPr>
        <w:t>刘</w:t>
      </w:r>
      <w:r>
        <w:rPr>
          <w:rFonts w:ascii="宋体" w:hAnsi="宋体" w:cs="宋体" w:eastAsia="宋体" w:hint="default"/>
          <w:b/>
          <w:bCs/>
          <w:spacing w:val="110"/>
        </w:rPr>
        <w:t> </w:t>
      </w:r>
      <w:r>
        <w:rPr>
          <w:rFonts w:ascii="宋体" w:hAnsi="宋体" w:cs="宋体" w:eastAsia="宋体" w:hint="default"/>
          <w:b/>
          <w:bCs/>
        </w:rPr>
        <w:t>刚先生</w:t>
      </w:r>
      <w:r>
        <w:rPr/>
        <w:t>，47</w:t>
      </w:r>
      <w:r>
        <w:rPr>
          <w:spacing w:val="-51"/>
        </w:rPr>
        <w:t> </w:t>
      </w:r>
      <w:r>
        <w:rPr/>
        <w:t>岁，研究员，毕业于清华大学热能系。2010</w:t>
      </w:r>
      <w:r>
        <w:rPr>
          <w:spacing w:val="-51"/>
        </w:rPr>
        <w:t> </w:t>
      </w:r>
      <w:r>
        <w:rPr/>
        <w:t>年</w:t>
      </w:r>
      <w:r>
        <w:rPr>
          <w:spacing w:val="-51"/>
        </w:rPr>
        <w:t> </w:t>
      </w:r>
      <w:r>
        <w:rPr/>
        <w:t>5</w:t>
      </w:r>
      <w:r>
        <w:rPr>
          <w:spacing w:val="-53"/>
        </w:rPr>
        <w:t> </w:t>
      </w:r>
      <w:r>
        <w:rPr/>
        <w:t>月</w:t>
      </w:r>
      <w:r>
        <w:rPr>
          <w:spacing w:val="-51"/>
        </w:rPr>
        <w:t> </w:t>
      </w:r>
      <w:r>
        <w:rPr/>
        <w:t>12</w:t>
      </w:r>
      <w:r>
        <w:rPr>
          <w:spacing w:val="-51"/>
        </w:rPr>
        <w:t> </w:t>
      </w:r>
      <w:r>
        <w:rPr/>
        <w:t>日至报告期末，</w:t>
      </w:r>
      <w:r>
        <w:rPr>
          <w:spacing w:val="-1"/>
        </w:rPr>
        <w:t> </w:t>
      </w:r>
      <w:r>
        <w:rPr>
          <w:spacing w:val="-3"/>
        </w:rPr>
        <w:t>任公司第五届监事会监事之职。2000</w:t>
      </w:r>
      <w:r>
        <w:rPr>
          <w:spacing w:val="-55"/>
        </w:rPr>
        <w:t> </w:t>
      </w:r>
      <w:r>
        <w:rPr/>
        <w:t>年至</w:t>
      </w:r>
      <w:r>
        <w:rPr>
          <w:spacing w:val="-55"/>
        </w:rPr>
        <w:t> </w:t>
      </w:r>
      <w:r>
        <w:rPr>
          <w:spacing w:val="20"/>
        </w:rPr>
        <w:t>2006年9</w:t>
      </w:r>
      <w:r>
        <w:rPr>
          <w:spacing w:val="-55"/>
        </w:rPr>
        <w:t> </w:t>
      </w:r>
      <w:r>
        <w:rPr>
          <w:spacing w:val="-4"/>
        </w:rPr>
        <w:t>月，任公司能源环境本部人环工程公</w:t>
      </w:r>
      <w:r>
        <w:rPr/>
        <w:t> 司总经理，2006</w:t>
      </w:r>
      <w:r>
        <w:rPr>
          <w:spacing w:val="-53"/>
        </w:rPr>
        <w:t> </w:t>
      </w:r>
      <w:r>
        <w:rPr/>
        <w:t>年</w:t>
      </w:r>
      <w:r>
        <w:rPr>
          <w:spacing w:val="-53"/>
        </w:rPr>
        <w:t> </w:t>
      </w:r>
      <w:r>
        <w:rPr/>
        <w:t>9</w:t>
      </w:r>
      <w:r>
        <w:rPr>
          <w:spacing w:val="-54"/>
        </w:rPr>
        <w:t> </w:t>
      </w:r>
      <w:r>
        <w:rPr/>
        <w:t>月至今，历任公司总裁办公室主任、公司光电事业部总经理、公司</w:t>
      </w:r>
      <w:r>
        <w:rPr/>
        <w:t> 半导体与照明产业本部常务副总经理。未在股东单位和除公司子公司以外的其他单位任</w:t>
      </w:r>
      <w:r>
        <w:rPr>
          <w:spacing w:val="-47"/>
        </w:rPr>
        <w:t> </w:t>
      </w:r>
      <w:r>
        <w:rPr>
          <w:spacing w:val="-47"/>
        </w:rPr>
      </w:r>
      <w:r>
        <w:rPr/>
        <w:t>职或兼职。</w:t>
      </w:r>
    </w:p>
    <w:p>
      <w:pPr>
        <w:spacing w:line="240" w:lineRule="auto" w:before="11"/>
        <w:rPr>
          <w:rFonts w:ascii="宋体" w:hAnsi="宋体" w:cs="宋体" w:eastAsia="宋体" w:hint="default"/>
          <w:sz w:val="23"/>
          <w:szCs w:val="23"/>
        </w:rPr>
      </w:pPr>
    </w:p>
    <w:p>
      <w:pPr>
        <w:pStyle w:val="BodyText"/>
        <w:spacing w:line="237" w:lineRule="auto"/>
        <w:ind w:left="378" w:right="400"/>
        <w:jc w:val="both"/>
      </w:pPr>
      <w:r>
        <w:rPr>
          <w:rFonts w:ascii="宋体" w:hAnsi="宋体" w:cs="宋体" w:eastAsia="宋体" w:hint="default"/>
          <w:b/>
          <w:bCs/>
        </w:rPr>
        <w:t>李健航先生，</w:t>
      </w:r>
      <w:r>
        <w:rPr/>
        <w:t>42</w:t>
      </w:r>
      <w:r>
        <w:rPr>
          <w:spacing w:val="-49"/>
        </w:rPr>
        <w:t> </w:t>
      </w:r>
      <w:r>
        <w:rPr/>
        <w:t>岁，硕士，副教授，毕业于清华大学计算机系。2004</w:t>
      </w:r>
      <w:r>
        <w:rPr>
          <w:spacing w:val="-49"/>
        </w:rPr>
        <w:t> </w:t>
      </w:r>
      <w:r>
        <w:rPr/>
        <w:t>年</w:t>
      </w:r>
      <w:r>
        <w:rPr>
          <w:spacing w:val="-49"/>
        </w:rPr>
        <w:t> </w:t>
      </w:r>
      <w:r>
        <w:rPr/>
        <w:t>5</w:t>
      </w:r>
      <w:r>
        <w:rPr>
          <w:spacing w:val="-48"/>
        </w:rPr>
        <w:t> </w:t>
      </w:r>
      <w:r>
        <w:rPr/>
        <w:t>月</w:t>
      </w:r>
      <w:r>
        <w:rPr>
          <w:spacing w:val="-48"/>
        </w:rPr>
        <w:t> </w:t>
      </w:r>
      <w:r>
        <w:rPr/>
        <w:t>19</w:t>
      </w:r>
      <w:r>
        <w:rPr>
          <w:spacing w:val="-49"/>
        </w:rPr>
        <w:t> </w:t>
      </w:r>
      <w:r>
        <w:rPr/>
        <w:t>日至报</w:t>
      </w:r>
      <w:r>
        <w:rPr/>
        <w:t> 告期末，任公司副总裁之职。1999</w:t>
      </w:r>
      <w:r>
        <w:rPr>
          <w:spacing w:val="-40"/>
        </w:rPr>
        <w:t> </w:t>
      </w:r>
      <w:r>
        <w:rPr/>
        <w:t>年至报告期末，历任公司计算机公司总工程师、总经</w:t>
      </w:r>
      <w:r>
        <w:rPr/>
        <w:t> 理、公司副总裁兼计算机系统本部总经理。未在股东单位和除公司子公司以外的其他单</w:t>
      </w:r>
      <w:r>
        <w:rPr>
          <w:spacing w:val="-47"/>
        </w:rPr>
        <w:t> </w:t>
      </w:r>
      <w:r>
        <w:rPr>
          <w:spacing w:val="-47"/>
        </w:rPr>
      </w:r>
      <w:r>
        <w:rPr/>
        <w:t>位任职或兼职。</w:t>
      </w:r>
    </w:p>
    <w:p>
      <w:pPr>
        <w:spacing w:line="240" w:lineRule="auto" w:before="11"/>
        <w:rPr>
          <w:rFonts w:ascii="宋体" w:hAnsi="宋体" w:cs="宋体" w:eastAsia="宋体" w:hint="default"/>
          <w:sz w:val="25"/>
          <w:szCs w:val="25"/>
        </w:rPr>
      </w:pPr>
    </w:p>
    <w:p>
      <w:pPr>
        <w:pStyle w:val="BodyText"/>
        <w:spacing w:line="312" w:lineRule="exact"/>
        <w:ind w:left="378" w:right="401"/>
        <w:jc w:val="both"/>
      </w:pPr>
      <w:r>
        <w:rPr>
          <w:rFonts w:ascii="宋体" w:hAnsi="宋体" w:cs="宋体" w:eastAsia="宋体" w:hint="default"/>
          <w:b/>
          <w:bCs/>
        </w:rPr>
        <w:t>王良海先生</w:t>
      </w:r>
      <w:r>
        <w:rPr/>
        <w:t>，45 </w:t>
      </w:r>
      <w:r>
        <w:rPr>
          <w:spacing w:val="8"/>
        </w:rPr>
        <w:t>岁，硕士，毕业于清华大学热能系空气调节工程专业。2010年5月</w:t>
      </w:r>
      <w:r>
        <w:rPr>
          <w:spacing w:val="-55"/>
        </w:rPr>
        <w:t> </w:t>
      </w:r>
      <w:r>
        <w:rPr/>
        <w:t>12</w:t>
      </w:r>
      <w:r>
        <w:rPr/>
        <w:t> 日至报告期末，任公司副总裁之职。1997</w:t>
      </w:r>
      <w:r>
        <w:rPr>
          <w:spacing w:val="-40"/>
        </w:rPr>
        <w:t> </w:t>
      </w:r>
      <w:r>
        <w:rPr/>
        <w:t>年至今，历任公司下属同方控制工程公司总经</w:t>
      </w:r>
    </w:p>
    <w:p>
      <w:pPr>
        <w:spacing w:after="0" w:line="312" w:lineRule="exact"/>
        <w:jc w:val="both"/>
        <w:sectPr>
          <w:pgSz w:w="11910" w:h="16840"/>
          <w:pgMar w:header="610" w:footer="764" w:top="1080" w:bottom="980" w:left="104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0"/>
        <w:jc w:val="both"/>
      </w:pPr>
      <w:r>
        <w:rPr/>
        <w:t>理、公司总裁助理、公司数字电视系统本部副总经理、公司消费电子事业部总经理、公</w:t>
      </w:r>
      <w:r>
        <w:rPr>
          <w:spacing w:val="-47"/>
        </w:rPr>
        <w:t> </w:t>
      </w:r>
      <w:r>
        <w:rPr>
          <w:spacing w:val="-47"/>
        </w:rPr>
      </w:r>
      <w:r>
        <w:rPr/>
        <w:t>司副总裁兼多媒体技术产业本部总经理和半导体与照明产业本部总经理。未在股东单位</w:t>
      </w:r>
      <w:r>
        <w:rPr>
          <w:spacing w:val="-47"/>
        </w:rPr>
        <w:t> </w:t>
      </w:r>
      <w:r>
        <w:rPr>
          <w:spacing w:val="-47"/>
        </w:rPr>
      </w:r>
      <w:r>
        <w:rPr/>
        <w:t>和除公司子公司以外的其他单位任职或兼职。</w:t>
      </w:r>
    </w:p>
    <w:p>
      <w:pPr>
        <w:spacing w:line="240" w:lineRule="auto" w:before="8"/>
        <w:rPr>
          <w:rFonts w:ascii="宋体" w:hAnsi="宋体" w:cs="宋体" w:eastAsia="宋体" w:hint="default"/>
          <w:sz w:val="21"/>
          <w:szCs w:val="21"/>
        </w:rPr>
      </w:pPr>
    </w:p>
    <w:p>
      <w:pPr>
        <w:pStyle w:val="BodyText"/>
        <w:spacing w:line="237" w:lineRule="auto"/>
        <w:ind w:right="138"/>
        <w:jc w:val="both"/>
      </w:pPr>
      <w:r>
        <w:rPr>
          <w:rFonts w:ascii="宋体" w:hAnsi="宋体" w:cs="宋体" w:eastAsia="宋体" w:hint="default"/>
          <w:b/>
          <w:bCs/>
        </w:rPr>
        <w:t>王明亮先生</w:t>
      </w:r>
      <w:r>
        <w:rPr/>
        <w:t>，54</w:t>
      </w:r>
      <w:r>
        <w:rPr>
          <w:spacing w:val="-48"/>
        </w:rPr>
        <w:t> </w:t>
      </w:r>
      <w:r>
        <w:rPr/>
        <w:t>岁，硕士，毕业于清华大学物理系理论物理专业。2010</w:t>
      </w:r>
      <w:r>
        <w:rPr>
          <w:spacing w:val="-48"/>
        </w:rPr>
        <w:t> </w:t>
      </w:r>
      <w:r>
        <w:rPr/>
        <w:t>年</w:t>
      </w:r>
      <w:r>
        <w:rPr>
          <w:spacing w:val="-48"/>
        </w:rPr>
        <w:t> </w:t>
      </w:r>
      <w:r>
        <w:rPr/>
        <w:t>5</w:t>
      </w:r>
      <w:r>
        <w:rPr>
          <w:spacing w:val="-49"/>
        </w:rPr>
        <w:t> </w:t>
      </w:r>
      <w:r>
        <w:rPr/>
        <w:t>月</w:t>
      </w:r>
      <w:r>
        <w:rPr>
          <w:spacing w:val="-48"/>
        </w:rPr>
        <w:t> </w:t>
      </w:r>
      <w:r>
        <w:rPr/>
        <w:t>12</w:t>
      </w:r>
      <w:r>
        <w:rPr>
          <w:spacing w:val="-48"/>
        </w:rPr>
        <w:t> </w:t>
      </w:r>
      <w:r>
        <w:rPr/>
        <w:t>日至</w:t>
      </w:r>
      <w:r>
        <w:rPr/>
        <w:t> 报告期末，任公司副总裁之职。1998</w:t>
      </w:r>
      <w:r>
        <w:rPr>
          <w:spacing w:val="-40"/>
        </w:rPr>
        <w:t> </w:t>
      </w:r>
      <w:r>
        <w:rPr/>
        <w:t>年至今，历任中国学术期刊(光盘版)电子杂志社副</w:t>
      </w:r>
      <w:r>
        <w:rPr/>
        <w:t> 社长、社长、同方光盘股份有限公司副总经理、公司总裁助理、同方知网(北京)技术有</w:t>
      </w:r>
      <w:r>
        <w:rPr>
          <w:spacing w:val="-45"/>
        </w:rPr>
        <w:t> </w:t>
      </w:r>
      <w:r>
        <w:rPr>
          <w:spacing w:val="-45"/>
        </w:rPr>
      </w:r>
      <w:r>
        <w:rPr/>
        <w:t>限公司董事、总经理、公司副总裁兼知识网络产业本部总经理。未在股东单位和除公司</w:t>
      </w:r>
      <w:r>
        <w:rPr>
          <w:spacing w:val="-47"/>
        </w:rPr>
        <w:t> </w:t>
      </w:r>
      <w:r>
        <w:rPr>
          <w:spacing w:val="-47"/>
        </w:rPr>
      </w:r>
      <w:r>
        <w:rPr/>
        <w:t>子公司以外的其他单位任职或兼职。</w:t>
      </w:r>
    </w:p>
    <w:p>
      <w:pPr>
        <w:spacing w:line="240" w:lineRule="auto" w:before="10"/>
        <w:rPr>
          <w:rFonts w:ascii="宋体" w:hAnsi="宋体" w:cs="宋体" w:eastAsia="宋体" w:hint="default"/>
          <w:sz w:val="23"/>
          <w:szCs w:val="23"/>
        </w:rPr>
      </w:pPr>
    </w:p>
    <w:p>
      <w:pPr>
        <w:pStyle w:val="BodyText"/>
        <w:spacing w:line="237" w:lineRule="auto"/>
        <w:ind w:right="140"/>
        <w:jc w:val="both"/>
      </w:pPr>
      <w:r>
        <w:rPr>
          <w:rFonts w:ascii="宋体" w:hAnsi="宋体" w:cs="宋体" w:eastAsia="宋体" w:hint="default"/>
          <w:b/>
          <w:bCs/>
        </w:rPr>
        <w:t>薛霖女士</w:t>
      </w:r>
      <w:r>
        <w:rPr/>
        <w:t>，47</w:t>
      </w:r>
      <w:r>
        <w:rPr>
          <w:spacing w:val="-52"/>
        </w:rPr>
        <w:t> </w:t>
      </w:r>
      <w:r>
        <w:rPr/>
        <w:t>岁，工商管理硕士，毕业于清华大学经济管理学院。2010</w:t>
      </w:r>
      <w:r>
        <w:rPr>
          <w:spacing w:val="-52"/>
        </w:rPr>
        <w:t> </w:t>
      </w:r>
      <w:r>
        <w:rPr/>
        <w:t>年</w:t>
      </w:r>
      <w:r>
        <w:rPr>
          <w:spacing w:val="-52"/>
        </w:rPr>
        <w:t> </w:t>
      </w:r>
      <w:r>
        <w:rPr/>
        <w:t>5</w:t>
      </w:r>
      <w:r>
        <w:rPr>
          <w:spacing w:val="-54"/>
        </w:rPr>
        <w:t> </w:t>
      </w:r>
      <w:r>
        <w:rPr/>
        <w:t>月</w:t>
      </w:r>
      <w:r>
        <w:rPr>
          <w:spacing w:val="-52"/>
        </w:rPr>
        <w:t> </w:t>
      </w:r>
      <w:r>
        <w:rPr/>
        <w:t>12</w:t>
      </w:r>
      <w:r>
        <w:rPr>
          <w:spacing w:val="-52"/>
        </w:rPr>
        <w:t> </w:t>
      </w:r>
      <w:r>
        <w:rPr/>
        <w:t>日至</w:t>
      </w:r>
      <w:r>
        <w:rPr>
          <w:spacing w:val="-1"/>
        </w:rPr>
        <w:t> </w:t>
      </w:r>
      <w:r>
        <w:rPr/>
        <w:t>报告期末，任公司副总裁之职。2003</w:t>
      </w:r>
      <w:r>
        <w:rPr>
          <w:spacing w:val="-40"/>
        </w:rPr>
        <w:t> </w:t>
      </w:r>
      <w:r>
        <w:rPr/>
        <w:t>年至今，历任公司对外合作部总经理、同方环境股</w:t>
      </w:r>
      <w:r>
        <w:rPr/>
        <w:t> 份有限公司副董事长、公司能源环境本部副总经理、公司总裁助理、公司副总裁兼环境</w:t>
      </w:r>
      <w:r>
        <w:rPr>
          <w:spacing w:val="-47"/>
        </w:rPr>
        <w:t> </w:t>
      </w:r>
      <w:r>
        <w:rPr>
          <w:spacing w:val="-47"/>
        </w:rPr>
      </w:r>
      <w:r>
        <w:rPr/>
        <w:t>产业本部总经理。未在股东单位和除公司子公司以外的其他单位任职或兼职。</w:t>
      </w:r>
    </w:p>
    <w:p>
      <w:pPr>
        <w:spacing w:line="240" w:lineRule="auto" w:before="11"/>
        <w:rPr>
          <w:rFonts w:ascii="宋体" w:hAnsi="宋体" w:cs="宋体" w:eastAsia="宋体" w:hint="default"/>
          <w:sz w:val="23"/>
          <w:szCs w:val="23"/>
        </w:rPr>
      </w:pPr>
    </w:p>
    <w:p>
      <w:pPr>
        <w:pStyle w:val="BodyText"/>
        <w:spacing w:line="237" w:lineRule="auto"/>
        <w:ind w:right="140"/>
        <w:jc w:val="both"/>
      </w:pPr>
      <w:r>
        <w:rPr>
          <w:rFonts w:ascii="宋体" w:hAnsi="宋体" w:cs="宋体" w:eastAsia="宋体" w:hint="default"/>
          <w:b/>
          <w:bCs/>
        </w:rPr>
        <w:t>杨志明先生</w:t>
      </w:r>
      <w:r>
        <w:rPr/>
        <w:t>，62</w:t>
      </w:r>
      <w:r>
        <w:rPr>
          <w:spacing w:val="-48"/>
        </w:rPr>
        <w:t> </w:t>
      </w:r>
      <w:r>
        <w:rPr/>
        <w:t>岁，高级经济师。2010</w:t>
      </w:r>
      <w:r>
        <w:rPr>
          <w:spacing w:val="-48"/>
        </w:rPr>
        <w:t> </w:t>
      </w:r>
      <w:r>
        <w:rPr/>
        <w:t>年</w:t>
      </w:r>
      <w:r>
        <w:rPr>
          <w:spacing w:val="-49"/>
        </w:rPr>
        <w:t> </w:t>
      </w:r>
      <w:r>
        <w:rPr/>
        <w:t>5</w:t>
      </w:r>
      <w:r>
        <w:rPr>
          <w:spacing w:val="-48"/>
        </w:rPr>
        <w:t> </w:t>
      </w:r>
      <w:r>
        <w:rPr/>
        <w:t>月</w:t>
      </w:r>
      <w:r>
        <w:rPr>
          <w:spacing w:val="-48"/>
        </w:rPr>
        <w:t> </w:t>
      </w:r>
      <w:r>
        <w:rPr/>
        <w:t>12</w:t>
      </w:r>
      <w:r>
        <w:rPr>
          <w:spacing w:val="-48"/>
        </w:rPr>
        <w:t> </w:t>
      </w:r>
      <w:r>
        <w:rPr/>
        <w:t>日至报告期末，任公司副总裁之职。</w:t>
      </w:r>
      <w:r>
        <w:rPr/>
        <w:t> 1998</w:t>
      </w:r>
      <w:r>
        <w:rPr>
          <w:spacing w:val="-40"/>
        </w:rPr>
        <w:t> </w:t>
      </w:r>
      <w:r>
        <w:rPr/>
        <w:t>年至今，历任公司下属江西无线电厂厂长、公司总裁助理、同方工业有限公司总经</w:t>
      </w:r>
      <w:r>
        <w:rPr/>
        <w:t> 理、公司副总裁兼军工产业本部总经理。未在股东单位和除公司子公司以外的其他单位</w:t>
      </w:r>
      <w:r>
        <w:rPr>
          <w:spacing w:val="-47"/>
        </w:rPr>
        <w:t> </w:t>
      </w:r>
      <w:r>
        <w:rPr>
          <w:spacing w:val="-47"/>
        </w:rPr>
      </w:r>
      <w:r>
        <w:rPr/>
        <w:t>任职或兼职。</w:t>
      </w:r>
    </w:p>
    <w:p>
      <w:pPr>
        <w:spacing w:line="240" w:lineRule="auto" w:before="11"/>
        <w:rPr>
          <w:rFonts w:ascii="宋体" w:hAnsi="宋体" w:cs="宋体" w:eastAsia="宋体" w:hint="default"/>
          <w:sz w:val="23"/>
          <w:szCs w:val="23"/>
        </w:rPr>
      </w:pPr>
    </w:p>
    <w:p>
      <w:pPr>
        <w:pStyle w:val="BodyText"/>
        <w:spacing w:line="237" w:lineRule="auto"/>
        <w:ind w:right="142"/>
        <w:jc w:val="both"/>
      </w:pPr>
      <w:r>
        <w:rPr>
          <w:rFonts w:ascii="宋体" w:hAnsi="宋体" w:cs="宋体" w:eastAsia="宋体" w:hint="default"/>
          <w:b/>
          <w:bCs/>
        </w:rPr>
        <w:t>刘卫东先生</w:t>
      </w:r>
      <w:r>
        <w:rPr/>
        <w:t>，47</w:t>
      </w:r>
      <w:r>
        <w:rPr>
          <w:spacing w:val="-45"/>
        </w:rPr>
        <w:t> </w:t>
      </w:r>
      <w:r>
        <w:rPr>
          <w:spacing w:val="13"/>
        </w:rPr>
        <w:t>岁，硕士，会计师。2010年5月</w:t>
      </w:r>
      <w:r>
        <w:rPr>
          <w:spacing w:val="-45"/>
        </w:rPr>
        <w:t> </w:t>
      </w:r>
      <w:r>
        <w:rPr/>
        <w:t>12</w:t>
      </w:r>
      <w:r>
        <w:rPr>
          <w:spacing w:val="-46"/>
        </w:rPr>
        <w:t> </w:t>
      </w:r>
      <w:r>
        <w:rPr/>
        <w:t>日至报告期末，任公司总会计师之</w:t>
      </w:r>
      <w:r>
        <w:rPr/>
        <w:t> 职。2003</w:t>
      </w:r>
      <w:r>
        <w:rPr>
          <w:spacing w:val="-40"/>
        </w:rPr>
        <w:t> </w:t>
      </w:r>
      <w:r>
        <w:rPr/>
        <w:t>年至今，历任公司审计部副总经理、公司副总会计师、总会计师。未在股东单</w:t>
      </w:r>
      <w:r>
        <w:rPr/>
        <w:t> 位和除公司子公司以外的其他单位任职或兼职。</w:t>
      </w:r>
    </w:p>
    <w:p>
      <w:pPr>
        <w:spacing w:line="240" w:lineRule="auto" w:before="11"/>
        <w:rPr>
          <w:rFonts w:ascii="宋体" w:hAnsi="宋体" w:cs="宋体" w:eastAsia="宋体" w:hint="default"/>
          <w:sz w:val="23"/>
          <w:szCs w:val="23"/>
        </w:rPr>
      </w:pPr>
    </w:p>
    <w:p>
      <w:pPr>
        <w:pStyle w:val="BodyText"/>
        <w:spacing w:line="237" w:lineRule="auto"/>
        <w:ind w:right="140"/>
        <w:jc w:val="both"/>
      </w:pPr>
      <w:r>
        <w:rPr>
          <w:rFonts w:ascii="宋体" w:hAnsi="宋体" w:cs="宋体" w:eastAsia="宋体" w:hint="default"/>
          <w:b/>
          <w:bCs/>
        </w:rPr>
        <w:t>李吉生先生</w:t>
      </w:r>
      <w:r>
        <w:rPr/>
        <w:t>，44</w:t>
      </w:r>
      <w:r>
        <w:rPr>
          <w:spacing w:val="-48"/>
        </w:rPr>
        <w:t> </w:t>
      </w:r>
      <w:r>
        <w:rPr/>
        <w:t>岁，博士，副教授，毕业于清华大学热能系。2010</w:t>
      </w:r>
      <w:r>
        <w:rPr>
          <w:spacing w:val="-48"/>
        </w:rPr>
        <w:t> </w:t>
      </w:r>
      <w:r>
        <w:rPr/>
        <w:t>年</w:t>
      </w:r>
      <w:r>
        <w:rPr>
          <w:spacing w:val="-48"/>
        </w:rPr>
        <w:t> </w:t>
      </w:r>
      <w:r>
        <w:rPr/>
        <w:t>5</w:t>
      </w:r>
      <w:r>
        <w:rPr>
          <w:spacing w:val="-49"/>
        </w:rPr>
        <w:t> </w:t>
      </w:r>
      <w:r>
        <w:rPr/>
        <w:t>月</w:t>
      </w:r>
      <w:r>
        <w:rPr>
          <w:spacing w:val="-48"/>
        </w:rPr>
        <w:t> </w:t>
      </w:r>
      <w:r>
        <w:rPr/>
        <w:t>12</w:t>
      </w:r>
      <w:r>
        <w:rPr>
          <w:spacing w:val="-48"/>
        </w:rPr>
        <w:t> </w:t>
      </w:r>
      <w:r>
        <w:rPr/>
        <w:t>日至报告</w:t>
      </w:r>
      <w:r>
        <w:rPr/>
        <w:t> </w:t>
      </w:r>
      <w:r>
        <w:rPr>
          <w:spacing w:val="7"/>
        </w:rPr>
        <w:t>期末，任公司总工程师之职。1997年6</w:t>
      </w:r>
      <w:r>
        <w:rPr>
          <w:spacing w:val="-54"/>
        </w:rPr>
        <w:t> </w:t>
      </w:r>
      <w:r>
        <w:rPr/>
        <w:t>月至今，历任公司人工环境公司总经理、信息系</w:t>
      </w:r>
      <w:r>
        <w:rPr/>
        <w:t> 统公司总经理、公司副总裁兼应用信息系统本部总经理、总工程师。未在股东单位和除</w:t>
      </w:r>
      <w:r>
        <w:rPr>
          <w:spacing w:val="-47"/>
        </w:rPr>
        <w:t> </w:t>
      </w:r>
      <w:r>
        <w:rPr>
          <w:spacing w:val="-47"/>
        </w:rPr>
      </w:r>
      <w:r>
        <w:rPr/>
        <w:t>公司子公司以外的其他单位任职或兼职。</w:t>
      </w:r>
    </w:p>
    <w:p>
      <w:pPr>
        <w:spacing w:line="240" w:lineRule="auto" w:before="10"/>
        <w:rPr>
          <w:rFonts w:ascii="宋体" w:hAnsi="宋体" w:cs="宋体" w:eastAsia="宋体" w:hint="default"/>
          <w:sz w:val="23"/>
          <w:szCs w:val="23"/>
        </w:rPr>
      </w:pPr>
    </w:p>
    <w:p>
      <w:pPr>
        <w:pStyle w:val="BodyText"/>
        <w:spacing w:line="237" w:lineRule="auto"/>
        <w:ind w:right="142"/>
        <w:jc w:val="both"/>
      </w:pPr>
      <w:r>
        <w:rPr>
          <w:rFonts w:ascii="宋体" w:hAnsi="宋体" w:cs="宋体" w:eastAsia="宋体" w:hint="default"/>
          <w:b/>
          <w:bCs/>
        </w:rPr>
        <w:t>孙</w:t>
      </w:r>
      <w:r>
        <w:rPr>
          <w:rFonts w:ascii="宋体" w:hAnsi="宋体" w:cs="宋体" w:eastAsia="宋体" w:hint="default"/>
          <w:b/>
          <w:bCs/>
          <w:spacing w:val="4"/>
        </w:rPr>
        <w:t> </w:t>
      </w:r>
      <w:r>
        <w:rPr>
          <w:rFonts w:ascii="宋体" w:hAnsi="宋体" w:cs="宋体" w:eastAsia="宋体" w:hint="default"/>
          <w:b/>
          <w:bCs/>
        </w:rPr>
        <w:t>岷先生</w:t>
      </w:r>
      <w:r>
        <w:rPr/>
        <w:t>，43</w:t>
      </w:r>
      <w:r>
        <w:rPr>
          <w:spacing w:val="-47"/>
        </w:rPr>
        <w:t> </w:t>
      </w:r>
      <w:r>
        <w:rPr>
          <w:spacing w:val="8"/>
        </w:rPr>
        <w:t>岁，硕士，毕业于清华大学经济管理学院。2004年5月</w:t>
      </w:r>
      <w:r>
        <w:rPr>
          <w:spacing w:val="-47"/>
        </w:rPr>
        <w:t> </w:t>
      </w:r>
      <w:r>
        <w:rPr/>
        <w:t>19</w:t>
      </w:r>
      <w:r>
        <w:rPr>
          <w:spacing w:val="-48"/>
        </w:rPr>
        <w:t> </w:t>
      </w:r>
      <w:r>
        <w:rPr/>
        <w:t>日至报告期</w:t>
      </w:r>
      <w:r>
        <w:rPr/>
        <w:t> </w:t>
      </w:r>
      <w:r>
        <w:rPr>
          <w:spacing w:val="7"/>
        </w:rPr>
        <w:t>末，任公司董事会秘书之职。1997年4</w:t>
      </w:r>
      <w:r>
        <w:rPr>
          <w:spacing w:val="-54"/>
        </w:rPr>
        <w:t> </w:t>
      </w:r>
      <w:r>
        <w:rPr/>
        <w:t>月至报告期末，历任公司董事会秘书、副总裁。</w:t>
      </w:r>
      <w:r>
        <w:rPr/>
        <w:t> 未在股东单位和除公司子公司以外的其他单位任职或兼职。</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(三)公司董事、监事、高级管理人员的报酬情况</w:t>
      </w:r>
      <w:r>
        <w:rPr>
          <w:b w:val="0"/>
          <w:bCs w:val="0"/>
        </w:rPr>
      </w:r>
    </w:p>
    <w:p>
      <w:pPr>
        <w:spacing w:line="240" w:lineRule="auto" w:before="5"/>
        <w:rPr>
          <w:rFonts w:ascii="宋体" w:hAnsi="宋体" w:cs="宋体" w:eastAsia="宋体" w:hint="default"/>
          <w:b/>
          <w:bCs/>
          <w:sz w:val="23"/>
          <w:szCs w:val="23"/>
        </w:rPr>
      </w:pPr>
    </w:p>
    <w:p>
      <w:pPr>
        <w:pStyle w:val="BodyText"/>
        <w:spacing w:line="312" w:lineRule="exact"/>
        <w:ind w:right="140"/>
        <w:jc w:val="both"/>
      </w:pPr>
      <w:r>
        <w:rPr/>
        <w:t>按照公司资产规模、经营业绩和承担工作的职责等考评指标，公司董事会对高级管理人</w:t>
      </w:r>
      <w:r>
        <w:rPr>
          <w:spacing w:val="-47"/>
        </w:rPr>
        <w:t> </w:t>
      </w:r>
      <w:r>
        <w:rPr>
          <w:spacing w:val="-47"/>
        </w:rPr>
      </w:r>
      <w:r>
        <w:rPr/>
        <w:t>员的绩效进行考核，目前公司管理层的薪酬体系采用年薪制。</w:t>
      </w:r>
    </w:p>
    <w:p>
      <w:pPr>
        <w:spacing w:line="240" w:lineRule="auto" w:before="5"/>
        <w:rPr>
          <w:rFonts w:ascii="宋体" w:hAnsi="宋体" w:cs="宋体" w:eastAsia="宋体" w:hint="default"/>
          <w:sz w:val="21"/>
          <w:szCs w:val="21"/>
        </w:rPr>
      </w:pPr>
    </w:p>
    <w:p>
      <w:pPr>
        <w:pStyle w:val="BodyText"/>
        <w:spacing w:line="312" w:lineRule="exact"/>
        <w:ind w:right="0"/>
        <w:jc w:val="both"/>
      </w:pPr>
      <w:r>
        <w:rPr/>
        <w:t>报告期内公司董事、监事及高级管理人员中共有十二人在本公司受薪，总额为</w:t>
      </w:r>
      <w:r>
        <w:rPr>
          <w:spacing w:val="-80"/>
        </w:rPr>
        <w:t> </w:t>
      </w:r>
      <w:r>
        <w:rPr/>
        <w:t>589.05</w:t>
      </w:r>
      <w:r>
        <w:rPr>
          <w:spacing w:val="-80"/>
        </w:rPr>
        <w:t> </w:t>
      </w:r>
      <w:r>
        <w:rPr/>
        <w:t>万</w:t>
      </w:r>
    </w:p>
    <w:p>
      <w:pPr>
        <w:pStyle w:val="BodyText"/>
        <w:spacing w:line="312" w:lineRule="exact"/>
        <w:ind w:right="0"/>
        <w:jc w:val="both"/>
      </w:pPr>
      <w:r>
        <w:rPr/>
        <w:t>元。其中公司现任独立董事三名领取的津贴及其他待遇每人均为</w:t>
      </w:r>
      <w:r>
        <w:rPr>
          <w:spacing w:val="-60"/>
        </w:rPr>
        <w:t> </w:t>
      </w:r>
      <w:r>
        <w:rPr/>
        <w:t>10</w:t>
      </w:r>
      <w:r>
        <w:rPr>
          <w:spacing w:val="-60"/>
        </w:rPr>
        <w:t> </w:t>
      </w:r>
      <w:r>
        <w:rPr/>
        <w:t>万元/年。</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(四)本报告期内公司董事、监事、高管人员变动及增补的情况说明</w:t>
      </w:r>
      <w:r>
        <w:rPr>
          <w:b w:val="0"/>
          <w:bCs w:val="0"/>
        </w:rPr>
      </w:r>
    </w:p>
    <w:p>
      <w:pPr>
        <w:spacing w:after="0" w:line="240" w:lineRule="auto"/>
        <w:jc w:val="both"/>
        <w:sectPr>
          <w:pgSz w:w="11910" w:h="16840"/>
          <w:pgMar w:header="610" w:footer="764" w:top="1080" w:bottom="980" w:left="1280" w:right="11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37" w:lineRule="auto" w:before="28"/>
        <w:ind w:right="140"/>
        <w:jc w:val="both"/>
      </w:pPr>
      <w:r>
        <w:rPr>
          <w:spacing w:val="-3"/>
        </w:rPr>
        <w:t>本报告期内，经与</w:t>
      </w:r>
      <w:r>
        <w:rPr>
          <w:spacing w:val="-63"/>
        </w:rPr>
        <w:t> </w:t>
      </w:r>
      <w:r>
        <w:rPr>
          <w:spacing w:val="25"/>
        </w:rPr>
        <w:t>2010年5月</w:t>
      </w:r>
      <w:r>
        <w:rPr>
          <w:spacing w:val="-63"/>
        </w:rPr>
        <w:t> </w:t>
      </w:r>
      <w:r>
        <w:rPr/>
        <w:t>12</w:t>
      </w:r>
      <w:r>
        <w:rPr>
          <w:spacing w:val="-63"/>
        </w:rPr>
        <w:t> </w:t>
      </w:r>
      <w:r>
        <w:rPr/>
        <w:t>日召开的</w:t>
      </w:r>
      <w:r>
        <w:rPr>
          <w:spacing w:val="-63"/>
        </w:rPr>
        <w:t> </w:t>
      </w:r>
      <w:r>
        <w:rPr/>
        <w:t>2009</w:t>
      </w:r>
      <w:r>
        <w:rPr>
          <w:spacing w:val="-63"/>
        </w:rPr>
        <w:t> </w:t>
      </w:r>
      <w:r>
        <w:rPr/>
        <w:t>年年度股东大会审议，公司股东大会换</w:t>
      </w:r>
      <w:r>
        <w:rPr/>
        <w:t> 届选举荣泳霖先生、陆致成先生、马二恩女士、周立业先生任公司第五届董事会董事，</w:t>
      </w:r>
      <w:r>
        <w:rPr>
          <w:spacing w:val="-47"/>
        </w:rPr>
        <w:t> </w:t>
      </w:r>
      <w:r>
        <w:rPr>
          <w:spacing w:val="-47"/>
        </w:rPr>
      </w:r>
      <w:r>
        <w:rPr/>
        <w:t>陈金占先生、程凤朝先生、夏斌先生任公司第五届董事会独立董事，换届选举夏冬林先</w:t>
      </w:r>
      <w:r>
        <w:rPr>
          <w:spacing w:val="-47"/>
        </w:rPr>
        <w:t> </w:t>
      </w:r>
      <w:r>
        <w:rPr>
          <w:spacing w:val="-47"/>
        </w:rPr>
      </w:r>
      <w:r>
        <w:rPr/>
        <w:t>生、秦蓬先生、刘刚先生任公司第五届监事会监事。</w:t>
      </w:r>
    </w:p>
    <w:p>
      <w:pPr>
        <w:spacing w:line="240" w:lineRule="auto" w:before="10"/>
        <w:rPr>
          <w:rFonts w:ascii="宋体" w:hAnsi="宋体" w:cs="宋体" w:eastAsia="宋体" w:hint="default"/>
          <w:sz w:val="23"/>
          <w:szCs w:val="23"/>
        </w:rPr>
      </w:pPr>
    </w:p>
    <w:p>
      <w:pPr>
        <w:pStyle w:val="BodyText"/>
        <w:spacing w:line="237" w:lineRule="auto"/>
        <w:ind w:right="140"/>
        <w:jc w:val="both"/>
      </w:pPr>
      <w:r>
        <w:rPr/>
        <w:t>经于</w:t>
      </w:r>
      <w:r>
        <w:rPr>
          <w:spacing w:val="-46"/>
        </w:rPr>
        <w:t> </w:t>
      </w:r>
      <w:r>
        <w:rPr>
          <w:spacing w:val="30"/>
        </w:rPr>
        <w:t>2010年5月</w:t>
      </w:r>
      <w:r>
        <w:rPr>
          <w:spacing w:val="-46"/>
        </w:rPr>
        <w:t> </w:t>
      </w:r>
      <w:r>
        <w:rPr/>
        <w:t>12</w:t>
      </w:r>
      <w:r>
        <w:rPr>
          <w:spacing w:val="-46"/>
        </w:rPr>
        <w:t> </w:t>
      </w:r>
      <w:r>
        <w:rPr/>
        <w:t>日召开的公司第五届董事会第一次会议审议，公司董事会选举荣泳</w:t>
      </w:r>
      <w:r>
        <w:rPr/>
        <w:t> 霖先生为公司第五届董事会董事长，选举陆致成先生为公司第五届董事会副董事长。根</w:t>
      </w:r>
      <w:r>
        <w:rPr>
          <w:spacing w:val="-47"/>
        </w:rPr>
        <w:t> </w:t>
      </w:r>
      <w:r>
        <w:rPr>
          <w:spacing w:val="-47"/>
        </w:rPr>
      </w:r>
      <w:r>
        <w:rPr/>
        <w:t>据董事长荣泳霖先生的提名，聘任孙岷先生为公司董事会秘书。根据董事长荣泳霖先生</w:t>
      </w:r>
      <w:r>
        <w:rPr>
          <w:spacing w:val="-47"/>
        </w:rPr>
        <w:t> </w:t>
      </w:r>
      <w:r>
        <w:rPr>
          <w:spacing w:val="-47"/>
        </w:rPr>
      </w:r>
      <w:r>
        <w:rPr/>
        <w:t>的提名，聘任陆致成先生为公司总裁。根据总裁陆致成先生的提名，聘任李健航先生、</w:t>
      </w:r>
      <w:r>
        <w:rPr>
          <w:spacing w:val="-47"/>
        </w:rPr>
        <w:t> </w:t>
      </w:r>
      <w:r>
        <w:rPr>
          <w:spacing w:val="-47"/>
        </w:rPr>
      </w:r>
      <w:r>
        <w:rPr/>
        <w:t>王良海先生、王明亮先生、薛霖女士、杨志明先生、赵维健先生为公司副总裁；聘任刘</w:t>
      </w:r>
      <w:r>
        <w:rPr>
          <w:spacing w:val="-47"/>
        </w:rPr>
        <w:t> </w:t>
      </w:r>
      <w:r>
        <w:rPr>
          <w:spacing w:val="-47"/>
        </w:rPr>
      </w:r>
      <w:r>
        <w:rPr/>
        <w:t>卫东先生任公司总会计师、财务负责人；聘任李吉生先生任公司总工程师。</w:t>
      </w:r>
    </w:p>
    <w:p>
      <w:pPr>
        <w:spacing w:line="240" w:lineRule="auto" w:before="1"/>
        <w:rPr>
          <w:rFonts w:ascii="宋体" w:hAnsi="宋体" w:cs="宋体" w:eastAsia="宋体" w:hint="default"/>
          <w:sz w:val="26"/>
          <w:szCs w:val="26"/>
        </w:rPr>
      </w:pPr>
    </w:p>
    <w:p>
      <w:pPr>
        <w:pStyle w:val="BodyText"/>
        <w:spacing w:line="310" w:lineRule="exact"/>
        <w:ind w:right="143"/>
        <w:jc w:val="both"/>
      </w:pPr>
      <w:r>
        <w:rPr/>
        <w:t>经于</w:t>
      </w:r>
      <w:r>
        <w:rPr>
          <w:spacing w:val="-46"/>
        </w:rPr>
        <w:t> </w:t>
      </w:r>
      <w:r>
        <w:rPr>
          <w:spacing w:val="30"/>
        </w:rPr>
        <w:t>2010年5月</w:t>
      </w:r>
      <w:r>
        <w:rPr>
          <w:spacing w:val="-46"/>
        </w:rPr>
        <w:t> </w:t>
      </w:r>
      <w:r>
        <w:rPr/>
        <w:t>12</w:t>
      </w:r>
      <w:r>
        <w:rPr>
          <w:spacing w:val="-46"/>
        </w:rPr>
        <w:t> </w:t>
      </w:r>
      <w:r>
        <w:rPr/>
        <w:t>日召开的公司第五届监事会第一次会议审议，公司监事会选举夏冬</w:t>
      </w:r>
      <w:r>
        <w:rPr/>
        <w:t> 林先生为公司第五届监事会监事会主席。</w:t>
      </w:r>
    </w:p>
    <w:p>
      <w:pPr>
        <w:spacing w:line="240" w:lineRule="auto" w:before="6"/>
        <w:rPr>
          <w:rFonts w:ascii="宋体" w:hAnsi="宋体" w:cs="宋体" w:eastAsia="宋体" w:hint="default"/>
          <w:sz w:val="21"/>
          <w:szCs w:val="21"/>
        </w:rPr>
      </w:pPr>
    </w:p>
    <w:p>
      <w:pPr>
        <w:pStyle w:val="BodyText"/>
        <w:spacing w:line="313" w:lineRule="exact"/>
        <w:ind w:right="0"/>
        <w:jc w:val="both"/>
      </w:pPr>
      <w:r>
        <w:rPr/>
        <w:t>经于</w:t>
      </w:r>
      <w:r>
        <w:rPr>
          <w:spacing w:val="-67"/>
        </w:rPr>
        <w:t> </w:t>
      </w:r>
      <w:r>
        <w:rPr/>
        <w:t>2010</w:t>
      </w:r>
      <w:r>
        <w:rPr>
          <w:spacing w:val="-67"/>
        </w:rPr>
        <w:t> </w:t>
      </w:r>
      <w:r>
        <w:rPr/>
        <w:t>年</w:t>
      </w:r>
      <w:r>
        <w:rPr>
          <w:spacing w:val="-67"/>
        </w:rPr>
        <w:t> </w:t>
      </w:r>
      <w:r>
        <w:rPr/>
        <w:t>10</w:t>
      </w:r>
      <w:r>
        <w:rPr>
          <w:spacing w:val="-67"/>
        </w:rPr>
        <w:t> </w:t>
      </w:r>
      <w:r>
        <w:rPr/>
        <w:t>月</w:t>
      </w:r>
      <w:r>
        <w:rPr>
          <w:spacing w:val="-67"/>
        </w:rPr>
        <w:t> </w:t>
      </w:r>
      <w:r>
        <w:rPr/>
        <w:t>19</w:t>
      </w:r>
      <w:r>
        <w:rPr>
          <w:spacing w:val="-67"/>
        </w:rPr>
        <w:t> </w:t>
      </w:r>
      <w:r>
        <w:rPr/>
        <w:t>日召开的公司第五届董事会第七次会议审议，同意赵维健先生因工</w:t>
      </w:r>
    </w:p>
    <w:p>
      <w:pPr>
        <w:pStyle w:val="BodyText"/>
        <w:spacing w:line="310" w:lineRule="exact" w:before="31"/>
        <w:ind w:right="143"/>
        <w:jc w:val="both"/>
      </w:pPr>
      <w:r>
        <w:rPr>
          <w:spacing w:val="-3"/>
        </w:rPr>
        <w:t>作原因提出不再担任公司副总裁职务。赵维健先生于</w:t>
      </w:r>
      <w:r>
        <w:rPr>
          <w:spacing w:val="-60"/>
        </w:rPr>
        <w:t> </w:t>
      </w:r>
      <w:r>
        <w:rPr/>
        <w:t>2010</w:t>
      </w:r>
      <w:r>
        <w:rPr>
          <w:spacing w:val="-59"/>
        </w:rPr>
        <w:t> </w:t>
      </w:r>
      <w:r>
        <w:rPr/>
        <w:t>年</w:t>
      </w:r>
      <w:r>
        <w:rPr>
          <w:spacing w:val="-59"/>
        </w:rPr>
        <w:t> </w:t>
      </w:r>
      <w:r>
        <w:rPr/>
        <w:t>5</w:t>
      </w:r>
      <w:r>
        <w:rPr>
          <w:spacing w:val="-59"/>
        </w:rPr>
        <w:t> </w:t>
      </w:r>
      <w:r>
        <w:rPr/>
        <w:t>月受聘担任公司副总裁职</w:t>
      </w:r>
      <w:r>
        <w:rPr/>
        <w:t> 务。</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(五)公司员工的数量、专业构成、教育程度及退休职工人数情况</w:t>
      </w:r>
      <w:r>
        <w:rPr>
          <w:b w:val="0"/>
          <w:bCs w:val="0"/>
        </w:rPr>
      </w:r>
    </w:p>
    <w:p>
      <w:pPr>
        <w:spacing w:line="240" w:lineRule="auto" w:before="1"/>
        <w:rPr>
          <w:rFonts w:ascii="宋体" w:hAnsi="宋体" w:cs="宋体" w:eastAsia="宋体" w:hint="default"/>
          <w:b/>
          <w:bCs/>
          <w:sz w:val="24"/>
          <w:szCs w:val="24"/>
        </w:rPr>
      </w:pPr>
    </w:p>
    <w:p>
      <w:pPr>
        <w:pStyle w:val="BodyText"/>
        <w:spacing w:line="312" w:lineRule="exact"/>
        <w:ind w:right="0"/>
        <w:jc w:val="both"/>
      </w:pPr>
      <w:r>
        <w:rPr/>
        <w:t>2010</w:t>
      </w:r>
      <w:r>
        <w:rPr>
          <w:spacing w:val="-59"/>
        </w:rPr>
        <w:t> </w:t>
      </w:r>
      <w:r>
        <w:rPr>
          <w:spacing w:val="-5"/>
        </w:rPr>
        <w:t>年，公司公司员工总数与去年相比略有下降。截止</w:t>
      </w:r>
      <w:r>
        <w:rPr>
          <w:spacing w:val="-59"/>
        </w:rPr>
        <w:t> </w:t>
      </w:r>
      <w:r>
        <w:rPr/>
        <w:t>2010</w:t>
      </w:r>
      <w:r>
        <w:rPr>
          <w:spacing w:val="-59"/>
        </w:rPr>
        <w:t> </w:t>
      </w:r>
      <w:r>
        <w:rPr/>
        <w:t>年</w:t>
      </w:r>
      <w:r>
        <w:rPr>
          <w:spacing w:val="-59"/>
        </w:rPr>
        <w:t> </w:t>
      </w:r>
      <w:r>
        <w:rPr/>
        <w:t>12</w:t>
      </w:r>
      <w:r>
        <w:rPr>
          <w:spacing w:val="-59"/>
        </w:rPr>
        <w:t> </w:t>
      </w:r>
      <w:r>
        <w:rPr/>
        <w:t>月</w:t>
      </w:r>
      <w:r>
        <w:rPr>
          <w:spacing w:val="-59"/>
        </w:rPr>
        <w:t> </w:t>
      </w:r>
      <w:r>
        <w:rPr/>
        <w:t>31</w:t>
      </w:r>
      <w:r>
        <w:rPr>
          <w:spacing w:val="-59"/>
        </w:rPr>
        <w:t> </w:t>
      </w:r>
      <w:r>
        <w:rPr/>
        <w:t>日公司(母公司)</w:t>
      </w:r>
    </w:p>
    <w:p>
      <w:pPr>
        <w:pStyle w:val="BodyText"/>
        <w:spacing w:line="312" w:lineRule="exact"/>
        <w:ind w:right="0"/>
        <w:jc w:val="both"/>
      </w:pPr>
      <w:r>
        <w:rPr/>
        <w:t>职工总数</w:t>
      </w:r>
      <w:r>
        <w:rPr>
          <w:spacing w:val="-60"/>
        </w:rPr>
        <w:t> </w:t>
      </w:r>
      <w:r>
        <w:rPr/>
        <w:t>1802</w:t>
      </w:r>
      <w:r>
        <w:rPr>
          <w:spacing w:val="-60"/>
        </w:rPr>
        <w:t> </w:t>
      </w:r>
      <w:r>
        <w:rPr/>
        <w:t>人，其中：</w:t>
      </w:r>
    </w:p>
    <w:p>
      <w:pPr>
        <w:spacing w:line="240" w:lineRule="auto" w:before="1"/>
        <w:rPr>
          <w:rFonts w:ascii="宋体" w:hAnsi="宋体" w:cs="宋体" w:eastAsia="宋体" w:hint="default"/>
          <w:sz w:val="26"/>
          <w:szCs w:val="26"/>
        </w:rPr>
      </w:pPr>
    </w:p>
    <w:p>
      <w:pPr>
        <w:pStyle w:val="BodyText"/>
        <w:spacing w:line="310" w:lineRule="exact"/>
        <w:ind w:right="143"/>
        <w:jc w:val="both"/>
      </w:pPr>
      <w:r>
        <w:rPr/>
        <w:t>(1)按照教育程度构成分类：大学以上学历</w:t>
      </w:r>
      <w:r>
        <w:rPr>
          <w:spacing w:val="-57"/>
        </w:rPr>
        <w:t> </w:t>
      </w:r>
      <w:r>
        <w:rPr/>
        <w:t>1266</w:t>
      </w:r>
      <w:r>
        <w:rPr>
          <w:spacing w:val="-57"/>
        </w:rPr>
        <w:t> </w:t>
      </w:r>
      <w:r>
        <w:rPr/>
        <w:t>人占</w:t>
      </w:r>
      <w:r>
        <w:rPr>
          <w:spacing w:val="-57"/>
        </w:rPr>
        <w:t> </w:t>
      </w:r>
      <w:r>
        <w:rPr/>
        <w:t>70.24%；大专和中专学历</w:t>
      </w:r>
      <w:r>
        <w:rPr>
          <w:spacing w:val="-57"/>
        </w:rPr>
        <w:t> </w:t>
      </w:r>
      <w:r>
        <w:rPr/>
        <w:t>480</w:t>
      </w:r>
      <w:r>
        <w:rPr>
          <w:spacing w:val="-56"/>
        </w:rPr>
        <w:t> </w:t>
      </w:r>
      <w:r>
        <w:rPr/>
        <w:t>人占</w:t>
      </w:r>
      <w:r>
        <w:rPr/>
        <w:t> 26.64%。</w:t>
      </w:r>
    </w:p>
    <w:p>
      <w:pPr>
        <w:spacing w:line="240" w:lineRule="auto" w:before="12"/>
        <w:rPr>
          <w:rFonts w:ascii="宋体" w:hAnsi="宋体" w:cs="宋体" w:eastAsia="宋体" w:hint="default"/>
          <w:sz w:val="23"/>
          <w:szCs w:val="23"/>
        </w:rPr>
      </w:pPr>
    </w:p>
    <w:p>
      <w:pPr>
        <w:pStyle w:val="BodyText"/>
        <w:spacing w:line="310" w:lineRule="exact"/>
        <w:ind w:right="142"/>
        <w:jc w:val="both"/>
      </w:pPr>
      <w:r>
        <w:rPr>
          <w:spacing w:val="-3"/>
        </w:rPr>
        <w:t>(2)专业构成分类：研发和工程技术人员</w:t>
      </w:r>
      <w:r>
        <w:rPr>
          <w:spacing w:val="-56"/>
        </w:rPr>
        <w:t> </w:t>
      </w:r>
      <w:r>
        <w:rPr/>
        <w:t>609</w:t>
      </w:r>
      <w:r>
        <w:rPr>
          <w:spacing w:val="-56"/>
        </w:rPr>
        <w:t> </w:t>
      </w:r>
      <w:r>
        <w:rPr/>
        <w:t>人占</w:t>
      </w:r>
      <w:r>
        <w:rPr>
          <w:spacing w:val="-56"/>
        </w:rPr>
        <w:t> </w:t>
      </w:r>
      <w:r>
        <w:rPr>
          <w:spacing w:val="-4"/>
        </w:rPr>
        <w:t>33.80%；经营管理和行政人员</w:t>
      </w:r>
      <w:r>
        <w:rPr>
          <w:spacing w:val="-56"/>
        </w:rPr>
        <w:t> </w:t>
      </w:r>
      <w:r>
        <w:rPr/>
        <w:t>567</w:t>
      </w:r>
      <w:r>
        <w:rPr>
          <w:spacing w:val="-56"/>
        </w:rPr>
        <w:t> </w:t>
      </w:r>
      <w:r>
        <w:rPr/>
        <w:t>人占</w:t>
      </w:r>
      <w:r>
        <w:rPr/>
        <w:t> 31.48%；销售、市场与技术服务人员</w:t>
      </w:r>
      <w:r>
        <w:rPr>
          <w:spacing w:val="-60"/>
        </w:rPr>
        <w:t> </w:t>
      </w:r>
      <w:r>
        <w:rPr/>
        <w:t>593</w:t>
      </w:r>
      <w:r>
        <w:rPr>
          <w:spacing w:val="-60"/>
        </w:rPr>
        <w:t> </w:t>
      </w:r>
      <w:r>
        <w:rPr/>
        <w:t>人占</w:t>
      </w:r>
      <w:r>
        <w:rPr>
          <w:spacing w:val="-60"/>
        </w:rPr>
        <w:t> </w:t>
      </w:r>
      <w:r>
        <w:rPr/>
        <w:t>32.88%，其余为生产人员。</w:t>
      </w:r>
    </w:p>
    <w:p>
      <w:pPr>
        <w:spacing w:line="240" w:lineRule="auto" w:before="12"/>
        <w:rPr>
          <w:rFonts w:ascii="宋体" w:hAnsi="宋体" w:cs="宋体" w:eastAsia="宋体" w:hint="default"/>
          <w:sz w:val="23"/>
          <w:szCs w:val="23"/>
        </w:rPr>
      </w:pPr>
    </w:p>
    <w:p>
      <w:pPr>
        <w:pStyle w:val="BodyText"/>
        <w:spacing w:line="310" w:lineRule="exact"/>
        <w:ind w:right="143"/>
        <w:jc w:val="both"/>
      </w:pPr>
      <w:r>
        <w:rPr/>
        <w:t>(3)年龄结构：29</w:t>
      </w:r>
      <w:r>
        <w:rPr>
          <w:spacing w:val="-45"/>
        </w:rPr>
        <w:t> </w:t>
      </w:r>
      <w:r>
        <w:rPr/>
        <w:t>岁及以下</w:t>
      </w:r>
      <w:r>
        <w:rPr>
          <w:spacing w:val="-45"/>
        </w:rPr>
        <w:t> </w:t>
      </w:r>
      <w:r>
        <w:rPr/>
        <w:t>643</w:t>
      </w:r>
      <w:r>
        <w:rPr>
          <w:spacing w:val="-45"/>
        </w:rPr>
        <w:t> </w:t>
      </w:r>
      <w:r>
        <w:rPr/>
        <w:t>人占</w:t>
      </w:r>
      <w:r>
        <w:rPr>
          <w:spacing w:val="-45"/>
        </w:rPr>
        <w:t> </w:t>
      </w:r>
      <w:r>
        <w:rPr/>
        <w:t>35.70%；30-39</w:t>
      </w:r>
      <w:r>
        <w:rPr>
          <w:spacing w:val="-45"/>
        </w:rPr>
        <w:t> </w:t>
      </w:r>
      <w:r>
        <w:rPr/>
        <w:t>岁</w:t>
      </w:r>
      <w:r>
        <w:rPr>
          <w:spacing w:val="-45"/>
        </w:rPr>
        <w:t> </w:t>
      </w:r>
      <w:r>
        <w:rPr/>
        <w:t>914</w:t>
      </w:r>
      <w:r>
        <w:rPr>
          <w:spacing w:val="-45"/>
        </w:rPr>
        <w:t> </w:t>
      </w:r>
      <w:r>
        <w:rPr/>
        <w:t>人占</w:t>
      </w:r>
      <w:r>
        <w:rPr>
          <w:spacing w:val="-45"/>
        </w:rPr>
        <w:t> </w:t>
      </w:r>
      <w:r>
        <w:rPr/>
        <w:t>50.70%；40-49</w:t>
      </w:r>
      <w:r>
        <w:rPr>
          <w:spacing w:val="-45"/>
        </w:rPr>
        <w:t> </w:t>
      </w:r>
      <w:r>
        <w:rPr/>
        <w:t>岁</w:t>
      </w:r>
      <w:r>
        <w:rPr>
          <w:spacing w:val="-45"/>
        </w:rPr>
        <w:t> </w:t>
      </w:r>
      <w:r>
        <w:rPr/>
        <w:t>153</w:t>
      </w:r>
      <w:r>
        <w:rPr>
          <w:spacing w:val="-1"/>
        </w:rPr>
        <w:t> </w:t>
      </w:r>
      <w:r>
        <w:rPr/>
        <w:t>人占</w:t>
      </w:r>
      <w:r>
        <w:rPr>
          <w:spacing w:val="-60"/>
        </w:rPr>
        <w:t> </w:t>
      </w:r>
      <w:r>
        <w:rPr/>
        <w:t>8.51%；其余为</w:t>
      </w:r>
      <w:r>
        <w:rPr>
          <w:spacing w:val="-60"/>
        </w:rPr>
        <w:t> </w:t>
      </w:r>
      <w:r>
        <w:rPr/>
        <w:t>50</w:t>
      </w:r>
      <w:r>
        <w:rPr>
          <w:spacing w:val="-60"/>
        </w:rPr>
        <w:t> </w:t>
      </w:r>
      <w:r>
        <w:rPr/>
        <w:t>岁以上。</w:t>
      </w:r>
    </w:p>
    <w:p>
      <w:pPr>
        <w:spacing w:line="240" w:lineRule="auto" w:before="12"/>
        <w:rPr>
          <w:rFonts w:ascii="宋体" w:hAnsi="宋体" w:cs="宋体" w:eastAsia="宋体" w:hint="default"/>
          <w:sz w:val="23"/>
          <w:szCs w:val="23"/>
        </w:rPr>
      </w:pPr>
    </w:p>
    <w:p>
      <w:pPr>
        <w:pStyle w:val="BodyText"/>
        <w:spacing w:line="310" w:lineRule="exact"/>
        <w:ind w:right="143"/>
        <w:jc w:val="both"/>
      </w:pPr>
      <w:r>
        <w:rPr/>
        <w:t>根据国家有关规定，公司员工全部参加了社会统筹。目前公司有离退休职工</w:t>
      </w:r>
      <w:r>
        <w:rPr>
          <w:spacing w:val="-72"/>
        </w:rPr>
        <w:t> </w:t>
      </w:r>
      <w:r>
        <w:rPr/>
        <w:t>37</w:t>
      </w:r>
      <w:r>
        <w:rPr>
          <w:spacing w:val="-72"/>
        </w:rPr>
        <w:t> </w:t>
      </w:r>
      <w:r>
        <w:rPr>
          <w:spacing w:val="-4"/>
        </w:rPr>
        <w:t>名，其职</w:t>
      </w:r>
      <w:r>
        <w:rPr/>
        <w:t> 工退休金由社会统筹机构负责发放。</w:t>
      </w:r>
    </w:p>
    <w:p>
      <w:pPr>
        <w:spacing w:after="0" w:line="310" w:lineRule="exact"/>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954" w:lineRule="exact"/>
        <w:ind w:left="2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61.6pt;height:47.7pt;mso-position-horizontal-relative:char;mso-position-vertical-relative:line" coordorigin="0,0" coordsize="3232,954">
            <v:shape style="position:absolute;left:0;top:0;width:3232;height:954" type="#_x0000_t75" stroked="false">
              <v:imagedata r:id="rId16" o:title=""/>
            </v:shape>
            <v:group style="position:absolute;left:222;top:816;width:2795;height:2" coordorigin="222,816" coordsize="2795,2">
              <v:shape style="position:absolute;left:222;top:816;width:2795;height:2" coordorigin="222,816" coordsize="2795,0" path="m222,816l3017,816e" filled="false" stroked="true" strokeweight=".25pt" strokecolor="#000000">
                <v:path arrowok="t"/>
              </v:shape>
            </v:group>
            <v:group style="position:absolute;left:3016;top:163;width:2;height:653" coordorigin="3016,163" coordsize="2,653">
              <v:shape style="position:absolute;left:3016;top:163;width:2;height:653" coordorigin="3016,163" coordsize="2,653" path="m3016,163l3017,816e" filled="false" stroked="true" strokeweight=".25pt" strokecolor="#000000">
                <v:path arrowok="t"/>
              </v:shape>
              <v:shape style="position:absolute;left:0;top:0;width:3232;height:954" type="#_x0000_t202" filled="false" stroked="false">
                <v:textbox inset="0,0,0,0">
                  <w:txbxContent>
                    <w:p>
                      <w:pPr>
                        <w:spacing w:line="240" w:lineRule="auto" w:before="9"/>
                        <w:rPr>
                          <w:rFonts w:ascii="宋体" w:hAnsi="宋体" w:cs="宋体" w:eastAsia="宋体" w:hint="default"/>
                          <w:sz w:val="26"/>
                          <w:szCs w:val="26"/>
                        </w:rPr>
                      </w:pPr>
                    </w:p>
                    <w:p>
                      <w:pPr>
                        <w:spacing w:before="0"/>
                        <w:ind w:left="298" w:right="0" w:firstLine="0"/>
                        <w:jc w:val="left"/>
                        <w:rPr>
                          <w:rFonts w:ascii="黑体" w:hAnsi="黑体" w:cs="黑体" w:eastAsia="黑体" w:hint="default"/>
                          <w:sz w:val="30"/>
                          <w:szCs w:val="30"/>
                        </w:rPr>
                      </w:pPr>
                      <w:r>
                        <w:rPr>
                          <w:rFonts w:ascii="黑体" w:hAnsi="黑体" w:cs="黑体" w:eastAsia="黑体" w:hint="default"/>
                          <w:b/>
                          <w:bCs/>
                          <w:sz w:val="30"/>
                          <w:szCs w:val="30"/>
                        </w:rPr>
                        <w:t>五、公司治理结构</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7"/>
        <w:rPr>
          <w:rFonts w:ascii="宋体" w:hAnsi="宋体" w:cs="宋体" w:eastAsia="宋体" w:hint="default"/>
          <w:sz w:val="6"/>
          <w:szCs w:val="6"/>
        </w:rPr>
      </w:pPr>
    </w:p>
    <w:p>
      <w:pPr>
        <w:pStyle w:val="Heading2"/>
        <w:spacing w:line="240" w:lineRule="auto" w:before="13"/>
        <w:ind w:left="238" w:right="0"/>
        <w:jc w:val="both"/>
        <w:rPr>
          <w:b w:val="0"/>
          <w:bCs w:val="0"/>
        </w:rPr>
      </w:pPr>
      <w:r>
        <w:rPr/>
        <w:t>(一)公司治理情况</w:t>
      </w:r>
      <w:r>
        <w:rPr>
          <w:b w:val="0"/>
          <w:bCs w:val="0"/>
        </w:rPr>
      </w:r>
    </w:p>
    <w:p>
      <w:pPr>
        <w:spacing w:line="240" w:lineRule="auto" w:before="4"/>
        <w:rPr>
          <w:rFonts w:ascii="宋体" w:hAnsi="宋体" w:cs="宋体" w:eastAsia="宋体" w:hint="default"/>
          <w:b/>
          <w:bCs/>
          <w:sz w:val="24"/>
          <w:szCs w:val="24"/>
        </w:rPr>
      </w:pPr>
    </w:p>
    <w:p>
      <w:pPr>
        <w:pStyle w:val="BodyText"/>
        <w:spacing w:line="237" w:lineRule="auto"/>
        <w:ind w:left="238" w:right="240"/>
        <w:jc w:val="both"/>
      </w:pPr>
      <w:r>
        <w:rPr/>
        <w:t>本年度，公司继续坚持贯彻大企业集团架构体系，强化内部管理，建立健全风险控制机</w:t>
      </w:r>
      <w:r>
        <w:rPr>
          <w:spacing w:val="-47"/>
        </w:rPr>
        <w:t> </w:t>
      </w:r>
      <w:r>
        <w:rPr>
          <w:spacing w:val="-47"/>
        </w:rPr>
      </w:r>
      <w:r>
        <w:rPr/>
        <w:t>制，规范各子公司的经营，规避职能体系内可能出现的风险，夯实基础管理，以积极应</w:t>
      </w:r>
      <w:r>
        <w:rPr>
          <w:spacing w:val="-47"/>
        </w:rPr>
        <w:t> </w:t>
      </w:r>
      <w:r>
        <w:rPr>
          <w:spacing w:val="-47"/>
        </w:rPr>
      </w:r>
      <w:r>
        <w:rPr/>
        <w:t>对外部挑战，确保公司健康持续发展。同时，公司还结合自身发展中遇到的实际情况和</w:t>
      </w:r>
      <w:r>
        <w:rPr>
          <w:spacing w:val="-47"/>
        </w:rPr>
        <w:t> </w:t>
      </w:r>
      <w:r>
        <w:rPr>
          <w:spacing w:val="-47"/>
        </w:rPr>
      </w:r>
      <w:r>
        <w:rPr/>
        <w:t>政府部门的监管要求，继续完善法人治理和内部控制制度。2010</w:t>
      </w:r>
      <w:r>
        <w:rPr>
          <w:spacing w:val="-40"/>
        </w:rPr>
        <w:t> </w:t>
      </w:r>
      <w:r>
        <w:rPr/>
        <w:t>年，在公司治理方面采</w:t>
      </w:r>
      <w:r>
        <w:rPr/>
        <w:t> 取的措施主要包括：</w:t>
      </w:r>
    </w:p>
    <w:p>
      <w:pPr>
        <w:spacing w:line="240" w:lineRule="auto" w:before="10"/>
        <w:rPr>
          <w:rFonts w:ascii="宋体" w:hAnsi="宋体" w:cs="宋体" w:eastAsia="宋体" w:hint="default"/>
          <w:sz w:val="23"/>
          <w:szCs w:val="23"/>
        </w:rPr>
      </w:pPr>
    </w:p>
    <w:p>
      <w:pPr>
        <w:pStyle w:val="BodyText"/>
        <w:spacing w:line="237" w:lineRule="auto"/>
        <w:ind w:left="238" w:right="108"/>
        <w:jc w:val="left"/>
      </w:pPr>
      <w:r>
        <w:rPr/>
        <w:t>1、管理创新，充分发挥职能部门优势。公司通过计划预算管理、综合业绩考核、公司监 </w:t>
      </w:r>
      <w:r>
        <w:rPr>
          <w:spacing w:val="-2"/>
        </w:rPr>
        <w:t>督执行管理模式的施行，充分发挥总部职能部门专业优势，结合公司实际不断主动探索，</w:t>
      </w:r>
      <w:r>
        <w:rPr>
          <w:spacing w:val="-82"/>
        </w:rPr>
        <w:t> </w:t>
      </w:r>
      <w:r>
        <w:rPr>
          <w:spacing w:val="-82"/>
        </w:rPr>
      </w:r>
      <w:r>
        <w:rPr/>
        <w:t>制定和完善规章制度，为公司发展保驾护航。</w:t>
      </w:r>
    </w:p>
    <w:p>
      <w:pPr>
        <w:spacing w:line="240" w:lineRule="auto" w:before="11"/>
        <w:rPr>
          <w:rFonts w:ascii="宋体" w:hAnsi="宋体" w:cs="宋体" w:eastAsia="宋体" w:hint="default"/>
          <w:sz w:val="23"/>
          <w:szCs w:val="23"/>
        </w:rPr>
      </w:pPr>
    </w:p>
    <w:p>
      <w:pPr>
        <w:pStyle w:val="BodyText"/>
        <w:spacing w:line="237" w:lineRule="auto"/>
        <w:ind w:left="238" w:right="108"/>
        <w:jc w:val="left"/>
      </w:pPr>
      <w:r>
        <w:rPr/>
        <w:t>2、继续探索集团化架构下的投资体系建设。针对公司现正处于高速成长、深度变革时代 </w:t>
      </w:r>
      <w:r>
        <w:rPr>
          <w:spacing w:val="-2"/>
        </w:rPr>
        <w:t>的特点，公司及时采取相应措施加强对子公司的管理，防范内控风险，例如：通过投资、</w:t>
      </w:r>
      <w:r>
        <w:rPr>
          <w:spacing w:val="-82"/>
        </w:rPr>
        <w:t> </w:t>
      </w:r>
      <w:r>
        <w:rPr>
          <w:spacing w:val="-82"/>
        </w:rPr>
      </w:r>
      <w:r>
        <w:rPr/>
        <w:t>运营、财务、审计、法务等智能体系部门与产业经营的结合，研究法规、税务、会计处</w:t>
      </w:r>
      <w:r>
        <w:rPr>
          <w:spacing w:val="-47"/>
        </w:rPr>
        <w:t> </w:t>
      </w:r>
      <w:r>
        <w:rPr>
          <w:spacing w:val="-47"/>
        </w:rPr>
      </w:r>
      <w:r>
        <w:rPr/>
        <w:t>理框架下的业务模式，确保各项业务健康发展，减少不必要的损失。</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spacing w:val="-4"/>
        </w:rPr>
        <w:t>3、有效开展审计评价和管理建议。2010</w:t>
      </w:r>
      <w:r>
        <w:rPr>
          <w:spacing w:val="-78"/>
        </w:rPr>
        <w:t> </w:t>
      </w:r>
      <w:r>
        <w:rPr/>
        <w:t>年，公司加大了对内部控制制度的落实和自查力</w:t>
      </w:r>
      <w:r>
        <w:rPr/>
        <w:t> 度，加大了对核心产业单位管理控制及经营效果的分析评价，并成立了专门的内部控制</w:t>
      </w:r>
      <w:r>
        <w:rPr>
          <w:spacing w:val="-47"/>
        </w:rPr>
        <w:t> </w:t>
      </w:r>
      <w:r>
        <w:rPr>
          <w:spacing w:val="-47"/>
        </w:rPr>
      </w:r>
      <w:r>
        <w:rPr/>
        <w:t>工作小组，在各产业单位实施了对《企业内部控制基本规范》及相关指引性文件的学习</w:t>
      </w:r>
      <w:r>
        <w:rPr>
          <w:spacing w:val="-47"/>
        </w:rPr>
        <w:t> </w:t>
      </w:r>
      <w:r>
        <w:rPr>
          <w:spacing w:val="-47"/>
        </w:rPr>
      </w:r>
      <w:r>
        <w:rPr/>
        <w:t>和自查自纠活动，完善了经营环节的内部控制管理流程，认真梳理了原有内控制度，及</w:t>
      </w:r>
      <w:r>
        <w:rPr>
          <w:spacing w:val="-47"/>
        </w:rPr>
        <w:t> </w:t>
      </w:r>
      <w:r>
        <w:rPr>
          <w:spacing w:val="-47"/>
        </w:rPr>
      </w:r>
      <w:r>
        <w:rPr/>
        <w:t>时调整相关控制程序，进一步加强了公司内部控制的执行力度。</w:t>
      </w:r>
    </w:p>
    <w:p>
      <w:pPr>
        <w:spacing w:line="240" w:lineRule="auto" w:before="1"/>
        <w:rPr>
          <w:rFonts w:ascii="宋体" w:hAnsi="宋体" w:cs="宋体" w:eastAsia="宋体" w:hint="default"/>
          <w:sz w:val="23"/>
          <w:szCs w:val="23"/>
        </w:rPr>
      </w:pPr>
    </w:p>
    <w:p>
      <w:pPr>
        <w:pStyle w:val="Heading2"/>
        <w:spacing w:line="240" w:lineRule="auto"/>
        <w:ind w:left="238" w:right="0"/>
        <w:jc w:val="both"/>
        <w:rPr>
          <w:b w:val="0"/>
          <w:bCs w:val="0"/>
        </w:rPr>
      </w:pPr>
      <w:r>
        <w:rPr/>
        <w:t>(二)独立董事履行职责情况</w:t>
      </w:r>
      <w:r>
        <w:rPr>
          <w:b w:val="0"/>
          <w:bCs w:val="0"/>
        </w:rPr>
      </w:r>
    </w:p>
    <w:p>
      <w:pPr>
        <w:spacing w:line="240" w:lineRule="auto" w:before="5"/>
        <w:rPr>
          <w:rFonts w:ascii="宋体" w:hAnsi="宋体" w:cs="宋体" w:eastAsia="宋体" w:hint="default"/>
          <w:b/>
          <w:bCs/>
          <w:sz w:val="23"/>
          <w:szCs w:val="23"/>
        </w:rPr>
      </w:pPr>
    </w:p>
    <w:p>
      <w:pPr>
        <w:pStyle w:val="BodyText"/>
        <w:spacing w:line="312" w:lineRule="exact"/>
        <w:ind w:left="238" w:right="240"/>
        <w:jc w:val="both"/>
      </w:pPr>
      <w:r>
        <w:rPr/>
        <w:t>本报告期内，独立董事认真履行了“公司章程”及“公司法”等相关法律、法规赋予的</w:t>
      </w:r>
      <w:r>
        <w:rPr>
          <w:spacing w:val="-47"/>
        </w:rPr>
        <w:t> </w:t>
      </w:r>
      <w:r>
        <w:rPr>
          <w:spacing w:val="-47"/>
        </w:rPr>
      </w:r>
      <w:r>
        <w:rPr>
          <w:spacing w:val="-5"/>
        </w:rPr>
        <w:t>职责，遵照《独立董事工作制度》，出席了董事会会议。</w:t>
      </w:r>
    </w:p>
    <w:p>
      <w:pPr>
        <w:spacing w:line="240" w:lineRule="auto" w:before="8"/>
        <w:rPr>
          <w:rFonts w:ascii="宋体" w:hAnsi="宋体" w:cs="宋体" w:eastAsia="宋体" w:hint="default"/>
          <w:sz w:val="21"/>
          <w:szCs w:val="21"/>
        </w:rPr>
      </w:pPr>
    </w:p>
    <w:p>
      <w:pPr>
        <w:pStyle w:val="BodyText"/>
        <w:spacing w:line="237" w:lineRule="auto"/>
        <w:ind w:left="238" w:right="240"/>
        <w:jc w:val="both"/>
      </w:pPr>
      <w:r>
        <w:rPr/>
        <w:t>在本年度，公司独立董事认真履职，积极参与公司重大决策事项，尤其对于公司对外担</w:t>
      </w:r>
      <w:r>
        <w:rPr>
          <w:spacing w:val="-47"/>
        </w:rPr>
        <w:t> </w:t>
      </w:r>
      <w:r>
        <w:rPr>
          <w:spacing w:val="-47"/>
        </w:rPr>
      </w:r>
      <w:r>
        <w:rPr/>
        <w:t>保、关联交易、控参股公司管理、闲置募集资金暂时补充流动资金等事项进行了充分论</w:t>
      </w:r>
      <w:r>
        <w:rPr>
          <w:spacing w:val="-47"/>
        </w:rPr>
        <w:t> </w:t>
      </w:r>
      <w:r>
        <w:rPr>
          <w:spacing w:val="-47"/>
        </w:rPr>
      </w:r>
      <w:r>
        <w:rPr/>
        <w:t>证，发表了独立意见，并充分发挥各自在专业领域的知识和经验，为公司经营管理提供</w:t>
      </w:r>
      <w:r>
        <w:rPr>
          <w:spacing w:val="-47"/>
        </w:rPr>
        <w:t> </w:t>
      </w:r>
      <w:r>
        <w:rPr>
          <w:spacing w:val="-47"/>
        </w:rPr>
      </w:r>
      <w:r>
        <w:rPr/>
        <w:t>了科学、有效的建议，对公司持续、健康的发展发挥了重要作用。</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t>独立董事出席董事会的情况：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19"/>
        <w:gridCol w:w="1794"/>
        <w:gridCol w:w="2113"/>
        <w:gridCol w:w="1994"/>
        <w:gridCol w:w="1497"/>
      </w:tblGrid>
      <w:tr>
        <w:trPr>
          <w:trHeight w:val="567" w:hRule="exact"/>
        </w:trPr>
        <w:tc>
          <w:tcPr>
            <w:tcW w:w="201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179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本年应参加董事</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会次数</w:t>
            </w:r>
            <w:r>
              <w:rPr>
                <w:rFonts w:ascii="宋体" w:hAnsi="宋体" w:cs="宋体" w:eastAsia="宋体" w:hint="default"/>
                <w:sz w:val="21"/>
                <w:szCs w:val="21"/>
              </w:rPr>
            </w:r>
          </w:p>
        </w:tc>
        <w:tc>
          <w:tcPr>
            <w:tcW w:w="211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亲自出席(次)</w:t>
            </w:r>
            <w:r>
              <w:rPr>
                <w:rFonts w:ascii="宋体" w:hAnsi="宋体" w:cs="宋体" w:eastAsia="宋体" w:hint="default"/>
                <w:sz w:val="21"/>
                <w:szCs w:val="21"/>
              </w:rPr>
            </w:r>
          </w:p>
        </w:tc>
        <w:tc>
          <w:tcPr>
            <w:tcW w:w="199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委托出席(次)</w:t>
            </w:r>
            <w:r>
              <w:rPr>
                <w:rFonts w:ascii="宋体" w:hAnsi="宋体" w:cs="宋体" w:eastAsia="宋体" w:hint="default"/>
                <w:sz w:val="21"/>
                <w:szCs w:val="21"/>
              </w:rPr>
            </w:r>
          </w:p>
        </w:tc>
        <w:tc>
          <w:tcPr>
            <w:tcW w:w="1497"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100"/>
              <w:ind w:left="6" w:right="0"/>
              <w:jc w:val="center"/>
              <w:rPr>
                <w:rFonts w:ascii="宋体" w:hAnsi="宋体" w:cs="宋体" w:eastAsia="宋体" w:hint="default"/>
                <w:sz w:val="21"/>
                <w:szCs w:val="21"/>
              </w:rPr>
            </w:pPr>
            <w:r>
              <w:rPr>
                <w:rFonts w:ascii="宋体" w:hAnsi="宋体" w:cs="宋体" w:eastAsia="宋体" w:hint="default"/>
                <w:b/>
                <w:bCs/>
                <w:sz w:val="21"/>
                <w:szCs w:val="21"/>
              </w:rPr>
              <w:t>缺席(次)</w:t>
            </w:r>
            <w:r>
              <w:rPr>
                <w:rFonts w:ascii="宋体" w:hAnsi="宋体" w:cs="宋体" w:eastAsia="宋体" w:hint="default"/>
                <w:sz w:val="21"/>
                <w:szCs w:val="21"/>
              </w:rPr>
            </w:r>
          </w:p>
        </w:tc>
      </w:tr>
      <w:tr>
        <w:trPr>
          <w:trHeight w:val="288"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w:t>
            </w:r>
          </w:p>
        </w:tc>
      </w:tr>
      <w:tr>
        <w:trPr>
          <w:trHeight w:val="287"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tabs>
                <w:tab w:pos="420" w:val="left" w:leader="none"/>
              </w:tabs>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夏</w:t>
              <w:tab/>
              <w:t>斌</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w:t>
            </w:r>
          </w:p>
        </w:tc>
      </w:tr>
      <w:tr>
        <w:trPr>
          <w:trHeight w:val="295" w:hRule="exact"/>
        </w:trPr>
        <w:tc>
          <w:tcPr>
            <w:tcW w:w="20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程凤朝</w:t>
            </w:r>
          </w:p>
        </w:tc>
        <w:tc>
          <w:tcPr>
            <w:tcW w:w="17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w:t>
            </w:r>
          </w:p>
        </w:tc>
        <w:tc>
          <w:tcPr>
            <w:tcW w:w="211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0</w:t>
            </w:r>
          </w:p>
        </w:tc>
      </w:tr>
    </w:tbl>
    <w:p>
      <w:pPr>
        <w:spacing w:after="0" w:line="241" w:lineRule="exact"/>
        <w:jc w:val="center"/>
        <w:rPr>
          <w:rFonts w:ascii="宋体" w:hAnsi="宋体" w:cs="宋体" w:eastAsia="宋体" w:hint="default"/>
          <w:sz w:val="21"/>
          <w:szCs w:val="21"/>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213"/>
        <w:jc w:val="left"/>
      </w:pPr>
      <w:r>
        <w:rPr/>
        <w:t>独立董事未对公司有关事项提出异议。</w:t>
      </w:r>
    </w:p>
    <w:p>
      <w:pPr>
        <w:spacing w:line="240" w:lineRule="auto" w:before="0"/>
        <w:rPr>
          <w:rFonts w:ascii="宋体" w:hAnsi="宋体" w:cs="宋体" w:eastAsia="宋体" w:hint="default"/>
          <w:sz w:val="20"/>
          <w:szCs w:val="20"/>
        </w:rPr>
      </w:pPr>
    </w:p>
    <w:p>
      <w:pPr>
        <w:pStyle w:val="Heading2"/>
        <w:spacing w:line="240" w:lineRule="auto"/>
        <w:ind w:right="213"/>
        <w:jc w:val="left"/>
        <w:rPr>
          <w:b w:val="0"/>
          <w:bCs w:val="0"/>
        </w:rPr>
      </w:pPr>
      <w:r>
        <w:rPr/>
        <w:t>(三)关于公司独立性的承诺</w:t>
      </w:r>
      <w:r>
        <w:rPr>
          <w:b w:val="0"/>
          <w:bCs w:val="0"/>
        </w:rPr>
      </w:r>
    </w:p>
    <w:p>
      <w:pPr>
        <w:spacing w:line="240" w:lineRule="auto" w:before="4"/>
        <w:rPr>
          <w:rFonts w:ascii="宋体" w:hAnsi="宋体" w:cs="宋体" w:eastAsia="宋体" w:hint="default"/>
          <w:b/>
          <w:bCs/>
          <w:sz w:val="21"/>
          <w:szCs w:val="21"/>
        </w:rPr>
      </w:pPr>
    </w:p>
    <w:p>
      <w:pPr>
        <w:pStyle w:val="BodyText"/>
        <w:spacing w:line="237" w:lineRule="auto"/>
        <w:ind w:right="86"/>
        <w:jc w:val="left"/>
      </w:pPr>
      <w:r>
        <w:rPr/>
        <w:t>公司在业务、人员、资产、机构、财务等方面保持独立性，拥有独立于控股股东的生产</w:t>
      </w:r>
      <w:r>
        <w:rPr>
          <w:spacing w:val="-47"/>
        </w:rPr>
        <w:t> </w:t>
      </w:r>
      <w:r>
        <w:rPr>
          <w:spacing w:val="-47"/>
        </w:rPr>
      </w:r>
      <w:r>
        <w:rPr/>
        <w:t>系统、辅助生产系统和配套设施、独立的采购和销售系统；在土地使用权、工业产权、</w:t>
      </w:r>
      <w:r>
        <w:rPr>
          <w:spacing w:val="-47"/>
        </w:rPr>
        <w:t> </w:t>
      </w:r>
      <w:r>
        <w:rPr>
          <w:spacing w:val="-47"/>
        </w:rPr>
      </w:r>
      <w:r>
        <w:rPr>
          <w:spacing w:val="-2"/>
        </w:rPr>
        <w:t>非专利技术等资产方面有明确的产权界定；建立了独立的财务管理制度和会计核算体系，</w:t>
      </w:r>
      <w:r>
        <w:rPr>
          <w:spacing w:val="-1"/>
        </w:rPr>
        <w:t> </w:t>
      </w:r>
      <w:r>
        <w:rPr/>
        <w:t>拥有独立的财务会计部门；公司的办公机构和生产经营场所与控股股东经营场所分开；</w:t>
      </w:r>
      <w:r>
        <w:rPr>
          <w:spacing w:val="-47"/>
        </w:rPr>
        <w:t> </w:t>
      </w:r>
      <w:r>
        <w:rPr>
          <w:spacing w:val="-47"/>
        </w:rPr>
      </w:r>
      <w:r>
        <w:rPr/>
        <w:t>公司拥有独立的劳动、人事及工资管理体系，公司经营负责人员均在本单位领取薪酬，</w:t>
      </w:r>
      <w:r>
        <w:rPr>
          <w:spacing w:val="-47"/>
        </w:rPr>
        <w:t> </w:t>
      </w:r>
      <w:r>
        <w:rPr>
          <w:spacing w:val="-47"/>
        </w:rPr>
      </w:r>
      <w:r>
        <w:rPr/>
        <w:t>不在股东单位兼职。</w:t>
      </w:r>
    </w:p>
    <w:p>
      <w:pPr>
        <w:spacing w:line="240" w:lineRule="auto" w:before="2"/>
        <w:rPr>
          <w:rFonts w:ascii="宋体" w:hAnsi="宋体" w:cs="宋体" w:eastAsia="宋体" w:hint="default"/>
          <w:sz w:val="20"/>
          <w:szCs w:val="20"/>
        </w:rPr>
      </w:pPr>
    </w:p>
    <w:p>
      <w:pPr>
        <w:pStyle w:val="Heading2"/>
        <w:spacing w:line="240" w:lineRule="auto"/>
        <w:ind w:right="213"/>
        <w:jc w:val="left"/>
        <w:rPr>
          <w:b w:val="0"/>
          <w:bCs w:val="0"/>
        </w:rPr>
      </w:pPr>
      <w:r>
        <w:rPr/>
        <w:t>(四)对高级管理人员的考评及激励机制</w:t>
      </w:r>
      <w:r>
        <w:rPr>
          <w:b w:val="0"/>
          <w:bCs w:val="0"/>
        </w:rPr>
      </w:r>
    </w:p>
    <w:p>
      <w:pPr>
        <w:spacing w:line="240" w:lineRule="auto" w:before="4"/>
        <w:rPr>
          <w:rFonts w:ascii="宋体" w:hAnsi="宋体" w:cs="宋体" w:eastAsia="宋体" w:hint="default"/>
          <w:b/>
          <w:bCs/>
          <w:sz w:val="21"/>
          <w:szCs w:val="21"/>
        </w:rPr>
      </w:pPr>
    </w:p>
    <w:p>
      <w:pPr>
        <w:pStyle w:val="BodyText"/>
        <w:spacing w:line="237" w:lineRule="auto"/>
        <w:ind w:right="220"/>
        <w:jc w:val="both"/>
      </w:pPr>
      <w:r>
        <w:rPr/>
        <w:t>按照公司资产规模、经营业绩和承担工作的职责等考评指标公司对高级管理人员的绩效</w:t>
      </w:r>
      <w:r>
        <w:rPr>
          <w:spacing w:val="-47"/>
        </w:rPr>
        <w:t> </w:t>
      </w:r>
      <w:r>
        <w:rPr>
          <w:spacing w:val="-47"/>
        </w:rPr>
      </w:r>
      <w:r>
        <w:rPr/>
        <w:t>进行考核，薪酬体系采用年薪制。目前，公司针对公司高级管理人员和核心技术骨干拟</w:t>
      </w:r>
      <w:r>
        <w:rPr>
          <w:spacing w:val="-47"/>
        </w:rPr>
        <w:t> </w:t>
      </w:r>
      <w:r>
        <w:rPr>
          <w:spacing w:val="-47"/>
        </w:rPr>
      </w:r>
      <w:r>
        <w:rPr/>
        <w:t>定的以股票期权计划为基础的考评及激励机制尚未实施。</w:t>
      </w:r>
    </w:p>
    <w:p>
      <w:pPr>
        <w:spacing w:after="0" w:line="237" w:lineRule="auto"/>
        <w:jc w:val="both"/>
        <w:sectPr>
          <w:pgSz w:w="11910" w:h="16840"/>
          <w:pgMar w:header="610" w:footer="764" w:top="1080" w:bottom="980" w:left="1280" w:right="1060"/>
        </w:sectPr>
      </w:pPr>
    </w:p>
    <w:p>
      <w:pPr>
        <w:spacing w:line="240" w:lineRule="auto" w:before="8"/>
        <w:rPr>
          <w:rFonts w:ascii="宋体" w:hAnsi="宋体" w:cs="宋体" w:eastAsia="宋体" w:hint="default"/>
          <w:sz w:val="16"/>
          <w:szCs w:val="16"/>
        </w:rPr>
      </w:pPr>
    </w:p>
    <w:p>
      <w:pPr>
        <w:spacing w:line="954"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1pt;height:47.7pt;mso-position-horizontal-relative:char;mso-position-vertical-relative:line" coordorigin="0,0" coordsize="3662,954">
            <v:shape style="position:absolute;left:0;top:0;width:3661;height:954" type="#_x0000_t75" stroked="false">
              <v:imagedata r:id="rId17" o:title=""/>
            </v:shape>
            <v:group style="position:absolute;left:222;top:808;width:3225;height:2" coordorigin="222,808" coordsize="3225,2">
              <v:shape style="position:absolute;left:222;top:808;width:3225;height:2" coordorigin="222,808" coordsize="3225,0" path="m222,808l3446,808e" filled="false" stroked="true" strokeweight=".25pt" strokecolor="#000000">
                <v:path arrowok="t"/>
              </v:shape>
            </v:group>
            <v:group style="position:absolute;left:3445;top:200;width:2;height:580" coordorigin="3445,200" coordsize="2,580">
              <v:shape style="position:absolute;left:3445;top:200;width:2;height:580" coordorigin="3445,200" coordsize="2,580" path="m3445,200l3446,780e" filled="false" stroked="true" strokeweight=".25pt" strokecolor="#000000">
                <v:path arrowok="t"/>
              </v:shape>
              <v:shape style="position:absolute;left:0;top:0;width:3662;height:954" type="#_x0000_t202" filled="false" stroked="false">
                <v:textbox inset="0,0,0,0">
                  <w:txbxContent>
                    <w:p>
                      <w:pPr>
                        <w:spacing w:line="240" w:lineRule="auto" w:before="2"/>
                        <w:rPr>
                          <w:rFonts w:ascii="宋体" w:hAnsi="宋体" w:cs="宋体" w:eastAsia="宋体" w:hint="default"/>
                          <w:sz w:val="26"/>
                          <w:szCs w:val="26"/>
                        </w:rPr>
                      </w:pPr>
                    </w:p>
                    <w:p>
                      <w:pPr>
                        <w:spacing w:before="0"/>
                        <w:ind w:left="247" w:right="0" w:firstLine="0"/>
                        <w:jc w:val="left"/>
                        <w:rPr>
                          <w:rFonts w:ascii="黑体" w:hAnsi="黑体" w:cs="黑体" w:eastAsia="黑体" w:hint="default"/>
                          <w:sz w:val="30"/>
                          <w:szCs w:val="30"/>
                        </w:rPr>
                      </w:pPr>
                      <w:r>
                        <w:rPr>
                          <w:rFonts w:ascii="黑体" w:hAnsi="黑体" w:cs="黑体" w:eastAsia="黑体" w:hint="default"/>
                          <w:b/>
                          <w:bCs/>
                          <w:sz w:val="30"/>
                          <w:szCs w:val="30"/>
                        </w:rPr>
                        <w:t>六、股东大会情况简介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3"/>
        <w:rPr>
          <w:rFonts w:ascii="宋体" w:hAnsi="宋体" w:cs="宋体" w:eastAsia="宋体" w:hint="default"/>
          <w:sz w:val="29"/>
          <w:szCs w:val="29"/>
        </w:rPr>
      </w:pPr>
    </w:p>
    <w:p>
      <w:pPr>
        <w:pStyle w:val="BodyText"/>
        <w:spacing w:line="240" w:lineRule="auto" w:before="26"/>
        <w:ind w:right="0"/>
        <w:jc w:val="both"/>
      </w:pPr>
      <w:r>
        <w:rPr/>
        <w:t>本报告年度内公司召开了</w:t>
      </w:r>
      <w:r>
        <w:rPr>
          <w:spacing w:val="-60"/>
        </w:rPr>
        <w:t> </w:t>
      </w:r>
      <w:r>
        <w:rPr/>
        <w:t>2009</w:t>
      </w:r>
      <w:r>
        <w:rPr>
          <w:spacing w:val="-60"/>
        </w:rPr>
        <w:t> </w:t>
      </w:r>
      <w:r>
        <w:rPr/>
        <w:t>年年度股东大会和</w:t>
      </w:r>
      <w:r>
        <w:rPr>
          <w:spacing w:val="-60"/>
        </w:rPr>
        <w:t> </w:t>
      </w:r>
      <w:r>
        <w:rPr/>
        <w:t>2010</w:t>
      </w:r>
      <w:r>
        <w:rPr>
          <w:spacing w:val="-60"/>
        </w:rPr>
        <w:t> </w:t>
      </w:r>
      <w:r>
        <w:rPr/>
        <w:t>年第一次临时股东大会。</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t>(一) 2009</w:t>
      </w:r>
      <w:r>
        <w:rPr>
          <w:spacing w:val="-62"/>
        </w:rPr>
        <w:t> </w:t>
      </w:r>
      <w:r>
        <w:rPr/>
        <w:t>年年度股东大会</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公司于</w:t>
      </w:r>
      <w:r>
        <w:rPr>
          <w:spacing w:val="-56"/>
        </w:rPr>
        <w:t> </w:t>
      </w:r>
      <w:r>
        <w:rPr/>
        <w:t>2010</w:t>
      </w:r>
      <w:r>
        <w:rPr>
          <w:spacing w:val="-56"/>
        </w:rPr>
        <w:t> </w:t>
      </w:r>
      <w:r>
        <w:rPr/>
        <w:t>年</w:t>
      </w:r>
      <w:r>
        <w:rPr>
          <w:spacing w:val="-56"/>
        </w:rPr>
        <w:t> </w:t>
      </w:r>
      <w:r>
        <w:rPr/>
        <w:t>5</w:t>
      </w:r>
      <w:r>
        <w:rPr>
          <w:spacing w:val="-58"/>
        </w:rPr>
        <w:t> </w:t>
      </w:r>
      <w:r>
        <w:rPr/>
        <w:t>月</w:t>
      </w:r>
      <w:r>
        <w:rPr>
          <w:spacing w:val="-56"/>
        </w:rPr>
        <w:t> </w:t>
      </w:r>
      <w:r>
        <w:rPr/>
        <w:t>12</w:t>
      </w:r>
      <w:r>
        <w:rPr>
          <w:spacing w:val="-56"/>
        </w:rPr>
        <w:t> </w:t>
      </w:r>
      <w:r>
        <w:rPr/>
        <w:t>日召开</w:t>
      </w:r>
      <w:r>
        <w:rPr>
          <w:spacing w:val="-56"/>
        </w:rPr>
        <w:t> </w:t>
      </w:r>
      <w:r>
        <w:rPr/>
        <w:t>2009</w:t>
      </w:r>
      <w:r>
        <w:rPr>
          <w:spacing w:val="-56"/>
        </w:rPr>
        <w:t> </w:t>
      </w:r>
      <w:r>
        <w:rPr/>
        <w:t>年年度股东大会，会议决议公告刊登在</w:t>
      </w:r>
      <w:r>
        <w:rPr>
          <w:spacing w:val="-56"/>
        </w:rPr>
        <w:t> </w:t>
      </w:r>
      <w:r>
        <w:rPr>
          <w:spacing w:val="28"/>
        </w:rPr>
        <w:t>2010年5月</w:t>
      </w:r>
      <w:r>
        <w:rPr>
          <w:spacing w:val="-53"/>
        </w:rPr>
        <w:t> </w:t>
      </w:r>
      <w:r>
        <w:rPr/>
      </w:r>
    </w:p>
    <w:p>
      <w:pPr>
        <w:pStyle w:val="BodyText"/>
        <w:spacing w:line="312" w:lineRule="exact"/>
        <w:ind w:right="0"/>
        <w:jc w:val="both"/>
      </w:pPr>
      <w:r>
        <w:rPr/>
        <w:t>14</w:t>
      </w:r>
      <w:r>
        <w:rPr>
          <w:spacing w:val="-60"/>
        </w:rPr>
        <w:t> </w:t>
      </w:r>
      <w:r>
        <w:rPr/>
        <w:t>日的《中国证券报</w:t>
      </w:r>
      <w:r>
        <w:rPr>
          <w:spacing w:val="-120"/>
        </w:rPr>
        <w:t>》、</w:t>
      </w:r>
      <w:r>
        <w:rPr/>
        <w:t>《上海证券报</w:t>
      </w:r>
      <w:r>
        <w:rPr>
          <w:spacing w:val="-120"/>
        </w:rPr>
        <w:t>》</w:t>
      </w:r>
      <w:r>
        <w:rPr/>
        <w:t>。2009</w:t>
      </w:r>
      <w:r>
        <w:rPr>
          <w:spacing w:val="-60"/>
        </w:rPr>
        <w:t> </w:t>
      </w:r>
      <w:r>
        <w:rPr/>
        <w:t>年年度股东大会审议的内容包括：</w:t>
      </w:r>
    </w:p>
    <w:p>
      <w:pPr>
        <w:spacing w:line="240" w:lineRule="auto" w:before="8"/>
        <w:rPr>
          <w:rFonts w:ascii="宋体" w:hAnsi="宋体" w:cs="宋体" w:eastAsia="宋体" w:hint="default"/>
          <w:sz w:val="23"/>
          <w:szCs w:val="23"/>
        </w:rPr>
      </w:pPr>
    </w:p>
    <w:p>
      <w:pPr>
        <w:pStyle w:val="BodyText"/>
        <w:spacing w:line="240" w:lineRule="auto"/>
        <w:ind w:right="0"/>
        <w:jc w:val="both"/>
      </w:pPr>
      <w:r>
        <w:rPr/>
        <w:t>1、审议通过了《2009</w:t>
      </w:r>
      <w:r>
        <w:rPr>
          <w:spacing w:val="-60"/>
        </w:rPr>
        <w:t> </w:t>
      </w:r>
      <w:r>
        <w:rPr/>
        <w:t>年年度报告摘要及正文》</w:t>
      </w:r>
    </w:p>
    <w:p>
      <w:pPr>
        <w:spacing w:line="240" w:lineRule="auto" w:before="8"/>
        <w:rPr>
          <w:rFonts w:ascii="宋体" w:hAnsi="宋体" w:cs="宋体" w:eastAsia="宋体" w:hint="default"/>
          <w:sz w:val="23"/>
          <w:szCs w:val="23"/>
        </w:rPr>
      </w:pPr>
    </w:p>
    <w:p>
      <w:pPr>
        <w:pStyle w:val="BodyText"/>
        <w:spacing w:line="240" w:lineRule="auto"/>
        <w:ind w:right="0"/>
        <w:jc w:val="both"/>
      </w:pPr>
      <w:r>
        <w:rPr/>
        <w:t>2、审议通过了《2009</w:t>
      </w:r>
      <w:r>
        <w:rPr>
          <w:spacing w:val="-60"/>
        </w:rPr>
        <w:t> </w:t>
      </w:r>
      <w:r>
        <w:rPr/>
        <w:t>年董事会年度工作报告》</w:t>
      </w:r>
    </w:p>
    <w:p>
      <w:pPr>
        <w:spacing w:line="240" w:lineRule="auto" w:before="8"/>
        <w:rPr>
          <w:rFonts w:ascii="宋体" w:hAnsi="宋体" w:cs="宋体" w:eastAsia="宋体" w:hint="default"/>
          <w:sz w:val="23"/>
          <w:szCs w:val="23"/>
        </w:rPr>
      </w:pPr>
    </w:p>
    <w:p>
      <w:pPr>
        <w:pStyle w:val="BodyText"/>
        <w:spacing w:line="240" w:lineRule="auto"/>
        <w:ind w:right="0"/>
        <w:jc w:val="both"/>
      </w:pPr>
      <w:r>
        <w:rPr/>
        <w:t>3、审议通过了《2009</w:t>
      </w:r>
      <w:r>
        <w:rPr>
          <w:spacing w:val="-60"/>
        </w:rPr>
        <w:t> </w:t>
      </w:r>
      <w:r>
        <w:rPr/>
        <w:t>年独立董事述职报告》</w:t>
      </w:r>
    </w:p>
    <w:p>
      <w:pPr>
        <w:spacing w:line="240" w:lineRule="auto" w:before="7"/>
        <w:rPr>
          <w:rFonts w:ascii="宋体" w:hAnsi="宋体" w:cs="宋体" w:eastAsia="宋体" w:hint="default"/>
          <w:sz w:val="23"/>
          <w:szCs w:val="23"/>
        </w:rPr>
      </w:pPr>
    </w:p>
    <w:p>
      <w:pPr>
        <w:pStyle w:val="BodyText"/>
        <w:spacing w:line="240" w:lineRule="auto"/>
        <w:ind w:right="0"/>
        <w:jc w:val="both"/>
      </w:pPr>
      <w:r>
        <w:rPr/>
        <w:t>4、审议通过了《2009</w:t>
      </w:r>
      <w:r>
        <w:rPr>
          <w:spacing w:val="-60"/>
        </w:rPr>
        <w:t> </w:t>
      </w:r>
      <w:r>
        <w:rPr/>
        <w:t>年监事会年度工作报告》</w:t>
      </w:r>
    </w:p>
    <w:p>
      <w:pPr>
        <w:spacing w:line="240" w:lineRule="auto" w:before="8"/>
        <w:rPr>
          <w:rFonts w:ascii="宋体" w:hAnsi="宋体" w:cs="宋体" w:eastAsia="宋体" w:hint="default"/>
          <w:sz w:val="23"/>
          <w:szCs w:val="23"/>
        </w:rPr>
      </w:pPr>
    </w:p>
    <w:p>
      <w:pPr>
        <w:pStyle w:val="BodyText"/>
        <w:spacing w:line="240" w:lineRule="auto"/>
        <w:ind w:right="0"/>
        <w:jc w:val="both"/>
      </w:pPr>
      <w:r>
        <w:rPr/>
        <w:t>5、审议通过了《2009</w:t>
      </w:r>
      <w:r>
        <w:rPr>
          <w:spacing w:val="-60"/>
        </w:rPr>
        <w:t> </w:t>
      </w:r>
      <w:r>
        <w:rPr/>
        <w:t>年度财务决算报告》</w:t>
      </w:r>
    </w:p>
    <w:p>
      <w:pPr>
        <w:spacing w:line="240" w:lineRule="auto" w:before="8"/>
        <w:rPr>
          <w:rFonts w:ascii="宋体" w:hAnsi="宋体" w:cs="宋体" w:eastAsia="宋体" w:hint="default"/>
          <w:sz w:val="23"/>
          <w:szCs w:val="23"/>
        </w:rPr>
      </w:pPr>
    </w:p>
    <w:p>
      <w:pPr>
        <w:pStyle w:val="BodyText"/>
        <w:spacing w:line="240" w:lineRule="auto"/>
        <w:ind w:right="0"/>
        <w:jc w:val="both"/>
      </w:pPr>
      <w:r>
        <w:rPr/>
        <w:t>6、审议通过了《关于</w:t>
      </w:r>
      <w:r>
        <w:rPr>
          <w:spacing w:val="-60"/>
        </w:rPr>
        <w:t> </w:t>
      </w:r>
      <w:r>
        <w:rPr/>
        <w:t>2009</w:t>
      </w:r>
      <w:r>
        <w:rPr>
          <w:spacing w:val="-60"/>
        </w:rPr>
        <w:t> </w:t>
      </w:r>
      <w:r>
        <w:rPr/>
        <w:t>年利润分配和资本公积不转增股本的预案》</w:t>
      </w:r>
    </w:p>
    <w:p>
      <w:pPr>
        <w:spacing w:line="240" w:lineRule="auto" w:before="1"/>
        <w:rPr>
          <w:rFonts w:ascii="宋体" w:hAnsi="宋体" w:cs="宋体" w:eastAsia="宋体" w:hint="default"/>
          <w:sz w:val="26"/>
          <w:szCs w:val="26"/>
        </w:rPr>
      </w:pPr>
    </w:p>
    <w:p>
      <w:pPr>
        <w:pStyle w:val="BodyText"/>
        <w:spacing w:line="310" w:lineRule="exact"/>
        <w:ind w:right="166"/>
        <w:jc w:val="left"/>
      </w:pPr>
      <w:r>
        <w:rPr/>
        <w:t>7、审议通过了《关于继聘信永中和会计师事务所作为</w:t>
      </w:r>
      <w:r>
        <w:rPr>
          <w:spacing w:val="-70"/>
        </w:rPr>
        <w:t> </w:t>
      </w:r>
      <w:r>
        <w:rPr/>
        <w:t>2010</w:t>
      </w:r>
      <w:r>
        <w:rPr>
          <w:spacing w:val="-70"/>
        </w:rPr>
        <w:t> </w:t>
      </w:r>
      <w:r>
        <w:rPr/>
        <w:t>年审计机构及支付其</w:t>
      </w:r>
      <w:r>
        <w:rPr>
          <w:spacing w:val="-70"/>
        </w:rPr>
        <w:t> </w:t>
      </w:r>
      <w:r>
        <w:rPr/>
        <w:t>2009</w:t>
      </w:r>
      <w:r>
        <w:rPr>
          <w:spacing w:val="-70"/>
        </w:rPr>
        <w:t> </w:t>
      </w:r>
      <w:r>
        <w:rPr/>
        <w:t>年</w:t>
      </w:r>
      <w:r>
        <w:rPr/>
        <w:t> 审计费用的议案》</w:t>
      </w:r>
    </w:p>
    <w:p>
      <w:pPr>
        <w:spacing w:line="240" w:lineRule="auto" w:before="6"/>
        <w:rPr>
          <w:rFonts w:ascii="宋体" w:hAnsi="宋体" w:cs="宋体" w:eastAsia="宋体" w:hint="default"/>
          <w:sz w:val="21"/>
          <w:szCs w:val="21"/>
        </w:rPr>
      </w:pPr>
    </w:p>
    <w:p>
      <w:pPr>
        <w:pStyle w:val="BodyText"/>
        <w:spacing w:line="240" w:lineRule="auto"/>
        <w:ind w:right="0"/>
        <w:jc w:val="both"/>
      </w:pPr>
      <w:r>
        <w:rPr/>
        <w:t>8、审议通过了《关于董事会换届选举》的议案</w:t>
      </w:r>
    </w:p>
    <w:p>
      <w:pPr>
        <w:spacing w:line="240" w:lineRule="auto" w:before="7"/>
        <w:rPr>
          <w:rFonts w:ascii="宋体" w:hAnsi="宋体" w:cs="宋体" w:eastAsia="宋体" w:hint="default"/>
          <w:sz w:val="23"/>
          <w:szCs w:val="23"/>
        </w:rPr>
      </w:pPr>
    </w:p>
    <w:p>
      <w:pPr>
        <w:pStyle w:val="BodyText"/>
        <w:spacing w:line="240" w:lineRule="auto"/>
        <w:ind w:right="0"/>
        <w:jc w:val="both"/>
      </w:pPr>
      <w:r>
        <w:rPr/>
        <w:t>9、审议通过了《关于监事会换届选举》的议案</w:t>
      </w:r>
    </w:p>
    <w:p>
      <w:pPr>
        <w:spacing w:line="240" w:lineRule="auto" w:before="12"/>
        <w:rPr>
          <w:rFonts w:ascii="宋体" w:hAnsi="宋体" w:cs="宋体" w:eastAsia="宋体" w:hint="default"/>
          <w:sz w:val="25"/>
          <w:szCs w:val="25"/>
        </w:rPr>
      </w:pPr>
    </w:p>
    <w:p>
      <w:pPr>
        <w:pStyle w:val="BodyText"/>
        <w:spacing w:line="312" w:lineRule="exact"/>
        <w:ind w:right="166"/>
        <w:jc w:val="left"/>
      </w:pPr>
      <w:r>
        <w:rPr/>
        <w:t>10、审议通过了《关于</w:t>
      </w:r>
      <w:r>
        <w:rPr>
          <w:spacing w:val="-40"/>
        </w:rPr>
        <w:t> </w:t>
      </w:r>
      <w:r>
        <w:rPr/>
        <w:t>2009</w:t>
      </w:r>
      <w:r>
        <w:rPr>
          <w:spacing w:val="-40"/>
        </w:rPr>
        <w:t> </w:t>
      </w:r>
      <w:r>
        <w:rPr/>
        <w:t>年度日常关联交易执行情况以及</w:t>
      </w:r>
      <w:r>
        <w:rPr>
          <w:spacing w:val="-40"/>
        </w:rPr>
        <w:t> </w:t>
      </w:r>
      <w:r>
        <w:rPr/>
        <w:t>2010</w:t>
      </w:r>
      <w:r>
        <w:rPr>
          <w:spacing w:val="-40"/>
        </w:rPr>
        <w:t> </w:t>
      </w:r>
      <w:r>
        <w:rPr/>
        <w:t>年度日常关联交易预</w:t>
      </w:r>
      <w:r>
        <w:rPr/>
        <w:t> 计的议案》</w:t>
      </w:r>
    </w:p>
    <w:p>
      <w:pPr>
        <w:spacing w:line="240" w:lineRule="auto" w:before="9"/>
        <w:rPr>
          <w:rFonts w:ascii="宋体" w:hAnsi="宋体" w:cs="宋体" w:eastAsia="宋体" w:hint="default"/>
          <w:sz w:val="23"/>
          <w:szCs w:val="23"/>
        </w:rPr>
      </w:pPr>
    </w:p>
    <w:p>
      <w:pPr>
        <w:pStyle w:val="BodyText"/>
        <w:spacing w:line="312" w:lineRule="exact"/>
        <w:ind w:right="168"/>
        <w:jc w:val="left"/>
      </w:pPr>
      <w:r>
        <w:rPr>
          <w:spacing w:val="-4"/>
        </w:rPr>
        <w:t>11、审议通过了《关于申请</w:t>
      </w:r>
      <w:r>
        <w:rPr>
          <w:spacing w:val="-55"/>
        </w:rPr>
        <w:t> </w:t>
      </w:r>
      <w:r>
        <w:rPr/>
        <w:t>2010</w:t>
      </w:r>
      <w:r>
        <w:rPr>
          <w:spacing w:val="-55"/>
        </w:rPr>
        <w:t> </w:t>
      </w:r>
      <w:r>
        <w:rPr/>
        <w:t>年年度综合授信额度及授权下属子公司使用并为其提供</w:t>
      </w:r>
      <w:r>
        <w:rPr/>
        <w:t> 担保的议案》</w:t>
      </w:r>
    </w:p>
    <w:p>
      <w:pPr>
        <w:spacing w:line="240" w:lineRule="auto" w:before="9"/>
        <w:rPr>
          <w:rFonts w:ascii="宋体" w:hAnsi="宋体" w:cs="宋体" w:eastAsia="宋体" w:hint="default"/>
          <w:sz w:val="23"/>
          <w:szCs w:val="23"/>
        </w:rPr>
      </w:pPr>
    </w:p>
    <w:p>
      <w:pPr>
        <w:pStyle w:val="BodyText"/>
        <w:spacing w:line="312" w:lineRule="exact"/>
        <w:ind w:right="166"/>
        <w:jc w:val="left"/>
      </w:pPr>
      <w:r>
        <w:rPr/>
        <w:t>12、以特别决议方式审议通过了《关于变更公司营业范围、注册地址及相应修改公司章</w:t>
      </w:r>
      <w:r>
        <w:rPr>
          <w:spacing w:val="-47"/>
        </w:rPr>
        <w:t> </w:t>
      </w:r>
      <w:r>
        <w:rPr>
          <w:spacing w:val="-47"/>
        </w:rPr>
      </w:r>
      <w:r>
        <w:rPr/>
        <w:t>程的议案》</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t>(二) 2010</w:t>
      </w:r>
      <w:r>
        <w:rPr>
          <w:spacing w:val="-61"/>
        </w:rPr>
        <w:t> </w:t>
      </w:r>
      <w:r>
        <w:rPr/>
        <w:t>年第一次临时股东大会</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82"/>
        <w:jc w:val="both"/>
      </w:pPr>
      <w:r>
        <w:rPr/>
        <w:t>公司于</w:t>
      </w:r>
      <w:r>
        <w:rPr>
          <w:spacing w:val="-61"/>
        </w:rPr>
        <w:t> </w:t>
      </w:r>
      <w:r>
        <w:rPr>
          <w:spacing w:val="30"/>
        </w:rPr>
        <w:t>2010年7月9</w:t>
      </w:r>
      <w:r>
        <w:rPr>
          <w:spacing w:val="-61"/>
        </w:rPr>
        <w:t> </w:t>
      </w:r>
      <w:r>
        <w:rPr/>
        <w:t>日召开</w:t>
      </w:r>
      <w:r>
        <w:rPr>
          <w:spacing w:val="-61"/>
        </w:rPr>
        <w:t> </w:t>
      </w:r>
      <w:r>
        <w:rPr/>
        <w:t>2010</w:t>
      </w:r>
      <w:r>
        <w:rPr>
          <w:spacing w:val="-62"/>
        </w:rPr>
        <w:t> </w:t>
      </w:r>
      <w:r>
        <w:rPr>
          <w:spacing w:val="-3"/>
        </w:rPr>
        <w:t>年第一次临时股东大会，会议决议公告刊登在</w:t>
      </w:r>
      <w:r>
        <w:rPr>
          <w:spacing w:val="-62"/>
        </w:rPr>
        <w:t> </w:t>
      </w:r>
      <w:r>
        <w:rPr/>
        <w:t>2010</w:t>
      </w:r>
      <w:r>
        <w:rPr>
          <w:spacing w:val="-62"/>
        </w:rPr>
        <w:t> </w:t>
      </w:r>
      <w:r>
        <w:rPr/>
        <w:t>年</w:t>
      </w:r>
      <w:r>
        <w:rPr/>
        <w:t> 7</w:t>
      </w:r>
      <w:r>
        <w:rPr>
          <w:spacing w:val="-37"/>
        </w:rPr>
        <w:t> </w:t>
      </w:r>
      <w:r>
        <w:rPr/>
        <w:t>月</w:t>
      </w:r>
      <w:r>
        <w:rPr>
          <w:spacing w:val="-37"/>
        </w:rPr>
        <w:t> </w:t>
      </w:r>
      <w:r>
        <w:rPr/>
        <w:t>10</w:t>
      </w:r>
      <w:r>
        <w:rPr>
          <w:spacing w:val="-37"/>
        </w:rPr>
        <w:t> </w:t>
      </w:r>
      <w:r>
        <w:rPr>
          <w:spacing w:val="-17"/>
        </w:rPr>
        <w:t>日的《中国证券报》、《上海证券报》。2010</w:t>
      </w:r>
      <w:r>
        <w:rPr>
          <w:spacing w:val="-37"/>
        </w:rPr>
        <w:t> </w:t>
      </w:r>
      <w:r>
        <w:rPr/>
        <w:t>年第一次临时股东大会审议的内容包</w:t>
      </w:r>
      <w:r>
        <w:rPr/>
        <w:t> 括：</w:t>
      </w:r>
    </w:p>
    <w:p>
      <w:pPr>
        <w:spacing w:after="0" w:line="237" w:lineRule="auto"/>
        <w:jc w:val="both"/>
        <w:sectPr>
          <w:pgSz w:w="11910" w:h="16840"/>
          <w:pgMar w:header="610" w:footer="764" w:top="1080" w:bottom="980" w:left="128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right="0"/>
        <w:jc w:val="left"/>
      </w:pPr>
      <w:r>
        <w:rPr/>
        <w:t>1、以特别决议方式审议通过了《关于申请发行</w:t>
      </w:r>
      <w:r>
        <w:rPr>
          <w:spacing w:val="-60"/>
        </w:rPr>
        <w:t> </w:t>
      </w:r>
      <w:r>
        <w:rPr/>
        <w:t>8</w:t>
      </w:r>
      <w:r>
        <w:rPr>
          <w:spacing w:val="-60"/>
        </w:rPr>
        <w:t> </w:t>
      </w:r>
      <w:r>
        <w:rPr/>
        <w:t>亿元短期融资券的议案》</w:t>
      </w:r>
    </w:p>
    <w:p>
      <w:pPr>
        <w:spacing w:line="240" w:lineRule="auto" w:before="8"/>
        <w:rPr>
          <w:rFonts w:ascii="宋体" w:hAnsi="宋体" w:cs="宋体" w:eastAsia="宋体" w:hint="default"/>
          <w:sz w:val="23"/>
          <w:szCs w:val="23"/>
        </w:rPr>
      </w:pPr>
    </w:p>
    <w:p>
      <w:pPr>
        <w:pStyle w:val="BodyText"/>
        <w:spacing w:line="240" w:lineRule="auto"/>
        <w:ind w:right="0"/>
        <w:jc w:val="left"/>
      </w:pPr>
      <w:r>
        <w:rPr/>
        <w:t>2、审议通过了《关于向中信银行申请</w:t>
      </w:r>
      <w:r>
        <w:rPr>
          <w:spacing w:val="-60"/>
        </w:rPr>
        <w:t> </w:t>
      </w:r>
      <w:r>
        <w:rPr/>
        <w:t>15</w:t>
      </w:r>
      <w:r>
        <w:rPr>
          <w:spacing w:val="-60"/>
        </w:rPr>
        <w:t> </w:t>
      </w:r>
      <w:r>
        <w:rPr/>
        <w:t>亿元综合授信额度的议案》</w:t>
      </w:r>
    </w:p>
    <w:p>
      <w:pPr>
        <w:spacing w:after="0" w:line="240" w:lineRule="auto"/>
        <w:jc w:val="left"/>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884" w:lineRule="exact"/>
        <w:ind w:left="115"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40.9pt;height:44.25pt;mso-position-horizontal-relative:char;mso-position-vertical-relative:line" coordorigin="0,0" coordsize="2818,885">
            <v:shape style="position:absolute;left:0;top:0;width:2818;height:884" type="#_x0000_t75" stroked="false">
              <v:imagedata r:id="rId18" o:title=""/>
            </v:shape>
            <v:group style="position:absolute;left:106;top:721;width:2542;height:2" coordorigin="106,721" coordsize="2542,2">
              <v:shape style="position:absolute;left:106;top:721;width:2542;height:2" coordorigin="106,721" coordsize="2542,0" path="m106,721l2647,721e" filled="false" stroked="true" strokeweight=".25pt" strokecolor="#000000">
                <v:path arrowok="t"/>
              </v:shape>
            </v:group>
            <v:group style="position:absolute;left:2626;top:136;width:2;height:586" coordorigin="2626,136" coordsize="2,586">
              <v:shape style="position:absolute;left:2626;top:136;width:2;height:586" coordorigin="2626,136" coordsize="2,586" path="m2626,136l2627,721e" filled="false" stroked="true" strokeweight=".25pt" strokecolor="#000000">
                <v:path arrowok="t"/>
              </v:shape>
              <v:shape style="position:absolute;left:0;top:0;width:2818;height:885" type="#_x0000_t202" filled="false" stroked="false">
                <v:textbox inset="0,0,0,0">
                  <w:txbxContent>
                    <w:p>
                      <w:pPr>
                        <w:spacing w:before="185"/>
                        <w:ind w:left="170" w:right="0" w:firstLine="0"/>
                        <w:jc w:val="left"/>
                        <w:rPr>
                          <w:rFonts w:ascii="黑体" w:hAnsi="黑体" w:cs="黑体" w:eastAsia="黑体" w:hint="default"/>
                          <w:sz w:val="30"/>
                          <w:szCs w:val="30"/>
                        </w:rPr>
                      </w:pPr>
                      <w:r>
                        <w:rPr>
                          <w:rFonts w:ascii="黑体" w:hAnsi="黑体" w:cs="黑体" w:eastAsia="黑体" w:hint="default"/>
                          <w:b/>
                          <w:bCs/>
                          <w:sz w:val="30"/>
                          <w:szCs w:val="30"/>
                        </w:rPr>
                        <w:t>七、董事会报告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7"/>
          <w:sz w:val="20"/>
          <w:szCs w:val="20"/>
        </w:rPr>
      </w:r>
    </w:p>
    <w:p>
      <w:pPr>
        <w:spacing w:line="240" w:lineRule="auto" w:before="0"/>
        <w:rPr>
          <w:rFonts w:ascii="宋体" w:hAnsi="宋体" w:cs="宋体" w:eastAsia="宋体" w:hint="default"/>
          <w:sz w:val="27"/>
          <w:szCs w:val="27"/>
        </w:rPr>
      </w:pPr>
    </w:p>
    <w:p>
      <w:pPr>
        <w:pStyle w:val="Heading2"/>
        <w:spacing w:line="240" w:lineRule="auto" w:before="13"/>
        <w:ind w:right="213"/>
        <w:jc w:val="left"/>
        <w:rPr>
          <w:b w:val="0"/>
          <w:bCs w:val="0"/>
        </w:rPr>
      </w:pPr>
      <w:r>
        <w:rPr/>
        <w:t>(一)经营情况回顾与展望</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213"/>
        <w:jc w:val="left"/>
      </w:pPr>
      <w:r>
        <w:rPr/>
        <w:t>2010</w:t>
      </w:r>
      <w:r>
        <w:rPr>
          <w:spacing w:val="-60"/>
        </w:rPr>
        <w:t> </w:t>
      </w:r>
      <w:r>
        <w:rPr/>
        <w:t>年是公司调结构、促发展的一年。</w:t>
      </w:r>
    </w:p>
    <w:p>
      <w:pPr>
        <w:spacing w:line="240" w:lineRule="auto" w:before="11"/>
        <w:rPr>
          <w:rFonts w:ascii="宋体" w:hAnsi="宋体" w:cs="宋体" w:eastAsia="宋体" w:hint="default"/>
          <w:sz w:val="23"/>
          <w:szCs w:val="23"/>
        </w:rPr>
      </w:pPr>
    </w:p>
    <w:p>
      <w:pPr>
        <w:pStyle w:val="BodyText"/>
        <w:spacing w:line="237" w:lineRule="auto"/>
        <w:ind w:right="92"/>
        <w:jc w:val="left"/>
      </w:pPr>
      <w:r>
        <w:rPr/>
        <w:t>从宏观经济来看，2010</w:t>
      </w:r>
      <w:r>
        <w:rPr>
          <w:spacing w:val="-40"/>
        </w:rPr>
        <w:t> </w:t>
      </w:r>
      <w:r>
        <w:rPr/>
        <w:t>年是我国十一五规划的收关之年，我国经济实现了快速的增长，</w:t>
      </w:r>
      <w:r>
        <w:rPr/>
        <w:t> 国民生产总值增长了</w:t>
      </w:r>
      <w:r>
        <w:rPr>
          <w:spacing w:val="-55"/>
        </w:rPr>
        <w:t> </w:t>
      </w:r>
      <w:r>
        <w:rPr>
          <w:spacing w:val="-7"/>
        </w:rPr>
        <w:t>10.3%。对于企业而言，一方面，经济危机影响逐渐消退，消费升级、</w:t>
      </w:r>
      <w:r>
        <w:rPr/>
        <w:t> 家电下乡、四万亿投资计划等一系列因素推动市场热点方兴未艾，促进了经济的快速发</w:t>
      </w:r>
      <w:r>
        <w:rPr>
          <w:spacing w:val="-47"/>
        </w:rPr>
        <w:t> </w:t>
      </w:r>
      <w:r>
        <w:rPr>
          <w:spacing w:val="-47"/>
        </w:rPr>
      </w:r>
      <w:r>
        <w:rPr/>
        <w:t>展；另一方面，产业结构调整持续深化，新兴产业的发展带来了新的市场机遇。2010</w:t>
      </w:r>
      <w:r>
        <w:rPr>
          <w:spacing w:val="-40"/>
        </w:rPr>
        <w:t> </w:t>
      </w:r>
      <w:r>
        <w:rPr/>
        <w:t>年</w:t>
      </w:r>
      <w:r>
        <w:rPr/>
        <w:t> 10</w:t>
      </w:r>
      <w:r>
        <w:rPr>
          <w:spacing w:val="-39"/>
        </w:rPr>
        <w:t> </w:t>
      </w:r>
      <w:r>
        <w:rPr>
          <w:spacing w:val="-4"/>
        </w:rPr>
        <w:t>月，国务院发布了《关于加快培育和发展战略性新兴产业的决定》，确定了节能环保、</w:t>
      </w:r>
      <w:r>
        <w:rPr>
          <w:spacing w:val="-110"/>
        </w:rPr>
        <w:t> </w:t>
      </w:r>
      <w:r>
        <w:rPr>
          <w:spacing w:val="-110"/>
        </w:rPr>
      </w:r>
      <w:r>
        <w:rPr/>
        <w:t>新一代信息技术、生物、高端装备制造、新能源、新材料、新能源汽车七大战略性新兴</w:t>
      </w:r>
      <w:r>
        <w:rPr>
          <w:spacing w:val="-47"/>
        </w:rPr>
        <w:t> </w:t>
      </w:r>
      <w:r>
        <w:rPr>
          <w:spacing w:val="-47"/>
        </w:rPr>
      </w:r>
      <w:r>
        <w:rPr/>
        <w:t>产业的发展方案，更明确了</w:t>
      </w:r>
      <w:r>
        <w:rPr>
          <w:spacing w:val="-33"/>
        </w:rPr>
        <w:t> </w:t>
      </w:r>
      <w:r>
        <w:rPr/>
        <w:t>2015</w:t>
      </w:r>
      <w:r>
        <w:rPr>
          <w:spacing w:val="-32"/>
        </w:rPr>
        <w:t> </w:t>
      </w:r>
      <w:r>
        <w:rPr/>
        <w:t>年战略性新兴产业增加值占</w:t>
      </w:r>
      <w:r>
        <w:rPr>
          <w:spacing w:val="-33"/>
        </w:rPr>
        <w:t> </w:t>
      </w:r>
      <w:r>
        <w:rPr/>
        <w:t>GDP</w:t>
      </w:r>
      <w:r>
        <w:rPr>
          <w:spacing w:val="-32"/>
        </w:rPr>
        <w:t> </w:t>
      </w:r>
      <w:r>
        <w:rPr/>
        <w:t>的比重将力争达到</w:t>
      </w:r>
      <w:r>
        <w:rPr>
          <w:spacing w:val="-33"/>
        </w:rPr>
        <w:t> </w:t>
      </w:r>
      <w:r>
        <w:rPr/>
        <w:t>8%</w:t>
      </w:r>
      <w:r>
        <w:rPr/>
        <w:t> 左右的目标，战略性新兴产业为中国经济输入了新的发展动力。</w:t>
      </w:r>
    </w:p>
    <w:p>
      <w:pPr>
        <w:spacing w:line="240" w:lineRule="auto" w:before="11"/>
        <w:rPr>
          <w:rFonts w:ascii="宋体" w:hAnsi="宋体" w:cs="宋体" w:eastAsia="宋体" w:hint="default"/>
          <w:sz w:val="23"/>
          <w:szCs w:val="23"/>
        </w:rPr>
      </w:pPr>
    </w:p>
    <w:p>
      <w:pPr>
        <w:pStyle w:val="BodyText"/>
        <w:spacing w:line="237" w:lineRule="auto"/>
        <w:ind w:right="86"/>
        <w:jc w:val="left"/>
      </w:pPr>
      <w:r>
        <w:rPr/>
        <w:t>2010</w:t>
      </w:r>
      <w:r>
        <w:rPr>
          <w:spacing w:val="-40"/>
        </w:rPr>
        <w:t> </w:t>
      </w:r>
      <w:r>
        <w:rPr/>
        <w:t>年，公司把握经济复苏和国家战略发展带来的巨大机遇，立足于信息技术和能源环</w:t>
      </w:r>
      <w:r>
        <w:rPr/>
        <w:t> </w:t>
      </w:r>
      <w:r>
        <w:rPr>
          <w:spacing w:val="-2"/>
        </w:rPr>
        <w:t>保两个核心行业领域，积极实施结构调整，围绕战略性新兴产业布局计算机、数字城市、</w:t>
      </w:r>
      <w:r>
        <w:rPr>
          <w:spacing w:val="-84"/>
        </w:rPr>
        <w:t> </w:t>
      </w:r>
      <w:r>
        <w:rPr>
          <w:spacing w:val="-84"/>
        </w:rPr>
      </w:r>
      <w:r>
        <w:rPr/>
        <w:t>物联网、安防系统、微电子与核心元器件、知识网络、军工、多媒体、数字电视系统、</w:t>
      </w:r>
      <w:r>
        <w:rPr>
          <w:spacing w:val="-47"/>
        </w:rPr>
        <w:t> </w:t>
      </w:r>
      <w:r>
        <w:rPr>
          <w:spacing w:val="-47"/>
        </w:rPr>
      </w:r>
      <w:r>
        <w:rPr/>
        <w:t>半导体与照明、建筑节能、环保等业务领域，并依此组建产业本部，同时将原有横向型</w:t>
      </w:r>
      <w:r>
        <w:rPr>
          <w:spacing w:val="-47"/>
        </w:rPr>
        <w:t> </w:t>
      </w:r>
      <w:r>
        <w:rPr>
          <w:spacing w:val="-47"/>
        </w:rPr>
      </w:r>
      <w:r>
        <w:rPr/>
        <w:t>事业本部管理体制调整为纵向型产业本部管理架构。在产业本部内形成“事业部＋骨干</w:t>
      </w:r>
      <w:r>
        <w:rPr>
          <w:spacing w:val="-47"/>
        </w:rPr>
        <w:t> </w:t>
      </w:r>
      <w:r>
        <w:rPr>
          <w:spacing w:val="-47"/>
        </w:rPr>
      </w:r>
      <w:r>
        <w:rPr/>
        <w:t>子公司＋生产基地”的组织结构，围绕有自身竞争优势的核心业务打造产业集群，延伸</w:t>
      </w:r>
      <w:r>
        <w:rPr>
          <w:spacing w:val="-47"/>
        </w:rPr>
        <w:t> </w:t>
      </w:r>
      <w:r>
        <w:rPr>
          <w:spacing w:val="-47"/>
        </w:rPr>
      </w:r>
      <w:r>
        <w:rPr>
          <w:spacing w:val="-2"/>
        </w:rPr>
        <w:t>产业链，通过每个产业本部优化内部资源，提升经营能力带动公司整体业绩的快速发展。</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在发展策略上，公司继续贯彻“技术＋资本”的发展战略，筹划利用境内外资本市场平</w:t>
      </w:r>
      <w:r>
        <w:rPr>
          <w:spacing w:val="-47"/>
        </w:rPr>
        <w:t> </w:t>
      </w:r>
      <w:r>
        <w:rPr>
          <w:spacing w:val="-47"/>
        </w:rPr>
      </w:r>
      <w:r>
        <w:rPr/>
        <w:t>台，不断探索科技成果产业化发展之路。本年度，公司启动了将下属的新加坡科诺威德</w:t>
      </w:r>
      <w:r>
        <w:rPr>
          <w:spacing w:val="-47"/>
        </w:rPr>
        <w:t> </w:t>
      </w:r>
      <w:r>
        <w:rPr>
          <w:spacing w:val="-47"/>
        </w:rPr>
      </w:r>
      <w:r>
        <w:rPr/>
        <w:t>有限公司分拆到香港上市以及下属唐山晶源裕丰电子股份有限公司与北京同方微电子有</w:t>
      </w:r>
      <w:r>
        <w:rPr>
          <w:spacing w:val="-47"/>
        </w:rPr>
        <w:t> </w:t>
      </w:r>
      <w:r>
        <w:rPr>
          <w:spacing w:val="-47"/>
        </w:rPr>
      </w:r>
      <w:r>
        <w:rPr/>
        <w:t>限公司重组的方案，以期充分利用资本市场换股并购等多种工具，实现科技成果在产业</w:t>
      </w:r>
      <w:r>
        <w:rPr>
          <w:spacing w:val="-47"/>
        </w:rPr>
        <w:t> </w:t>
      </w:r>
      <w:r>
        <w:rPr>
          <w:spacing w:val="-47"/>
        </w:rPr>
      </w:r>
      <w:r>
        <w:rPr/>
        <w:t>化阶段的快速飞跃。</w:t>
      </w:r>
    </w:p>
    <w:p>
      <w:pPr>
        <w:spacing w:line="240" w:lineRule="auto" w:before="7"/>
        <w:rPr>
          <w:rFonts w:ascii="宋体" w:hAnsi="宋体" w:cs="宋体" w:eastAsia="宋体" w:hint="default"/>
          <w:sz w:val="23"/>
          <w:szCs w:val="23"/>
        </w:rPr>
      </w:pPr>
    </w:p>
    <w:p>
      <w:pPr>
        <w:pStyle w:val="BodyText"/>
        <w:spacing w:line="313" w:lineRule="exact"/>
        <w:ind w:right="0"/>
        <w:jc w:val="left"/>
      </w:pPr>
      <w:r>
        <w:rPr/>
        <w:t>2010</w:t>
      </w:r>
      <w:r>
        <w:rPr>
          <w:spacing w:val="-53"/>
        </w:rPr>
        <w:t> </w:t>
      </w:r>
      <w:r>
        <w:rPr>
          <w:spacing w:val="-3"/>
        </w:rPr>
        <w:t>年，公司积极把握政策机会，优化业务结构，继续实现了业绩的稳步提升。本年度，</w:t>
      </w:r>
    </w:p>
    <w:p>
      <w:pPr>
        <w:pStyle w:val="BodyText"/>
        <w:spacing w:line="310" w:lineRule="exact" w:before="31"/>
        <w:ind w:right="206"/>
        <w:jc w:val="left"/>
      </w:pPr>
      <w:r>
        <w:rPr/>
        <w:t>公司全年实现营业收入</w:t>
      </w:r>
      <w:r>
        <w:rPr>
          <w:spacing w:val="-40"/>
        </w:rPr>
        <w:t> </w:t>
      </w:r>
      <w:r>
        <w:rPr/>
        <w:t>182.58</w:t>
      </w:r>
      <w:r>
        <w:rPr>
          <w:spacing w:val="-40"/>
        </w:rPr>
        <w:t> </w:t>
      </w:r>
      <w:r>
        <w:rPr/>
        <w:t>亿元，实现归属于母公司股东的净利润</w:t>
      </w:r>
      <w:r>
        <w:rPr>
          <w:spacing w:val="-40"/>
        </w:rPr>
        <w:t> </w:t>
      </w:r>
      <w:r>
        <w:rPr/>
        <w:t>4.80</w:t>
      </w:r>
      <w:r>
        <w:rPr>
          <w:spacing w:val="-40"/>
        </w:rPr>
        <w:t> </w:t>
      </w:r>
      <w:r>
        <w:rPr/>
        <w:t>亿元，同比</w:t>
      </w:r>
      <w:r>
        <w:rPr/>
        <w:t> 增长</w:t>
      </w:r>
      <w:r>
        <w:rPr>
          <w:spacing w:val="-60"/>
        </w:rPr>
        <w:t> </w:t>
      </w:r>
      <w:r>
        <w:rPr/>
        <w:t>36%。</w:t>
      </w:r>
    </w:p>
    <w:p>
      <w:pPr>
        <w:spacing w:line="240" w:lineRule="auto" w:before="6"/>
        <w:rPr>
          <w:rFonts w:ascii="宋体" w:hAnsi="宋体" w:cs="宋体" w:eastAsia="宋体" w:hint="default"/>
          <w:sz w:val="21"/>
          <w:szCs w:val="21"/>
        </w:rPr>
      </w:pPr>
    </w:p>
    <w:p>
      <w:pPr>
        <w:spacing w:line="475" w:lineRule="auto" w:before="0"/>
        <w:ind w:left="138" w:right="4237" w:firstLine="0"/>
        <w:jc w:val="left"/>
        <w:rPr>
          <w:rFonts w:ascii="宋体" w:hAnsi="宋体" w:cs="宋体" w:eastAsia="宋体" w:hint="default"/>
          <w:sz w:val="24"/>
          <w:szCs w:val="24"/>
        </w:rPr>
      </w:pPr>
      <w:r>
        <w:rPr>
          <w:rFonts w:ascii="宋体" w:hAnsi="宋体" w:cs="宋体" w:eastAsia="宋体" w:hint="default"/>
          <w:b/>
          <w:bCs/>
          <w:sz w:val="24"/>
          <w:szCs w:val="24"/>
        </w:rPr>
        <w:t>1．公司经营范围和业务构成</w:t>
      </w:r>
      <w:r>
        <w:rPr>
          <w:rFonts w:ascii="宋体" w:hAnsi="宋体" w:cs="宋体" w:eastAsia="宋体" w:hint="default"/>
          <w:b/>
          <w:bCs/>
          <w:spacing w:val="1"/>
          <w:w w:val="99"/>
          <w:sz w:val="24"/>
          <w:szCs w:val="24"/>
        </w:rPr>
        <w:t> </w:t>
      </w:r>
      <w:r>
        <w:rPr>
          <w:rFonts w:ascii="宋体" w:hAnsi="宋体" w:cs="宋体" w:eastAsia="宋体" w:hint="default"/>
          <w:b/>
          <w:bCs/>
          <w:sz w:val="24"/>
          <w:szCs w:val="24"/>
        </w:rPr>
        <w:t>(1)公司经营范围</w:t>
      </w:r>
      <w:r>
        <w:rPr>
          <w:rFonts w:ascii="宋体" w:hAnsi="宋体" w:cs="宋体" w:eastAsia="宋体" w:hint="default"/>
          <w:sz w:val="24"/>
          <w:szCs w:val="24"/>
        </w:rPr>
        <w:t>(经北京市工商行政管理局核准)</w:t>
      </w:r>
    </w:p>
    <w:p>
      <w:pPr>
        <w:pStyle w:val="BodyText"/>
        <w:spacing w:line="237" w:lineRule="auto" w:before="75"/>
        <w:ind w:right="220"/>
        <w:jc w:val="both"/>
      </w:pPr>
      <w:r>
        <w:rPr/>
        <w:t>互联网信息服务业务不含新闻、出版、医疗保健、药品和医疗器械等内容；对外派遣实</w:t>
      </w:r>
      <w:r>
        <w:rPr>
          <w:spacing w:val="-47"/>
        </w:rPr>
        <w:t> </w:t>
      </w:r>
      <w:r>
        <w:rPr>
          <w:spacing w:val="-47"/>
        </w:rPr>
      </w:r>
      <w:r>
        <w:rPr/>
        <w:t>施与出口自产成套设备相关的境外工程所需的劳务人员；商用密码产品生产；商用密码</w:t>
      </w:r>
      <w:r>
        <w:rPr>
          <w:spacing w:val="-47"/>
        </w:rPr>
        <w:t> </w:t>
      </w:r>
      <w:r>
        <w:rPr>
          <w:spacing w:val="-47"/>
        </w:rPr>
      </w:r>
      <w:r>
        <w:rPr/>
        <w:t>产品销售；计算机及周边设备的生产、销售、技术服务和维修；社会公共安全设备、交</w:t>
      </w:r>
      <w:r>
        <w:rPr>
          <w:spacing w:val="-47"/>
        </w:rPr>
        <w:t> </w:t>
      </w:r>
      <w:r>
        <w:rPr>
          <w:spacing w:val="-47"/>
        </w:rPr>
      </w:r>
      <w:r>
        <w:rPr/>
        <w:t>通工程设备、建筑智能化及市政工程机电设备、电力工程机电设备、节能、大气与工业</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367"/>
        <w:jc w:val="left"/>
      </w:pPr>
      <w:r>
        <w:rPr/>
        <w:t>污染控制、废弃物处理与综合利用的工程和设备的设计、生产、销售、承接工程安装、</w:t>
      </w:r>
      <w:r>
        <w:rPr>
          <w:spacing w:val="-47"/>
        </w:rPr>
        <w:t> </w:t>
      </w:r>
      <w:r>
        <w:rPr>
          <w:spacing w:val="-47"/>
        </w:rPr>
      </w:r>
      <w:r>
        <w:rPr/>
        <w:t>技术开发与服务；工业废水、生活污水、生活垃圾的处理；除尘脱硫；人工环境控制设</w:t>
      </w:r>
      <w:r>
        <w:rPr>
          <w:spacing w:val="-47"/>
        </w:rPr>
        <w:t> </w:t>
      </w:r>
      <w:r>
        <w:rPr>
          <w:spacing w:val="-47"/>
        </w:rPr>
      </w:r>
      <w:r>
        <w:rPr/>
        <w:t>备、通信电子产品、微电子集成电路、办公设备的生产、销售及工程安装；仪器仪表、</w:t>
      </w:r>
      <w:r>
        <w:rPr>
          <w:spacing w:val="-47"/>
        </w:rPr>
        <w:t> </w:t>
      </w:r>
      <w:r>
        <w:rPr>
          <w:spacing w:val="-47"/>
        </w:rPr>
      </w:r>
      <w:r>
        <w:rPr/>
        <w:t>光机电一体化设备的开发、生产、销售；消防产品的销售；高科技项目的咨询、高新技</w:t>
      </w:r>
      <w:r>
        <w:rPr>
          <w:spacing w:val="-47"/>
        </w:rPr>
        <w:t> </w:t>
      </w:r>
      <w:r>
        <w:rPr>
          <w:spacing w:val="-47"/>
        </w:rPr>
      </w:r>
      <w:r>
        <w:rPr/>
        <w:t>术的转让与服务；物业管理；进出口业务；机电安装工程施工总承包；建筑智能化、城</w:t>
      </w:r>
      <w:r>
        <w:rPr>
          <w:spacing w:val="-47"/>
        </w:rPr>
        <w:t> </w:t>
      </w:r>
      <w:r>
        <w:rPr>
          <w:spacing w:val="-47"/>
        </w:rPr>
      </w:r>
      <w:r>
        <w:rPr/>
        <w:t>市及道路照明、环保、电子工程转业承包；室内空气净化工程；计算机系统集成；建筑</w:t>
      </w:r>
      <w:r>
        <w:rPr>
          <w:spacing w:val="-47"/>
        </w:rPr>
        <w:t> </w:t>
      </w:r>
      <w:r>
        <w:rPr>
          <w:spacing w:val="-47"/>
        </w:rPr>
      </w:r>
      <w:r>
        <w:rPr>
          <w:spacing w:val="-1"/>
        </w:rPr>
        <w:t>智能化系统集成(不含消防子系统)专项工程设计；环境工程(废水)专项工程设计、咨询；</w:t>
      </w:r>
      <w:r>
        <w:rPr/>
        <w:t> </w:t>
      </w:r>
      <w:r>
        <w:rPr>
          <w:spacing w:val="-8"/>
        </w:rPr>
        <w:t>工业废水、生活污水环境保护设施运营；水景喷泉设计、制造、安装、调试；安防工程(设</w:t>
      </w:r>
      <w:r>
        <w:rPr>
          <w:spacing w:val="-82"/>
        </w:rPr>
        <w:t> </w:t>
      </w:r>
      <w:r>
        <w:rPr>
          <w:spacing w:val="-82"/>
        </w:rPr>
      </w:r>
      <w:r>
        <w:rPr/>
        <w:t>计、施工)；有线电视共用天线设计安装；广告发布与代理。</w:t>
      </w:r>
    </w:p>
    <w:p>
      <w:pPr>
        <w:spacing w:line="240" w:lineRule="auto" w:before="7"/>
        <w:rPr>
          <w:rFonts w:ascii="宋体" w:hAnsi="宋体" w:cs="宋体" w:eastAsia="宋体" w:hint="default"/>
          <w:sz w:val="23"/>
          <w:szCs w:val="23"/>
        </w:rPr>
      </w:pPr>
    </w:p>
    <w:p>
      <w:pPr>
        <w:pStyle w:val="Heading3"/>
        <w:spacing w:line="240" w:lineRule="auto"/>
        <w:ind w:left="238" w:right="367"/>
        <w:jc w:val="left"/>
        <w:rPr>
          <w:b w:val="0"/>
          <w:bCs w:val="0"/>
        </w:rPr>
      </w:pPr>
      <w:r>
        <w:rPr/>
        <w:t>(2)分行业、产品的销售收入构成</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367"/>
        <w:jc w:val="left"/>
      </w:pPr>
      <w:r>
        <w:rPr/>
        <w:t>目前，公司已形成了计算机系统、数字城市、安防系统、物联网应用、微电子与核心元</w:t>
      </w:r>
      <w:r>
        <w:rPr>
          <w:spacing w:val="-47"/>
        </w:rPr>
        <w:t> </w:t>
      </w:r>
      <w:r>
        <w:rPr>
          <w:spacing w:val="-47"/>
        </w:rPr>
      </w:r>
      <w:r>
        <w:rPr>
          <w:spacing w:val="-2"/>
        </w:rPr>
        <w:t>器件、多媒体、知识网络、军工、数字电视系统、建筑节能和半导体与照明十一个产业，</w:t>
      </w:r>
      <w:r>
        <w:rPr>
          <w:spacing w:val="-85"/>
        </w:rPr>
        <w:t> </w:t>
      </w:r>
      <w:r>
        <w:rPr>
          <w:spacing w:val="-85"/>
        </w:rPr>
      </w:r>
      <w:r>
        <w:rPr/>
        <w:t>归纳分属信息产业和能源环境产业。2010</w:t>
      </w:r>
      <w:r>
        <w:rPr>
          <w:spacing w:val="-40"/>
        </w:rPr>
        <w:t> </w:t>
      </w:r>
      <w:r>
        <w:rPr/>
        <w:t>年度按照行业和应用领域分类的经营收入构成</w:t>
      </w:r>
      <w:r>
        <w:rPr/>
        <w:t> 是：</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449"/>
        <w:gridCol w:w="1406"/>
        <w:gridCol w:w="890"/>
        <w:gridCol w:w="1480"/>
        <w:gridCol w:w="890"/>
        <w:gridCol w:w="1663"/>
        <w:gridCol w:w="891"/>
      </w:tblGrid>
      <w:tr>
        <w:trPr>
          <w:trHeight w:val="337" w:hRule="exact"/>
        </w:trPr>
        <w:tc>
          <w:tcPr>
            <w:tcW w:w="244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9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55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sz w:val="18"/>
                <w:szCs w:val="18"/>
              </w:rPr>
              <w:t>年</w:t>
            </w:r>
          </w:p>
        </w:tc>
      </w:tr>
      <w:tr>
        <w:trPr>
          <w:trHeight w:val="316"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b/>
                <w:bCs/>
                <w:sz w:val="18"/>
                <w:szCs w:val="18"/>
              </w:rPr>
              <w:t>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宋体" w:hAnsi="宋体" w:cs="宋体" w:eastAsia="宋体" w:hint="default"/>
                <w:sz w:val="18"/>
                <w:szCs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33" w:right="0"/>
              <w:jc w:val="left"/>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56"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69" w:right="0"/>
              <w:jc w:val="left"/>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56"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61" w:right="0"/>
              <w:jc w:val="left"/>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left="6" w:right="0"/>
              <w:jc w:val="center"/>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r>
      <w:tr>
        <w:trPr>
          <w:trHeight w:val="314"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1、计算机系统</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458,666.58</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25.29%</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427,226.35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28.06%</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357,450.19</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127" w:right="0"/>
              <w:jc w:val="center"/>
              <w:rPr>
                <w:rFonts w:ascii="Times New Roman" w:hAnsi="Times New Roman" w:cs="Times New Roman" w:eastAsia="Times New Roman" w:hint="default"/>
                <w:sz w:val="18"/>
                <w:szCs w:val="18"/>
              </w:rPr>
            </w:pPr>
            <w:r>
              <w:rPr>
                <w:rFonts w:ascii="Times New Roman"/>
                <w:sz w:val="18"/>
              </w:rPr>
              <w:t>26.08%</w:t>
            </w:r>
          </w:p>
        </w:tc>
      </w:tr>
      <w:tr>
        <w:trPr>
          <w:trHeight w:val="316"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2、数字城市</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171,741.65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9.47%</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z w:val="18"/>
              </w:rPr>
              <w:t>151,619.76</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9.96%</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125,508.06</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8" w:right="0"/>
              <w:jc w:val="center"/>
              <w:rPr>
                <w:rFonts w:ascii="Times New Roman" w:hAnsi="Times New Roman" w:cs="Times New Roman" w:eastAsia="Times New Roman" w:hint="default"/>
                <w:sz w:val="18"/>
                <w:szCs w:val="18"/>
              </w:rPr>
            </w:pPr>
            <w:r>
              <w:rPr>
                <w:rFonts w:ascii="Times New Roman"/>
                <w:sz w:val="18"/>
              </w:rPr>
              <w:t>9.16%</w:t>
            </w:r>
          </w:p>
        </w:tc>
      </w:tr>
      <w:tr>
        <w:trPr>
          <w:trHeight w:val="314"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3、安防系统</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185,436.26</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10.23%</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175,176.24</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11.51%</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243,912.54</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127" w:right="0"/>
              <w:jc w:val="center"/>
              <w:rPr>
                <w:rFonts w:ascii="Times New Roman" w:hAnsi="Times New Roman" w:cs="Times New Roman" w:eastAsia="Times New Roman" w:hint="default"/>
                <w:sz w:val="18"/>
                <w:szCs w:val="18"/>
              </w:rPr>
            </w:pPr>
            <w:r>
              <w:rPr>
                <w:rFonts w:ascii="Times New Roman"/>
                <w:sz w:val="18"/>
              </w:rPr>
              <w:t>17.80%</w:t>
            </w:r>
          </w:p>
        </w:tc>
      </w:tr>
      <w:tr>
        <w:trPr>
          <w:trHeight w:val="316"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4、物联网应用</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83,763.47</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4.62%</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67,044.23</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4.40%</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61,109.19</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7" w:right="0"/>
              <w:jc w:val="center"/>
              <w:rPr>
                <w:rFonts w:ascii="Times New Roman" w:hAnsi="Times New Roman" w:cs="Times New Roman" w:eastAsia="Times New Roman" w:hint="default"/>
                <w:sz w:val="18"/>
                <w:szCs w:val="18"/>
              </w:rPr>
            </w:pPr>
            <w:r>
              <w:rPr>
                <w:rFonts w:ascii="Times New Roman"/>
                <w:sz w:val="18"/>
              </w:rPr>
              <w:t>4.46%</w:t>
            </w:r>
          </w:p>
        </w:tc>
      </w:tr>
      <w:tr>
        <w:trPr>
          <w:trHeight w:val="314"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5、微电子与核心元器件</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51,902.77</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2.86%</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44,800.36</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39,659.40</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7" w:right="0"/>
              <w:jc w:val="center"/>
              <w:rPr>
                <w:rFonts w:ascii="Times New Roman" w:hAnsi="Times New Roman" w:cs="Times New Roman" w:eastAsia="Times New Roman" w:hint="default"/>
                <w:sz w:val="18"/>
                <w:szCs w:val="18"/>
              </w:rPr>
            </w:pPr>
            <w:r>
              <w:rPr>
                <w:rFonts w:ascii="Times New Roman"/>
                <w:sz w:val="18"/>
              </w:rPr>
              <w:t>2.89%</w:t>
            </w:r>
          </w:p>
        </w:tc>
      </w:tr>
      <w:tr>
        <w:trPr>
          <w:trHeight w:val="316"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6、多媒体产业</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272,925.42</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15.05%</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172,592.32</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11.34%</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117,103.27</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7" w:right="0"/>
              <w:jc w:val="center"/>
              <w:rPr>
                <w:rFonts w:ascii="Times New Roman" w:hAnsi="Times New Roman" w:cs="Times New Roman" w:eastAsia="Times New Roman" w:hint="default"/>
                <w:sz w:val="18"/>
                <w:szCs w:val="18"/>
              </w:rPr>
            </w:pPr>
            <w:r>
              <w:rPr>
                <w:rFonts w:ascii="Times New Roman"/>
                <w:sz w:val="18"/>
              </w:rPr>
              <w:t>8.54%</w:t>
            </w:r>
          </w:p>
        </w:tc>
      </w:tr>
      <w:tr>
        <w:trPr>
          <w:trHeight w:val="314"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7、知识网络产业</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43,513.17</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2.40%</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42,138.37</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2.77%</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37,127.02</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7" w:right="0"/>
              <w:jc w:val="center"/>
              <w:rPr>
                <w:rFonts w:ascii="Times New Roman" w:hAnsi="Times New Roman" w:cs="Times New Roman" w:eastAsia="Times New Roman" w:hint="default"/>
                <w:sz w:val="18"/>
                <w:szCs w:val="18"/>
              </w:rPr>
            </w:pPr>
            <w:r>
              <w:rPr>
                <w:rFonts w:ascii="Times New Roman"/>
                <w:sz w:val="18"/>
              </w:rPr>
              <w:t>2.71%</w:t>
            </w:r>
          </w:p>
        </w:tc>
      </w:tr>
      <w:tr>
        <w:trPr>
          <w:trHeight w:val="316"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8、军工产业</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133,563.94</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7.36%</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85,438.94</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5.61%</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86,605.40</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7" w:right="0"/>
              <w:jc w:val="center"/>
              <w:rPr>
                <w:rFonts w:ascii="Times New Roman" w:hAnsi="Times New Roman" w:cs="Times New Roman" w:eastAsia="Times New Roman" w:hint="default"/>
                <w:sz w:val="18"/>
                <w:szCs w:val="18"/>
              </w:rPr>
            </w:pPr>
            <w:r>
              <w:rPr>
                <w:rFonts w:ascii="Times New Roman"/>
                <w:sz w:val="18"/>
              </w:rPr>
              <w:t>6.32%</w:t>
            </w:r>
          </w:p>
        </w:tc>
      </w:tr>
      <w:tr>
        <w:trPr>
          <w:trHeight w:val="314"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9、数字电视系统</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20,119.83</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1.11%</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23,211.76</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1.52%</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26,989.13</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7" w:right="0"/>
              <w:jc w:val="center"/>
              <w:rPr>
                <w:rFonts w:ascii="Times New Roman" w:hAnsi="Times New Roman" w:cs="Times New Roman" w:eastAsia="Times New Roman" w:hint="default"/>
                <w:sz w:val="18"/>
                <w:szCs w:val="18"/>
              </w:rPr>
            </w:pPr>
            <w:r>
              <w:rPr>
                <w:rFonts w:ascii="Times New Roman"/>
                <w:sz w:val="18"/>
              </w:rPr>
              <w:t>1.97%</w:t>
            </w:r>
          </w:p>
        </w:tc>
      </w:tr>
      <w:tr>
        <w:trPr>
          <w:trHeight w:val="316"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10、建筑节能</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316,727.25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17.46%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261,350.21</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17.17%</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248,408.52</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127" w:right="0"/>
              <w:jc w:val="center"/>
              <w:rPr>
                <w:rFonts w:ascii="Times New Roman" w:hAnsi="Times New Roman" w:cs="Times New Roman" w:eastAsia="Times New Roman" w:hint="default"/>
                <w:sz w:val="18"/>
                <w:szCs w:val="18"/>
              </w:rPr>
            </w:pPr>
            <w:r>
              <w:rPr>
                <w:rFonts w:ascii="Times New Roman"/>
                <w:sz w:val="18"/>
              </w:rPr>
              <w:t>18.12%</w:t>
            </w:r>
          </w:p>
        </w:tc>
      </w:tr>
      <w:tr>
        <w:trPr>
          <w:trHeight w:val="314"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11、半导体与照明</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66,764.17</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3.68%</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65,852.89</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w w:val="95"/>
                <w:sz w:val="18"/>
              </w:rPr>
              <w:t>4.33%</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14,660.25</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217" w:right="0"/>
              <w:jc w:val="center"/>
              <w:rPr>
                <w:rFonts w:ascii="Times New Roman" w:hAnsi="Times New Roman" w:cs="Times New Roman" w:eastAsia="Times New Roman" w:hint="default"/>
                <w:sz w:val="18"/>
                <w:szCs w:val="18"/>
              </w:rPr>
            </w:pPr>
            <w:r>
              <w:rPr>
                <w:rFonts w:ascii="Times New Roman"/>
                <w:sz w:val="18"/>
              </w:rPr>
              <w:t>1.07%</w:t>
            </w:r>
          </w:p>
        </w:tc>
      </w:tr>
      <w:tr>
        <w:trPr>
          <w:trHeight w:val="330" w:hRule="exact"/>
        </w:trPr>
        <w:tc>
          <w:tcPr>
            <w:tcW w:w="24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12、科技园产业</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8,398.83</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6,027.17</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12,113.70</w:t>
            </w:r>
          </w:p>
        </w:tc>
        <w:tc>
          <w:tcPr>
            <w:tcW w:w="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17" w:right="0"/>
              <w:jc w:val="center"/>
              <w:rPr>
                <w:rFonts w:ascii="Times New Roman" w:hAnsi="Times New Roman" w:cs="Times New Roman" w:eastAsia="Times New Roman" w:hint="default"/>
                <w:sz w:val="18"/>
                <w:szCs w:val="18"/>
              </w:rPr>
            </w:pPr>
            <w:r>
              <w:rPr>
                <w:rFonts w:ascii="Times New Roman"/>
                <w:sz w:val="18"/>
              </w:rPr>
              <w:t>0.88%</w:t>
            </w:r>
          </w:p>
        </w:tc>
      </w:tr>
      <w:tr>
        <w:trPr>
          <w:trHeight w:val="323" w:hRule="exact"/>
        </w:trPr>
        <w:tc>
          <w:tcPr>
            <w:tcW w:w="244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1,813,523.34</w:t>
            </w:r>
            <w:r>
              <w:rPr>
                <w:rFonts w:ascii="Times New Roman"/>
                <w:spacing w:val="-1"/>
                <w:sz w:val="18"/>
              </w:rPr>
            </w:r>
          </w:p>
        </w:tc>
        <w:tc>
          <w:tcPr>
            <w:tcW w:w="8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6"/>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b/>
                <w:spacing w:val="-1"/>
                <w:sz w:val="18"/>
              </w:rPr>
              <w:t>1,522,478.60</w:t>
            </w:r>
            <w:r>
              <w:rPr>
                <w:rFonts w:ascii="Times New Roman"/>
                <w:spacing w:val="-1"/>
                <w:sz w:val="18"/>
              </w:rPr>
            </w:r>
          </w:p>
        </w:tc>
        <w:tc>
          <w:tcPr>
            <w:tcW w:w="8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6"/>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1,370,646.67</w:t>
            </w:r>
            <w:r>
              <w:rPr>
                <w:rFonts w:ascii="Times New Roman"/>
                <w:spacing w:val="-1"/>
                <w:sz w:val="18"/>
              </w:rPr>
            </w:r>
          </w:p>
        </w:tc>
        <w:tc>
          <w:tcPr>
            <w:tcW w:w="8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left="10"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0"/>
        <w:rPr>
          <w:rFonts w:ascii="宋体" w:hAnsi="宋体" w:cs="宋体" w:eastAsia="宋体" w:hint="default"/>
          <w:sz w:val="18"/>
          <w:szCs w:val="18"/>
        </w:rPr>
      </w:pPr>
    </w:p>
    <w:p>
      <w:pPr>
        <w:pStyle w:val="BodyText"/>
        <w:spacing w:line="240" w:lineRule="auto" w:before="26"/>
        <w:ind w:left="238" w:right="367"/>
        <w:jc w:val="left"/>
      </w:pPr>
      <w:r>
        <w:rPr/>
        <w:t>2010</w:t>
      </w:r>
      <w:r>
        <w:rPr>
          <w:spacing w:val="-60"/>
        </w:rPr>
        <w:t> </w:t>
      </w:r>
      <w:r>
        <w:rPr/>
        <w:t>年度按照地区分类的经营收入构成是：</w:t>
      </w:r>
    </w:p>
    <w:p>
      <w:pPr>
        <w:spacing w:line="240" w:lineRule="auto" w:before="8"/>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2385"/>
        <w:gridCol w:w="1266"/>
        <w:gridCol w:w="1075"/>
        <w:gridCol w:w="1266"/>
        <w:gridCol w:w="1135"/>
        <w:gridCol w:w="1266"/>
        <w:gridCol w:w="1024"/>
      </w:tblGrid>
      <w:tr>
        <w:trPr>
          <w:trHeight w:val="337" w:hRule="exact"/>
        </w:trPr>
        <w:tc>
          <w:tcPr>
            <w:tcW w:w="2385"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地区</w:t>
            </w:r>
            <w:r>
              <w:rPr>
                <w:rFonts w:ascii="宋体" w:hAnsi="宋体" w:cs="宋体" w:eastAsia="宋体" w:hint="default"/>
                <w:sz w:val="20"/>
                <w:szCs w:val="20"/>
              </w:rPr>
            </w:r>
          </w:p>
        </w:tc>
        <w:tc>
          <w:tcPr>
            <w:tcW w:w="234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4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9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8" w:hRule="exact"/>
        </w:trPr>
        <w:tc>
          <w:tcPr>
            <w:tcW w:w="238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单位：万元</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28"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58"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024"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302"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r>
      <w:tr>
        <w:trPr>
          <w:trHeight w:val="326" w:hRule="exact"/>
        </w:trPr>
        <w:tc>
          <w:tcPr>
            <w:tcW w:w="238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国内市场</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1,401,095.17</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77.26%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1,356,781.34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89.12%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1,146,548.23</w:t>
            </w:r>
          </w:p>
        </w:tc>
        <w:tc>
          <w:tcPr>
            <w:tcW w:w="10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83.65%</w:t>
            </w:r>
          </w:p>
        </w:tc>
      </w:tr>
      <w:tr>
        <w:trPr>
          <w:trHeight w:val="328" w:hRule="exact"/>
        </w:trPr>
        <w:tc>
          <w:tcPr>
            <w:tcW w:w="238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海外市场</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412,428.17</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22.74%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165,697.26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10.88%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224,098.44</w:t>
            </w:r>
          </w:p>
        </w:tc>
        <w:tc>
          <w:tcPr>
            <w:tcW w:w="10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16.35%</w:t>
            </w:r>
          </w:p>
        </w:tc>
      </w:tr>
      <w:tr>
        <w:trPr>
          <w:trHeight w:val="334" w:hRule="exact"/>
        </w:trPr>
        <w:tc>
          <w:tcPr>
            <w:tcW w:w="2385"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1,813,523.34</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100.00%</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1,522,478.60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100.00%</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1,370,646.67</w:t>
            </w:r>
          </w:p>
        </w:tc>
        <w:tc>
          <w:tcPr>
            <w:tcW w:w="10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11"/>
        <w:rPr>
          <w:rFonts w:ascii="宋体" w:hAnsi="宋体" w:cs="宋体" w:eastAsia="宋体" w:hint="default"/>
          <w:sz w:val="15"/>
          <w:szCs w:val="15"/>
        </w:rPr>
      </w:pPr>
    </w:p>
    <w:p>
      <w:pPr>
        <w:pStyle w:val="Heading3"/>
        <w:spacing w:line="240" w:lineRule="auto" w:before="26"/>
        <w:ind w:left="238" w:right="367"/>
        <w:jc w:val="left"/>
        <w:rPr>
          <w:b w:val="0"/>
          <w:bCs w:val="0"/>
        </w:rPr>
      </w:pPr>
      <w:r>
        <w:rPr/>
        <w:t>2．公司主营业务开展</w:t>
      </w:r>
      <w:r>
        <w:rPr>
          <w:b w:val="0"/>
          <w:bCs w:val="0"/>
        </w:rPr>
      </w:r>
    </w:p>
    <w:p>
      <w:pPr>
        <w:spacing w:after="0" w:line="240" w:lineRule="auto"/>
        <w:jc w:val="left"/>
        <w:sectPr>
          <w:pgSz w:w="11910" w:h="16840"/>
          <w:pgMar w:header="610" w:footer="764" w:top="1080" w:bottom="980" w:left="1180" w:right="7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26"/>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A.</w:t>
      </w:r>
      <w:r>
        <w:rPr>
          <w:rFonts w:ascii="宋体" w:hAnsi="宋体" w:cs="宋体" w:eastAsia="宋体" w:hint="default"/>
          <w:b/>
          <w:bCs/>
          <w:spacing w:val="-6"/>
          <w:sz w:val="24"/>
          <w:szCs w:val="24"/>
        </w:rPr>
        <w:t> </w:t>
      </w:r>
      <w:r>
        <w:rPr>
          <w:rFonts w:ascii="宋体" w:hAnsi="宋体" w:cs="宋体" w:eastAsia="宋体" w:hint="default"/>
          <w:b/>
          <w:bCs/>
          <w:sz w:val="24"/>
          <w:szCs w:val="24"/>
        </w:rPr>
        <w:t>信息产业</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p>
      <w:pPr>
        <w:pStyle w:val="BodyText"/>
        <w:spacing w:line="312" w:lineRule="exact"/>
        <w:ind w:right="103"/>
        <w:jc w:val="both"/>
      </w:pPr>
      <w:r>
        <w:rPr/>
        <w:t>2010</w:t>
      </w:r>
      <w:r>
        <w:rPr>
          <w:spacing w:val="-40"/>
        </w:rPr>
        <w:t> </w:t>
      </w:r>
      <w:r>
        <w:rPr/>
        <w:t>年，我国电子信息产业受扩内需政策成效显现和外需市场逐步回暖的共同作用，出</w:t>
      </w:r>
      <w:r>
        <w:rPr/>
        <w:t> 现恢复性增长，总体呈现出前高后稳态势。据工信部统计，2010</w:t>
      </w:r>
      <w:r>
        <w:rPr>
          <w:spacing w:val="-40"/>
        </w:rPr>
        <w:t> </w:t>
      </w:r>
      <w:r>
        <w:rPr/>
        <w:t>年我国电子信息产业实</w:t>
      </w:r>
      <w:r>
        <w:rPr/>
        <w:t> 现收入</w:t>
      </w:r>
      <w:r>
        <w:rPr>
          <w:spacing w:val="-58"/>
        </w:rPr>
        <w:t> </w:t>
      </w:r>
      <w:r>
        <w:rPr/>
        <w:t>7.8</w:t>
      </w:r>
      <w:r>
        <w:rPr>
          <w:spacing w:val="-58"/>
        </w:rPr>
        <w:t> </w:t>
      </w:r>
      <w:r>
        <w:rPr>
          <w:spacing w:val="-4"/>
        </w:rPr>
        <w:t>万亿元，同比增长</w:t>
      </w:r>
      <w:r>
        <w:rPr>
          <w:spacing w:val="-58"/>
        </w:rPr>
        <w:t> </w:t>
      </w:r>
      <w:r>
        <w:rPr>
          <w:spacing w:val="-3"/>
        </w:rPr>
        <w:t>25.9%。同时，我们看到，在国家出台一系列鼓励发展下一</w:t>
      </w:r>
      <w:r>
        <w:rPr>
          <w:spacing w:val="-115"/>
        </w:rPr>
        <w:t> </w:t>
      </w:r>
      <w:r>
        <w:rPr>
          <w:spacing w:val="-115"/>
        </w:rPr>
      </w:r>
      <w:r>
        <w:rPr/>
        <w:t>代信息技术的政策背景下，云计算、物联网等战略性新兴产业对社会产生日渐显著的影</w:t>
      </w:r>
      <w:r>
        <w:rPr>
          <w:spacing w:val="-47"/>
        </w:rPr>
        <w:t> </w:t>
      </w:r>
      <w:r>
        <w:rPr>
          <w:spacing w:val="-47"/>
        </w:rPr>
      </w:r>
      <w:r>
        <w:rPr>
          <w:spacing w:val="-9"/>
        </w:rPr>
        <w:t>响，3C</w:t>
      </w:r>
      <w:r>
        <w:rPr>
          <w:spacing w:val="-53"/>
        </w:rPr>
        <w:t> </w:t>
      </w:r>
      <w:r>
        <w:rPr>
          <w:spacing w:val="-3"/>
        </w:rPr>
        <w:t>融合趋势进一步加快，三网融合政策出台，我国信息产业已经走到新的发展时期。</w:t>
      </w:r>
      <w:r>
        <w:rPr/>
      </w:r>
    </w:p>
    <w:p>
      <w:pPr>
        <w:spacing w:line="240" w:lineRule="auto" w:before="11"/>
        <w:rPr>
          <w:rFonts w:ascii="宋体" w:hAnsi="宋体" w:cs="宋体" w:eastAsia="宋体" w:hint="default"/>
          <w:sz w:val="23"/>
          <w:szCs w:val="23"/>
        </w:rPr>
      </w:pPr>
    </w:p>
    <w:p>
      <w:pPr>
        <w:pStyle w:val="BodyText"/>
        <w:spacing w:line="312" w:lineRule="exact"/>
        <w:ind w:right="220"/>
        <w:jc w:val="both"/>
      </w:pPr>
      <w:r>
        <w:rPr/>
        <w:t>报告期内，公司把握家电下乡、消费升级、海外市场回暖等带来的市场机会，对计算机</w:t>
      </w:r>
      <w:r>
        <w:rPr>
          <w:spacing w:val="-47"/>
        </w:rPr>
        <w:t> </w:t>
      </w:r>
      <w:r>
        <w:rPr>
          <w:spacing w:val="-47"/>
        </w:rPr>
      </w:r>
      <w:r>
        <w:rPr/>
        <w:t>产品、多媒体产品等消费类电子业务实施差异化发展布局，通过产品和服务升级带动规</w:t>
      </w:r>
      <w:r>
        <w:rPr>
          <w:spacing w:val="-47"/>
        </w:rPr>
        <w:t> </w:t>
      </w:r>
      <w:r>
        <w:rPr>
          <w:spacing w:val="-47"/>
        </w:rPr>
      </w:r>
      <w:r>
        <w:rPr/>
        <w:t>模增长；面对城市信息化、轨道交通、高铁等领域的发展机遇，公司合理组织和优化资</w:t>
      </w:r>
      <w:r>
        <w:rPr>
          <w:spacing w:val="-47"/>
        </w:rPr>
        <w:t> </w:t>
      </w:r>
      <w:r>
        <w:rPr>
          <w:spacing w:val="-47"/>
        </w:rPr>
      </w:r>
      <w:r>
        <w:rPr/>
        <w:t>源，重点围绕数字城市核心业务，扩大市场占有率；在安防、军工等装备制造领域，公</w:t>
      </w:r>
      <w:r>
        <w:rPr>
          <w:spacing w:val="-47"/>
        </w:rPr>
        <w:t> </w:t>
      </w:r>
      <w:r>
        <w:rPr>
          <w:spacing w:val="-47"/>
        </w:rPr>
      </w:r>
      <w:r>
        <w:rPr/>
        <w:t>司加强产学研合作，突破关键核心技术，实施自主技术持续创新，继续保持行业领先地</w:t>
      </w:r>
      <w:r>
        <w:rPr>
          <w:spacing w:val="-47"/>
        </w:rPr>
        <w:t> </w:t>
      </w:r>
      <w:r>
        <w:rPr>
          <w:spacing w:val="-47"/>
        </w:rPr>
      </w:r>
      <w:r>
        <w:rPr/>
        <w:t>位；还把握物联网、三网融合等新兴产业提速时机，在物联网、数字电视系统等领域加</w:t>
      </w:r>
      <w:r>
        <w:rPr>
          <w:spacing w:val="-47"/>
        </w:rPr>
        <w:t> </w:t>
      </w:r>
      <w:r>
        <w:rPr>
          <w:spacing w:val="-47"/>
        </w:rPr>
      </w:r>
      <w:r>
        <w:rPr/>
        <w:t>大产业化步伐，并不断把握投资机会，打造新的利润增长点。本年度内，公司在信息产</w:t>
      </w:r>
      <w:r>
        <w:rPr>
          <w:spacing w:val="-47"/>
        </w:rPr>
        <w:t> </w:t>
      </w:r>
      <w:r>
        <w:rPr>
          <w:spacing w:val="-47"/>
        </w:rPr>
      </w:r>
      <w:r>
        <w:rPr/>
        <w:t>业主要产品和经营情况是：</w:t>
      </w:r>
    </w:p>
    <w:p>
      <w:pPr>
        <w:spacing w:line="240" w:lineRule="auto" w:before="6"/>
        <w:rPr>
          <w:rFonts w:ascii="宋体" w:hAnsi="宋体" w:cs="宋体" w:eastAsia="宋体" w:hint="default"/>
          <w:sz w:val="21"/>
          <w:szCs w:val="21"/>
        </w:rPr>
      </w:pPr>
    </w:p>
    <w:p>
      <w:pPr>
        <w:pStyle w:val="BodyText"/>
        <w:spacing w:line="240" w:lineRule="auto"/>
        <w:ind w:right="0"/>
        <w:jc w:val="both"/>
      </w:pPr>
      <w:r>
        <w:rPr/>
        <w:t>(1) 计算机系统产业</w:t>
      </w:r>
    </w:p>
    <w:p>
      <w:pPr>
        <w:spacing w:line="240" w:lineRule="auto" w:before="12"/>
        <w:rPr>
          <w:rFonts w:ascii="宋体" w:hAnsi="宋体" w:cs="宋体" w:eastAsia="宋体" w:hint="default"/>
          <w:sz w:val="25"/>
          <w:szCs w:val="25"/>
        </w:rPr>
      </w:pPr>
    </w:p>
    <w:p>
      <w:pPr>
        <w:pStyle w:val="BodyText"/>
        <w:spacing w:line="312" w:lineRule="exact"/>
        <w:ind w:right="218"/>
        <w:jc w:val="both"/>
      </w:pPr>
      <w:r>
        <w:rPr/>
        <w:t>2010</w:t>
      </w:r>
      <w:r>
        <w:rPr>
          <w:spacing w:val="-40"/>
        </w:rPr>
        <w:t> </w:t>
      </w:r>
      <w:r>
        <w:rPr/>
        <w:t>年，公司积极应对国家政策、产业趋势以及市场环境三大核心要素的变化，调整业</w:t>
      </w:r>
      <w:r>
        <w:rPr/>
        <w:t> 务结构，探索和开创新的业务模式。本年度，公司于业内首次启动了笔记本产品“一年</w:t>
      </w:r>
      <w:r>
        <w:rPr>
          <w:spacing w:val="-47"/>
        </w:rPr>
        <w:t> </w:t>
      </w:r>
      <w:r>
        <w:rPr>
          <w:spacing w:val="-47"/>
        </w:rPr>
      </w:r>
      <w:r>
        <w:rPr/>
        <w:t>保换”的售后服务政策，还通过差异化策略，在可信计算(安全电脑)、远程服务、云终</w:t>
      </w:r>
      <w:r>
        <w:rPr>
          <w:spacing w:val="-45"/>
        </w:rPr>
        <w:t> </w:t>
      </w:r>
      <w:r>
        <w:rPr>
          <w:spacing w:val="-45"/>
        </w:rPr>
      </w:r>
      <w:r>
        <w:rPr/>
        <w:t>端等领域形成了行业优势地位。报告期内，公司凭借安全、稳定的高品质计算机和经验</w:t>
      </w:r>
      <w:r>
        <w:rPr>
          <w:spacing w:val="-47"/>
        </w:rPr>
        <w:t> </w:t>
      </w:r>
      <w:r>
        <w:rPr>
          <w:spacing w:val="-47"/>
        </w:rPr>
      </w:r>
      <w:r>
        <w:rPr/>
        <w:t>丰富的专业服务，成为</w:t>
      </w:r>
      <w:r>
        <w:rPr>
          <w:spacing w:val="-80"/>
        </w:rPr>
        <w:t> </w:t>
      </w:r>
      <w:r>
        <w:rPr/>
        <w:t>2010</w:t>
      </w:r>
      <w:r>
        <w:rPr>
          <w:spacing w:val="-80"/>
        </w:rPr>
        <w:t> </w:t>
      </w:r>
      <w:r>
        <w:rPr/>
        <w:t>年广州亚运会计算机设备供应商、计算机设备安全保障与运</w:t>
      </w:r>
    </w:p>
    <w:p>
      <w:pPr>
        <w:pStyle w:val="BodyText"/>
        <w:spacing w:line="312" w:lineRule="exact"/>
        <w:ind w:right="185"/>
        <w:jc w:val="both"/>
      </w:pPr>
      <w:r>
        <w:rPr>
          <w:spacing w:val="-4"/>
        </w:rPr>
        <w:t>营维护服务供应商，为</w:t>
      </w:r>
      <w:r>
        <w:rPr>
          <w:spacing w:val="-62"/>
        </w:rPr>
        <w:t> </w:t>
      </w:r>
      <w:r>
        <w:rPr/>
        <w:t>66</w:t>
      </w:r>
      <w:r>
        <w:rPr>
          <w:spacing w:val="-60"/>
        </w:rPr>
        <w:t> </w:t>
      </w:r>
      <w:r>
        <w:rPr/>
        <w:t>个亚运场馆提供测试赛及正式比赛期间的近万台计算机设备和</w:t>
      </w:r>
      <w:r>
        <w:rPr/>
        <w:t> 全部产品的运维保障服务工作，在亚运会期间，公司的计算机产品凭借在易用性、容错</w:t>
      </w:r>
      <w:r>
        <w:rPr>
          <w:spacing w:val="-47"/>
        </w:rPr>
        <w:t> </w:t>
      </w:r>
      <w:r>
        <w:rPr>
          <w:spacing w:val="-47"/>
        </w:rPr>
      </w:r>
      <w:r>
        <w:rPr>
          <w:spacing w:val="-13"/>
        </w:rPr>
        <w:t>率和稳定性方面的出众表现实现了“零故障”。公司还在</w:t>
      </w:r>
      <w:r>
        <w:rPr>
          <w:spacing w:val="-55"/>
        </w:rPr>
        <w:t> </w:t>
      </w:r>
      <w:r>
        <w:rPr/>
        <w:t>2010</w:t>
      </w:r>
      <w:r>
        <w:rPr>
          <w:spacing w:val="-55"/>
        </w:rPr>
        <w:t> </w:t>
      </w:r>
      <w:r>
        <w:rPr/>
        <w:t>中国</w:t>
      </w:r>
      <w:r>
        <w:rPr>
          <w:spacing w:val="-55"/>
        </w:rPr>
        <w:t> </w:t>
      </w:r>
      <w:r>
        <w:rPr/>
        <w:t>IT</w:t>
      </w:r>
      <w:r>
        <w:rPr>
          <w:spacing w:val="-55"/>
        </w:rPr>
        <w:t> </w:t>
      </w:r>
      <w:r>
        <w:rPr>
          <w:spacing w:val="-11"/>
        </w:rPr>
        <w:t>服务年会上获得“最</w:t>
      </w:r>
      <w:r>
        <w:rPr>
          <w:spacing w:val="-117"/>
        </w:rPr>
        <w:t> </w:t>
      </w:r>
      <w:r>
        <w:rPr>
          <w:spacing w:val="-117"/>
        </w:rPr>
      </w:r>
      <w:r>
        <w:rPr/>
        <w:t>具竞争力</w:t>
      </w:r>
      <w:r>
        <w:rPr>
          <w:spacing w:val="-55"/>
        </w:rPr>
        <w:t> </w:t>
      </w:r>
      <w:r>
        <w:rPr/>
        <w:t>IT</w:t>
      </w:r>
      <w:r>
        <w:rPr>
          <w:spacing w:val="-55"/>
        </w:rPr>
        <w:t> </w:t>
      </w:r>
      <w:r>
        <w:rPr>
          <w:spacing w:val="-14"/>
        </w:rPr>
        <w:t>服务品牌奖”、“家电下乡最佳服务实践推荐奖”、“服务创新奖”三项大奖。</w:t>
      </w:r>
    </w:p>
    <w:p>
      <w:pPr>
        <w:spacing w:line="240" w:lineRule="auto" w:before="6"/>
        <w:rPr>
          <w:rFonts w:ascii="宋体" w:hAnsi="宋体" w:cs="宋体" w:eastAsia="宋体" w:hint="default"/>
          <w:sz w:val="24"/>
          <w:szCs w:val="24"/>
        </w:rPr>
      </w:pPr>
    </w:p>
    <w:tbl>
      <w:tblPr>
        <w:tblW w:w="0" w:type="auto"/>
        <w:jc w:val="left"/>
        <w:tblInd w:w="1613" w:type="dxa"/>
        <w:tblLayout w:type="fixed"/>
        <w:tblCellMar>
          <w:top w:w="0" w:type="dxa"/>
          <w:left w:w="0" w:type="dxa"/>
          <w:bottom w:w="0" w:type="dxa"/>
          <w:right w:w="0" w:type="dxa"/>
        </w:tblCellMar>
        <w:tblLook w:val="01E0"/>
      </w:tblPr>
      <w:tblGrid>
        <w:gridCol w:w="1670"/>
        <w:gridCol w:w="1390"/>
        <w:gridCol w:w="1554"/>
        <w:gridCol w:w="1606"/>
      </w:tblGrid>
      <w:tr>
        <w:trPr>
          <w:trHeight w:val="338" w:hRule="exact"/>
        </w:trPr>
        <w:tc>
          <w:tcPr>
            <w:tcW w:w="1670"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2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60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8"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6" w:hRule="exact"/>
        </w:trPr>
        <w:tc>
          <w:tcPr>
            <w:tcW w:w="167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458,666.58</w:t>
            </w:r>
            <w:r>
              <w:rPr>
                <w:rFonts w:ascii="Times New Roman"/>
                <w:sz w:val="21"/>
              </w:rPr>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427,226.35</w:t>
            </w:r>
            <w:r>
              <w:rPr>
                <w:rFonts w:ascii="Times New Roman"/>
                <w:sz w:val="21"/>
              </w:rPr>
            </w:r>
          </w:p>
        </w:tc>
        <w:tc>
          <w:tcPr>
            <w:tcW w:w="1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357,450.19</w:t>
            </w:r>
            <w:r>
              <w:rPr>
                <w:rFonts w:ascii="Times New Roman"/>
                <w:sz w:val="21"/>
              </w:rPr>
            </w:r>
          </w:p>
        </w:tc>
      </w:tr>
      <w:tr>
        <w:trPr>
          <w:trHeight w:val="335" w:hRule="exact"/>
        </w:trPr>
        <w:tc>
          <w:tcPr>
            <w:tcW w:w="167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5.87%</w:t>
            </w:r>
          </w:p>
        </w:tc>
        <w:tc>
          <w:tcPr>
            <w:tcW w:w="15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6.13%</w:t>
            </w:r>
          </w:p>
        </w:tc>
        <w:tc>
          <w:tcPr>
            <w:tcW w:w="16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7.90%</w:t>
            </w:r>
          </w:p>
        </w:tc>
      </w:tr>
    </w:tbl>
    <w:p>
      <w:pPr>
        <w:spacing w:line="240" w:lineRule="auto" w:before="11"/>
        <w:rPr>
          <w:rFonts w:ascii="宋体" w:hAnsi="宋体" w:cs="宋体" w:eastAsia="宋体" w:hint="default"/>
          <w:sz w:val="18"/>
          <w:szCs w:val="18"/>
        </w:rPr>
      </w:pPr>
    </w:p>
    <w:p>
      <w:pPr>
        <w:pStyle w:val="BodyText"/>
        <w:spacing w:line="312" w:lineRule="exact" w:before="56"/>
        <w:ind w:right="86"/>
        <w:jc w:val="left"/>
      </w:pPr>
      <w:r>
        <w:rPr>
          <w:spacing w:val="-2"/>
        </w:rPr>
        <w:t>在可信计算(安全电脑)领域，鉴于信息和网络安全已成为国家安全的一个重要组成部分，</w:t>
      </w:r>
      <w:r>
        <w:rPr>
          <w:spacing w:val="-118"/>
        </w:rPr>
        <w:t> </w:t>
      </w:r>
      <w:r>
        <w:rPr>
          <w:spacing w:val="-118"/>
        </w:rPr>
      </w:r>
      <w:r>
        <w:rPr/>
        <w:t>公司加大了基于我国可信计算</w:t>
      </w:r>
      <w:r>
        <w:rPr>
          <w:spacing w:val="-58"/>
        </w:rPr>
        <w:t> </w:t>
      </w:r>
      <w:r>
        <w:rPr/>
        <w:t>TCM</w:t>
      </w:r>
      <w:r>
        <w:rPr>
          <w:spacing w:val="-58"/>
        </w:rPr>
        <w:t> </w:t>
      </w:r>
      <w:r>
        <w:rPr>
          <w:spacing w:val="-3"/>
        </w:rPr>
        <w:t>标准的信息安全系统的研究力度，不断完善</w:t>
      </w:r>
      <w:r>
        <w:rPr>
          <w:spacing w:val="-58"/>
        </w:rPr>
        <w:t> </w:t>
      </w:r>
      <w:r>
        <w:rPr/>
        <w:t>TST2.0</w:t>
      </w:r>
      <w:r>
        <w:rPr>
          <w:spacing w:val="-58"/>
        </w:rPr>
        <w:t> </w:t>
      </w:r>
      <w:r>
        <w:rPr/>
        <w:t>安</w:t>
      </w:r>
      <w:r>
        <w:rPr>
          <w:spacing w:val="-115"/>
        </w:rPr>
        <w:t> </w:t>
      </w:r>
      <w:r>
        <w:rPr>
          <w:spacing w:val="-115"/>
        </w:rPr>
      </w:r>
      <w:r>
        <w:rPr/>
        <w:t>全技术平台，依托支持多种国密许可算法、具有完全自主知识产权的</w:t>
      </w:r>
      <w:r>
        <w:rPr>
          <w:spacing w:val="-33"/>
        </w:rPr>
        <w:t> </w:t>
      </w:r>
      <w:r>
        <w:rPr/>
        <w:t>CPU</w:t>
      </w:r>
      <w:r>
        <w:rPr>
          <w:spacing w:val="-33"/>
        </w:rPr>
        <w:t> </w:t>
      </w:r>
      <w:r>
        <w:rPr/>
        <w:t>和</w:t>
      </w:r>
      <w:r>
        <w:rPr>
          <w:spacing w:val="-33"/>
        </w:rPr>
        <w:t> </w:t>
      </w:r>
      <w:r>
        <w:rPr/>
        <w:t>IP</w:t>
      </w:r>
      <w:r>
        <w:rPr>
          <w:spacing w:val="-33"/>
        </w:rPr>
        <w:t> </w:t>
      </w:r>
      <w:r>
        <w:rPr/>
        <w:t>核的</w:t>
      </w:r>
      <w:r>
        <w:rPr>
          <w:spacing w:val="-33"/>
        </w:rPr>
        <w:t> </w:t>
      </w:r>
      <w:r>
        <w:rPr/>
        <w:t>32</w:t>
      </w:r>
      <w:r>
        <w:rPr/>
        <w:t> 位高速流加密芯片，针对电脑及其外设领域开发了用于键盘、移动硬盘、刻录机、U 盘</w:t>
      </w:r>
      <w:r>
        <w:rPr>
          <w:spacing w:val="-48"/>
        </w:rPr>
        <w:t> </w:t>
      </w:r>
      <w:r>
        <w:rPr>
          <w:spacing w:val="-48"/>
        </w:rPr>
      </w:r>
      <w:r>
        <w:rPr/>
        <w:t>KEY、高速加密流转接等的高密级解决方案，并在云南省商务厅办公电脑采购项目、新疆</w:t>
      </w:r>
      <w:r>
        <w:rPr/>
        <w:t> 兵团信息化建设项目、军用专项等项目中中标，还在第六届全国政府采购集采年会上荣</w:t>
      </w:r>
      <w:r>
        <w:rPr>
          <w:spacing w:val="-47"/>
        </w:rPr>
        <w:t> </w:t>
      </w:r>
      <w:r>
        <w:rPr>
          <w:spacing w:val="-47"/>
        </w:rPr>
      </w:r>
      <w:r>
        <w:rPr/>
        <w:t>膺“2010</w:t>
      </w:r>
      <w:r>
        <w:rPr>
          <w:spacing w:val="-52"/>
        </w:rPr>
        <w:t> </w:t>
      </w:r>
      <w:r>
        <w:rPr>
          <w:spacing w:val="-8"/>
        </w:rPr>
        <w:t>年度政府采购政务安全首选品牌”。</w:t>
      </w:r>
    </w:p>
    <w:p>
      <w:pPr>
        <w:spacing w:line="240" w:lineRule="auto" w:before="11"/>
        <w:rPr>
          <w:rFonts w:ascii="宋体" w:hAnsi="宋体" w:cs="宋体" w:eastAsia="宋体" w:hint="default"/>
          <w:sz w:val="23"/>
          <w:szCs w:val="23"/>
        </w:rPr>
      </w:pPr>
    </w:p>
    <w:p>
      <w:pPr>
        <w:pStyle w:val="BodyText"/>
        <w:spacing w:line="312" w:lineRule="exact"/>
        <w:ind w:right="213"/>
        <w:jc w:val="left"/>
      </w:pPr>
      <w:r>
        <w:rPr/>
        <w:t>在远程服务领域，公司已经打造了国内首个获得微软公司肯定的远程电脑服务平台“零</w:t>
      </w:r>
      <w:r>
        <w:rPr>
          <w:spacing w:val="-47"/>
        </w:rPr>
        <w:t> </w:t>
      </w:r>
      <w:r>
        <w:rPr>
          <w:spacing w:val="-47"/>
        </w:rPr>
      </w:r>
      <w:r>
        <w:rPr/>
        <w:t>时空”服务平台，通过“零时空”服务平台在互联网上远程的为电脑用户解决电脑软件</w:t>
      </w:r>
    </w:p>
    <w:p>
      <w:pPr>
        <w:spacing w:after="0" w:line="312" w:lineRule="exact"/>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类故障以及应用中碰到的各类问题，弥补了通常电话咨询阐述不清和无法实现上机操作</w:t>
      </w:r>
      <w:r>
        <w:rPr>
          <w:spacing w:val="-47"/>
        </w:rPr>
        <w:t> </w:t>
      </w:r>
      <w:r>
        <w:rPr>
          <w:spacing w:val="-47"/>
        </w:rPr>
      </w:r>
      <w:r>
        <w:rPr/>
        <w:t>的缺点，通过远程接管，让更多的人不再受到时间和空间的限制，享受到专业的电脑服</w:t>
      </w:r>
      <w:r>
        <w:rPr>
          <w:spacing w:val="-47"/>
        </w:rPr>
        <w:t> </w:t>
      </w:r>
      <w:r>
        <w:rPr>
          <w:spacing w:val="-47"/>
        </w:rPr>
      </w:r>
      <w:r>
        <w:rPr>
          <w:spacing w:val="-7"/>
        </w:rPr>
        <w:t>务。目前，“零时空”在远程电脑服务领域市场占有率稳居第一。为进一步提高服务能力，</w:t>
      </w:r>
      <w:r>
        <w:rPr/>
        <w:t> 公司创新的在提供电脑医生服务项目的同时还面向不同需求用户提供细分化的服务，如</w:t>
      </w:r>
      <w:r>
        <w:rPr>
          <w:spacing w:val="-47"/>
        </w:rPr>
        <w:t> </w:t>
      </w:r>
      <w:r>
        <w:rPr>
          <w:spacing w:val="-47"/>
        </w:rPr>
      </w:r>
      <w:r>
        <w:rPr>
          <w:spacing w:val="-24"/>
        </w:rPr>
        <w:t>“电脑管家”、“IT</w:t>
      </w:r>
      <w:r>
        <w:rPr/>
        <w:t> BOY”等，并在业内率先承诺“20 分钟解决</w:t>
      </w:r>
      <w:r>
        <w:rPr>
          <w:spacing w:val="-40"/>
        </w:rPr>
        <w:t> </w:t>
      </w:r>
      <w:r>
        <w:rPr/>
        <w:t>90%的电脑问题”。报告</w:t>
      </w:r>
      <w:r>
        <w:rPr/>
        <w:t> </w:t>
      </w:r>
      <w:r>
        <w:rPr>
          <w:spacing w:val="-7"/>
        </w:rPr>
        <w:t>期内，公司还为大卖场和软件厂商提供外包服务业务，现已承接了“苏宁</w:t>
      </w:r>
      <w:r>
        <w:rPr>
          <w:spacing w:val="-59"/>
        </w:rPr>
        <w:t> </w:t>
      </w:r>
      <w:r>
        <w:rPr/>
        <w:t>IT</w:t>
      </w:r>
      <w:r>
        <w:rPr>
          <w:spacing w:val="-59"/>
        </w:rPr>
        <w:t> </w:t>
      </w:r>
      <w:r>
        <w:rPr>
          <w:spacing w:val="-16"/>
        </w:rPr>
        <w:t>帮客”、“宏</w:t>
      </w:r>
      <w:r>
        <w:rPr>
          <w:spacing w:val="-113"/>
        </w:rPr>
        <w:t> </w:t>
      </w:r>
      <w:r>
        <w:rPr>
          <w:spacing w:val="-113"/>
        </w:rPr>
      </w:r>
      <w:r>
        <w:rPr/>
        <w:t>快在线”、“金山电脑医生”等外包服务。</w:t>
      </w:r>
    </w:p>
    <w:p>
      <w:pPr>
        <w:spacing w:line="240" w:lineRule="auto" w:before="1"/>
        <w:rPr>
          <w:rFonts w:ascii="宋体" w:hAnsi="宋体" w:cs="宋体" w:eastAsia="宋体" w:hint="default"/>
          <w:sz w:val="26"/>
          <w:szCs w:val="26"/>
        </w:rPr>
      </w:pPr>
    </w:p>
    <w:p>
      <w:pPr>
        <w:pStyle w:val="BodyText"/>
        <w:spacing w:line="312" w:lineRule="exact"/>
        <w:ind w:right="220"/>
        <w:jc w:val="both"/>
      </w:pPr>
      <w:r>
        <w:rPr>
          <w:spacing w:val="-7"/>
        </w:rPr>
        <w:t>在“云”计算领域，公司为适应用户对“云”的不同需求，在推出基于云计算架构的“TSS</w:t>
      </w:r>
      <w:r>
        <w:rPr>
          <w:spacing w:val="-113"/>
        </w:rPr>
        <w:t> </w:t>
      </w:r>
      <w:r>
        <w:rPr>
          <w:spacing w:val="-113"/>
        </w:rPr>
      </w:r>
      <w:r>
        <w:rPr/>
        <w:t>云网”整体解决方案，实现对所有软件、数据进行整合和集成的同时，还根据现有用户</w:t>
      </w:r>
      <w:r>
        <w:rPr>
          <w:spacing w:val="-47"/>
        </w:rPr>
        <w:t> </w:t>
      </w:r>
      <w:r>
        <w:rPr>
          <w:spacing w:val="-47"/>
        </w:rPr>
      </w:r>
      <w:r>
        <w:rPr/>
        <w:t>的硬件条件，通过自主研发的虚拟化软件和云终端产品，创建云化的虚拟桌面系统，用</w:t>
      </w:r>
      <w:r>
        <w:rPr>
          <w:spacing w:val="-47"/>
        </w:rPr>
        <w:t> </w:t>
      </w:r>
      <w:r>
        <w:rPr>
          <w:spacing w:val="-47"/>
        </w:rPr>
      </w:r>
      <w:r>
        <w:rPr/>
        <w:t>户利用现有计算机系统的空闲计算力，不需要系统改造就可以实现“云”计算。该方案</w:t>
      </w:r>
      <w:r>
        <w:rPr>
          <w:spacing w:val="-47"/>
        </w:rPr>
        <w:t> </w:t>
      </w:r>
      <w:r>
        <w:rPr>
          <w:spacing w:val="-47"/>
        </w:rPr>
      </w:r>
      <w:r>
        <w:rPr/>
        <w:t>不仅节省硬件投入和软件采购费、降低管理维护费用，而且在节能方面优势明显，还具</w:t>
      </w:r>
      <w:r>
        <w:rPr>
          <w:spacing w:val="-47"/>
        </w:rPr>
        <w:t> </w:t>
      </w:r>
      <w:r>
        <w:rPr>
          <w:spacing w:val="-47"/>
        </w:rPr>
      </w:r>
      <w:r>
        <w:rPr/>
        <w:t>有安装部署方便快捷、数据安全的特点，在政府、电力、铁路、公安、教育、医疗、金</w:t>
      </w:r>
      <w:r>
        <w:rPr>
          <w:spacing w:val="-47"/>
        </w:rPr>
        <w:t> </w:t>
      </w:r>
      <w:r>
        <w:rPr>
          <w:spacing w:val="-47"/>
        </w:rPr>
      </w:r>
      <w:r>
        <w:rPr/>
        <w:t>融、证券、税务、呼叫中心、物流、大型企业等领域可广泛应用。报告期内，公司已经</w:t>
      </w:r>
      <w:r>
        <w:rPr>
          <w:spacing w:val="-47"/>
        </w:rPr>
        <w:t> </w:t>
      </w:r>
      <w:r>
        <w:rPr>
          <w:spacing w:val="-47"/>
        </w:rPr>
      </w:r>
      <w:r>
        <w:rPr/>
        <w:t>在上海公安办公系统、深圳公安办公系统、百度、和讯、工商银行、中国联通、中粮集</w:t>
      </w:r>
      <w:r>
        <w:rPr>
          <w:spacing w:val="-47"/>
        </w:rPr>
        <w:t> </w:t>
      </w:r>
      <w:r>
        <w:rPr>
          <w:spacing w:val="-47"/>
        </w:rPr>
      </w:r>
      <w:r>
        <w:rPr/>
        <w:t>团、云南文山州各小学等单位进行推广应用。</w:t>
      </w:r>
    </w:p>
    <w:p>
      <w:pPr>
        <w:spacing w:line="240" w:lineRule="auto" w:before="6"/>
        <w:rPr>
          <w:rFonts w:ascii="宋体" w:hAnsi="宋体" w:cs="宋体" w:eastAsia="宋体" w:hint="default"/>
          <w:sz w:val="21"/>
          <w:szCs w:val="21"/>
        </w:rPr>
      </w:pPr>
    </w:p>
    <w:p>
      <w:pPr>
        <w:pStyle w:val="BodyText"/>
        <w:spacing w:line="240" w:lineRule="auto"/>
        <w:ind w:right="0"/>
        <w:jc w:val="both"/>
      </w:pPr>
      <w:r>
        <w:rPr/>
        <w:t>(2) 数字城市产业</w:t>
      </w:r>
    </w:p>
    <w:p>
      <w:pPr>
        <w:spacing w:line="240" w:lineRule="auto" w:before="11"/>
        <w:rPr>
          <w:rFonts w:ascii="宋体" w:hAnsi="宋体" w:cs="宋体" w:eastAsia="宋体" w:hint="default"/>
          <w:sz w:val="23"/>
          <w:szCs w:val="23"/>
        </w:rPr>
      </w:pPr>
    </w:p>
    <w:p>
      <w:pPr>
        <w:pStyle w:val="BodyText"/>
        <w:spacing w:line="237" w:lineRule="auto"/>
        <w:ind w:right="220"/>
        <w:jc w:val="both"/>
      </w:pPr>
      <w:r>
        <w:rPr/>
        <w:t>随着各种智能化应用的兴起，我国已经进入到数字城市时代，大力发展数字城市，用数</w:t>
      </w:r>
      <w:r>
        <w:rPr>
          <w:spacing w:val="-47"/>
        </w:rPr>
        <w:t> </w:t>
      </w:r>
      <w:r>
        <w:rPr>
          <w:spacing w:val="-47"/>
        </w:rPr>
      </w:r>
      <w:r>
        <w:rPr/>
        <w:t>字化手段统一处理城市问题，最大限度的整合、利用城市信息资源，成为建设和谐城市</w:t>
      </w:r>
      <w:r>
        <w:rPr>
          <w:spacing w:val="-47"/>
        </w:rPr>
        <w:t> </w:t>
      </w:r>
      <w:r>
        <w:rPr>
          <w:spacing w:val="-47"/>
        </w:rPr>
      </w:r>
      <w:r>
        <w:rPr/>
        <w:t>的有效途径。在数字城市产业领域，公司围绕城市建筑智能化、城市轨道交通信息化、</w:t>
      </w:r>
      <w:r>
        <w:rPr>
          <w:spacing w:val="-47"/>
        </w:rPr>
        <w:t> </w:t>
      </w:r>
      <w:r>
        <w:rPr>
          <w:spacing w:val="-47"/>
        </w:rPr>
      </w:r>
      <w:r>
        <w:rPr/>
        <w:t>城市热网监控等主要行业应用领域，持续专注于城市基础设施的数字化和智能化建设业</w:t>
      </w:r>
      <w:r>
        <w:rPr>
          <w:spacing w:val="-47"/>
        </w:rPr>
        <w:t> </w:t>
      </w:r>
      <w:r>
        <w:rPr>
          <w:spacing w:val="-47"/>
        </w:rPr>
      </w:r>
      <w:r>
        <w:rPr/>
        <w:t>务。2010</w:t>
      </w:r>
      <w:r>
        <w:rPr>
          <w:spacing w:val="-40"/>
        </w:rPr>
        <w:t> </w:t>
      </w:r>
      <w:r>
        <w:rPr/>
        <w:t>年，公司在“工程产品化”策略的基础上进一步提出了“产业面建设”的发展</w:t>
      </w:r>
      <w:r>
        <w:rPr/>
        <w:t> 战略，立足于优势行业领域，在纵向挖掘的同时，拓展横向业务的发展，并凭借公司自</w:t>
      </w:r>
      <w:r>
        <w:rPr>
          <w:spacing w:val="-47"/>
        </w:rPr>
        <w:t> </w:t>
      </w:r>
      <w:r>
        <w:rPr>
          <w:spacing w:val="-47"/>
        </w:rPr>
      </w:r>
      <w:r>
        <w:rPr/>
        <w:t>主核心技术和丰富的工程经验，在城市的节能综合服务与工程建设项目方面培养新的业</w:t>
      </w:r>
      <w:r>
        <w:rPr>
          <w:spacing w:val="-47"/>
        </w:rPr>
        <w:t> </w:t>
      </w:r>
      <w:r>
        <w:rPr>
          <w:spacing w:val="-47"/>
        </w:rPr>
      </w:r>
      <w:r>
        <w:rPr/>
        <w:t>务增长点，提升核心竞争力。</w:t>
      </w:r>
    </w:p>
    <w:p>
      <w:pPr>
        <w:spacing w:line="240" w:lineRule="auto" w:before="8"/>
        <w:rPr>
          <w:rFonts w:ascii="宋体" w:hAnsi="宋体" w:cs="宋体" w:eastAsia="宋体" w:hint="default"/>
          <w:sz w:val="26"/>
          <w:szCs w:val="26"/>
        </w:rPr>
      </w:pPr>
    </w:p>
    <w:tbl>
      <w:tblPr>
        <w:tblW w:w="0" w:type="auto"/>
        <w:jc w:val="left"/>
        <w:tblInd w:w="1401" w:type="dxa"/>
        <w:tblLayout w:type="fixed"/>
        <w:tblCellMar>
          <w:top w:w="0" w:type="dxa"/>
          <w:left w:w="0" w:type="dxa"/>
          <w:bottom w:w="0" w:type="dxa"/>
          <w:right w:w="0" w:type="dxa"/>
        </w:tblCellMar>
        <w:tblLook w:val="01E0"/>
      </w:tblPr>
      <w:tblGrid>
        <w:gridCol w:w="1807"/>
        <w:gridCol w:w="1638"/>
        <w:gridCol w:w="1679"/>
        <w:gridCol w:w="1519"/>
      </w:tblGrid>
      <w:tr>
        <w:trPr>
          <w:trHeight w:val="337" w:hRule="exact"/>
        </w:trPr>
        <w:tc>
          <w:tcPr>
            <w:tcW w:w="1807"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2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5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6"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8"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171,741.65</w:t>
            </w:r>
            <w:r>
              <w:rPr>
                <w:rFonts w:ascii="Times New Roman"/>
                <w:sz w:val="21"/>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151,619.76</w:t>
            </w:r>
            <w:r>
              <w:rPr>
                <w:rFonts w:ascii="Times New Roman"/>
                <w:sz w:val="21"/>
              </w:rPr>
            </w:r>
          </w:p>
        </w:tc>
        <w:tc>
          <w:tcPr>
            <w:tcW w:w="15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125,508.06</w:t>
            </w:r>
            <w:r>
              <w:rPr>
                <w:rFonts w:ascii="Times New Roman"/>
                <w:sz w:val="21"/>
              </w:rPr>
            </w:r>
          </w:p>
        </w:tc>
      </w:tr>
      <w:tr>
        <w:trPr>
          <w:trHeight w:val="334" w:hRule="exact"/>
        </w:trPr>
        <w:tc>
          <w:tcPr>
            <w:tcW w:w="1807"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20.60%</w:t>
            </w:r>
          </w:p>
        </w:tc>
        <w:tc>
          <w:tcPr>
            <w:tcW w:w="1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24.42%</w:t>
            </w:r>
          </w:p>
        </w:tc>
        <w:tc>
          <w:tcPr>
            <w:tcW w:w="15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18.87%</w:t>
            </w:r>
          </w:p>
        </w:tc>
      </w:tr>
    </w:tbl>
    <w:p>
      <w:pPr>
        <w:spacing w:line="240" w:lineRule="auto" w:before="10"/>
        <w:rPr>
          <w:rFonts w:ascii="宋体" w:hAnsi="宋体" w:cs="宋体" w:eastAsia="宋体" w:hint="default"/>
          <w:sz w:val="18"/>
          <w:szCs w:val="18"/>
        </w:rPr>
      </w:pPr>
    </w:p>
    <w:p>
      <w:pPr>
        <w:pStyle w:val="BodyText"/>
        <w:spacing w:line="237" w:lineRule="auto" w:before="28"/>
        <w:ind w:right="218"/>
        <w:jc w:val="both"/>
      </w:pPr>
      <w:r>
        <w:rPr/>
        <w:t>在建筑智能化领域，公司继续保持行业领先地位，连续 4</w:t>
      </w:r>
      <w:r>
        <w:rPr>
          <w:spacing w:val="-40"/>
        </w:rPr>
        <w:t> </w:t>
      </w:r>
      <w:r>
        <w:rPr/>
        <w:t>年蝉联智能建筑行业工程总量</w:t>
      </w:r>
      <w:r>
        <w:rPr/>
        <w:t> 第一名。报告期内，公司还先后承接了浙江(杭州)泛海国际中心、伊朗霍梅尼国际机场</w:t>
      </w:r>
      <w:r>
        <w:rPr>
          <w:spacing w:val="-45"/>
        </w:rPr>
        <w:t> </w:t>
      </w:r>
      <w:r>
        <w:rPr>
          <w:spacing w:val="-45"/>
        </w:rPr>
      </w:r>
      <w:r>
        <w:rPr/>
        <w:t>项目、新疆国际会展中心等众多大型工程项目，其中通过承接广州亚运会开闭幕式主会</w:t>
      </w:r>
      <w:r>
        <w:rPr>
          <w:spacing w:val="-47"/>
        </w:rPr>
        <w:t> </w:t>
      </w:r>
      <w:r>
        <w:rPr>
          <w:spacing w:val="-47"/>
        </w:rPr>
      </w:r>
      <w:r>
        <w:rPr>
          <w:spacing w:val="-5"/>
        </w:rPr>
        <w:t>场“海心沙体育馆智能化工程项目”，为亚运盛会提供了全方位的数字化、信息化、智能</w:t>
      </w:r>
      <w:r>
        <w:rPr>
          <w:spacing w:val="-85"/>
        </w:rPr>
        <w:t> </w:t>
      </w:r>
      <w:r>
        <w:rPr>
          <w:spacing w:val="-85"/>
        </w:rPr>
      </w:r>
      <w:r>
        <w:rPr/>
        <w:t>化服务。本年度，公司进一步探索城市节能综合服务与工程建设在建筑领域的应用，参</w:t>
      </w:r>
      <w:r>
        <w:rPr>
          <w:spacing w:val="-47"/>
        </w:rPr>
        <w:t> </w:t>
      </w:r>
      <w:r>
        <w:rPr>
          <w:spacing w:val="-47"/>
        </w:rPr>
      </w:r>
      <w:r>
        <w:rPr/>
        <w:t>与“建筑节能关键技术研究与示范”国家科技支撑计划重大项目，推出了具有国际先进</w:t>
      </w:r>
      <w:r>
        <w:rPr>
          <w:spacing w:val="-47"/>
        </w:rPr>
        <w:t> </w:t>
      </w:r>
      <w:r>
        <w:rPr>
          <w:spacing w:val="-47"/>
        </w:rPr>
      </w:r>
      <w:r>
        <w:rPr/>
        <w:t>水平的楼控系统高效节能解决方案，并成功应用于四川苍溪建炬国际大酒店、贵州保利</w:t>
      </w:r>
      <w:r>
        <w:rPr>
          <w:spacing w:val="-47"/>
        </w:rPr>
        <w:t> </w:t>
      </w:r>
      <w:r>
        <w:rPr>
          <w:spacing w:val="-47"/>
        </w:rPr>
      </w:r>
      <w:r>
        <w:rPr/>
        <w:t>瑞廷温泉酒店等示范项目中。</w:t>
      </w:r>
    </w:p>
    <w:p>
      <w:pPr>
        <w:spacing w:line="240" w:lineRule="auto" w:before="8"/>
        <w:rPr>
          <w:rFonts w:ascii="宋体" w:hAnsi="宋体" w:cs="宋体" w:eastAsia="宋体" w:hint="default"/>
          <w:sz w:val="23"/>
          <w:szCs w:val="23"/>
        </w:rPr>
      </w:pPr>
    </w:p>
    <w:p>
      <w:pPr>
        <w:pStyle w:val="BodyText"/>
        <w:spacing w:line="240" w:lineRule="auto"/>
        <w:ind w:right="0"/>
        <w:jc w:val="both"/>
      </w:pPr>
      <w:r>
        <w:rPr/>
        <w:t>在轨道交通信息化领域，公司在高铁的旅客服务信息化市场中保持市场份额第一，在城</w:t>
      </w:r>
    </w:p>
    <w:p>
      <w:pPr>
        <w:spacing w:after="0" w:line="240"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市轨道交通的系统控制领域处于市场占有率前三位的地位。报告期内，公司在轨道交通</w:t>
      </w:r>
      <w:r>
        <w:rPr>
          <w:spacing w:val="-47"/>
        </w:rPr>
        <w:t> </w:t>
      </w:r>
      <w:r>
        <w:rPr>
          <w:spacing w:val="-47"/>
        </w:rPr>
      </w:r>
      <w:r>
        <w:rPr/>
        <w:t>综合监控系统、机电设备监控系统、安全门系统等产品的基础上，开发能够全面提高轨</w:t>
      </w:r>
      <w:r>
        <w:rPr>
          <w:spacing w:val="-47"/>
        </w:rPr>
        <w:t> </w:t>
      </w:r>
      <w:r>
        <w:rPr>
          <w:spacing w:val="-47"/>
        </w:rPr>
      </w:r>
      <w:r>
        <w:rPr/>
        <w:t>道交通行业运营管理水平的统一监控平台，凭借在智能控制、智能卡、消防产品、网络</w:t>
      </w:r>
      <w:r>
        <w:rPr>
          <w:spacing w:val="-47"/>
        </w:rPr>
        <w:t> </w:t>
      </w:r>
      <w:r>
        <w:rPr>
          <w:spacing w:val="-47"/>
        </w:rPr>
      </w:r>
      <w:r>
        <w:rPr/>
        <w:t>技术和软件开发等方面的核心技术能力，成功开发出多媒体乘客信息系统、城市交通综</w:t>
      </w:r>
      <w:r>
        <w:rPr>
          <w:spacing w:val="-47"/>
        </w:rPr>
        <w:t> </w:t>
      </w:r>
      <w:r>
        <w:rPr>
          <w:spacing w:val="-47"/>
        </w:rPr>
      </w:r>
      <w:r>
        <w:rPr/>
        <w:t>合指挥平台系统、路网管理服务指挥中心系统等优秀的解决方案和集成服务，并在此基</w:t>
      </w:r>
      <w:r>
        <w:rPr>
          <w:spacing w:val="-47"/>
        </w:rPr>
        <w:t> </w:t>
      </w:r>
      <w:r>
        <w:rPr>
          <w:spacing w:val="-47"/>
        </w:rPr>
      </w:r>
      <w:r>
        <w:rPr/>
        <w:t>础上，将业务范围从城市轨道交通领域进一步拓展到高铁领域，相继承接了新建客运专</w:t>
      </w:r>
      <w:r>
        <w:rPr>
          <w:spacing w:val="-47"/>
        </w:rPr>
        <w:t> </w:t>
      </w:r>
      <w:r>
        <w:rPr>
          <w:spacing w:val="-47"/>
        </w:rPr>
      </w:r>
      <w:r>
        <w:rPr>
          <w:spacing w:val="-2"/>
        </w:rPr>
        <w:t>线北京、广州和上海调度所工程。至此，国家城市交通重大项目之“四所一中心”工程，</w:t>
      </w:r>
      <w:r>
        <w:rPr>
          <w:spacing w:val="-84"/>
        </w:rPr>
        <w:t> </w:t>
      </w:r>
      <w:r>
        <w:rPr>
          <w:spacing w:val="-84"/>
        </w:rPr>
      </w:r>
      <w:r>
        <w:rPr/>
        <w:t>公司已参与三大调度所的工程建设，这标志着公司在城市交通领域技术愈发成熟、实力</w:t>
      </w:r>
      <w:r>
        <w:rPr>
          <w:spacing w:val="-47"/>
        </w:rPr>
        <w:t> </w:t>
      </w:r>
      <w:r>
        <w:rPr>
          <w:spacing w:val="-47"/>
        </w:rPr>
      </w:r>
      <w:r>
        <w:rPr>
          <w:spacing w:val="-2"/>
        </w:rPr>
        <w:t>愈发雄厚。不仅如此，公司还承接了我国交通史首个集国家铁路、干线铁路、高速铁路、</w:t>
      </w:r>
      <w:r>
        <w:rPr>
          <w:spacing w:val="-82"/>
        </w:rPr>
        <w:t> </w:t>
      </w:r>
      <w:r>
        <w:rPr>
          <w:spacing w:val="-82"/>
        </w:rPr>
      </w:r>
      <w:r>
        <w:rPr/>
        <w:t>地铁综合交汇于一体的新型交通枢纽深圳北站综合交通枢纽配套工程，这意味着公司在</w:t>
      </w:r>
      <w:r>
        <w:rPr>
          <w:spacing w:val="-47"/>
        </w:rPr>
        <w:t> </w:t>
      </w:r>
      <w:r>
        <w:rPr>
          <w:spacing w:val="-47"/>
        </w:rPr>
      </w:r>
      <w:r>
        <w:rPr/>
        <w:t>建筑节能、智能建筑、轨道交通、客服系统管理等方面的综合技术实力已达到了一个新</w:t>
      </w:r>
      <w:r>
        <w:rPr>
          <w:spacing w:val="-47"/>
        </w:rPr>
        <w:t> </w:t>
      </w:r>
      <w:r>
        <w:rPr>
          <w:spacing w:val="-47"/>
        </w:rPr>
      </w:r>
      <w:r>
        <w:rPr/>
        <w:t>的高度。</w:t>
      </w:r>
    </w:p>
    <w:p>
      <w:pPr>
        <w:spacing w:line="240" w:lineRule="auto" w:before="12"/>
        <w:rPr>
          <w:rFonts w:ascii="宋体" w:hAnsi="宋体" w:cs="宋体" w:eastAsia="宋体" w:hint="default"/>
          <w:sz w:val="23"/>
          <w:szCs w:val="23"/>
        </w:rPr>
      </w:pPr>
    </w:p>
    <w:p>
      <w:pPr>
        <w:pStyle w:val="BodyText"/>
        <w:spacing w:line="237" w:lineRule="auto"/>
        <w:ind w:right="86"/>
        <w:jc w:val="left"/>
      </w:pPr>
      <w:r>
        <w:rPr/>
        <w:t>在热网监控业务方面，公司凭借卓越的技术优势，不断实施创新，完善相关解决方案，</w:t>
      </w:r>
      <w:r>
        <w:rPr>
          <w:spacing w:val="-47"/>
        </w:rPr>
        <w:t> </w:t>
      </w:r>
      <w:r>
        <w:rPr>
          <w:spacing w:val="-47"/>
        </w:rPr>
      </w:r>
      <w:r>
        <w:rPr/>
        <w:t>已经成为国内单体热网项目规模最大、总体项目数量最多、合同金额总数最高的企业，</w:t>
      </w:r>
      <w:r>
        <w:rPr>
          <w:spacing w:val="-47"/>
        </w:rPr>
        <w:t> </w:t>
      </w:r>
      <w:r>
        <w:rPr>
          <w:spacing w:val="-47"/>
        </w:rPr>
      </w:r>
      <w:r>
        <w:rPr/>
        <w:t>并在国内热网自控领域占有超过</w:t>
      </w:r>
      <w:r>
        <w:rPr>
          <w:spacing w:val="-59"/>
        </w:rPr>
        <w:t> </w:t>
      </w:r>
      <w:r>
        <w:rPr>
          <w:spacing w:val="-4"/>
        </w:rPr>
        <w:t>60%的市场份额。报告期内，公司还相继承接了鄂尔多斯</w:t>
      </w:r>
      <w:r>
        <w:rPr>
          <w:spacing w:val="-118"/>
        </w:rPr>
        <w:t> </w:t>
      </w:r>
      <w:r>
        <w:rPr>
          <w:spacing w:val="-118"/>
        </w:rPr>
      </w:r>
      <w:r>
        <w:rPr>
          <w:spacing w:val="-2"/>
        </w:rPr>
        <w:t>伊金霍洛旗集中供热自控工程自控系统工程、辽源市热网改建项目自动化控制系统工程、</w:t>
      </w:r>
      <w:r>
        <w:rPr>
          <w:spacing w:val="-82"/>
        </w:rPr>
        <w:t> </w:t>
      </w:r>
      <w:r>
        <w:rPr>
          <w:spacing w:val="-82"/>
        </w:rPr>
      </w:r>
      <w:r>
        <w:rPr/>
        <w:t>山西省忻州市热力公司</w:t>
      </w:r>
      <w:r>
        <w:rPr>
          <w:spacing w:val="-61"/>
        </w:rPr>
        <w:t> </w:t>
      </w:r>
      <w:r>
        <w:rPr/>
        <w:t>2010</w:t>
      </w:r>
      <w:r>
        <w:rPr>
          <w:spacing w:val="-61"/>
        </w:rPr>
        <w:t> </w:t>
      </w:r>
      <w:r>
        <w:rPr>
          <w:spacing w:val="-3"/>
        </w:rPr>
        <w:t>年热源及热网自控系统工程、保定铁西集中供热自控系统工</w:t>
      </w:r>
      <w:r>
        <w:rPr>
          <w:spacing w:val="-1"/>
        </w:rPr>
        <w:t> </w:t>
      </w:r>
      <w:r>
        <w:rPr/>
        <w:t>程等众多项目。其中，鄂尔多斯伊金霍洛旗集中供热自控工程自控系统工程项目是一个</w:t>
      </w:r>
      <w:r>
        <w:rPr>
          <w:spacing w:val="-47"/>
        </w:rPr>
        <w:t> </w:t>
      </w:r>
      <w:r>
        <w:rPr>
          <w:spacing w:val="-47"/>
        </w:rPr>
      </w:r>
      <w:r>
        <w:rPr/>
        <w:t>集多热源联网系统、网源一体控制系统、分布式变频系统于一体的高难度项目，而且是</w:t>
      </w:r>
      <w:r>
        <w:rPr>
          <w:spacing w:val="-47"/>
        </w:rPr>
        <w:t> </w:t>
      </w:r>
      <w:r>
        <w:rPr>
          <w:spacing w:val="-47"/>
        </w:rPr>
      </w:r>
      <w:r>
        <w:rPr/>
        <w:t>整个鄂尔多斯市正在规划建设的大供热平台的重要组成部分。该平台将涵盖鄂尔多斯热</w:t>
      </w:r>
      <w:r>
        <w:rPr>
          <w:spacing w:val="-47"/>
        </w:rPr>
        <w:t> </w:t>
      </w:r>
      <w:r>
        <w:rPr>
          <w:spacing w:val="-47"/>
        </w:rPr>
      </w:r>
      <w:r>
        <w:rPr/>
        <w:t>力公司旗下</w:t>
      </w:r>
      <w:r>
        <w:rPr>
          <w:spacing w:val="-40"/>
        </w:rPr>
        <w:t> </w:t>
      </w:r>
      <w:r>
        <w:rPr/>
        <w:t>10</w:t>
      </w:r>
      <w:r>
        <w:rPr>
          <w:spacing w:val="-40"/>
        </w:rPr>
        <w:t> </w:t>
      </w:r>
      <w:r>
        <w:rPr/>
        <w:t>台采暖锅炉和</w:t>
      </w:r>
      <w:r>
        <w:rPr>
          <w:spacing w:val="-40"/>
        </w:rPr>
        <w:t> </w:t>
      </w:r>
      <w:r>
        <w:rPr/>
        <w:t>60</w:t>
      </w:r>
      <w:r>
        <w:rPr>
          <w:spacing w:val="-40"/>
        </w:rPr>
        <w:t> </w:t>
      </w:r>
      <w:r>
        <w:rPr/>
        <w:t>余座热力站系统。这一项目的承建，充分地体现和展示</w:t>
      </w:r>
      <w:r>
        <w:rPr/>
        <w:t> 了公司在热网领域的整体实力和领先地位。本年度，公司承接的“大同市集中供热项目</w:t>
      </w:r>
      <w:r>
        <w:rPr>
          <w:spacing w:val="-47"/>
        </w:rPr>
        <w:t> </w:t>
      </w:r>
      <w:r>
        <w:rPr>
          <w:spacing w:val="-47"/>
        </w:rPr>
      </w:r>
      <w:r>
        <w:rPr/>
        <w:t>热网监控系统工程”凭借单网供热规模大、多热源联合环网供热、全网平衡优化控制等</w:t>
      </w:r>
      <w:r>
        <w:rPr>
          <w:spacing w:val="-47"/>
        </w:rPr>
        <w:t> </w:t>
      </w:r>
      <w:r>
        <w:rPr>
          <w:spacing w:val="-47"/>
        </w:rPr>
      </w:r>
      <w:r>
        <w:rPr>
          <w:spacing w:val="-2"/>
        </w:rPr>
        <w:t>众多技术创新点荣获中国勘察设计协会评选的“全国优秀工程勘察设计行业奖”一等奖，</w:t>
      </w:r>
      <w:r>
        <w:rPr>
          <w:spacing w:val="-82"/>
        </w:rPr>
        <w:t> </w:t>
      </w:r>
      <w:r>
        <w:rPr>
          <w:spacing w:val="-82"/>
        </w:rPr>
      </w:r>
      <w:r>
        <w:rPr/>
        <w:t>这一奖项被誉为行业风向标，公司是五个一等奖中唯一的企业获奖者。</w:t>
      </w:r>
    </w:p>
    <w:p>
      <w:pPr>
        <w:spacing w:line="240" w:lineRule="auto" w:before="8"/>
        <w:rPr>
          <w:rFonts w:ascii="宋体" w:hAnsi="宋体" w:cs="宋体" w:eastAsia="宋体" w:hint="default"/>
          <w:sz w:val="23"/>
          <w:szCs w:val="23"/>
        </w:rPr>
      </w:pPr>
    </w:p>
    <w:p>
      <w:pPr>
        <w:pStyle w:val="BodyText"/>
        <w:spacing w:line="240" w:lineRule="auto"/>
        <w:ind w:right="213"/>
        <w:jc w:val="left"/>
      </w:pPr>
      <w:r>
        <w:rPr/>
        <w:t>(3) 物联网应用产业</w:t>
      </w:r>
    </w:p>
    <w:p>
      <w:pPr>
        <w:spacing w:line="240" w:lineRule="auto" w:before="11"/>
        <w:rPr>
          <w:rFonts w:ascii="宋体" w:hAnsi="宋体" w:cs="宋体" w:eastAsia="宋体" w:hint="default"/>
          <w:sz w:val="23"/>
          <w:szCs w:val="23"/>
        </w:rPr>
      </w:pPr>
    </w:p>
    <w:p>
      <w:pPr>
        <w:pStyle w:val="BodyText"/>
        <w:spacing w:line="237" w:lineRule="auto"/>
        <w:ind w:right="185"/>
        <w:jc w:val="both"/>
      </w:pPr>
      <w:r>
        <w:rPr/>
        <w:t>在物联网应用领域，2010</w:t>
      </w:r>
      <w:r>
        <w:rPr>
          <w:spacing w:val="-40"/>
        </w:rPr>
        <w:t> </w:t>
      </w:r>
      <w:r>
        <w:rPr/>
        <w:t>年作为物联网应用元年，各地政府纷纷出台物联网产业发展规</w:t>
      </w:r>
      <w:r>
        <w:rPr/>
        <w:t> 划，其中江苏、上海已经明确了近三年的物联网产业发展规划方案，并全力推进物联网</w:t>
      </w:r>
      <w:r>
        <w:rPr>
          <w:spacing w:val="-47"/>
        </w:rPr>
        <w:t> </w:t>
      </w:r>
      <w:r>
        <w:rPr>
          <w:spacing w:val="-47"/>
        </w:rPr>
      </w:r>
      <w:r>
        <w:rPr/>
        <w:t>产业的发展。同时随着我国城市化进程的加快，城市管理问题日益突出，政府在城市管</w:t>
      </w:r>
      <w:r>
        <w:rPr>
          <w:spacing w:val="-47"/>
        </w:rPr>
        <w:t> </w:t>
      </w:r>
      <w:r>
        <w:rPr>
          <w:spacing w:val="-47"/>
        </w:rPr>
      </w:r>
      <w:r>
        <w:rPr/>
        <w:t>理中日益关注通过物联网实现对水文、空气、城管、农业、物流等城市运行体征的监控</w:t>
      </w:r>
      <w:r>
        <w:rPr>
          <w:spacing w:val="-47"/>
        </w:rPr>
        <w:t> </w:t>
      </w:r>
      <w:r>
        <w:rPr>
          <w:spacing w:val="-47"/>
        </w:rPr>
      </w:r>
      <w:r>
        <w:rPr>
          <w:spacing w:val="-4"/>
        </w:rPr>
        <w:t>和城市公共服务的管理，“物联城市”已经从设想走向现实。为此，公司把握市场机遇，</w:t>
      </w:r>
      <w:r>
        <w:rPr>
          <w:spacing w:val="-84"/>
        </w:rPr>
        <w:t> </w:t>
      </w:r>
      <w:r>
        <w:rPr>
          <w:spacing w:val="-84"/>
        </w:rPr>
      </w:r>
      <w:r>
        <w:rPr/>
        <w:t>以“城市运行体征管理”为核心的“物联城市”建设为方向，依托在 M2M</w:t>
      </w:r>
      <w:r>
        <w:rPr>
          <w:spacing w:val="-66"/>
        </w:rPr>
        <w:t> </w:t>
      </w:r>
      <w:r>
        <w:rPr/>
        <w:t>平台、应急平</w:t>
      </w:r>
      <w:r>
        <w:rPr>
          <w:spacing w:val="-1"/>
        </w:rPr>
        <w:t> </w:t>
      </w:r>
      <w:r>
        <w:rPr>
          <w:spacing w:val="-5"/>
        </w:rPr>
        <w:t>台、ezONE</w:t>
      </w:r>
      <w:r>
        <w:rPr>
          <w:spacing w:val="-97"/>
        </w:rPr>
        <w:t> </w:t>
      </w:r>
      <w:r>
        <w:rPr/>
        <w:t>平台和数据资源平台等方面积累的技术优势，围绕物联网应用业务、应急系统</w:t>
      </w:r>
      <w:r>
        <w:rPr/>
        <w:t> 业务等实施市场开拓和技术创新。</w:t>
      </w:r>
    </w:p>
    <w:p>
      <w:pPr>
        <w:spacing w:line="240" w:lineRule="auto" w:before="8"/>
        <w:rPr>
          <w:rFonts w:ascii="宋体" w:hAnsi="宋体" w:cs="宋体" w:eastAsia="宋体" w:hint="default"/>
          <w:sz w:val="26"/>
          <w:szCs w:val="26"/>
        </w:rPr>
      </w:pPr>
    </w:p>
    <w:tbl>
      <w:tblPr>
        <w:tblW w:w="0" w:type="auto"/>
        <w:jc w:val="left"/>
        <w:tblInd w:w="1271" w:type="dxa"/>
        <w:tblLayout w:type="fixed"/>
        <w:tblCellMar>
          <w:top w:w="0" w:type="dxa"/>
          <w:left w:w="0" w:type="dxa"/>
          <w:bottom w:w="0" w:type="dxa"/>
          <w:right w:w="0" w:type="dxa"/>
        </w:tblCellMar>
        <w:tblLook w:val="01E0"/>
      </w:tblPr>
      <w:tblGrid>
        <w:gridCol w:w="2189"/>
        <w:gridCol w:w="1649"/>
        <w:gridCol w:w="1558"/>
        <w:gridCol w:w="1509"/>
      </w:tblGrid>
      <w:tr>
        <w:trPr>
          <w:trHeight w:val="338" w:hRule="exact"/>
        </w:trPr>
        <w:tc>
          <w:tcPr>
            <w:tcW w:w="2189"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48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5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6"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6" w:hRule="exact"/>
        </w:trPr>
        <w:tc>
          <w:tcPr>
            <w:tcW w:w="21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83,763.47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67,044.23</w:t>
            </w:r>
          </w:p>
        </w:tc>
        <w:tc>
          <w:tcPr>
            <w:tcW w:w="15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61,109.19</w:t>
            </w:r>
          </w:p>
        </w:tc>
      </w:tr>
      <w:tr>
        <w:trPr>
          <w:trHeight w:val="335" w:hRule="exact"/>
        </w:trPr>
        <w:tc>
          <w:tcPr>
            <w:tcW w:w="21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3.63%</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10.24%</w:t>
            </w:r>
          </w:p>
        </w:tc>
        <w:tc>
          <w:tcPr>
            <w:tcW w:w="15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14.25%</w:t>
            </w:r>
          </w:p>
        </w:tc>
      </w:tr>
    </w:tbl>
    <w:p>
      <w:pPr>
        <w:spacing w:line="240" w:lineRule="auto" w:before="10"/>
        <w:rPr>
          <w:rFonts w:ascii="宋体" w:hAnsi="宋体" w:cs="宋体" w:eastAsia="宋体" w:hint="default"/>
          <w:sz w:val="18"/>
          <w:szCs w:val="18"/>
        </w:rPr>
      </w:pPr>
    </w:p>
    <w:p>
      <w:pPr>
        <w:pStyle w:val="BodyText"/>
        <w:spacing w:line="240" w:lineRule="auto" w:before="26"/>
        <w:ind w:right="213"/>
        <w:jc w:val="left"/>
      </w:pPr>
      <w:r>
        <w:rPr/>
        <w:t>在物联网应用业务方面，公司依托 M2M</w:t>
      </w:r>
      <w:r>
        <w:rPr>
          <w:spacing w:val="-77"/>
        </w:rPr>
        <w:t> </w:t>
      </w:r>
      <w:r>
        <w:rPr/>
        <w:t>中间件软件平台，一方面通过加强与中国移动的</w:t>
      </w:r>
    </w:p>
    <w:p>
      <w:pPr>
        <w:spacing w:after="0" w:line="240"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合作，寻找业务突破口，签约了重庆集约型数字化城市管理平台、重庆移动酉阳县、荣</w:t>
      </w:r>
      <w:r>
        <w:rPr>
          <w:spacing w:val="-47"/>
        </w:rPr>
        <w:t> </w:t>
      </w:r>
      <w:r>
        <w:rPr>
          <w:spacing w:val="-47"/>
        </w:rPr>
      </w:r>
      <w:r>
        <w:rPr>
          <w:spacing w:val="2"/>
        </w:rPr>
        <w:t>昌县数字化城市管理系统建设项目，开通了 </w:t>
      </w:r>
      <w:r>
        <w:rPr/>
        <w:t>wap.139safe.com、*139#8wap 短信、USSD</w:t>
      </w:r>
      <w:r>
        <w:rPr>
          <w:spacing w:val="-89"/>
        </w:rPr>
        <w:t> </w:t>
      </w:r>
      <w:r>
        <w:rPr>
          <w:spacing w:val="-89"/>
        </w:rPr>
      </w:r>
      <w:r>
        <w:rPr/>
        <w:t>独立特服号码，获得关键运营资源，将服务器架设在移动 IDC</w:t>
      </w:r>
      <w:r>
        <w:rPr>
          <w:spacing w:val="-61"/>
        </w:rPr>
        <w:t> </w:t>
      </w:r>
      <w:r>
        <w:rPr/>
        <w:t>中心核心网络，并推出了</w:t>
      </w:r>
      <w:r>
        <w:rPr>
          <w:spacing w:val="-1"/>
        </w:rPr>
        <w:t> </w:t>
      </w:r>
      <w:r>
        <w:rPr>
          <w:spacing w:val="5"/>
        </w:rPr>
        <w:t>宜居通产品，入围中国移动终端部采购库。2010年8</w:t>
      </w:r>
      <w:r>
        <w:rPr>
          <w:spacing w:val="-51"/>
        </w:rPr>
        <w:t> </w:t>
      </w:r>
      <w:r>
        <w:rPr/>
        <w:t>月，中国移动通信集团公司还正式</w:t>
      </w:r>
      <w:r>
        <w:rPr>
          <w:spacing w:val="-116"/>
        </w:rPr>
        <w:t> </w:t>
      </w:r>
      <w:r>
        <w:rPr>
          <w:spacing w:val="-116"/>
        </w:rPr>
      </w:r>
      <w:r>
        <w:rPr>
          <w:spacing w:val="-5"/>
        </w:rPr>
        <w:t>确认中国移动通信集团重庆有限公司为“中国移动物联网基地”，公司下属的重庆同方合</w:t>
      </w:r>
      <w:r>
        <w:rPr>
          <w:spacing w:val="-85"/>
        </w:rPr>
        <w:t> </w:t>
      </w:r>
      <w:r>
        <w:rPr>
          <w:spacing w:val="-85"/>
        </w:rPr>
      </w:r>
      <w:r>
        <w:rPr/>
        <w:t>志科技有限公司成为物联网基地最重要的合作支撑伙伴。另一方面，公司通过对物联网</w:t>
      </w:r>
      <w:r>
        <w:rPr>
          <w:spacing w:val="-47"/>
        </w:rPr>
        <w:t> </w:t>
      </w:r>
      <w:r>
        <w:rPr>
          <w:spacing w:val="-47"/>
        </w:rPr>
      </w:r>
      <w:r>
        <w:rPr/>
        <w:t>应用行业市场的认证分析，着重发展农业、质检、安监、环保、节能等物联网应用前沿</w:t>
      </w:r>
      <w:r>
        <w:rPr>
          <w:spacing w:val="-47"/>
        </w:rPr>
        <w:t> </w:t>
      </w:r>
      <w:r>
        <w:rPr>
          <w:spacing w:val="-47"/>
        </w:rPr>
      </w:r>
      <w:r>
        <w:rPr>
          <w:spacing w:val="-2"/>
        </w:rPr>
        <w:t>行业，并在报告期相继实施了国家安全总局安全生产网络舆情分析系统建设与服务项目、</w:t>
      </w:r>
      <w:r>
        <w:rPr>
          <w:spacing w:val="-1"/>
        </w:rPr>
        <w:t> </w:t>
      </w:r>
      <w:r>
        <w:rPr/>
        <w:t>山东省农产品质量安全监管系统开发项目、安徽桐城佳和农副水产品综合批发大市场信</w:t>
      </w:r>
      <w:r>
        <w:rPr>
          <w:spacing w:val="-47"/>
        </w:rPr>
        <w:t> </w:t>
      </w:r>
      <w:r>
        <w:rPr>
          <w:spacing w:val="-47"/>
        </w:rPr>
      </w:r>
      <w:r>
        <w:rPr/>
        <w:t>息化系统软件及系统集成项目、青海省门源县农畜产品综合批发市场信息化系统项目、</w:t>
      </w:r>
      <w:r>
        <w:rPr>
          <w:spacing w:val="-47"/>
        </w:rPr>
        <w:t> </w:t>
      </w:r>
      <w:r>
        <w:rPr>
          <w:spacing w:val="-47"/>
        </w:rPr>
      </w:r>
      <w:r>
        <w:rPr/>
        <w:t>吉林省汪清天成农副产品批发市场信息系统建设项目、大湖水产贫批发市场国债项目信</w:t>
      </w:r>
      <w:r>
        <w:rPr>
          <w:spacing w:val="-47"/>
        </w:rPr>
        <w:t> </w:t>
      </w:r>
      <w:r>
        <w:rPr>
          <w:spacing w:val="-47"/>
        </w:rPr>
      </w:r>
      <w:r>
        <w:rPr/>
        <w:t>息系统建设项目、湖南三星食品厂区网络监控系统项目、葫芦岛市三合水库水文自动化</w:t>
      </w:r>
      <w:r>
        <w:rPr>
          <w:spacing w:val="-47"/>
        </w:rPr>
        <w:t> </w:t>
      </w:r>
      <w:r>
        <w:rPr>
          <w:spacing w:val="-47"/>
        </w:rPr>
      </w:r>
      <w:r>
        <w:rPr>
          <w:spacing w:val="-4"/>
        </w:rPr>
        <w:t>检测系统软件开发项目等众多项目。其中，公司签署的众多物联农业信息化系统均以</w:t>
      </w:r>
      <w:r>
        <w:rPr>
          <w:spacing w:val="-59"/>
        </w:rPr>
        <w:t> </w:t>
      </w:r>
      <w:r>
        <w:rPr/>
        <w:t>M2M</w:t>
      </w:r>
      <w:r>
        <w:rPr>
          <w:spacing w:val="-112"/>
        </w:rPr>
        <w:t> </w:t>
      </w:r>
      <w:r>
        <w:rPr>
          <w:spacing w:val="-112"/>
        </w:rPr>
      </w:r>
      <w:r>
        <w:rPr/>
        <w:t>平台为基础，通过物联网技术，实现食物溯源、产品质量监测管理、信息化监管、物流</w:t>
      </w:r>
      <w:r>
        <w:rPr>
          <w:spacing w:val="-47"/>
        </w:rPr>
        <w:t> </w:t>
      </w:r>
      <w:r>
        <w:rPr>
          <w:spacing w:val="-47"/>
        </w:rPr>
      </w:r>
      <w:r>
        <w:rPr/>
        <w:t>调度等综合应用。</w:t>
      </w:r>
    </w:p>
    <w:p>
      <w:pPr>
        <w:spacing w:line="240" w:lineRule="auto" w:before="11"/>
        <w:rPr>
          <w:rFonts w:ascii="宋体" w:hAnsi="宋体" w:cs="宋体" w:eastAsia="宋体" w:hint="default"/>
          <w:sz w:val="23"/>
          <w:szCs w:val="23"/>
        </w:rPr>
      </w:pPr>
    </w:p>
    <w:p>
      <w:pPr>
        <w:pStyle w:val="BodyText"/>
        <w:spacing w:line="237" w:lineRule="auto"/>
        <w:ind w:right="218"/>
        <w:jc w:val="both"/>
      </w:pPr>
      <w:r>
        <w:rPr/>
        <w:t>在应急系统业务方面，公司主要针对省、市地方政府的应急需求，围绕值班系统、应急</w:t>
      </w:r>
      <w:r>
        <w:rPr>
          <w:spacing w:val="-47"/>
        </w:rPr>
        <w:t> </w:t>
      </w:r>
      <w:r>
        <w:rPr>
          <w:spacing w:val="-47"/>
        </w:rPr>
      </w:r>
      <w:r>
        <w:rPr/>
        <w:t>处理、统计查询以及通知公告等应用模块，实现综合业务、风险隐患监测、智能解决方</w:t>
      </w:r>
      <w:r>
        <w:rPr>
          <w:spacing w:val="-47"/>
        </w:rPr>
        <w:t> </w:t>
      </w:r>
      <w:r>
        <w:rPr>
          <w:spacing w:val="-47"/>
        </w:rPr>
      </w:r>
      <w:r>
        <w:rPr/>
        <w:t>案、综合预警系统、指挥调度、应急保障、评估、模拟演练等功能，通过省级平台建设</w:t>
      </w:r>
      <w:r>
        <w:rPr>
          <w:spacing w:val="-47"/>
        </w:rPr>
        <w:t> </w:t>
      </w:r>
      <w:r>
        <w:rPr>
          <w:spacing w:val="-47"/>
        </w:rPr>
      </w:r>
      <w:r>
        <w:rPr>
          <w:spacing w:val="-5"/>
        </w:rPr>
        <w:t>形成示范效应，在地市级应用层面进行推广，成为集“国务院应急平台建设”、“省级应</w:t>
      </w:r>
      <w:r>
        <w:rPr>
          <w:spacing w:val="-90"/>
        </w:rPr>
        <w:t> </w:t>
      </w:r>
      <w:r>
        <w:rPr>
          <w:spacing w:val="-90"/>
        </w:rPr>
      </w:r>
      <w:r>
        <w:rPr>
          <w:spacing w:val="-5"/>
        </w:rPr>
        <w:t>急平台建设”、“地市级应急平台建设”于一身的应急平台建设整体规划和整体解决方案</w:t>
      </w:r>
      <w:r>
        <w:rPr>
          <w:spacing w:val="-89"/>
        </w:rPr>
        <w:t> </w:t>
      </w:r>
      <w:r>
        <w:rPr>
          <w:spacing w:val="-89"/>
        </w:rPr>
      </w:r>
      <w:r>
        <w:rPr/>
        <w:t>的提供商和集成商。目前，公司已经在承德、济宁、克拉玛依等数个地市完成应急平台</w:t>
      </w:r>
      <w:r>
        <w:rPr>
          <w:spacing w:val="-46"/>
        </w:rPr>
        <w:t> </w:t>
      </w:r>
      <w:r>
        <w:rPr>
          <w:spacing w:val="-46"/>
        </w:rPr>
      </w:r>
      <w:r>
        <w:rPr/>
        <w:t>的建设，本年度，公司还相继签署了广东省应急平台建设综合应用系统与支撑环境建设</w:t>
      </w:r>
      <w:r>
        <w:rPr>
          <w:spacing w:val="-46"/>
        </w:rPr>
        <w:t> </w:t>
      </w:r>
      <w:r>
        <w:rPr>
          <w:spacing w:val="-46"/>
        </w:rPr>
      </w:r>
      <w:r>
        <w:rPr/>
        <w:t>采购项目、洛阳市政府应急指挥平台应用软件系统项目、济宁高新技术产业开发区管理</w:t>
      </w:r>
      <w:r>
        <w:rPr>
          <w:spacing w:val="-46"/>
        </w:rPr>
        <w:t> </w:t>
      </w:r>
      <w:r>
        <w:rPr>
          <w:spacing w:val="-46"/>
        </w:rPr>
      </w:r>
      <w:r>
        <w:rPr/>
        <w:t>委员会应急指挥系统项目等。</w:t>
      </w:r>
    </w:p>
    <w:p>
      <w:pPr>
        <w:spacing w:line="240" w:lineRule="auto" w:before="7"/>
        <w:rPr>
          <w:rFonts w:ascii="宋体" w:hAnsi="宋体" w:cs="宋体" w:eastAsia="宋体" w:hint="default"/>
          <w:sz w:val="23"/>
          <w:szCs w:val="23"/>
        </w:rPr>
      </w:pPr>
    </w:p>
    <w:p>
      <w:pPr>
        <w:pStyle w:val="BodyText"/>
        <w:spacing w:line="240" w:lineRule="auto"/>
        <w:ind w:right="0"/>
        <w:jc w:val="both"/>
      </w:pPr>
      <w:r>
        <w:rPr/>
        <w:t>(4) 微电子与核心元器件产业</w:t>
      </w:r>
    </w:p>
    <w:p>
      <w:pPr>
        <w:spacing w:line="240" w:lineRule="auto" w:before="11"/>
        <w:rPr>
          <w:rFonts w:ascii="宋体" w:hAnsi="宋体" w:cs="宋体" w:eastAsia="宋体" w:hint="default"/>
          <w:sz w:val="23"/>
          <w:szCs w:val="23"/>
        </w:rPr>
      </w:pPr>
    </w:p>
    <w:p>
      <w:pPr>
        <w:pStyle w:val="BodyText"/>
        <w:spacing w:line="237" w:lineRule="auto"/>
        <w:ind w:right="220"/>
        <w:jc w:val="both"/>
      </w:pPr>
      <w:r>
        <w:rPr/>
        <w:t>2010</w:t>
      </w:r>
      <w:r>
        <w:rPr>
          <w:spacing w:val="-59"/>
        </w:rPr>
        <w:t> </w:t>
      </w:r>
      <w:r>
        <w:rPr>
          <w:spacing w:val="-5"/>
        </w:rPr>
        <w:t>年，国家进一步加大对社保卡的投入，银行</w:t>
      </w:r>
      <w:r>
        <w:rPr>
          <w:spacing w:val="-59"/>
        </w:rPr>
        <w:t> </w:t>
      </w:r>
      <w:r>
        <w:rPr/>
        <w:t>IC</w:t>
      </w:r>
      <w:r>
        <w:rPr>
          <w:spacing w:val="-59"/>
        </w:rPr>
        <w:t> </w:t>
      </w:r>
      <w:r>
        <w:rPr>
          <w:spacing w:val="-3"/>
        </w:rPr>
        <w:t>卡迁移工作正式启动，公交智能化得</w:t>
      </w:r>
      <w:r>
        <w:rPr>
          <w:spacing w:val="-1"/>
        </w:rPr>
        <w:t> </w:t>
      </w:r>
      <w:r>
        <w:rPr/>
        <w:t>到了大力发展，移动支付保持继续升温、城市一卡通与跨区域一卡通的应用也在积极展</w:t>
      </w:r>
      <w:r>
        <w:rPr>
          <w:spacing w:val="-47"/>
        </w:rPr>
        <w:t> </w:t>
      </w:r>
      <w:r>
        <w:rPr>
          <w:spacing w:val="-47"/>
        </w:rPr>
      </w:r>
      <w:r>
        <w:rPr/>
        <w:t>开，城市建筑的智能化升级工作全面铺开，这些都为智能卡产业的发展提供了极大的发</w:t>
      </w:r>
      <w:r>
        <w:rPr>
          <w:spacing w:val="-47"/>
        </w:rPr>
        <w:t> </w:t>
      </w:r>
      <w:r>
        <w:rPr>
          <w:spacing w:val="-47"/>
        </w:rPr>
      </w:r>
      <w:r>
        <w:rPr/>
        <w:t>展机遇。与此同时，RFID</w:t>
      </w:r>
      <w:r>
        <w:rPr>
          <w:spacing w:val="-40"/>
        </w:rPr>
        <w:t> </w:t>
      </w:r>
      <w:r>
        <w:rPr/>
        <w:t>技术正在不断完善，产业应用链条从商品流通和物流运输延伸</w:t>
      </w:r>
      <w:r>
        <w:rPr/>
        <w:t> 到会务票证、门禁、身份识别等社会文化生活领域的各个方面。这些都为产业的发展提</w:t>
      </w:r>
      <w:r>
        <w:rPr>
          <w:spacing w:val="-47"/>
        </w:rPr>
        <w:t> </w:t>
      </w:r>
      <w:r>
        <w:rPr>
          <w:spacing w:val="-47"/>
        </w:rPr>
      </w:r>
      <w:r>
        <w:rPr/>
        <w:t>供了更为广阔的发展空间。</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在微电子与核心元器件产业领域，公司一直致力于成为一流的智能卡与射频技术产品供</w:t>
      </w:r>
      <w:r>
        <w:rPr>
          <w:spacing w:val="-47"/>
        </w:rPr>
        <w:t> </w:t>
      </w:r>
      <w:r>
        <w:rPr>
          <w:spacing w:val="-47"/>
        </w:rPr>
      </w:r>
      <w:r>
        <w:rPr/>
        <w:t>应商和系统集成商，并始终专注于身份识别、电信、金融支付、信息安全等集成电路芯</w:t>
      </w:r>
      <w:r>
        <w:rPr>
          <w:spacing w:val="-47"/>
        </w:rPr>
        <w:t> </w:t>
      </w:r>
      <w:r>
        <w:rPr>
          <w:spacing w:val="-47"/>
        </w:rPr>
      </w:r>
      <w:r>
        <w:rPr/>
        <w:t>片设计与供应业务。本年度，随着公司并购唐山晶源裕丰电子股份有限公司的完成，公</w:t>
      </w:r>
      <w:r>
        <w:rPr>
          <w:spacing w:val="-47"/>
        </w:rPr>
        <w:t> </w:t>
      </w:r>
      <w:r>
        <w:rPr>
          <w:spacing w:val="-47"/>
        </w:rPr>
      </w:r>
      <w:r>
        <w:rPr/>
        <w:t>司在微电子与射频技术产业的业务进一步延伸到石英晶体元器件制造领域。</w:t>
      </w:r>
    </w:p>
    <w:p>
      <w:pPr>
        <w:spacing w:line="240" w:lineRule="auto" w:before="8"/>
        <w:rPr>
          <w:rFonts w:ascii="宋体" w:hAnsi="宋体" w:cs="宋体" w:eastAsia="宋体" w:hint="default"/>
          <w:sz w:val="26"/>
          <w:szCs w:val="26"/>
        </w:rPr>
      </w:pPr>
    </w:p>
    <w:tbl>
      <w:tblPr>
        <w:tblW w:w="0" w:type="auto"/>
        <w:jc w:val="left"/>
        <w:tblInd w:w="1032" w:type="dxa"/>
        <w:tblLayout w:type="fixed"/>
        <w:tblCellMar>
          <w:top w:w="0" w:type="dxa"/>
          <w:left w:w="0" w:type="dxa"/>
          <w:bottom w:w="0" w:type="dxa"/>
          <w:right w:w="0" w:type="dxa"/>
        </w:tblCellMar>
        <w:tblLook w:val="01E0"/>
      </w:tblPr>
      <w:tblGrid>
        <w:gridCol w:w="2205"/>
        <w:gridCol w:w="1715"/>
        <w:gridCol w:w="1682"/>
        <w:gridCol w:w="1779"/>
      </w:tblGrid>
      <w:tr>
        <w:trPr>
          <w:trHeight w:val="337" w:hRule="exact"/>
        </w:trPr>
        <w:tc>
          <w:tcPr>
            <w:tcW w:w="2205"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49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7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8"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6" w:hRule="exact"/>
        </w:trPr>
        <w:tc>
          <w:tcPr>
            <w:tcW w:w="220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51,902.77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44,800.36</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39,659.40</w:t>
            </w:r>
          </w:p>
        </w:tc>
      </w:tr>
      <w:tr>
        <w:trPr>
          <w:trHeight w:val="335" w:hRule="exact"/>
        </w:trPr>
        <w:tc>
          <w:tcPr>
            <w:tcW w:w="2205"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29.98%</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38.24%</w:t>
            </w:r>
          </w:p>
        </w:tc>
        <w:tc>
          <w:tcPr>
            <w:tcW w:w="17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39.32%</w:t>
            </w:r>
          </w:p>
        </w:tc>
      </w:tr>
    </w:tbl>
    <w:p>
      <w:pPr>
        <w:spacing w:after="0" w:line="240" w:lineRule="auto"/>
        <w:jc w:val="right"/>
        <w:rPr>
          <w:rFonts w:ascii="Times New Roman" w:hAnsi="Times New Roman" w:cs="Times New Roman" w:eastAsia="Times New Roman" w:hint="default"/>
          <w:sz w:val="21"/>
          <w:szCs w:val="21"/>
        </w:rPr>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right="220"/>
        <w:jc w:val="both"/>
      </w:pPr>
      <w:r>
        <w:rPr/>
        <w:t>在产品应用方面，2010 年，随着移动互联的蓬勃发展，SIM</w:t>
      </w:r>
      <w:r>
        <w:rPr>
          <w:spacing w:val="-40"/>
        </w:rPr>
        <w:t> </w:t>
      </w:r>
      <w:r>
        <w:rPr/>
        <w:t>卡芯片市场规模持续增长，</w:t>
      </w:r>
      <w:r>
        <w:rPr/>
        <w:t> 手机支付等新兴业务的兴起拉动了 SIM</w:t>
      </w:r>
      <w:r>
        <w:rPr>
          <w:spacing w:val="-70"/>
        </w:rPr>
        <w:t> </w:t>
      </w:r>
      <w:r>
        <w:rPr/>
        <w:t>卡高端市场的增量，同时城市通卡、社保卡、金</w:t>
      </w:r>
      <w:r>
        <w:rPr>
          <w:spacing w:val="-1"/>
        </w:rPr>
        <w:t> </w:t>
      </w:r>
      <w:r>
        <w:rPr/>
        <w:t>融卡等新兴领域的需求也逐渐显现潜力。面对这一市场趋势，公司立足于智能卡芯片、</w:t>
      </w:r>
      <w:r>
        <w:rPr>
          <w:spacing w:val="-47"/>
        </w:rPr>
        <w:t> </w:t>
      </w:r>
      <w:r>
        <w:rPr>
          <w:spacing w:val="-47"/>
        </w:rPr>
      </w:r>
      <w:r>
        <w:rPr/>
        <w:t>RFID</w:t>
      </w:r>
      <w:r>
        <w:rPr>
          <w:spacing w:val="-40"/>
        </w:rPr>
        <w:t> </w:t>
      </w:r>
      <w:r>
        <w:rPr/>
        <w:t>芯片和机具射频芯片等具有核心竞争力的产品领域，把握市场机遇，不断实施技术</w:t>
      </w:r>
      <w:r>
        <w:rPr/>
        <w:t> 创新延伸产品线，同时积极拓展新的行业应用。目前，公司已经搭建了包括 CPU</w:t>
      </w:r>
      <w:r>
        <w:rPr>
          <w:spacing w:val="-40"/>
        </w:rPr>
        <w:t> </w:t>
      </w:r>
      <w:r>
        <w:rPr/>
        <w:t>平台、</w:t>
      </w:r>
      <w:r>
        <w:rPr/>
        <w:t> </w:t>
      </w:r>
      <w:r>
        <w:rPr>
          <w:spacing w:val="-5"/>
        </w:rPr>
        <w:t>工艺平台、NVM</w:t>
      </w:r>
      <w:r>
        <w:rPr>
          <w:spacing w:val="-30"/>
        </w:rPr>
        <w:t> </w:t>
      </w:r>
      <w:r>
        <w:rPr>
          <w:spacing w:val="-3"/>
        </w:rPr>
        <w:t>平台在内的智能卡芯片技术平台，技术平台之上所衍生的芯片产品，已经</w:t>
      </w:r>
      <w:r>
        <w:rPr>
          <w:spacing w:val="-114"/>
        </w:rPr>
        <w:t> </w:t>
      </w:r>
      <w:r>
        <w:rPr>
          <w:spacing w:val="-114"/>
        </w:rPr>
      </w:r>
      <w:r>
        <w:rPr/>
        <w:t>几乎涵盖智能卡的所有应用领域。公司已经成为中国智能卡领域芯片平台最完整的</w:t>
      </w:r>
      <w:r>
        <w:rPr>
          <w:spacing w:val="-79"/>
        </w:rPr>
        <w:t> </w:t>
      </w:r>
      <w:r>
        <w:rPr/>
        <w:t>IC</w:t>
      </w:r>
      <w:r>
        <w:rPr>
          <w:spacing w:val="-79"/>
        </w:rPr>
        <w:t> </w:t>
      </w:r>
      <w:r>
        <w:rPr/>
        <w:t>设</w:t>
      </w:r>
      <w:r>
        <w:rPr/>
        <w:t> 计企业，同时凭借完善的产品线、优异的芯片设计能力，公司还成为全球前三大智能卡</w:t>
      </w:r>
      <w:r>
        <w:rPr>
          <w:spacing w:val="-47"/>
        </w:rPr>
        <w:t> </w:t>
      </w:r>
      <w:r>
        <w:rPr>
          <w:spacing w:val="-47"/>
        </w:rPr>
      </w:r>
      <w:r>
        <w:rPr/>
        <w:t>商唯一的中国芯片供货商。本年度，公司在深化二代身份证芯片供应业务的同时，还继</w:t>
      </w:r>
      <w:r>
        <w:rPr>
          <w:spacing w:val="-47"/>
        </w:rPr>
        <w:t> </w:t>
      </w:r>
      <w:r>
        <w:rPr>
          <w:spacing w:val="-47"/>
        </w:rPr>
      </w:r>
      <w:r>
        <w:rPr/>
        <w:t>续领跑</w:t>
      </w:r>
      <w:r>
        <w:rPr>
          <w:spacing w:val="-53"/>
        </w:rPr>
        <w:t> </w:t>
      </w:r>
      <w:r>
        <w:rPr/>
        <w:t>SIM</w:t>
      </w:r>
      <w:r>
        <w:rPr>
          <w:spacing w:val="-53"/>
        </w:rPr>
        <w:t> </w:t>
      </w:r>
      <w:r>
        <w:rPr/>
        <w:t>卡芯片市场，保持了第一名的市场份额。在银行卡、USBKey</w:t>
      </w:r>
      <w:r>
        <w:rPr>
          <w:spacing w:val="-53"/>
        </w:rPr>
        <w:t> </w:t>
      </w:r>
      <w:r>
        <w:rPr/>
        <w:t>卡、移动支付芯</w:t>
      </w:r>
      <w:r>
        <w:rPr/>
        <w:t> 片等新兴应用领域，公司也加大了投入力度，推出引领行业的解决方案。其中在移动支</w:t>
      </w:r>
      <w:r>
        <w:rPr>
          <w:spacing w:val="-47"/>
        </w:rPr>
        <w:t> </w:t>
      </w:r>
      <w:r>
        <w:rPr>
          <w:spacing w:val="-47"/>
        </w:rPr>
      </w:r>
      <w:r>
        <w:rPr/>
        <w:t>付芯片方面，公司推出了基于自主芯片的三种解决方案，全面覆盖目前手机支付的全部</w:t>
      </w:r>
      <w:r>
        <w:rPr>
          <w:spacing w:val="-47"/>
        </w:rPr>
        <w:t> </w:t>
      </w:r>
      <w:r>
        <w:rPr>
          <w:spacing w:val="-47"/>
        </w:rPr>
      </w:r>
      <w:r>
        <w:rPr/>
        <w:t>方案，其中公司提出的加装</w:t>
      </w:r>
      <w:r>
        <w:rPr>
          <w:spacing w:val="-60"/>
        </w:rPr>
        <w:t> </w:t>
      </w:r>
      <w:r>
        <w:rPr/>
        <w:t>SD</w:t>
      </w:r>
      <w:r>
        <w:rPr>
          <w:spacing w:val="-60"/>
        </w:rPr>
        <w:t> </w:t>
      </w:r>
      <w:r>
        <w:rPr/>
        <w:t>卡实现近场支付和远程支付成为银联的主导方案。</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在技术创新方面，公司推出了自主研发的以可信计算 TCM</w:t>
      </w:r>
      <w:r>
        <w:rPr>
          <w:spacing w:val="-40"/>
        </w:rPr>
        <w:t> </w:t>
      </w:r>
      <w:r>
        <w:rPr/>
        <w:t>芯片为核心的可信计算产品解</w:t>
      </w:r>
      <w:r>
        <w:rPr/>
        <w:t> </w:t>
      </w:r>
      <w:r>
        <w:rPr>
          <w:spacing w:val="-7"/>
        </w:rPr>
        <w:t>决方案以及“国密算法双界面智能卡芯片”，并均通过国家密码管理局审查及测试。其中，</w:t>
      </w:r>
      <w:r>
        <w:rPr/>
        <w:t> 可信计算 TCM</w:t>
      </w:r>
      <w:r>
        <w:rPr>
          <w:spacing w:val="-40"/>
        </w:rPr>
        <w:t> </w:t>
      </w:r>
      <w:r>
        <w:rPr/>
        <w:t>芯片可应用在个人计算机中，用来保证电脑软件运行的合法性，杜绝病毒</w:t>
      </w:r>
      <w:r>
        <w:rPr/>
        <w:t> </w:t>
      </w:r>
      <w:r>
        <w:rPr>
          <w:spacing w:val="-2"/>
        </w:rPr>
        <w:t>和木马的非法入侵，从而在电脑上创造一个可信的运行环境。随着移动终端的普及应用，</w:t>
      </w:r>
      <w:r>
        <w:rPr>
          <w:spacing w:val="-82"/>
        </w:rPr>
        <w:t> </w:t>
      </w:r>
      <w:r>
        <w:rPr>
          <w:spacing w:val="-82"/>
        </w:rPr>
      </w:r>
      <w:r>
        <w:rPr/>
        <w:t>该芯片也可用于智能手机等移动终端上。</w:t>
      </w:r>
    </w:p>
    <w:p>
      <w:pPr>
        <w:spacing w:line="240" w:lineRule="auto" w:before="7"/>
        <w:rPr>
          <w:rFonts w:ascii="宋体" w:hAnsi="宋体" w:cs="宋体" w:eastAsia="宋体" w:hint="default"/>
          <w:sz w:val="23"/>
          <w:szCs w:val="23"/>
        </w:rPr>
      </w:pPr>
    </w:p>
    <w:p>
      <w:pPr>
        <w:pStyle w:val="BodyText"/>
        <w:spacing w:line="240" w:lineRule="auto"/>
        <w:ind w:right="0"/>
        <w:jc w:val="both"/>
      </w:pPr>
      <w:r>
        <w:rPr/>
        <w:t>(5) 安防系统</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在安防系统领域，随着全球恐怖事件增多，爆炸物、武器、违禁品、核辐射“脏弹”等</w:t>
      </w:r>
      <w:r>
        <w:rPr>
          <w:spacing w:val="-47"/>
        </w:rPr>
        <w:t> </w:t>
      </w:r>
      <w:r>
        <w:rPr>
          <w:spacing w:val="-47"/>
        </w:rPr>
      </w:r>
      <w:r>
        <w:rPr/>
        <w:t>检测市场面临巨大的前景，而国际贸易摩擦的日益加剧、人民币的持续升值、价格竞争</w:t>
      </w:r>
      <w:r>
        <w:rPr>
          <w:spacing w:val="-47"/>
        </w:rPr>
        <w:t> </w:t>
      </w:r>
      <w:r>
        <w:rPr>
          <w:spacing w:val="-47"/>
        </w:rPr>
      </w:r>
      <w:r>
        <w:rPr/>
        <w:t>等又给公司的国际化战略实施带来了较大影响。面对此种复杂的市场形势，公司积极探</w:t>
      </w:r>
      <w:r>
        <w:rPr>
          <w:spacing w:val="-47"/>
        </w:rPr>
        <w:t> </w:t>
      </w:r>
      <w:r>
        <w:rPr>
          <w:spacing w:val="-47"/>
        </w:rPr>
      </w:r>
      <w:r>
        <w:rPr/>
        <w:t>索新的行业应用和新兴地区市场，寻求突破方向，并通过一系列的自主技术创新进一步</w:t>
      </w:r>
      <w:r>
        <w:rPr>
          <w:spacing w:val="-47"/>
        </w:rPr>
        <w:t> </w:t>
      </w:r>
      <w:r>
        <w:rPr>
          <w:spacing w:val="-47"/>
        </w:rPr>
      </w:r>
      <w:r>
        <w:rPr/>
        <w:t>丰富产品线，提升核心竞争力。2010</w:t>
      </w:r>
      <w:r>
        <w:rPr>
          <w:spacing w:val="-40"/>
        </w:rPr>
        <w:t> </w:t>
      </w:r>
      <w:r>
        <w:rPr/>
        <w:t>年，公司全年交付大型设备</w:t>
      </w:r>
      <w:r>
        <w:rPr>
          <w:spacing w:val="-40"/>
        </w:rPr>
        <w:t> </w:t>
      </w:r>
      <w:r>
        <w:rPr/>
        <w:t>71</w:t>
      </w:r>
      <w:r>
        <w:rPr>
          <w:spacing w:val="-40"/>
        </w:rPr>
        <w:t> </w:t>
      </w:r>
      <w:r>
        <w:rPr/>
        <w:t>套，小型设备</w:t>
      </w:r>
      <w:r>
        <w:rPr>
          <w:spacing w:val="-40"/>
        </w:rPr>
        <w:t> </w:t>
      </w:r>
      <w:r>
        <w:rPr/>
        <w:t>1400</w:t>
      </w:r>
      <w:r>
        <w:rPr/>
        <w:t> 余套，安防系统业务收入规模和毛利率均有所上升。</w:t>
      </w:r>
    </w:p>
    <w:p>
      <w:pPr>
        <w:spacing w:line="240" w:lineRule="auto" w:before="8"/>
        <w:rPr>
          <w:rFonts w:ascii="宋体" w:hAnsi="宋体" w:cs="宋体" w:eastAsia="宋体" w:hint="default"/>
          <w:sz w:val="26"/>
          <w:szCs w:val="26"/>
        </w:rPr>
      </w:pPr>
    </w:p>
    <w:tbl>
      <w:tblPr>
        <w:tblW w:w="0" w:type="auto"/>
        <w:jc w:val="left"/>
        <w:tblInd w:w="1057" w:type="dxa"/>
        <w:tblLayout w:type="fixed"/>
        <w:tblCellMar>
          <w:top w:w="0" w:type="dxa"/>
          <w:left w:w="0" w:type="dxa"/>
          <w:bottom w:w="0" w:type="dxa"/>
          <w:right w:w="0" w:type="dxa"/>
        </w:tblCellMar>
        <w:tblLook w:val="01E0"/>
      </w:tblPr>
      <w:tblGrid>
        <w:gridCol w:w="2121"/>
        <w:gridCol w:w="1787"/>
        <w:gridCol w:w="1634"/>
        <w:gridCol w:w="1789"/>
      </w:tblGrid>
      <w:tr>
        <w:trPr>
          <w:trHeight w:val="337" w:hRule="exact"/>
        </w:trPr>
        <w:tc>
          <w:tcPr>
            <w:tcW w:w="2121"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4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7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8"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8" w:hRule="exact"/>
        </w:trPr>
        <w:tc>
          <w:tcPr>
            <w:tcW w:w="212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185,436.26</w:t>
            </w:r>
            <w:r>
              <w:rPr>
                <w:rFonts w:ascii="Times New Roman"/>
                <w:sz w:val="21"/>
              </w:rPr>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175,176.24</w:t>
            </w:r>
            <w:r>
              <w:rPr>
                <w:rFonts w:ascii="Times New Roman"/>
                <w:sz w:val="21"/>
              </w:rPr>
            </w:r>
          </w:p>
        </w:tc>
        <w:tc>
          <w:tcPr>
            <w:tcW w:w="17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243,912.54</w:t>
            </w:r>
            <w:r>
              <w:rPr>
                <w:rFonts w:ascii="Times New Roman"/>
                <w:sz w:val="21"/>
              </w:rPr>
            </w:r>
          </w:p>
        </w:tc>
      </w:tr>
      <w:tr>
        <w:trPr>
          <w:trHeight w:val="334" w:hRule="exact"/>
        </w:trPr>
        <w:tc>
          <w:tcPr>
            <w:tcW w:w="2121"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30.41%</w:t>
            </w:r>
          </w:p>
        </w:tc>
        <w:tc>
          <w:tcPr>
            <w:tcW w:w="1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23.53%</w:t>
            </w:r>
          </w:p>
        </w:tc>
        <w:tc>
          <w:tcPr>
            <w:tcW w:w="17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25.86%</w:t>
            </w:r>
          </w:p>
        </w:tc>
      </w:tr>
    </w:tbl>
    <w:p>
      <w:pPr>
        <w:spacing w:line="240" w:lineRule="auto" w:before="11"/>
        <w:rPr>
          <w:rFonts w:ascii="宋体" w:hAnsi="宋体" w:cs="宋体" w:eastAsia="宋体" w:hint="default"/>
          <w:sz w:val="18"/>
          <w:szCs w:val="18"/>
        </w:rPr>
      </w:pPr>
    </w:p>
    <w:p>
      <w:pPr>
        <w:pStyle w:val="BodyText"/>
        <w:spacing w:line="237" w:lineRule="auto" w:before="28"/>
        <w:ind w:right="86"/>
        <w:jc w:val="left"/>
      </w:pPr>
      <w:r>
        <w:rPr>
          <w:spacing w:val="-2"/>
        </w:rPr>
        <w:t>在海外市场方面，公司一方面继续加大全球第二大安检市场中东地区与增长较快的南亚、</w:t>
      </w:r>
      <w:r>
        <w:rPr>
          <w:spacing w:val="-1"/>
        </w:rPr>
        <w:t> </w:t>
      </w:r>
      <w:r>
        <w:rPr/>
        <w:t>东欧、非洲地区的销售力度，做好欧非地区的本地化工作，进一步提高该区域的市场份</w:t>
      </w:r>
      <w:r>
        <w:rPr>
          <w:spacing w:val="-47"/>
        </w:rPr>
        <w:t> </w:t>
      </w:r>
      <w:r>
        <w:rPr>
          <w:spacing w:val="-47"/>
        </w:rPr>
      </w:r>
      <w:r>
        <w:rPr/>
        <w:t>额；另一方面争夺航空安检等新兴市场，尤其关注北美航空安检市场，逐步提高新兴市</w:t>
      </w:r>
      <w:r>
        <w:rPr>
          <w:spacing w:val="-47"/>
        </w:rPr>
        <w:t> </w:t>
      </w:r>
      <w:r>
        <w:rPr>
          <w:spacing w:val="-47"/>
        </w:rPr>
      </w:r>
      <w:r>
        <w:rPr/>
        <w:t>场份额。2010</w:t>
      </w:r>
      <w:r>
        <w:rPr>
          <w:spacing w:val="-40"/>
        </w:rPr>
        <w:t> </w:t>
      </w:r>
      <w:r>
        <w:rPr/>
        <w:t>年，公司实现了对塞尔维亚、赞比亚、埃塞俄比亚、巴基斯坦、佛得角等</w:t>
      </w:r>
      <w:r>
        <w:rPr/>
        <w:t> 国家的销售。截止报告期末，海外客户国已经增至 104</w:t>
      </w:r>
      <w:r>
        <w:rPr>
          <w:spacing w:val="-41"/>
        </w:rPr>
        <w:t> </w:t>
      </w:r>
      <w:r>
        <w:rPr/>
        <w:t>个国家和地区。本年度，公司自</w:t>
      </w:r>
      <w:r>
        <w:rPr/>
        <w:t> 主研发的</w:t>
      </w:r>
      <w:r>
        <w:rPr>
          <w:spacing w:val="-59"/>
        </w:rPr>
        <w:t> </w:t>
      </w:r>
      <w:r>
        <w:rPr/>
        <w:t>LS1516BA</w:t>
      </w:r>
      <w:r>
        <w:rPr>
          <w:spacing w:val="-59"/>
        </w:rPr>
        <w:t> </w:t>
      </w:r>
      <w:r>
        <w:rPr>
          <w:spacing w:val="-3"/>
        </w:rPr>
        <w:t>液体安全检查系统通过欧洲民用航空委员会认证测试，满足欧洲统一</w:t>
      </w:r>
      <w:r>
        <w:rPr>
          <w:spacing w:val="-113"/>
        </w:rPr>
        <w:t> </w:t>
      </w:r>
      <w:r>
        <w:rPr>
          <w:spacing w:val="-113"/>
        </w:rPr>
      </w:r>
      <w:r>
        <w:rPr/>
        <w:t>制定的液态爆炸物检测系统(LEDS)技术标准，且液态爆炸物检测性能达到标准最高级别</w:t>
      </w:r>
      <w:r>
        <w:rPr>
          <w:spacing w:val="-49"/>
        </w:rPr>
        <w:t> </w:t>
      </w:r>
      <w:r>
        <w:rPr>
          <w:spacing w:val="-49"/>
        </w:rPr>
      </w:r>
      <w:r>
        <w:rPr/>
        <w:t>要求，成为首批获得欧洲民航领域销售许可资质的液体安检产品之一。</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185"/>
        <w:jc w:val="both"/>
      </w:pPr>
      <w:r>
        <w:rPr/>
        <w:t>在国内市场方面，公司积极推进在航空安检、高铁、特种行业危险物质监测等新兴行业</w:t>
      </w:r>
      <w:r>
        <w:rPr>
          <w:spacing w:val="-47"/>
        </w:rPr>
        <w:t> </w:t>
      </w:r>
      <w:r>
        <w:rPr>
          <w:spacing w:val="-47"/>
        </w:rPr>
      </w:r>
      <w:r>
        <w:rPr/>
        <w:t>的应用，承接了上海世博会、广州亚运会安保项目，为重要场馆、新闻中心和物流仓储</w:t>
      </w:r>
      <w:r>
        <w:rPr>
          <w:spacing w:val="-47"/>
        </w:rPr>
        <w:t> </w:t>
      </w:r>
      <w:r>
        <w:rPr>
          <w:spacing w:val="-47"/>
        </w:rPr>
      </w:r>
      <w:r>
        <w:rPr/>
        <w:t>等场所提供了千余套多种型号的安检产品和技术服务。本年度，公司小型智能安检产品</w:t>
      </w:r>
      <w:r>
        <w:rPr>
          <w:spacing w:val="-47"/>
        </w:rPr>
        <w:t> </w:t>
      </w:r>
      <w:r>
        <w:rPr>
          <w:spacing w:val="-47"/>
        </w:rPr>
      </w:r>
      <w:r>
        <w:rPr/>
        <w:t>首次大规模进入枢纽机场，托运行李安检系统中标湖南长沙黄花国际机场，公司还为广</w:t>
      </w:r>
      <w:r>
        <w:rPr>
          <w:spacing w:val="-47"/>
        </w:rPr>
        <w:t> </w:t>
      </w:r>
      <w:r>
        <w:rPr>
          <w:spacing w:val="-47"/>
        </w:rPr>
      </w:r>
      <w:r>
        <w:rPr/>
        <w:t>州白云机场、广州地铁</w:t>
      </w:r>
      <w:r>
        <w:rPr>
          <w:spacing w:val="-60"/>
        </w:rPr>
        <w:t> </w:t>
      </w:r>
      <w:r>
        <w:rPr/>
        <w:t>4</w:t>
      </w:r>
      <w:r>
        <w:rPr>
          <w:spacing w:val="-60"/>
        </w:rPr>
        <w:t> </w:t>
      </w:r>
      <w:r>
        <w:rPr/>
        <w:t>号线全线、5</w:t>
      </w:r>
      <w:r>
        <w:rPr>
          <w:spacing w:val="-60"/>
        </w:rPr>
        <w:t> </w:t>
      </w:r>
      <w:r>
        <w:rPr/>
        <w:t>号线全线、8</w:t>
      </w:r>
      <w:r>
        <w:rPr>
          <w:spacing w:val="-60"/>
        </w:rPr>
        <w:t> </w:t>
      </w:r>
      <w:r>
        <w:rPr/>
        <w:t>号线以及</w:t>
      </w:r>
      <w:r>
        <w:rPr>
          <w:spacing w:val="-60"/>
        </w:rPr>
        <w:t> </w:t>
      </w:r>
      <w:r>
        <w:rPr/>
        <w:t>3</w:t>
      </w:r>
      <w:r>
        <w:rPr>
          <w:spacing w:val="-60"/>
        </w:rPr>
        <w:t> </w:t>
      </w:r>
      <w:r>
        <w:rPr/>
        <w:t>号线提供</w:t>
      </w:r>
      <w:r>
        <w:rPr>
          <w:spacing w:val="-60"/>
        </w:rPr>
        <w:t> </w:t>
      </w:r>
      <w:r>
        <w:rPr/>
        <w:t>X</w:t>
      </w:r>
      <w:r>
        <w:rPr>
          <w:spacing w:val="-60"/>
        </w:rPr>
        <w:t> </w:t>
      </w:r>
      <w:r>
        <w:rPr/>
        <w:t>射线检测仪、</w:t>
      </w:r>
      <w:r>
        <w:rPr/>
        <w:t> 爆炸物探测仪等安检设备。2010</w:t>
      </w:r>
      <w:r>
        <w:rPr>
          <w:spacing w:val="-40"/>
        </w:rPr>
        <w:t> </w:t>
      </w:r>
      <w:r>
        <w:rPr/>
        <w:t>年，针对钢铁行业对于原材料废钢放射性物质监测的需</w:t>
      </w:r>
      <w:r>
        <w:rPr/>
        <w:t> 求，公司加大了在冶金行业推广放射性物质监测系统的力度，并中标了武钢集团、重庆</w:t>
      </w:r>
      <w:r>
        <w:rPr>
          <w:spacing w:val="-47"/>
        </w:rPr>
        <w:t> </w:t>
      </w:r>
      <w:r>
        <w:rPr>
          <w:spacing w:val="-47"/>
        </w:rPr>
      </w:r>
      <w:r>
        <w:rPr/>
        <w:t>钢铁、莱芜钢铁、潍坊钢铁、南通宝钢等多家钢铁企业的“废旧金属放射性物质监测系</w:t>
      </w:r>
      <w:r>
        <w:rPr>
          <w:spacing w:val="-47"/>
        </w:rPr>
        <w:t> </w:t>
      </w:r>
      <w:r>
        <w:rPr>
          <w:spacing w:val="-47"/>
        </w:rPr>
      </w:r>
      <w:r>
        <w:rPr/>
        <w:t>统”采购项目，为其提供放射性物质监测设备及监管软件。</w:t>
      </w:r>
    </w:p>
    <w:p>
      <w:pPr>
        <w:spacing w:line="240" w:lineRule="auto" w:before="10"/>
        <w:rPr>
          <w:rFonts w:ascii="宋体" w:hAnsi="宋体" w:cs="宋体" w:eastAsia="宋体" w:hint="default"/>
          <w:sz w:val="23"/>
          <w:szCs w:val="23"/>
        </w:rPr>
      </w:pPr>
    </w:p>
    <w:p>
      <w:pPr>
        <w:pStyle w:val="BodyText"/>
        <w:spacing w:line="237" w:lineRule="auto"/>
        <w:ind w:right="86"/>
        <w:jc w:val="left"/>
      </w:pPr>
      <w:r>
        <w:rPr/>
        <w:t>在新产品推广方面，公司坚持“以辐射成像为核心，各种安检技术共同发展”的产品格</w:t>
      </w:r>
      <w:r>
        <w:rPr>
          <w:spacing w:val="-47"/>
        </w:rPr>
        <w:t> </w:t>
      </w:r>
      <w:r>
        <w:rPr>
          <w:spacing w:val="-47"/>
        </w:rPr>
      </w:r>
      <w:r>
        <w:rPr/>
        <w:t>局，通过建立研发平台，与清华大学、科研单位、国外研发机构建立战略合作关系，吸</w:t>
      </w:r>
      <w:r>
        <w:rPr>
          <w:spacing w:val="-47"/>
        </w:rPr>
        <w:t> </w:t>
      </w:r>
      <w:r>
        <w:rPr>
          <w:spacing w:val="-47"/>
        </w:rPr>
      </w:r>
      <w:r>
        <w:rPr/>
        <w:t>引全球一流的技术专家，不断创新、开放合作，培育新的业务增长点。2010</w:t>
      </w:r>
      <w:r>
        <w:rPr>
          <w:spacing w:val="-40"/>
        </w:rPr>
        <w:t> </w:t>
      </w:r>
      <w:r>
        <w:rPr/>
        <w:t>年，公司推</w:t>
      </w:r>
      <w:r>
        <w:rPr/>
        <w:t> 出了拉曼光谱系统系列产品，包括毒品、爆炸物等检测的安检产品及食物添加剂等检测</w:t>
      </w:r>
      <w:r>
        <w:rPr>
          <w:spacing w:val="-47"/>
        </w:rPr>
        <w:t> </w:t>
      </w:r>
      <w:r>
        <w:rPr>
          <w:spacing w:val="-47"/>
        </w:rPr>
      </w:r>
      <w:r>
        <w:rPr>
          <w:spacing w:val="-2"/>
        </w:rPr>
        <w:t>的质检产品，此外，公司还着重挖掘高铁等新兴行业市场的需求，开发了高铁防灾系统，</w:t>
      </w:r>
      <w:r>
        <w:rPr>
          <w:spacing w:val="-84"/>
        </w:rPr>
        <w:t> </w:t>
      </w:r>
      <w:r>
        <w:rPr>
          <w:spacing w:val="-84"/>
        </w:rPr>
      </w:r>
      <w:r>
        <w:rPr/>
        <w:t>应用于包括雨量、雪深、地震、异物侵限、风力、边坡落石、滑坡泥石流、路基沉降等</w:t>
      </w:r>
      <w:r>
        <w:rPr>
          <w:spacing w:val="-47"/>
        </w:rPr>
        <w:t> </w:t>
      </w:r>
      <w:r>
        <w:rPr>
          <w:spacing w:val="-47"/>
        </w:rPr>
      </w:r>
      <w:r>
        <w:rPr/>
        <w:t>在内的高铁灾害检测。</w:t>
      </w:r>
    </w:p>
    <w:p>
      <w:pPr>
        <w:spacing w:line="240" w:lineRule="auto" w:before="10"/>
        <w:rPr>
          <w:rFonts w:ascii="宋体" w:hAnsi="宋体" w:cs="宋体" w:eastAsia="宋体" w:hint="default"/>
          <w:sz w:val="23"/>
          <w:szCs w:val="23"/>
        </w:rPr>
      </w:pPr>
    </w:p>
    <w:p>
      <w:pPr>
        <w:pStyle w:val="BodyText"/>
        <w:spacing w:line="237" w:lineRule="auto"/>
        <w:ind w:right="222"/>
        <w:jc w:val="both"/>
      </w:pPr>
      <w:r>
        <w:rPr/>
        <w:t>本年度，公司与清华大学共同起草并推行的 IEC 62523</w:t>
      </w:r>
      <w:r>
        <w:rPr>
          <w:spacing w:val="-40"/>
        </w:rPr>
        <w:t> </w:t>
      </w:r>
      <w:r>
        <w:rPr/>
        <w:t>国际标准正式发布施行，成为全</w:t>
      </w:r>
      <w:r>
        <w:rPr/>
        <w:t> 球集装箱/车辆检查系统类产品研发、制造、销售和使用的共同依据。IEC 62523</w:t>
      </w:r>
      <w:r>
        <w:rPr>
          <w:spacing w:val="-40"/>
        </w:rPr>
        <w:t> </w:t>
      </w:r>
      <w:r>
        <w:rPr/>
        <w:t>国际标</w:t>
      </w:r>
      <w:r>
        <w:rPr/>
        <w:t> 准是我国核行业第一次主持编写并发布的国际标准，是我国核工业发展的又一里程碑。</w:t>
      </w:r>
    </w:p>
    <w:p>
      <w:pPr>
        <w:spacing w:line="240" w:lineRule="auto" w:before="8"/>
        <w:rPr>
          <w:rFonts w:ascii="宋体" w:hAnsi="宋体" w:cs="宋体" w:eastAsia="宋体" w:hint="default"/>
          <w:sz w:val="23"/>
          <w:szCs w:val="23"/>
        </w:rPr>
      </w:pPr>
    </w:p>
    <w:p>
      <w:pPr>
        <w:pStyle w:val="BodyText"/>
        <w:spacing w:line="240" w:lineRule="auto"/>
        <w:ind w:right="213"/>
        <w:jc w:val="left"/>
      </w:pPr>
      <w:r>
        <w:rPr/>
        <w:t>(6) 多媒体产业</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在多媒体产业领域，公司在平板电视等消费电子、信息家电、多媒体终端产品领域开展</w:t>
      </w:r>
      <w:r>
        <w:rPr>
          <w:spacing w:val="-47"/>
        </w:rPr>
        <w:t> </w:t>
      </w:r>
      <w:r>
        <w:rPr>
          <w:spacing w:val="-47"/>
        </w:rPr>
      </w:r>
      <w:r>
        <w:rPr>
          <w:spacing w:val="-4"/>
        </w:rPr>
        <w:t>业务。2010</w:t>
      </w:r>
      <w:r>
        <w:rPr>
          <w:spacing w:val="-47"/>
        </w:rPr>
        <w:t> </w:t>
      </w:r>
      <w:r>
        <w:rPr>
          <w:spacing w:val="-10"/>
        </w:rPr>
        <w:t>年，中国平板电视继续在“家电下乡”、“以旧换新”的政策背景下蓬勃发展，</w:t>
      </w:r>
      <w:r>
        <w:rPr>
          <w:spacing w:val="-114"/>
        </w:rPr>
        <w:t> </w:t>
      </w:r>
      <w:r>
        <w:rPr>
          <w:spacing w:val="-114"/>
        </w:rPr>
      </w:r>
      <w:r>
        <w:rPr/>
        <w:t>平板电视能耗标准的实行推动</w:t>
      </w:r>
      <w:r>
        <w:rPr>
          <w:spacing w:val="-53"/>
        </w:rPr>
        <w:t> </w:t>
      </w:r>
      <w:r>
        <w:rPr/>
        <w:t>LED</w:t>
      </w:r>
      <w:r>
        <w:rPr>
          <w:spacing w:val="-53"/>
        </w:rPr>
        <w:t> </w:t>
      </w:r>
      <w:r>
        <w:rPr/>
        <w:t>背光源电视渗透率进一步提升，3D</w:t>
      </w:r>
      <w:r>
        <w:rPr>
          <w:spacing w:val="-53"/>
        </w:rPr>
        <w:t> </w:t>
      </w:r>
      <w:r>
        <w:rPr/>
        <w:t>技术和智能互联技</w:t>
      </w:r>
      <w:r>
        <w:rPr/>
        <w:t> 术的普及为平板电视市场增添了新的闪光点。根据赛迪顾问统计数据显示，2010</w:t>
      </w:r>
      <w:r>
        <w:rPr>
          <w:spacing w:val="-40"/>
        </w:rPr>
        <w:t> </w:t>
      </w:r>
      <w:r>
        <w:rPr/>
        <w:t>年我国</w:t>
      </w:r>
      <w:r>
        <w:rPr/>
        <w:t> 平板电视销量为</w:t>
      </w:r>
      <w:r>
        <w:rPr>
          <w:spacing w:val="-59"/>
        </w:rPr>
        <w:t> </w:t>
      </w:r>
      <w:r>
        <w:rPr/>
        <w:t>3538</w:t>
      </w:r>
      <w:r>
        <w:rPr>
          <w:spacing w:val="-59"/>
        </w:rPr>
        <w:t> </w:t>
      </w:r>
      <w:r>
        <w:rPr>
          <w:spacing w:val="-9"/>
        </w:rPr>
        <w:t>万台，与</w:t>
      </w:r>
      <w:r>
        <w:rPr>
          <w:spacing w:val="-59"/>
        </w:rPr>
        <w:t> </w:t>
      </w:r>
      <w:r>
        <w:rPr/>
        <w:t>2009</w:t>
      </w:r>
      <w:r>
        <w:rPr>
          <w:spacing w:val="-59"/>
        </w:rPr>
        <w:t> </w:t>
      </w:r>
      <w:r>
        <w:rPr/>
        <w:t>年相比增长了</w:t>
      </w:r>
      <w:r>
        <w:rPr>
          <w:spacing w:val="-59"/>
        </w:rPr>
        <w:t> </w:t>
      </w:r>
      <w:r>
        <w:rPr>
          <w:spacing w:val="-4"/>
        </w:rPr>
        <w:t>59.8%。面对这一市场形势，公司进一</w:t>
      </w:r>
      <w:r>
        <w:rPr>
          <w:spacing w:val="-117"/>
        </w:rPr>
        <w:t> </w:t>
      </w:r>
      <w:r>
        <w:rPr>
          <w:spacing w:val="-117"/>
        </w:rPr>
      </w:r>
      <w:r>
        <w:rPr/>
        <w:t>步搭建国内、国外销售平台，变革销售体系，完善产品结构，保证了业务规模的持续扩</w:t>
      </w:r>
      <w:r>
        <w:rPr>
          <w:spacing w:val="-47"/>
        </w:rPr>
        <w:t> </w:t>
      </w:r>
      <w:r>
        <w:rPr>
          <w:spacing w:val="-47"/>
        </w:rPr>
      </w:r>
      <w:r>
        <w:rPr/>
        <w:t>大和市场占有率的提升。</w:t>
      </w:r>
    </w:p>
    <w:p>
      <w:pPr>
        <w:spacing w:line="240" w:lineRule="auto" w:before="8"/>
        <w:rPr>
          <w:rFonts w:ascii="宋体" w:hAnsi="宋体" w:cs="宋体" w:eastAsia="宋体" w:hint="default"/>
          <w:sz w:val="26"/>
          <w:szCs w:val="26"/>
        </w:rPr>
      </w:pPr>
    </w:p>
    <w:tbl>
      <w:tblPr>
        <w:tblW w:w="0" w:type="auto"/>
        <w:jc w:val="left"/>
        <w:tblInd w:w="1361" w:type="dxa"/>
        <w:tblLayout w:type="fixed"/>
        <w:tblCellMar>
          <w:top w:w="0" w:type="dxa"/>
          <w:left w:w="0" w:type="dxa"/>
          <w:bottom w:w="0" w:type="dxa"/>
          <w:right w:w="0" w:type="dxa"/>
        </w:tblCellMar>
        <w:tblLook w:val="01E0"/>
      </w:tblPr>
      <w:tblGrid>
        <w:gridCol w:w="1910"/>
        <w:gridCol w:w="1532"/>
        <w:gridCol w:w="1632"/>
        <w:gridCol w:w="1651"/>
      </w:tblGrid>
      <w:tr>
        <w:trPr>
          <w:trHeight w:val="337" w:hRule="exact"/>
        </w:trPr>
        <w:tc>
          <w:tcPr>
            <w:tcW w:w="1910"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34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6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272,925.42</w:t>
            </w:r>
            <w:r>
              <w:rPr>
                <w:rFonts w:ascii="Times New Roman"/>
                <w:sz w:val="21"/>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172,592.32</w:t>
            </w:r>
            <w:r>
              <w:rPr>
                <w:rFonts w:ascii="Times New Roman"/>
                <w:sz w:val="21"/>
              </w:rPr>
            </w:r>
          </w:p>
        </w:tc>
        <w:tc>
          <w:tcPr>
            <w:tcW w:w="16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117,103.27</w:t>
            </w:r>
            <w:r>
              <w:rPr>
                <w:rFonts w:ascii="Times New Roman"/>
                <w:sz w:val="21"/>
              </w:rPr>
            </w:r>
          </w:p>
        </w:tc>
      </w:tr>
      <w:tr>
        <w:trPr>
          <w:trHeight w:val="335" w:hRule="exact"/>
        </w:trPr>
        <w:tc>
          <w:tcPr>
            <w:tcW w:w="191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8.90%</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6.13%</w:t>
            </w:r>
          </w:p>
        </w:tc>
        <w:tc>
          <w:tcPr>
            <w:tcW w:w="16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8.04%</w:t>
            </w:r>
          </w:p>
        </w:tc>
      </w:tr>
    </w:tbl>
    <w:p>
      <w:pPr>
        <w:spacing w:line="240" w:lineRule="auto" w:before="10"/>
        <w:rPr>
          <w:rFonts w:ascii="宋体" w:hAnsi="宋体" w:cs="宋体" w:eastAsia="宋体" w:hint="default"/>
          <w:sz w:val="18"/>
          <w:szCs w:val="18"/>
        </w:rPr>
      </w:pPr>
    </w:p>
    <w:p>
      <w:pPr>
        <w:pStyle w:val="BodyText"/>
        <w:spacing w:line="237" w:lineRule="auto" w:before="28"/>
        <w:ind w:right="86"/>
        <w:jc w:val="left"/>
      </w:pPr>
      <w:r>
        <w:rPr>
          <w:spacing w:val="-2"/>
        </w:rPr>
        <w:t>在国内市场方面，公司准确把握市场销售节奏，积极推动大卖场等连锁分销体系的销售，</w:t>
      </w:r>
      <w:r>
        <w:rPr>
          <w:spacing w:val="-82"/>
        </w:rPr>
        <w:t> </w:t>
      </w:r>
      <w:r>
        <w:rPr>
          <w:spacing w:val="-82"/>
        </w:rPr>
      </w:r>
      <w:r>
        <w:rPr/>
        <w:t>强化区域连锁和综合百货超市分销渠道的合作关系，并建立差异化的产品体系，市场占</w:t>
      </w:r>
      <w:r>
        <w:rPr>
          <w:spacing w:val="-47"/>
        </w:rPr>
        <w:t> </w:t>
      </w:r>
      <w:r>
        <w:rPr>
          <w:spacing w:val="-47"/>
        </w:rPr>
      </w:r>
      <w:r>
        <w:rPr/>
        <w:t>有率进一步提升，其中，在西安、长沙、北京等地区的市场占有率获得突破，部分地区</w:t>
      </w:r>
      <w:r>
        <w:rPr>
          <w:spacing w:val="-47"/>
        </w:rPr>
        <w:t> </w:t>
      </w:r>
      <w:r>
        <w:rPr>
          <w:spacing w:val="-47"/>
        </w:rPr>
      </w:r>
      <w:r>
        <w:rPr/>
        <w:t>跻身当地国产品牌前三位。报告期内，公司电视机全线</w:t>
      </w:r>
      <w:r>
        <w:rPr>
          <w:spacing w:val="-40"/>
        </w:rPr>
        <w:t> </w:t>
      </w:r>
      <w:r>
        <w:rPr/>
        <w:t>35</w:t>
      </w:r>
      <w:r>
        <w:rPr>
          <w:spacing w:val="-40"/>
        </w:rPr>
        <w:t> </w:t>
      </w:r>
      <w:r>
        <w:rPr/>
        <w:t>款产品还在</w:t>
      </w:r>
      <w:r>
        <w:rPr>
          <w:spacing w:val="-40"/>
        </w:rPr>
        <w:t> </w:t>
      </w:r>
      <w:r>
        <w:rPr/>
        <w:t>2011</w:t>
      </w:r>
      <w:r>
        <w:rPr>
          <w:spacing w:val="-40"/>
        </w:rPr>
        <w:t> </w:t>
      </w:r>
      <w:r>
        <w:rPr/>
        <w:t>年全国范围</w:t>
      </w:r>
      <w:r>
        <w:rPr/>
        <w:t> 家电下乡招标中全部中标，其中包括 LED</w:t>
      </w:r>
      <w:r>
        <w:rPr>
          <w:spacing w:val="-61"/>
        </w:rPr>
        <w:t> </w:t>
      </w:r>
      <w:r>
        <w:rPr/>
        <w:t>电视、互联网电视等创新型高端产品。在产品</w:t>
      </w:r>
      <w:r>
        <w:rPr>
          <w:spacing w:val="-1"/>
        </w:rPr>
        <w:t> </w:t>
      </w:r>
      <w:r>
        <w:rPr/>
        <w:t>创新方面，公司把握市场需求，推出了具有优异节能表现和突出网络功能的</w:t>
      </w:r>
      <w:r>
        <w:rPr>
          <w:spacing w:val="-60"/>
        </w:rPr>
        <w:t> </w:t>
      </w:r>
      <w:r>
        <w:rPr/>
        <w:t>LED“尚网”</w:t>
      </w:r>
      <w:r>
        <w:rPr/>
        <w:t> </w:t>
      </w:r>
      <w:r>
        <w:rPr>
          <w:spacing w:val="-4"/>
        </w:rPr>
        <w:t>电视，这一产品带有“CNTV</w:t>
      </w:r>
      <w:r>
        <w:rPr>
          <w:spacing w:val="-39"/>
        </w:rPr>
        <w:t> </w:t>
      </w:r>
      <w:r>
        <w:rPr>
          <w:spacing w:val="-7"/>
        </w:rPr>
        <w:t>集成播控平台”，涵盖了中国网络电视台的全部内容，并添加</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0"/>
        <w:jc w:val="both"/>
      </w:pPr>
      <w:r>
        <w:rPr/>
        <w:t>了数字教育功能。本年度，公司还凭借优异的产品质量、强大的生产能力和完备的服务</w:t>
      </w:r>
      <w:r>
        <w:rPr>
          <w:spacing w:val="-47"/>
        </w:rPr>
        <w:t> </w:t>
      </w:r>
      <w:r>
        <w:rPr>
          <w:spacing w:val="-47"/>
        </w:rPr>
      </w:r>
      <w:r>
        <w:rPr/>
        <w:t>保障体系，成功入围“环境标志产品”政府采购清单，为进一步拓展政府采购市场奠定</w:t>
      </w:r>
      <w:r>
        <w:rPr>
          <w:spacing w:val="-47"/>
        </w:rPr>
        <w:t> </w:t>
      </w:r>
      <w:r>
        <w:rPr>
          <w:spacing w:val="-47"/>
        </w:rPr>
      </w:r>
      <w:r>
        <w:rPr/>
        <w:t>了基础。</w:t>
      </w:r>
    </w:p>
    <w:p>
      <w:pPr>
        <w:spacing w:line="240" w:lineRule="auto" w:before="8"/>
        <w:rPr>
          <w:rFonts w:ascii="宋体" w:hAnsi="宋体" w:cs="宋体" w:eastAsia="宋体" w:hint="default"/>
          <w:sz w:val="21"/>
          <w:szCs w:val="21"/>
        </w:rPr>
      </w:pPr>
    </w:p>
    <w:p>
      <w:pPr>
        <w:pStyle w:val="BodyText"/>
        <w:spacing w:line="237" w:lineRule="auto"/>
        <w:ind w:right="84"/>
        <w:jc w:val="left"/>
      </w:pPr>
      <w:r>
        <w:rPr/>
        <w:t>在海外市场方面，公司坚持实施双轨发展的策略，通过</w:t>
      </w:r>
      <w:r>
        <w:rPr>
          <w:spacing w:val="-70"/>
        </w:rPr>
        <w:t> </w:t>
      </w:r>
      <w:r>
        <w:rPr/>
        <w:t>OEM、ODM</w:t>
      </w:r>
      <w:r>
        <w:rPr>
          <w:spacing w:val="-70"/>
        </w:rPr>
        <w:t> </w:t>
      </w:r>
      <w:r>
        <w:rPr/>
        <w:t>等形式拓展市场，同时</w:t>
      </w:r>
      <w:r>
        <w:rPr/>
        <w:t> 不断推出自有品牌的产品，扩大影响力。2010</w:t>
      </w:r>
      <w:r>
        <w:rPr>
          <w:spacing w:val="-40"/>
        </w:rPr>
        <w:t> </w:t>
      </w:r>
      <w:r>
        <w:rPr/>
        <w:t>年，公司通过与国际连锁商的直接合作进</w:t>
      </w:r>
      <w:r>
        <w:rPr/>
        <w:t> </w:t>
      </w:r>
      <w:r>
        <w:rPr>
          <w:spacing w:val="-4"/>
        </w:rPr>
        <w:t>入北美、英国市场，目前公司电视机产品在英国市场占有率已达到</w:t>
      </w:r>
      <w:r>
        <w:rPr>
          <w:spacing w:val="-55"/>
        </w:rPr>
        <w:t> </w:t>
      </w:r>
      <w:r>
        <w:rPr>
          <w:spacing w:val="-6"/>
        </w:rPr>
        <w:t>5%，北美市场达到</w:t>
      </w:r>
      <w:r>
        <w:rPr>
          <w:spacing w:val="-55"/>
        </w:rPr>
        <w:t> </w:t>
      </w:r>
      <w:r>
        <w:rPr/>
        <w:t>3%，</w:t>
      </w:r>
      <w:r>
        <w:rPr/>
        <w:t> 同时公司自有品牌</w:t>
      </w:r>
      <w:r>
        <w:rPr>
          <w:spacing w:val="-79"/>
        </w:rPr>
        <w:t> </w:t>
      </w:r>
      <w:r>
        <w:rPr/>
        <w:t>SEIKI</w:t>
      </w:r>
      <w:r>
        <w:rPr>
          <w:spacing w:val="-79"/>
        </w:rPr>
        <w:t> </w:t>
      </w:r>
      <w:r>
        <w:rPr/>
        <w:t>还成功打入北美国际市场。本年度，公司还以客户需求为导向，</w:t>
      </w:r>
      <w:r>
        <w:rPr/>
        <w:t> 成功运用了</w:t>
      </w:r>
      <w:r>
        <w:rPr>
          <w:spacing w:val="-65"/>
        </w:rPr>
        <w:t> </w:t>
      </w:r>
      <w:r>
        <w:rPr/>
        <w:t>120HZ</w:t>
      </w:r>
      <w:r>
        <w:rPr>
          <w:spacing w:val="-65"/>
        </w:rPr>
        <w:t> </w:t>
      </w:r>
      <w:r>
        <w:rPr/>
        <w:t>高清运动补偿技术，开发了</w:t>
      </w:r>
      <w:r>
        <w:rPr>
          <w:spacing w:val="-65"/>
        </w:rPr>
        <w:t> </w:t>
      </w:r>
      <w:r>
        <w:rPr/>
        <w:t>60〞FHD</w:t>
      </w:r>
      <w:r>
        <w:rPr>
          <w:spacing w:val="-27"/>
        </w:rPr>
        <w:t> </w:t>
      </w:r>
      <w:r>
        <w:rPr/>
        <w:t>LCD</w:t>
      </w:r>
      <w:r>
        <w:rPr>
          <w:spacing w:val="-27"/>
        </w:rPr>
        <w:t> </w:t>
      </w:r>
      <w:r>
        <w:rPr/>
        <w:t>TV</w:t>
      </w:r>
      <w:r>
        <w:rPr>
          <w:spacing w:val="-65"/>
        </w:rPr>
        <w:t> </w:t>
      </w:r>
      <w:r>
        <w:rPr/>
        <w:t>产品，为公司产品向大尺</w:t>
      </w:r>
      <w:r>
        <w:rPr>
          <w:spacing w:val="-1"/>
        </w:rPr>
        <w:t> </w:t>
      </w:r>
      <w:r>
        <w:rPr/>
        <w:t>寸、高端技术、国际化方向发展打下了良好的基础。</w:t>
      </w:r>
    </w:p>
    <w:p>
      <w:pPr>
        <w:spacing w:line="240" w:lineRule="auto" w:before="1"/>
        <w:rPr>
          <w:rFonts w:ascii="宋体" w:hAnsi="宋体" w:cs="宋体" w:eastAsia="宋体" w:hint="default"/>
          <w:sz w:val="26"/>
          <w:szCs w:val="26"/>
        </w:rPr>
      </w:pPr>
    </w:p>
    <w:p>
      <w:pPr>
        <w:pStyle w:val="BodyText"/>
        <w:spacing w:line="310" w:lineRule="exact"/>
        <w:ind w:right="88"/>
        <w:jc w:val="left"/>
      </w:pPr>
      <w:r>
        <w:rPr>
          <w:spacing w:val="-8"/>
        </w:rPr>
        <w:t>在增值业务方面，围绕</w:t>
      </w:r>
      <w:r>
        <w:rPr>
          <w:spacing w:val="-59"/>
        </w:rPr>
        <w:t> </w:t>
      </w:r>
      <w:r>
        <w:rPr/>
        <w:t>3C</w:t>
      </w:r>
      <w:r>
        <w:rPr>
          <w:spacing w:val="-59"/>
        </w:rPr>
        <w:t> </w:t>
      </w:r>
      <w:r>
        <w:rPr>
          <w:spacing w:val="-3"/>
        </w:rPr>
        <w:t>技术融合趋势，公司不仅自主研发云计算流媒体网络电视技术，</w:t>
      </w:r>
      <w:r>
        <w:rPr/>
        <w:t> 而且开发基于 Android</w:t>
      </w:r>
      <w:r>
        <w:rPr>
          <w:spacing w:val="-40"/>
        </w:rPr>
        <w:t> </w:t>
      </w:r>
      <w:r>
        <w:rPr/>
        <w:t>的第三方嵌入系统数字电视解决方案，推出了基于医疗、教育、</w:t>
      </w:r>
      <w:r>
        <w:rPr/>
        <w:t> 军工等行业应用的</w:t>
      </w:r>
      <w:r>
        <w:rPr>
          <w:spacing w:val="-60"/>
        </w:rPr>
        <w:t> </w:t>
      </w:r>
      <w:r>
        <w:rPr/>
        <w:t>3D</w:t>
      </w:r>
      <w:r>
        <w:rPr>
          <w:spacing w:val="-60"/>
        </w:rPr>
        <w:t> </w:t>
      </w:r>
      <w:r>
        <w:rPr/>
        <w:t>高清网络视屏技术产品。</w:t>
      </w:r>
    </w:p>
    <w:p>
      <w:pPr>
        <w:spacing w:line="240" w:lineRule="auto" w:before="6"/>
        <w:rPr>
          <w:rFonts w:ascii="宋体" w:hAnsi="宋体" w:cs="宋体" w:eastAsia="宋体" w:hint="default"/>
          <w:sz w:val="21"/>
          <w:szCs w:val="21"/>
        </w:rPr>
      </w:pPr>
    </w:p>
    <w:p>
      <w:pPr>
        <w:pStyle w:val="BodyText"/>
        <w:spacing w:line="240" w:lineRule="auto"/>
        <w:ind w:right="213"/>
        <w:jc w:val="left"/>
      </w:pPr>
      <w:r>
        <w:rPr/>
        <w:t>(7) 数字电视系统产业</w:t>
      </w:r>
    </w:p>
    <w:p>
      <w:pPr>
        <w:spacing w:line="240" w:lineRule="auto" w:before="11"/>
        <w:rPr>
          <w:rFonts w:ascii="宋体" w:hAnsi="宋体" w:cs="宋体" w:eastAsia="宋体" w:hint="default"/>
          <w:sz w:val="23"/>
          <w:szCs w:val="23"/>
        </w:rPr>
      </w:pPr>
    </w:p>
    <w:p>
      <w:pPr>
        <w:pStyle w:val="BodyText"/>
        <w:spacing w:line="237" w:lineRule="auto"/>
        <w:ind w:right="86"/>
        <w:jc w:val="left"/>
      </w:pPr>
      <w:r>
        <w:rPr/>
        <w:t>2010</w:t>
      </w:r>
      <w:r>
        <w:rPr>
          <w:spacing w:val="-55"/>
        </w:rPr>
        <w:t> </w:t>
      </w:r>
      <w:r>
        <w:rPr>
          <w:spacing w:val="-4"/>
        </w:rPr>
        <w:t>年，下一代广播电视网快速发展，高清数字电视逐渐进入普及期，移动多媒体广播、</w:t>
      </w:r>
      <w:r>
        <w:rPr>
          <w:spacing w:val="-116"/>
        </w:rPr>
        <w:t> </w:t>
      </w:r>
      <w:r>
        <w:rPr>
          <w:spacing w:val="-116"/>
        </w:rPr>
      </w:r>
      <w:r>
        <w:rPr/>
        <w:t>网络电视台等新媒体也出现爆发式增长，数字电视产业得到了快速发展。同时，国务院</w:t>
      </w:r>
      <w:r>
        <w:rPr>
          <w:spacing w:val="-47"/>
        </w:rPr>
        <w:t> </w:t>
      </w:r>
      <w:r>
        <w:rPr>
          <w:spacing w:val="-47"/>
        </w:rPr>
      </w:r>
      <w:r>
        <w:rPr/>
        <w:t>常务会议决定加快推进电信网、广播电视网和互联网的三网融合，并提出了推进三网融</w:t>
      </w:r>
      <w:r>
        <w:rPr>
          <w:spacing w:val="-47"/>
        </w:rPr>
        <w:t> </w:t>
      </w:r>
      <w:r>
        <w:rPr>
          <w:spacing w:val="-47"/>
        </w:rPr>
      </w:r>
      <w:r>
        <w:rPr/>
        <w:t>合的阶段性目标。面对这一市场形势，公司在数字电视系统产业继续专注于广电行业的</w:t>
      </w:r>
      <w:r>
        <w:rPr>
          <w:spacing w:val="-47"/>
        </w:rPr>
        <w:t> </w:t>
      </w:r>
      <w:r>
        <w:rPr>
          <w:spacing w:val="-47"/>
        </w:rPr>
      </w:r>
      <w:r>
        <w:rPr/>
        <w:t>业务拓展，着力打造从端到端设备、系统整体解决方案到数字电视投资运营的完整产业</w:t>
      </w:r>
      <w:r>
        <w:rPr>
          <w:spacing w:val="-47"/>
        </w:rPr>
        <w:t> </w:t>
      </w:r>
      <w:r>
        <w:rPr>
          <w:spacing w:val="-47"/>
        </w:rPr>
      </w:r>
      <w:r>
        <w:rPr/>
        <w:t>链，并积极推进地面国标数字电视网络的建设和运营，提高市场份额和品牌影响力。</w:t>
      </w:r>
    </w:p>
    <w:p>
      <w:pPr>
        <w:spacing w:line="240" w:lineRule="auto" w:before="8"/>
        <w:rPr>
          <w:rFonts w:ascii="宋体" w:hAnsi="宋体" w:cs="宋体" w:eastAsia="宋体" w:hint="default"/>
          <w:sz w:val="26"/>
          <w:szCs w:val="26"/>
        </w:rPr>
      </w:pPr>
    </w:p>
    <w:tbl>
      <w:tblPr>
        <w:tblW w:w="0" w:type="auto"/>
        <w:jc w:val="left"/>
        <w:tblInd w:w="1236" w:type="dxa"/>
        <w:tblLayout w:type="fixed"/>
        <w:tblCellMar>
          <w:top w:w="0" w:type="dxa"/>
          <w:left w:w="0" w:type="dxa"/>
          <w:bottom w:w="0" w:type="dxa"/>
          <w:right w:w="0" w:type="dxa"/>
        </w:tblCellMar>
        <w:tblLook w:val="01E0"/>
      </w:tblPr>
      <w:tblGrid>
        <w:gridCol w:w="1760"/>
        <w:gridCol w:w="1757"/>
        <w:gridCol w:w="1566"/>
        <w:gridCol w:w="1891"/>
      </w:tblGrid>
      <w:tr>
        <w:trPr>
          <w:trHeight w:val="337" w:hRule="exact"/>
        </w:trPr>
        <w:tc>
          <w:tcPr>
            <w:tcW w:w="1760"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2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8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6" w:hRule="exact"/>
        </w:trPr>
        <w:tc>
          <w:tcPr>
            <w:tcW w:w="176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20,119.83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23,211.76</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26,989.13</w:t>
            </w:r>
          </w:p>
        </w:tc>
      </w:tr>
      <w:tr>
        <w:trPr>
          <w:trHeight w:val="335" w:hRule="exact"/>
        </w:trPr>
        <w:tc>
          <w:tcPr>
            <w:tcW w:w="176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39.34%</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30.19%</w:t>
            </w:r>
          </w:p>
        </w:tc>
        <w:tc>
          <w:tcPr>
            <w:tcW w:w="18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25.59%</w:t>
            </w:r>
          </w:p>
        </w:tc>
      </w:tr>
    </w:tbl>
    <w:p>
      <w:pPr>
        <w:spacing w:line="240" w:lineRule="auto" w:before="10"/>
        <w:rPr>
          <w:rFonts w:ascii="宋体" w:hAnsi="宋体" w:cs="宋体" w:eastAsia="宋体" w:hint="default"/>
          <w:sz w:val="18"/>
          <w:szCs w:val="18"/>
        </w:rPr>
      </w:pPr>
    </w:p>
    <w:p>
      <w:pPr>
        <w:pStyle w:val="BodyText"/>
        <w:spacing w:line="237" w:lineRule="auto" w:before="28"/>
        <w:ind w:right="86"/>
        <w:jc w:val="left"/>
      </w:pPr>
      <w:r>
        <w:rPr/>
        <w:t>在设备及系统集成领域，公司专注于数字电视领域的设备制造、系统集成及组网，并凭</w:t>
      </w:r>
      <w:r>
        <w:rPr>
          <w:spacing w:val="-47"/>
        </w:rPr>
        <w:t> </w:t>
      </w:r>
      <w:r>
        <w:rPr>
          <w:spacing w:val="-47"/>
        </w:rPr>
      </w:r>
      <w:r>
        <w:rPr/>
        <w:t>借在发射设备方面的技术优势和经验积累，继续领跑发射机市场，保持了第一名的市场</w:t>
      </w:r>
      <w:r>
        <w:rPr>
          <w:spacing w:val="-47"/>
        </w:rPr>
        <w:t> </w:t>
      </w:r>
      <w:r>
        <w:rPr>
          <w:spacing w:val="-47"/>
        </w:rPr>
      </w:r>
      <w:r>
        <w:rPr>
          <w:spacing w:val="-6"/>
        </w:rPr>
        <w:t>地位。2010</w:t>
      </w:r>
      <w:r>
        <w:rPr>
          <w:spacing w:val="-56"/>
        </w:rPr>
        <w:t> </w:t>
      </w:r>
      <w:r>
        <w:rPr>
          <w:spacing w:val="-10"/>
        </w:rPr>
        <w:t>年，随着</w:t>
      </w:r>
      <w:r>
        <w:rPr>
          <w:spacing w:val="-56"/>
        </w:rPr>
        <w:t> </w:t>
      </w:r>
      <w:r>
        <w:rPr/>
        <w:t>CMMB</w:t>
      </w:r>
      <w:r>
        <w:rPr>
          <w:spacing w:val="-56"/>
        </w:rPr>
        <w:t> </w:t>
      </w:r>
      <w:r>
        <w:rPr>
          <w:spacing w:val="-7"/>
        </w:rPr>
        <w:t>网络覆盖的深入发展，公司继为山西、内蒙古、浙江、黑龙江、</w:t>
      </w:r>
      <w:r>
        <w:rPr>
          <w:spacing w:val="-116"/>
        </w:rPr>
        <w:t> </w:t>
      </w:r>
      <w:r>
        <w:rPr>
          <w:spacing w:val="-116"/>
        </w:rPr>
      </w:r>
      <w:r>
        <w:rPr/>
        <w:t>辽宁等</w:t>
      </w:r>
      <w:r>
        <w:rPr>
          <w:spacing w:val="-62"/>
        </w:rPr>
        <w:t> </w:t>
      </w:r>
      <w:r>
        <w:rPr/>
        <w:t>13</w:t>
      </w:r>
      <w:r>
        <w:rPr>
          <w:spacing w:val="-62"/>
        </w:rPr>
        <w:t> </w:t>
      </w:r>
      <w:r>
        <w:rPr/>
        <w:t>个省市提供了高品质的</w:t>
      </w:r>
      <w:r>
        <w:rPr>
          <w:spacing w:val="-62"/>
        </w:rPr>
        <w:t> </w:t>
      </w:r>
      <w:r>
        <w:rPr/>
        <w:t>CMMB</w:t>
      </w:r>
      <w:r>
        <w:rPr>
          <w:spacing w:val="-62"/>
        </w:rPr>
        <w:t> </w:t>
      </w:r>
      <w:r>
        <w:rPr>
          <w:spacing w:val="-3"/>
        </w:rPr>
        <w:t>发射设备(1kW)及大量天线馈线设备，并承担了天</w:t>
      </w:r>
      <w:r>
        <w:rPr>
          <w:spacing w:val="-1"/>
        </w:rPr>
        <w:t> </w:t>
      </w:r>
      <w:r>
        <w:rPr>
          <w:spacing w:val="-3"/>
        </w:rPr>
        <w:t>津、长春、呼和浩特等</w:t>
      </w:r>
      <w:r>
        <w:rPr>
          <w:spacing w:val="-63"/>
        </w:rPr>
        <w:t> </w:t>
      </w:r>
      <w:r>
        <w:rPr/>
        <w:t>30</w:t>
      </w:r>
      <w:r>
        <w:rPr>
          <w:spacing w:val="-63"/>
        </w:rPr>
        <w:t> </w:t>
      </w:r>
      <w:r>
        <w:rPr/>
        <w:t>余个城市的单频网组网工作之后，又成功入围中广传播有限公</w:t>
      </w:r>
      <w:r>
        <w:rPr/>
        <w:t> 司移动多媒体广播覆盖工程设备采购项目，中标含发射机、天馈线等在内的所有系统设</w:t>
      </w:r>
      <w:r>
        <w:rPr>
          <w:spacing w:val="-47"/>
        </w:rPr>
        <w:t> </w:t>
      </w:r>
      <w:r>
        <w:rPr>
          <w:spacing w:val="-47"/>
        </w:rPr>
      </w:r>
      <w:r>
        <w:rPr/>
        <w:t>备。本年度，公司还中标了国家广电总局无线电台管理局无线广播数字化招标项目，中</w:t>
      </w:r>
      <w:r>
        <w:rPr>
          <w:spacing w:val="-47"/>
        </w:rPr>
        <w:t> </w:t>
      </w:r>
      <w:r>
        <w:rPr>
          <w:spacing w:val="-47"/>
        </w:rPr>
      </w:r>
      <w:r>
        <w:rPr/>
        <w:t>标区域覆盖山西、辽宁、新疆、江西、广东、安徽、湖南、四川等多个省份。</w:t>
      </w:r>
    </w:p>
    <w:p>
      <w:pPr>
        <w:spacing w:line="240" w:lineRule="auto" w:before="11"/>
        <w:rPr>
          <w:rFonts w:ascii="宋体" w:hAnsi="宋体" w:cs="宋体" w:eastAsia="宋体" w:hint="default"/>
          <w:sz w:val="23"/>
          <w:szCs w:val="23"/>
        </w:rPr>
      </w:pPr>
    </w:p>
    <w:p>
      <w:pPr>
        <w:pStyle w:val="BodyText"/>
        <w:spacing w:line="237" w:lineRule="auto"/>
        <w:ind w:right="87"/>
        <w:jc w:val="left"/>
      </w:pPr>
      <w:r>
        <w:rPr/>
        <w:t>在数字电视网络建设运营方面，公司继续与各地广电合作开展基于国家标准的数字电视</w:t>
      </w:r>
      <w:r>
        <w:rPr>
          <w:spacing w:val="-47"/>
        </w:rPr>
        <w:t> </w:t>
      </w:r>
      <w:r>
        <w:rPr>
          <w:spacing w:val="-47"/>
        </w:rPr>
      </w:r>
      <w:r>
        <w:rPr>
          <w:spacing w:val="-3"/>
        </w:rPr>
        <w:t>地面无线传输网络建设运营业务，截至</w:t>
      </w:r>
      <w:r>
        <w:rPr>
          <w:spacing w:val="-55"/>
        </w:rPr>
        <w:t> </w:t>
      </w:r>
      <w:r>
        <w:rPr/>
        <w:t>2010</w:t>
      </w:r>
      <w:r>
        <w:rPr>
          <w:spacing w:val="-55"/>
        </w:rPr>
        <w:t> </w:t>
      </w:r>
      <w:r>
        <w:rPr>
          <w:spacing w:val="-6"/>
        </w:rPr>
        <w:t>年底，公司已经成功运营开封、商丘、许昌、</w:t>
      </w:r>
      <w:r>
        <w:rPr/>
        <w:t> 运城、天津、泉州、陕西等省市，并已经开始建设投资滨州、达州、濮阳、登封等地区</w:t>
      </w:r>
      <w:r>
        <w:rPr>
          <w:spacing w:val="-47"/>
        </w:rPr>
        <w:t> </w:t>
      </w:r>
      <w:r>
        <w:rPr>
          <w:spacing w:val="-47"/>
        </w:rPr>
      </w:r>
      <w:r>
        <w:rPr/>
        <w:t>的地面无线传输网，项目覆盖人口</w:t>
      </w:r>
      <w:r>
        <w:rPr>
          <w:spacing w:val="-70"/>
        </w:rPr>
        <w:t> </w:t>
      </w:r>
      <w:r>
        <w:rPr/>
        <w:t>9600</w:t>
      </w:r>
      <w:r>
        <w:rPr>
          <w:spacing w:val="-70"/>
        </w:rPr>
        <w:t> </w:t>
      </w:r>
      <w:r>
        <w:rPr/>
        <w:t>万人。报告期内，公司还参与了数字电视国家工</w:t>
      </w:r>
      <w:r>
        <w:rPr/>
        <w:t> 程实验室的投资建设，以研发数字电视共性技术及国标演进核心技术，推动地面数字电</w:t>
      </w:r>
      <w:r>
        <w:rPr>
          <w:spacing w:val="-47"/>
        </w:rPr>
        <w:t> </w:t>
      </w:r>
      <w:r>
        <w:rPr>
          <w:spacing w:val="-47"/>
        </w:rPr>
      </w:r>
      <w:r>
        <w:rPr/>
        <w:t>视国家标准的应用。目前该实验室研发的</w:t>
      </w:r>
      <w:r>
        <w:rPr>
          <w:spacing w:val="-80"/>
        </w:rPr>
        <w:t> </w:t>
      </w:r>
      <w:r>
        <w:rPr/>
        <w:t>DTMB</w:t>
      </w:r>
      <w:r>
        <w:rPr>
          <w:spacing w:val="-80"/>
        </w:rPr>
        <w:t> </w:t>
      </w:r>
      <w:r>
        <w:rPr/>
        <w:t>标准适应拉美测试的系统研发项目，已经</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475" w:lineRule="auto" w:before="26"/>
        <w:ind w:right="3286"/>
        <w:jc w:val="left"/>
      </w:pPr>
      <w:r>
        <w:rPr/>
        <w:t>完成相关设备的试制，为</w:t>
      </w:r>
      <w:r>
        <w:rPr>
          <w:spacing w:val="-60"/>
        </w:rPr>
        <w:t> </w:t>
      </w:r>
      <w:r>
        <w:rPr/>
        <w:t>DTMB</w:t>
      </w:r>
      <w:r>
        <w:rPr>
          <w:spacing w:val="-60"/>
        </w:rPr>
        <w:t> </w:t>
      </w:r>
      <w:r>
        <w:rPr/>
        <w:t>标准走出国门奠定了基础。</w:t>
      </w:r>
      <w:r>
        <w:rPr/>
        <w:t> (8) 军工产业</w:t>
      </w:r>
    </w:p>
    <w:p>
      <w:pPr>
        <w:pStyle w:val="BodyText"/>
        <w:spacing w:line="237" w:lineRule="auto" w:before="76"/>
        <w:ind w:right="220"/>
        <w:jc w:val="both"/>
      </w:pPr>
      <w:r>
        <w:rPr/>
        <w:t>在军工产业方面，公司以作战对象为目标，以作战需求为牵引，用全球化视野着力在电</w:t>
      </w:r>
      <w:r>
        <w:rPr>
          <w:spacing w:val="-47"/>
        </w:rPr>
        <w:t> </w:t>
      </w:r>
      <w:r>
        <w:rPr>
          <w:spacing w:val="-47"/>
        </w:rPr>
      </w:r>
      <w:r>
        <w:rPr/>
        <w:t>子信息的系统与装备、机械装备和技术服务三大领域打造拥有较多自主知识产权的技术</w:t>
      </w:r>
      <w:r>
        <w:rPr>
          <w:spacing w:val="-47"/>
        </w:rPr>
        <w:t> </w:t>
      </w:r>
      <w:r>
        <w:rPr>
          <w:spacing w:val="-47"/>
        </w:rPr>
      </w:r>
      <w:r>
        <w:rPr/>
        <w:t>和产品体系。在电子信息系统与装备领域，公司主要从事通信、技侦、电子对抗、卫星</w:t>
      </w:r>
      <w:r>
        <w:rPr>
          <w:spacing w:val="-47"/>
        </w:rPr>
        <w:t> </w:t>
      </w:r>
      <w:r>
        <w:rPr>
          <w:spacing w:val="-47"/>
        </w:rPr>
      </w:r>
      <w:r>
        <w:rPr/>
        <w:t>导航定位、频谱管理、无线监测、军事物流、信息安全、指控与网络设备等专业的系统</w:t>
      </w:r>
      <w:r>
        <w:rPr>
          <w:spacing w:val="-47"/>
        </w:rPr>
        <w:t> </w:t>
      </w:r>
      <w:r>
        <w:rPr>
          <w:spacing w:val="-47"/>
        </w:rPr>
      </w:r>
      <w:r>
        <w:rPr/>
        <w:t>集成与产品生产；在机械装备领域，从事各型军辅船和新型消防装备的制造；在技术服</w:t>
      </w:r>
      <w:r>
        <w:rPr>
          <w:spacing w:val="-47"/>
        </w:rPr>
        <w:t> </w:t>
      </w:r>
      <w:r>
        <w:rPr>
          <w:spacing w:val="-47"/>
        </w:rPr>
      </w:r>
      <w:r>
        <w:rPr/>
        <w:t>务领域，主要由装备修理、器材供应、技术支援、技术培训、信息支援、战时与重大任</w:t>
      </w:r>
      <w:r>
        <w:rPr>
          <w:spacing w:val="-47"/>
        </w:rPr>
        <w:t> </w:t>
      </w:r>
      <w:r>
        <w:rPr>
          <w:spacing w:val="-47"/>
        </w:rPr>
      </w:r>
      <w:r>
        <w:rPr/>
        <w:t>务保障等业务构成。</w:t>
      </w:r>
    </w:p>
    <w:p>
      <w:pPr>
        <w:spacing w:line="240" w:lineRule="auto" w:before="8"/>
        <w:rPr>
          <w:rFonts w:ascii="宋体" w:hAnsi="宋体" w:cs="宋体" w:eastAsia="宋体" w:hint="default"/>
          <w:sz w:val="26"/>
          <w:szCs w:val="26"/>
        </w:rPr>
      </w:pPr>
    </w:p>
    <w:tbl>
      <w:tblPr>
        <w:tblW w:w="0" w:type="auto"/>
        <w:jc w:val="left"/>
        <w:tblInd w:w="1097" w:type="dxa"/>
        <w:tblLayout w:type="fixed"/>
        <w:tblCellMar>
          <w:top w:w="0" w:type="dxa"/>
          <w:left w:w="0" w:type="dxa"/>
          <w:bottom w:w="0" w:type="dxa"/>
          <w:right w:w="0" w:type="dxa"/>
        </w:tblCellMar>
        <w:tblLook w:val="01E0"/>
      </w:tblPr>
      <w:tblGrid>
        <w:gridCol w:w="1940"/>
        <w:gridCol w:w="1615"/>
        <w:gridCol w:w="1727"/>
        <w:gridCol w:w="1971"/>
      </w:tblGrid>
      <w:tr>
        <w:trPr>
          <w:trHeight w:val="338" w:hRule="exact"/>
        </w:trPr>
        <w:tc>
          <w:tcPr>
            <w:tcW w:w="1940"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35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9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8"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6" w:hRule="exact"/>
        </w:trPr>
        <w:tc>
          <w:tcPr>
            <w:tcW w:w="194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133,563.94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85,438.94</w:t>
            </w:r>
          </w:p>
        </w:tc>
        <w:tc>
          <w:tcPr>
            <w:tcW w:w="19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86,605.40</w:t>
            </w:r>
          </w:p>
        </w:tc>
      </w:tr>
      <w:tr>
        <w:trPr>
          <w:trHeight w:val="334" w:hRule="exact"/>
        </w:trPr>
        <w:tc>
          <w:tcPr>
            <w:tcW w:w="194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16.50%</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13.51%</w:t>
            </w:r>
          </w:p>
        </w:tc>
        <w:tc>
          <w:tcPr>
            <w:tcW w:w="19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21.51%</w:t>
            </w:r>
          </w:p>
        </w:tc>
      </w:tr>
    </w:tbl>
    <w:p>
      <w:pPr>
        <w:spacing w:line="240" w:lineRule="auto" w:before="11"/>
        <w:rPr>
          <w:rFonts w:ascii="宋体" w:hAnsi="宋体" w:cs="宋体" w:eastAsia="宋体" w:hint="default"/>
          <w:sz w:val="18"/>
          <w:szCs w:val="18"/>
        </w:rPr>
      </w:pPr>
    </w:p>
    <w:p>
      <w:pPr>
        <w:pStyle w:val="BodyText"/>
        <w:spacing w:line="237" w:lineRule="auto" w:before="28"/>
        <w:ind w:right="86"/>
        <w:jc w:val="left"/>
      </w:pPr>
      <w:r>
        <w:rPr/>
        <w:t>2010</w:t>
      </w:r>
      <w:r>
        <w:rPr>
          <w:spacing w:val="-40"/>
        </w:rPr>
        <w:t> </w:t>
      </w:r>
      <w:r>
        <w:rPr/>
        <w:t>年，公司在军工产业积极转变发展方式，着力提高创新能力，把握国内军品市场机</w:t>
      </w:r>
      <w:r>
        <w:rPr/>
        <w:t> 遇，实现了军、民品的快速增长。在军品供应方面，公司进一步加大科研投入，开发一</w:t>
      </w:r>
      <w:r>
        <w:rPr>
          <w:spacing w:val="-47"/>
        </w:rPr>
        <w:t> </w:t>
      </w:r>
      <w:r>
        <w:rPr>
          <w:spacing w:val="-47"/>
        </w:rPr>
      </w:r>
      <w:r>
        <w:rPr/>
        <w:t>批自主可控技术、适应部队急需的信息化新产品，应用于日常战备、边境海防、情报侦</w:t>
      </w:r>
      <w:r>
        <w:rPr>
          <w:spacing w:val="-47"/>
        </w:rPr>
        <w:t> </w:t>
      </w:r>
      <w:r>
        <w:rPr>
          <w:spacing w:val="-47"/>
        </w:rPr>
      </w:r>
      <w:r>
        <w:rPr/>
        <w:t>察、作战训练等方方面面，并列入了新的部队编制，形成了新的经济增长点。同时，为</w:t>
      </w:r>
      <w:r>
        <w:rPr>
          <w:spacing w:val="-47"/>
        </w:rPr>
        <w:t> </w:t>
      </w:r>
      <w:r>
        <w:rPr>
          <w:spacing w:val="-47"/>
        </w:rPr>
      </w:r>
      <w:r>
        <w:rPr/>
        <w:t>进一步提高快速响应能力，公司还进行了通信对抗、技术侦测、系统集成等产品和项目</w:t>
      </w:r>
      <w:r>
        <w:rPr>
          <w:spacing w:val="-47"/>
        </w:rPr>
        <w:t> </w:t>
      </w:r>
      <w:r>
        <w:rPr>
          <w:spacing w:val="-47"/>
        </w:rPr>
      </w:r>
      <w:r>
        <w:rPr/>
        <w:t>的软硬件设计能力的再造工程，克服了新品多、交付周期短、技术状态不确定等众多困</w:t>
      </w:r>
      <w:r>
        <w:rPr>
          <w:spacing w:val="-47"/>
        </w:rPr>
        <w:t> </w:t>
      </w:r>
      <w:r>
        <w:rPr>
          <w:spacing w:val="-47"/>
        </w:rPr>
      </w:r>
      <w:r>
        <w:rPr/>
        <w:t>难，通过精心组织、合理调度，保证了军品生产的顺利交付。本年度，公司为军方提供</w:t>
      </w:r>
      <w:r>
        <w:rPr>
          <w:spacing w:val="-47"/>
        </w:rPr>
        <w:t> </w:t>
      </w:r>
      <w:r>
        <w:rPr>
          <w:spacing w:val="-47"/>
        </w:rPr>
      </w:r>
      <w:r>
        <w:rPr>
          <w:spacing w:val="-2"/>
        </w:rPr>
        <w:t>的指控装备军民一体化保障项目也全面展开，目前已经建成北京、南京、福州保障基地，</w:t>
      </w:r>
      <w:r>
        <w:rPr>
          <w:spacing w:val="-84"/>
        </w:rPr>
        <w:t> </w:t>
      </w:r>
      <w:r>
        <w:rPr>
          <w:spacing w:val="-84"/>
        </w:rPr>
      </w:r>
      <w:r>
        <w:rPr/>
        <w:t>并开始着手筹建成都、兰州、广州、沈阳、新疆、济南保障中心。报告期，公司还立足</w:t>
      </w:r>
      <w:r>
        <w:rPr>
          <w:spacing w:val="-47"/>
        </w:rPr>
        <w:t> </w:t>
      </w:r>
      <w:r>
        <w:rPr>
          <w:spacing w:val="-47"/>
        </w:rPr>
      </w:r>
      <w:r>
        <w:rPr/>
        <w:t>于自有技术，完成了北斗运营平台第一阶段建设任务，为开拓运营市场奠定了基础。在</w:t>
      </w:r>
      <w:r>
        <w:rPr>
          <w:spacing w:val="-47"/>
        </w:rPr>
        <w:t> </w:t>
      </w:r>
      <w:r>
        <w:rPr>
          <w:spacing w:val="-47"/>
        </w:rPr>
      </w:r>
      <w:r>
        <w:rPr/>
        <w:t>船舶制造等民品供应方面，公司推行造船精度管理，不断实现建造工艺突破，2010</w:t>
      </w:r>
      <w:r>
        <w:rPr>
          <w:spacing w:val="-40"/>
        </w:rPr>
        <w:t> </w:t>
      </w:r>
      <w:r>
        <w:rPr/>
        <w:t>年完</w:t>
      </w:r>
      <w:r>
        <w:rPr/>
        <w:t> </w:t>
      </w:r>
      <w:r>
        <w:rPr>
          <w:spacing w:val="30"/>
        </w:rPr>
        <w:t>成了4型</w:t>
      </w:r>
      <w:r>
        <w:rPr>
          <w:spacing w:val="-70"/>
        </w:rPr>
        <w:t> </w:t>
      </w:r>
      <w:r>
        <w:rPr/>
        <w:t>11</w:t>
      </w:r>
      <w:r>
        <w:rPr>
          <w:spacing w:val="-70"/>
        </w:rPr>
        <w:t> </w:t>
      </w:r>
      <w:r>
        <w:rPr/>
        <w:t>艘船舶的交付，创造了历史上最好的交船业绩，也正式实现了由建造千吨级</w:t>
      </w:r>
      <w:r>
        <w:rPr/>
        <w:t> 船向万吨级船历史性的跨越。</w:t>
      </w:r>
    </w:p>
    <w:p>
      <w:pPr>
        <w:spacing w:line="240" w:lineRule="auto" w:before="8"/>
        <w:rPr>
          <w:rFonts w:ascii="宋体" w:hAnsi="宋体" w:cs="宋体" w:eastAsia="宋体" w:hint="default"/>
          <w:sz w:val="23"/>
          <w:szCs w:val="23"/>
        </w:rPr>
      </w:pPr>
    </w:p>
    <w:p>
      <w:pPr>
        <w:pStyle w:val="BodyText"/>
        <w:spacing w:line="240" w:lineRule="auto"/>
        <w:ind w:right="213"/>
        <w:jc w:val="left"/>
      </w:pPr>
      <w:r>
        <w:rPr/>
        <w:t>(9) 知识网络产业</w:t>
      </w:r>
    </w:p>
    <w:p>
      <w:pPr>
        <w:spacing w:line="240" w:lineRule="auto" w:before="11"/>
        <w:rPr>
          <w:rFonts w:ascii="宋体" w:hAnsi="宋体" w:cs="宋体" w:eastAsia="宋体" w:hint="default"/>
          <w:sz w:val="23"/>
          <w:szCs w:val="23"/>
        </w:rPr>
      </w:pPr>
    </w:p>
    <w:p>
      <w:pPr>
        <w:pStyle w:val="BodyText"/>
        <w:spacing w:line="237" w:lineRule="auto"/>
        <w:ind w:right="86"/>
        <w:jc w:val="left"/>
      </w:pPr>
      <w:r>
        <w:rPr/>
        <w:t>随着互联网技术和移动通信技术的提高和应用普及，国民阅读习惯明显变化，我国的数</w:t>
      </w:r>
      <w:r>
        <w:rPr>
          <w:spacing w:val="-47"/>
        </w:rPr>
        <w:t> </w:t>
      </w:r>
      <w:r>
        <w:rPr>
          <w:spacing w:val="-47"/>
        </w:rPr>
      </w:r>
      <w:r>
        <w:rPr/>
        <w:t>字出版产业在短短几年内产值突飞猛进。2010</w:t>
      </w:r>
      <w:r>
        <w:rPr>
          <w:spacing w:val="-40"/>
        </w:rPr>
        <w:t> </w:t>
      </w:r>
      <w:r>
        <w:rPr/>
        <w:t>年，新闻出版总署发布了《关于加快我国</w:t>
      </w:r>
      <w:r>
        <w:rPr/>
        <w:t> </w:t>
      </w:r>
      <w:r>
        <w:rPr>
          <w:spacing w:val="-5"/>
        </w:rPr>
        <w:t>数字出版产业发展的若干意见》，为建立正常规范的数字出版市场竞争秩序提供了政策保</w:t>
      </w:r>
      <w:r>
        <w:rPr>
          <w:spacing w:val="-85"/>
        </w:rPr>
        <w:t> </w:t>
      </w:r>
      <w:r>
        <w:rPr>
          <w:spacing w:val="-85"/>
        </w:rPr>
      </w:r>
      <w:r>
        <w:rPr>
          <w:spacing w:val="-2"/>
        </w:rPr>
        <w:t>障。为此，公司不断探索数字出版和增值服务的商业模式，持续专注于学术期刊、报刊、</w:t>
      </w:r>
      <w:r>
        <w:rPr>
          <w:spacing w:val="-82"/>
        </w:rPr>
        <w:t> </w:t>
      </w:r>
      <w:r>
        <w:rPr>
          <w:spacing w:val="-82"/>
        </w:rPr>
      </w:r>
      <w:r>
        <w:rPr/>
        <w:t>学术论文、年鉴、图书等涉及知识传播的互联网出版和信息服务业务领域，不断开发新</w:t>
      </w:r>
      <w:r>
        <w:rPr>
          <w:spacing w:val="-47"/>
        </w:rPr>
        <w:t> </w:t>
      </w:r>
      <w:r>
        <w:rPr>
          <w:spacing w:val="-47"/>
        </w:rPr>
      </w:r>
      <w:r>
        <w:rPr/>
        <w:t>型的知识网络数据库，为客户提供互联网服务，市场地位始终保持行业第一。在第二届</w:t>
      </w:r>
      <w:r>
        <w:rPr>
          <w:spacing w:val="-47"/>
        </w:rPr>
        <w:t> </w:t>
      </w:r>
      <w:r>
        <w:rPr>
          <w:spacing w:val="-47"/>
        </w:rPr>
      </w:r>
      <w:r>
        <w:rPr/>
        <w:t>中国出版政府奖中，公司开发出版的《中国工具书网络出版总库》和《CNKI“三农”网</w:t>
      </w:r>
      <w:r>
        <w:rPr>
          <w:spacing w:val="-52"/>
        </w:rPr>
        <w:t> </w:t>
      </w:r>
      <w:r>
        <w:rPr>
          <w:spacing w:val="-52"/>
        </w:rPr>
      </w:r>
      <w:r>
        <w:rPr/>
        <w:t>络书屋(科技版)》还获得网络出版物正式奖，公司副总裁、同方知网总经理王明亮获优</w:t>
      </w:r>
      <w:r>
        <w:rPr>
          <w:spacing w:val="-45"/>
        </w:rPr>
        <w:t> </w:t>
      </w:r>
      <w:r>
        <w:rPr>
          <w:spacing w:val="-45"/>
        </w:rPr>
      </w:r>
      <w:r>
        <w:rPr/>
        <w:t>秀出版人物奖。</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80" w:type="dxa"/>
        <w:tblLayout w:type="fixed"/>
        <w:tblCellMar>
          <w:top w:w="0" w:type="dxa"/>
          <w:left w:w="0" w:type="dxa"/>
          <w:bottom w:w="0" w:type="dxa"/>
          <w:right w:w="0" w:type="dxa"/>
        </w:tblCellMar>
        <w:tblLook w:val="01E0"/>
      </w:tblPr>
      <w:tblGrid>
        <w:gridCol w:w="1941"/>
        <w:gridCol w:w="1667"/>
        <w:gridCol w:w="1700"/>
        <w:gridCol w:w="1778"/>
      </w:tblGrid>
      <w:tr>
        <w:trPr>
          <w:trHeight w:val="337" w:hRule="exact"/>
        </w:trPr>
        <w:tc>
          <w:tcPr>
            <w:tcW w:w="1941"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35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77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6" w:hRule="exact"/>
        </w:trPr>
        <w:tc>
          <w:tcPr>
            <w:tcW w:w="194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43,513.17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42,138.37</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37,127.02</w:t>
            </w:r>
          </w:p>
        </w:tc>
      </w:tr>
      <w:tr>
        <w:trPr>
          <w:trHeight w:val="335" w:hRule="exact"/>
        </w:trPr>
        <w:tc>
          <w:tcPr>
            <w:tcW w:w="1941"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63.67%</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59.54%</w:t>
            </w:r>
          </w:p>
        </w:tc>
        <w:tc>
          <w:tcPr>
            <w:tcW w:w="17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61.10%</w:t>
            </w:r>
          </w:p>
        </w:tc>
      </w:tr>
    </w:tbl>
    <w:p>
      <w:pPr>
        <w:spacing w:line="240" w:lineRule="auto" w:before="10"/>
        <w:rPr>
          <w:rFonts w:ascii="宋体" w:hAnsi="宋体" w:cs="宋体" w:eastAsia="宋体" w:hint="default"/>
          <w:sz w:val="18"/>
          <w:szCs w:val="18"/>
        </w:rPr>
      </w:pPr>
    </w:p>
    <w:p>
      <w:pPr>
        <w:pStyle w:val="BodyText"/>
        <w:spacing w:line="237" w:lineRule="auto" w:before="28"/>
        <w:ind w:right="220"/>
        <w:jc w:val="both"/>
      </w:pPr>
      <w:r>
        <w:rPr/>
        <w:t>在内容资源方面，公司针对上游资源进行了合作模式的顶层设计和建设，目前在上游资</w:t>
      </w:r>
      <w:r>
        <w:rPr>
          <w:spacing w:val="-47"/>
        </w:rPr>
        <w:t> </w:t>
      </w:r>
      <w:r>
        <w:rPr>
          <w:spacing w:val="-47"/>
        </w:rPr>
      </w:r>
      <w:r>
        <w:rPr/>
        <w:t>源方面已经囊括了</w:t>
      </w:r>
      <w:r>
        <w:rPr>
          <w:spacing w:val="-53"/>
        </w:rPr>
        <w:t> </w:t>
      </w:r>
      <w:r>
        <w:rPr/>
        <w:t>80%以上的中文学术资源，其中独家唯一授权的资源包括</w:t>
      </w:r>
      <w:r>
        <w:rPr>
          <w:spacing w:val="-53"/>
        </w:rPr>
        <w:t> </w:t>
      </w:r>
      <w:r>
        <w:rPr/>
        <w:t>2130</w:t>
      </w:r>
      <w:r>
        <w:rPr>
          <w:spacing w:val="-53"/>
        </w:rPr>
        <w:t> </w:t>
      </w:r>
      <w:r>
        <w:rPr/>
        <w:t>种学术</w:t>
      </w:r>
      <w:r>
        <w:rPr/>
        <w:t> 期刊、342</w:t>
      </w:r>
      <w:r>
        <w:rPr>
          <w:spacing w:val="-70"/>
        </w:rPr>
        <w:t> </w:t>
      </w:r>
      <w:r>
        <w:rPr/>
        <w:t>家高校的博士学位论文、348</w:t>
      </w:r>
      <w:r>
        <w:rPr>
          <w:spacing w:val="-70"/>
        </w:rPr>
        <w:t> </w:t>
      </w:r>
      <w:r>
        <w:rPr/>
        <w:t>家高校的硕士学位论文、3420</w:t>
      </w:r>
      <w:r>
        <w:rPr>
          <w:spacing w:val="-70"/>
        </w:rPr>
        <w:t> </w:t>
      </w:r>
      <w:r>
        <w:rPr/>
        <w:t>种工具书、126</w:t>
      </w:r>
      <w:r>
        <w:rPr>
          <w:spacing w:val="-70"/>
        </w:rPr>
        <w:t> </w:t>
      </w:r>
      <w:r>
        <w:rPr/>
        <w:t>种</w:t>
      </w:r>
      <w:r>
        <w:rPr/>
        <w:t> 年鉴以及国学数据库和中国科技成果数据库。报告期内，公司还加强了与国外出版机构</w:t>
      </w:r>
      <w:r>
        <w:rPr>
          <w:spacing w:val="-47"/>
        </w:rPr>
        <w:t> </w:t>
      </w:r>
      <w:r>
        <w:rPr>
          <w:spacing w:val="-47"/>
        </w:rPr>
      </w:r>
      <w:r>
        <w:rPr/>
        <w:t>的合作，代理了 Multi-science</w:t>
      </w:r>
      <w:r>
        <w:rPr>
          <w:spacing w:val="-40"/>
        </w:rPr>
        <w:t> </w:t>
      </w:r>
      <w:r>
        <w:rPr/>
        <w:t>出版公司的期刊库、德国施普林格出版集团的期刊库和</w:t>
      </w:r>
      <w:r>
        <w:rPr/>
        <w:t> 图书库、Taylor &amp; Francis 出版公司的期刊库、Earthscan</w:t>
      </w:r>
      <w:r>
        <w:rPr>
          <w:spacing w:val="-40"/>
        </w:rPr>
        <w:t> </w:t>
      </w:r>
      <w:r>
        <w:rPr/>
        <w:t>期刊数据库等众多外文学术</w:t>
      </w:r>
      <w:r>
        <w:rPr/>
        <w:t> 文献数据库。强大的出版资源为公司的业务开展提供了有力的保障，截至</w:t>
      </w:r>
      <w:r>
        <w:rPr>
          <w:spacing w:val="-73"/>
        </w:rPr>
        <w:t> </w:t>
      </w:r>
      <w:r>
        <w:rPr/>
        <w:t>2010</w:t>
      </w:r>
      <w:r>
        <w:rPr>
          <w:spacing w:val="-73"/>
        </w:rPr>
        <w:t> </w:t>
      </w:r>
      <w:r>
        <w:rPr>
          <w:spacing w:val="-4"/>
        </w:rPr>
        <w:t>年底，公</w:t>
      </w:r>
    </w:p>
    <w:p>
      <w:pPr>
        <w:pStyle w:val="BodyText"/>
        <w:spacing w:line="311" w:lineRule="exact"/>
        <w:ind w:right="213"/>
        <w:jc w:val="left"/>
      </w:pPr>
      <w:r>
        <w:rPr/>
        <w:t>司已经实现机构用户</w:t>
      </w:r>
      <w:r>
        <w:rPr>
          <w:spacing w:val="-60"/>
        </w:rPr>
        <w:t> </w:t>
      </w:r>
      <w:r>
        <w:rPr/>
        <w:t>7300</w:t>
      </w:r>
      <w:r>
        <w:rPr>
          <w:spacing w:val="-60"/>
        </w:rPr>
        <w:t> </w:t>
      </w:r>
      <w:r>
        <w:rPr/>
        <w:t>家、最终用户约</w:t>
      </w:r>
      <w:r>
        <w:rPr>
          <w:spacing w:val="-60"/>
        </w:rPr>
        <w:t> </w:t>
      </w:r>
      <w:r>
        <w:rPr/>
        <w:t>4000</w:t>
      </w:r>
      <w:r>
        <w:rPr>
          <w:spacing w:val="-60"/>
        </w:rPr>
        <w:t> </w:t>
      </w:r>
      <w:r>
        <w:rPr/>
        <w:t>万人，全年文献下载量</w:t>
      </w:r>
      <w:r>
        <w:rPr>
          <w:spacing w:val="-60"/>
        </w:rPr>
        <w:t> </w:t>
      </w:r>
      <w:r>
        <w:rPr/>
        <w:t>18</w:t>
      </w:r>
      <w:r>
        <w:rPr>
          <w:spacing w:val="-60"/>
        </w:rPr>
        <w:t> </w:t>
      </w:r>
      <w:r>
        <w:rPr/>
        <w:t>亿篇。</w:t>
      </w:r>
    </w:p>
    <w:p>
      <w:pPr>
        <w:spacing w:line="240" w:lineRule="auto" w:before="11"/>
        <w:rPr>
          <w:rFonts w:ascii="宋体" w:hAnsi="宋体" w:cs="宋体" w:eastAsia="宋体" w:hint="default"/>
          <w:sz w:val="23"/>
          <w:szCs w:val="23"/>
        </w:rPr>
      </w:pPr>
    </w:p>
    <w:p>
      <w:pPr>
        <w:pStyle w:val="BodyText"/>
        <w:spacing w:line="237" w:lineRule="auto"/>
        <w:ind w:right="103"/>
        <w:jc w:val="both"/>
      </w:pPr>
      <w:r>
        <w:rPr/>
        <w:t>在产品开发方面，公司制定了个性化产品服务的新政策，针对不同用户的需求，不断推</w:t>
      </w:r>
      <w:r>
        <w:rPr>
          <w:spacing w:val="-47"/>
        </w:rPr>
        <w:t> </w:t>
      </w:r>
      <w:r>
        <w:rPr>
          <w:spacing w:val="-47"/>
        </w:rPr>
      </w:r>
      <w:r>
        <w:rPr/>
        <w:t>出企业项目数字图书馆、数字农家书屋、数字教研室、政府智囊知识仓库等新品，开发</w:t>
      </w:r>
      <w:r>
        <w:rPr>
          <w:spacing w:val="-47"/>
        </w:rPr>
        <w:t> </w:t>
      </w:r>
      <w:r>
        <w:rPr>
          <w:spacing w:val="-47"/>
        </w:rPr>
      </w:r>
      <w:r>
        <w:rPr/>
        <w:t>具有潜力的新兴市场。本年度，公司还首发了《中国学术期刊影响因子年报》系列数据</w:t>
      </w:r>
      <w:r>
        <w:rPr>
          <w:spacing w:val="-47"/>
        </w:rPr>
        <w:t> </w:t>
      </w:r>
      <w:r>
        <w:rPr>
          <w:spacing w:val="-47"/>
        </w:rPr>
      </w:r>
      <w:r>
        <w:rPr/>
        <w:t>库。该年报将每年收集分析上一年度各学术期刊被引文统计源文献引证的情况，及其被</w:t>
      </w:r>
      <w:r>
        <w:rPr>
          <w:spacing w:val="-47"/>
        </w:rPr>
        <w:t> </w:t>
      </w:r>
      <w:r>
        <w:rPr>
          <w:spacing w:val="-47"/>
        </w:rPr>
      </w:r>
      <w:r>
        <w:rPr/>
        <w:t>国内外读者在“中国知网”全文下载的情况，以</w:t>
      </w:r>
      <w:r>
        <w:rPr>
          <w:spacing w:val="-71"/>
        </w:rPr>
        <w:t> </w:t>
      </w:r>
      <w:r>
        <w:rPr/>
        <w:t>20</w:t>
      </w:r>
      <w:r>
        <w:rPr>
          <w:spacing w:val="-71"/>
        </w:rPr>
        <w:t> </w:t>
      </w:r>
      <w:r>
        <w:rPr/>
        <w:t>多种文献计量学统计指标反映各类学</w:t>
      </w:r>
      <w:r>
        <w:rPr/>
        <w:t> 术期刊近三年发表论文在国内外产生的学术影响力，同时通报各刊创刊以来出版文献的</w:t>
      </w:r>
      <w:r>
        <w:rPr>
          <w:spacing w:val="-47"/>
        </w:rPr>
        <w:t> </w:t>
      </w:r>
      <w:r>
        <w:rPr>
          <w:spacing w:val="-47"/>
        </w:rPr>
      </w:r>
      <w:r>
        <w:rPr>
          <w:spacing w:val="-2"/>
        </w:rPr>
        <w:t>被引证和网络出版情况，为我国学术期刊走向规范化、标准化、公开化提供了客观基础。</w:t>
      </w:r>
    </w:p>
    <w:p>
      <w:pPr>
        <w:spacing w:line="240" w:lineRule="auto" w:before="8"/>
        <w:rPr>
          <w:rFonts w:ascii="宋体" w:hAnsi="宋体" w:cs="宋体" w:eastAsia="宋体" w:hint="default"/>
          <w:sz w:val="23"/>
          <w:szCs w:val="23"/>
        </w:rPr>
      </w:pPr>
    </w:p>
    <w:p>
      <w:pPr>
        <w:pStyle w:val="Heading3"/>
        <w:spacing w:line="240" w:lineRule="auto"/>
        <w:ind w:right="213"/>
        <w:jc w:val="left"/>
        <w:rPr>
          <w:b w:val="0"/>
          <w:bCs w:val="0"/>
        </w:rPr>
      </w:pPr>
      <w:r>
        <w:rPr/>
        <w:t>B.</w:t>
      </w:r>
      <w:r>
        <w:rPr>
          <w:spacing w:val="-4"/>
        </w:rPr>
        <w:t> </w:t>
      </w:r>
      <w:r>
        <w:rPr/>
        <w:t>能源环境产业</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89"/>
        <w:jc w:val="left"/>
      </w:pPr>
      <w:r>
        <w:rPr/>
        <w:t>2010</w:t>
      </w:r>
      <w:r>
        <w:rPr>
          <w:spacing w:val="-60"/>
        </w:rPr>
        <w:t> </w:t>
      </w:r>
      <w:r>
        <w:rPr/>
        <w:t>年</w:t>
      </w:r>
      <w:r>
        <w:rPr>
          <w:spacing w:val="-60"/>
        </w:rPr>
        <w:t> </w:t>
      </w:r>
      <w:r>
        <w:rPr/>
        <w:t>11</w:t>
      </w:r>
      <w:r>
        <w:rPr>
          <w:spacing w:val="-60"/>
        </w:rPr>
        <w:t> </w:t>
      </w:r>
      <w:r>
        <w:rPr>
          <w:spacing w:val="-3"/>
        </w:rPr>
        <w:t>月，由国家发改委会同环保部等部门编制的《节能环保产业发展规划》通过国</w:t>
      </w:r>
      <w:r>
        <w:rPr/>
        <w:t> </w:t>
      </w:r>
      <w:r>
        <w:rPr>
          <w:spacing w:val="-8"/>
        </w:rPr>
        <w:t>务院批准，根据规划，我国的环保产业在未来较长时间内将保持年均</w:t>
      </w:r>
      <w:r>
        <w:rPr>
          <w:spacing w:val="-43"/>
        </w:rPr>
        <w:t> </w:t>
      </w:r>
      <w:r>
        <w:rPr/>
        <w:t>15%-20%的增长速度，</w:t>
      </w:r>
      <w:r>
        <w:rPr>
          <w:spacing w:val="-118"/>
        </w:rPr>
        <w:t> </w:t>
      </w:r>
      <w:r>
        <w:rPr>
          <w:spacing w:val="-118"/>
        </w:rPr>
      </w:r>
      <w:r>
        <w:rPr/>
        <w:t>高效节能技术、设备和产品被列为“十二五”重点扶持领域。高速增长的能源环保行业</w:t>
      </w:r>
      <w:r>
        <w:rPr>
          <w:spacing w:val="-47"/>
        </w:rPr>
        <w:t> </w:t>
      </w:r>
      <w:r>
        <w:rPr>
          <w:spacing w:val="-47"/>
        </w:rPr>
      </w:r>
      <w:r>
        <w:rPr/>
        <w:t>为公司相关业务的发展带来了巨大的市场机遇。</w:t>
      </w:r>
    </w:p>
    <w:p>
      <w:pPr>
        <w:spacing w:line="240" w:lineRule="auto" w:before="10"/>
        <w:rPr>
          <w:rFonts w:ascii="宋体" w:hAnsi="宋体" w:cs="宋体" w:eastAsia="宋体" w:hint="default"/>
          <w:sz w:val="23"/>
          <w:szCs w:val="23"/>
        </w:rPr>
      </w:pPr>
    </w:p>
    <w:p>
      <w:pPr>
        <w:pStyle w:val="BodyText"/>
        <w:spacing w:line="237" w:lineRule="auto"/>
        <w:ind w:right="86"/>
        <w:jc w:val="left"/>
      </w:pPr>
      <w:r>
        <w:rPr>
          <w:spacing w:val="-2"/>
        </w:rPr>
        <w:t>报告期，公司针对能源环保行业特点，选择具有自主技术优势和产业关联大的节能装备、</w:t>
      </w:r>
      <w:r>
        <w:rPr>
          <w:spacing w:val="-82"/>
        </w:rPr>
        <w:t> </w:t>
      </w:r>
      <w:r>
        <w:rPr>
          <w:spacing w:val="-82"/>
        </w:rPr>
      </w:r>
      <w:r>
        <w:rPr/>
        <w:t>半导体 LED</w:t>
      </w:r>
      <w:r>
        <w:rPr>
          <w:spacing w:val="-40"/>
        </w:rPr>
        <w:t> </w:t>
      </w:r>
      <w:r>
        <w:rPr/>
        <w:t>照明行业领域进行重点发展，组建半导体与照明产业本部，通过实施产业融</w:t>
      </w:r>
      <w:r>
        <w:rPr/>
        <w:t> 合，实现行业间的技术互动和产业链的价值增值，以期进一步确立市场地位。对以新技</w:t>
      </w:r>
      <w:r>
        <w:rPr>
          <w:spacing w:val="-47"/>
        </w:rPr>
        <w:t> </w:t>
      </w:r>
      <w:r>
        <w:rPr>
          <w:spacing w:val="-47"/>
        </w:rPr>
      </w:r>
      <w:r>
        <w:rPr/>
        <w:t>术推广和服务为主营的工程和运营服务类业务，通过机制创新实现其快速扩展，其中将</w:t>
      </w:r>
      <w:r>
        <w:rPr>
          <w:spacing w:val="-47"/>
        </w:rPr>
        <w:t> </w:t>
      </w:r>
      <w:r>
        <w:rPr>
          <w:spacing w:val="-47"/>
        </w:rPr>
      </w:r>
      <w:r>
        <w:rPr/>
        <w:t>水处理、脱硫脱硝和固废处理等工程服务类业务在参股公司同方环境股份有限公司进行</w:t>
      </w:r>
      <w:r>
        <w:rPr>
          <w:spacing w:val="-47"/>
        </w:rPr>
        <w:t> </w:t>
      </w:r>
      <w:r>
        <w:rPr>
          <w:spacing w:val="-47"/>
        </w:rPr>
      </w:r>
      <w:r>
        <w:rPr/>
        <w:t>经营发展；将 BOT/TOT</w:t>
      </w:r>
      <w:r>
        <w:rPr>
          <w:spacing w:val="-40"/>
        </w:rPr>
        <w:t> </w:t>
      </w:r>
      <w:r>
        <w:rPr/>
        <w:t>水务运营由参股公司龙江环保集团股份有限公司进行运作管理。</w:t>
      </w:r>
      <w:r>
        <w:rPr/>
        <w:t> </w:t>
      </w:r>
      <w:r>
        <w:rPr>
          <w:spacing w:val="-2"/>
        </w:rPr>
        <w:t>在上述产业结构调整下，本年度内，公司在能源环境产业主要产品和业务的经营情况是：</w:t>
      </w:r>
    </w:p>
    <w:p>
      <w:pPr>
        <w:spacing w:line="240" w:lineRule="auto" w:before="7"/>
        <w:rPr>
          <w:rFonts w:ascii="宋体" w:hAnsi="宋体" w:cs="宋体" w:eastAsia="宋体" w:hint="default"/>
          <w:sz w:val="23"/>
          <w:szCs w:val="23"/>
        </w:rPr>
      </w:pPr>
    </w:p>
    <w:p>
      <w:pPr>
        <w:pStyle w:val="BodyText"/>
        <w:spacing w:line="240" w:lineRule="auto"/>
        <w:ind w:right="213"/>
        <w:jc w:val="left"/>
      </w:pPr>
      <w:r>
        <w:rPr/>
        <w:t>(10) 建筑节能产业</w:t>
      </w:r>
    </w:p>
    <w:p>
      <w:pPr>
        <w:spacing w:line="240" w:lineRule="auto" w:before="11"/>
        <w:rPr>
          <w:rFonts w:ascii="宋体" w:hAnsi="宋体" w:cs="宋体" w:eastAsia="宋体" w:hint="default"/>
          <w:sz w:val="23"/>
          <w:szCs w:val="23"/>
        </w:rPr>
      </w:pPr>
    </w:p>
    <w:p>
      <w:pPr>
        <w:pStyle w:val="BodyText"/>
        <w:spacing w:line="237" w:lineRule="auto"/>
        <w:ind w:right="86"/>
        <w:jc w:val="left"/>
      </w:pPr>
      <w:r>
        <w:rPr>
          <w:spacing w:val="-2"/>
        </w:rPr>
        <w:t>在建筑节能产业领域，公司紧紧围绕可再生能源利用、工业领域余热回收和利用等方向，</w:t>
      </w:r>
      <w:r>
        <w:rPr>
          <w:spacing w:val="-82"/>
        </w:rPr>
        <w:t> </w:t>
      </w:r>
      <w:r>
        <w:rPr>
          <w:spacing w:val="-82"/>
        </w:rPr>
      </w:r>
      <w:r>
        <w:rPr/>
        <w:t>把握节能环保政策推广带来的市场机会，重点发展核心技术能力，创新盈利模式，寻求</w:t>
      </w:r>
      <w:r>
        <w:rPr>
          <w:spacing w:val="-47"/>
        </w:rPr>
        <w:t> </w:t>
      </w:r>
      <w:r>
        <w:rPr>
          <w:spacing w:val="-47"/>
        </w:rPr>
      </w:r>
      <w:r>
        <w:rPr/>
        <w:t>新的利润增长点。</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319" w:type="dxa"/>
        <w:tblLayout w:type="fixed"/>
        <w:tblCellMar>
          <w:top w:w="0" w:type="dxa"/>
          <w:left w:w="0" w:type="dxa"/>
          <w:bottom w:w="0" w:type="dxa"/>
          <w:right w:w="0" w:type="dxa"/>
        </w:tblCellMar>
        <w:tblLook w:val="01E0"/>
      </w:tblPr>
      <w:tblGrid>
        <w:gridCol w:w="1910"/>
        <w:gridCol w:w="1712"/>
        <w:gridCol w:w="1596"/>
        <w:gridCol w:w="1591"/>
      </w:tblGrid>
      <w:tr>
        <w:trPr>
          <w:trHeight w:val="337" w:hRule="exact"/>
        </w:trPr>
        <w:tc>
          <w:tcPr>
            <w:tcW w:w="19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left="34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5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1"/>
              <w:ind w:left="7"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1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316,727.25</w:t>
            </w:r>
            <w:r>
              <w:rPr>
                <w:rFonts w:ascii="Times New Roman"/>
                <w:sz w:val="21"/>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261,350.21</w:t>
            </w:r>
            <w:r>
              <w:rPr>
                <w:rFonts w:ascii="Times New Roman"/>
                <w:sz w:val="21"/>
              </w:rPr>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248,408.52</w:t>
            </w:r>
            <w:r>
              <w:rPr>
                <w:rFonts w:ascii="Times New Roman"/>
                <w:sz w:val="21"/>
              </w:rPr>
            </w:r>
          </w:p>
        </w:tc>
      </w:tr>
      <w:tr>
        <w:trPr>
          <w:trHeight w:val="322" w:hRule="exact"/>
        </w:trPr>
        <w:tc>
          <w:tcPr>
            <w:tcW w:w="1910" w:type="dxa"/>
            <w:tcBorders>
              <w:top w:val="single" w:sz="6" w:space="0" w:color="000000"/>
              <w:left w:val="single" w:sz="12" w:space="0" w:color="000000"/>
              <w:bottom w:val="single" w:sz="12" w:space="0" w:color="000000"/>
              <w:right w:val="single" w:sz="6" w:space="0" w:color="000000"/>
            </w:tcBorders>
          </w:tcPr>
          <w:p>
            <w:pPr>
              <w:pStyle w:val="TableParagraph"/>
              <w:spacing w:line="267"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spacing w:val="-1"/>
                <w:sz w:val="21"/>
              </w:rPr>
              <w:t>17.27%</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spacing w:val="-1"/>
                <w:sz w:val="21"/>
              </w:rPr>
              <w:t>19.55%</w:t>
            </w:r>
          </w:p>
        </w:tc>
        <w:tc>
          <w:tcPr>
            <w:tcW w:w="15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right="88"/>
              <w:jc w:val="right"/>
              <w:rPr>
                <w:rFonts w:ascii="Times New Roman" w:hAnsi="Times New Roman" w:cs="Times New Roman" w:eastAsia="Times New Roman" w:hint="default"/>
                <w:sz w:val="21"/>
                <w:szCs w:val="21"/>
              </w:rPr>
            </w:pPr>
            <w:r>
              <w:rPr>
                <w:rFonts w:ascii="Times New Roman"/>
                <w:spacing w:val="-1"/>
                <w:sz w:val="21"/>
              </w:rPr>
              <w:t>20.28%</w:t>
            </w:r>
          </w:p>
        </w:tc>
      </w:tr>
    </w:tbl>
    <w:p>
      <w:pPr>
        <w:spacing w:line="240" w:lineRule="auto" w:before="10"/>
        <w:rPr>
          <w:rFonts w:ascii="宋体" w:hAnsi="宋体" w:cs="宋体" w:eastAsia="宋体" w:hint="default"/>
          <w:sz w:val="18"/>
          <w:szCs w:val="18"/>
        </w:rPr>
      </w:pPr>
    </w:p>
    <w:p>
      <w:pPr>
        <w:pStyle w:val="BodyText"/>
        <w:spacing w:line="237" w:lineRule="auto" w:before="28"/>
        <w:ind w:right="220"/>
        <w:jc w:val="both"/>
      </w:pPr>
      <w:r>
        <w:rPr/>
        <w:t>在可再生能源利用方面，2010</w:t>
      </w:r>
      <w:r>
        <w:rPr>
          <w:spacing w:val="-40"/>
        </w:rPr>
        <w:t> </w:t>
      </w:r>
      <w:r>
        <w:rPr/>
        <w:t>年，随着建设部、财政部不断加大对于可再生能源在建筑</w:t>
      </w:r>
      <w:r>
        <w:rPr/>
        <w:t> 领域应用的推广力度，各地兴起了可再生能源建筑实施热潮。为此，公司提出以热泵为</w:t>
      </w:r>
      <w:r>
        <w:rPr>
          <w:spacing w:val="-47"/>
        </w:rPr>
        <w:t> </w:t>
      </w:r>
      <w:r>
        <w:rPr>
          <w:spacing w:val="-47"/>
        </w:rPr>
      </w:r>
      <w:r>
        <w:rPr/>
        <w:t>核心的多能源综合推广策略，推动各级城镇的能源规划与环境规划建设，为其提供传统</w:t>
      </w:r>
      <w:r>
        <w:rPr>
          <w:spacing w:val="-47"/>
        </w:rPr>
        <w:t> </w:t>
      </w:r>
      <w:r>
        <w:rPr>
          <w:spacing w:val="-47"/>
        </w:rPr>
      </w:r>
      <w:r>
        <w:rPr/>
        <w:t>能源与可再生能源结合的战略策略、集中化与分布化系统相结合的实施方法和有计划开</w:t>
      </w:r>
      <w:r>
        <w:rPr>
          <w:spacing w:val="-47"/>
        </w:rPr>
        <w:t> </w:t>
      </w:r>
      <w:r>
        <w:rPr>
          <w:spacing w:val="-47"/>
        </w:rPr>
      </w:r>
      <w:r>
        <w:rPr/>
        <w:t>发与有管理的使用资源利用方式等解决方案，并与长沙、咸宁、萍乡、永安、桦川等地</w:t>
      </w:r>
      <w:r>
        <w:rPr>
          <w:spacing w:val="-47"/>
        </w:rPr>
        <w:t> </w:t>
      </w:r>
      <w:r>
        <w:rPr>
          <w:spacing w:val="-47"/>
        </w:rPr>
      </w:r>
      <w:r>
        <w:rPr/>
        <w:t>区达成战略合作，为其提供产品和技术服务。本年度，公司还在建设部组织的“中国可</w:t>
      </w:r>
      <w:r>
        <w:rPr>
          <w:spacing w:val="-47"/>
        </w:rPr>
        <w:t> </w:t>
      </w:r>
      <w:r>
        <w:rPr>
          <w:spacing w:val="-47"/>
        </w:rPr>
      </w:r>
      <w:r>
        <w:rPr/>
        <w:t>再生能源建筑应用重点推荐企业”评选中，入选为重点推荐企业。</w:t>
      </w:r>
    </w:p>
    <w:p>
      <w:pPr>
        <w:spacing w:line="240" w:lineRule="auto" w:before="10"/>
        <w:rPr>
          <w:rFonts w:ascii="宋体" w:hAnsi="宋体" w:cs="宋体" w:eastAsia="宋体" w:hint="default"/>
          <w:sz w:val="23"/>
          <w:szCs w:val="23"/>
        </w:rPr>
      </w:pPr>
    </w:p>
    <w:p>
      <w:pPr>
        <w:pStyle w:val="BodyText"/>
        <w:spacing w:line="237" w:lineRule="auto"/>
        <w:ind w:right="86"/>
        <w:jc w:val="left"/>
      </w:pPr>
      <w:r>
        <w:rPr/>
        <w:t>在余热回收利用方面，随着国家十一五计划“节能减排”目标的深入落实，工业领域余</w:t>
      </w:r>
      <w:r>
        <w:rPr>
          <w:spacing w:val="-47"/>
        </w:rPr>
        <w:t> </w:t>
      </w:r>
      <w:r>
        <w:rPr>
          <w:spacing w:val="-47"/>
        </w:rPr>
      </w:r>
      <w:r>
        <w:rPr/>
        <w:t>热能源的开发与利用得到了高度关注，公司针对工业企业的高消耗和环境污染的双重难</w:t>
      </w:r>
      <w:r>
        <w:rPr>
          <w:spacing w:val="-47"/>
        </w:rPr>
        <w:t> </w:t>
      </w:r>
      <w:r>
        <w:rPr>
          <w:spacing w:val="-47"/>
        </w:rPr>
      </w:r>
      <w:r>
        <w:rPr>
          <w:spacing w:val="-2"/>
        </w:rPr>
        <w:t>题，利用综合技术优势，针对煤炭、钢铁、热电、石油等行业，挖掘工业企业降耗潜力、</w:t>
      </w:r>
      <w:r>
        <w:rPr>
          <w:spacing w:val="-117"/>
        </w:rPr>
        <w:t> </w:t>
      </w:r>
      <w:r>
        <w:rPr>
          <w:spacing w:val="-117"/>
        </w:rPr>
      </w:r>
      <w:r>
        <w:rPr/>
        <w:t>提供包括风、水等多热源的余热回用应用解决方案。报告期内，公司自主创新了矿井热</w:t>
      </w:r>
      <w:r>
        <w:rPr>
          <w:spacing w:val="-47"/>
        </w:rPr>
        <w:t> </w:t>
      </w:r>
      <w:r>
        <w:rPr>
          <w:spacing w:val="-47"/>
        </w:rPr>
      </w:r>
      <w:r>
        <w:rPr/>
        <w:t>回收系统技术，对矿井排水、排风余热通过热泵技术予以回收，再应用于厂区的供暖、</w:t>
      </w:r>
      <w:r>
        <w:rPr>
          <w:spacing w:val="-47"/>
        </w:rPr>
        <w:t> </w:t>
      </w:r>
      <w:r>
        <w:rPr>
          <w:spacing w:val="-47"/>
        </w:rPr>
      </w:r>
      <w:r>
        <w:rPr/>
        <w:t>热水，这一技术目前已成功应用于冀中能源集团葛泉矿、河北开滦集团煤矿等项目中。</w:t>
      </w:r>
      <w:r>
        <w:rPr>
          <w:spacing w:val="-47"/>
        </w:rPr>
        <w:t> </w:t>
      </w:r>
      <w:r>
        <w:rPr>
          <w:spacing w:val="-47"/>
        </w:rPr>
      </w:r>
      <w:r>
        <w:rPr/>
        <w:t>本年度，公司还中标了首秦金属材料有限公司节能减排改造项目，该项目将利用炼钢过</w:t>
      </w:r>
      <w:r>
        <w:rPr>
          <w:spacing w:val="-47"/>
        </w:rPr>
        <w:t> </w:t>
      </w:r>
      <w:r>
        <w:rPr>
          <w:spacing w:val="-47"/>
        </w:rPr>
      </w:r>
      <w:r>
        <w:rPr/>
        <w:t>程中产生的</w:t>
      </w:r>
      <w:r>
        <w:rPr>
          <w:spacing w:val="-40"/>
        </w:rPr>
        <w:t> </w:t>
      </w:r>
      <w:r>
        <w:rPr/>
        <w:t>25℃左右工业循环水，集成水源热泵、吸收式热泵、冷却循环水余热、蒸汽</w:t>
      </w:r>
      <w:r>
        <w:rPr/>
        <w:t> 余热等热泵综合系统技术，对办公楼及生活福利设施进行节能减排改造。</w:t>
      </w:r>
    </w:p>
    <w:p>
      <w:pPr>
        <w:spacing w:line="240" w:lineRule="auto" w:before="8"/>
        <w:rPr>
          <w:rFonts w:ascii="宋体" w:hAnsi="宋体" w:cs="宋体" w:eastAsia="宋体" w:hint="default"/>
          <w:sz w:val="23"/>
          <w:szCs w:val="23"/>
        </w:rPr>
      </w:pPr>
    </w:p>
    <w:p>
      <w:pPr>
        <w:pStyle w:val="BodyText"/>
        <w:spacing w:line="240" w:lineRule="auto"/>
        <w:ind w:right="0"/>
        <w:jc w:val="both"/>
      </w:pPr>
      <w:r>
        <w:rPr/>
        <w:t>(11) 半导体与照明产业</w:t>
      </w:r>
    </w:p>
    <w:p>
      <w:pPr>
        <w:spacing w:line="240" w:lineRule="auto" w:before="11"/>
        <w:rPr>
          <w:rFonts w:ascii="宋体" w:hAnsi="宋体" w:cs="宋体" w:eastAsia="宋体" w:hint="default"/>
          <w:sz w:val="23"/>
          <w:szCs w:val="23"/>
        </w:rPr>
      </w:pPr>
    </w:p>
    <w:p>
      <w:pPr>
        <w:pStyle w:val="BodyText"/>
        <w:spacing w:line="237" w:lineRule="auto"/>
        <w:ind w:right="220"/>
        <w:jc w:val="both"/>
      </w:pPr>
      <w:r>
        <w:rPr>
          <w:spacing w:val="-2"/>
        </w:rPr>
        <w:t>在半导体与照明产业领域，公司已经初步打造了从外延片/芯片制造、产品应用到城市景</w:t>
      </w:r>
      <w:r>
        <w:rPr>
          <w:spacing w:val="-82"/>
        </w:rPr>
        <w:t> </w:t>
      </w:r>
      <w:r>
        <w:rPr>
          <w:spacing w:val="-82"/>
        </w:rPr>
      </w:r>
      <w:r>
        <w:rPr/>
        <w:t>观照明的完整产业链，并围绕东北、华北、华东、华南的供货区域半径实施产业布局，</w:t>
      </w:r>
      <w:r>
        <w:rPr>
          <w:spacing w:val="-47"/>
        </w:rPr>
        <w:t> </w:t>
      </w:r>
      <w:r>
        <w:rPr>
          <w:spacing w:val="-47"/>
        </w:rPr>
      </w:r>
      <w:r>
        <w:rPr/>
        <w:t>已经形成北京</w:t>
      </w:r>
      <w:r>
        <w:rPr>
          <w:spacing w:val="-47"/>
        </w:rPr>
        <w:t> </w:t>
      </w:r>
      <w:r>
        <w:rPr/>
        <w:t>LED</w:t>
      </w:r>
      <w:r>
        <w:rPr>
          <w:spacing w:val="-47"/>
        </w:rPr>
        <w:t> </w:t>
      </w:r>
      <w:r>
        <w:rPr/>
        <w:t>外延片/芯片、沈阳、广州</w:t>
      </w:r>
      <w:r>
        <w:rPr>
          <w:spacing w:val="-47"/>
        </w:rPr>
        <w:t> </w:t>
      </w:r>
      <w:r>
        <w:rPr/>
        <w:t>LED TV</w:t>
      </w:r>
      <w:r>
        <w:rPr>
          <w:spacing w:val="-47"/>
        </w:rPr>
        <w:t> </w:t>
      </w:r>
      <w:r>
        <w:rPr/>
        <w:t>背光源、南通</w:t>
      </w:r>
      <w:r>
        <w:rPr>
          <w:spacing w:val="-47"/>
        </w:rPr>
        <w:t> </w:t>
      </w:r>
      <w:r>
        <w:rPr/>
        <w:t>LED</w:t>
      </w:r>
      <w:r>
        <w:rPr>
          <w:spacing w:val="-47"/>
        </w:rPr>
        <w:t> </w:t>
      </w:r>
      <w:r>
        <w:rPr/>
        <w:t>外延片及背光模</w:t>
      </w:r>
      <w:r>
        <w:rPr/>
        <w:t> 组、灯具四个半导体与照明生产基地，半导体与照明产业已经初具规模。</w:t>
      </w:r>
    </w:p>
    <w:p>
      <w:pPr>
        <w:spacing w:line="240" w:lineRule="auto" w:before="8"/>
        <w:rPr>
          <w:rFonts w:ascii="宋体" w:hAnsi="宋体" w:cs="宋体" w:eastAsia="宋体" w:hint="default"/>
          <w:sz w:val="26"/>
          <w:szCs w:val="26"/>
        </w:rPr>
      </w:pPr>
    </w:p>
    <w:tbl>
      <w:tblPr>
        <w:tblW w:w="0" w:type="auto"/>
        <w:jc w:val="left"/>
        <w:tblInd w:w="1022" w:type="dxa"/>
        <w:tblLayout w:type="fixed"/>
        <w:tblCellMar>
          <w:top w:w="0" w:type="dxa"/>
          <w:left w:w="0" w:type="dxa"/>
          <w:bottom w:w="0" w:type="dxa"/>
          <w:right w:w="0" w:type="dxa"/>
        </w:tblCellMar>
        <w:tblLook w:val="01E0"/>
      </w:tblPr>
      <w:tblGrid>
        <w:gridCol w:w="1941"/>
        <w:gridCol w:w="1847"/>
        <w:gridCol w:w="1790"/>
        <w:gridCol w:w="1823"/>
      </w:tblGrid>
      <w:tr>
        <w:trPr>
          <w:trHeight w:val="337" w:hRule="exact"/>
        </w:trPr>
        <w:tc>
          <w:tcPr>
            <w:tcW w:w="1941"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35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82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6"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328" w:hRule="exact"/>
        </w:trPr>
        <w:tc>
          <w:tcPr>
            <w:tcW w:w="194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66,764.17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65,852.89</w:t>
            </w:r>
          </w:p>
        </w:tc>
        <w:tc>
          <w:tcPr>
            <w:tcW w:w="1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14,660.25</w:t>
            </w:r>
          </w:p>
        </w:tc>
      </w:tr>
      <w:tr>
        <w:trPr>
          <w:trHeight w:val="334" w:hRule="exact"/>
        </w:trPr>
        <w:tc>
          <w:tcPr>
            <w:tcW w:w="1941"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4.46%</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7.54%</w:t>
            </w:r>
          </w:p>
        </w:tc>
        <w:tc>
          <w:tcPr>
            <w:tcW w:w="18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8.68%</w:t>
            </w:r>
          </w:p>
        </w:tc>
      </w:tr>
    </w:tbl>
    <w:p>
      <w:pPr>
        <w:spacing w:line="240" w:lineRule="auto" w:before="11"/>
        <w:rPr>
          <w:rFonts w:ascii="宋体" w:hAnsi="宋体" w:cs="宋体" w:eastAsia="宋体" w:hint="default"/>
          <w:sz w:val="18"/>
          <w:szCs w:val="18"/>
        </w:rPr>
      </w:pPr>
    </w:p>
    <w:p>
      <w:pPr>
        <w:pStyle w:val="BodyText"/>
        <w:spacing w:line="237" w:lineRule="auto" w:before="28"/>
        <w:ind w:right="103"/>
        <w:jc w:val="both"/>
      </w:pPr>
      <w:r>
        <w:rPr/>
        <w:t>在</w:t>
      </w:r>
      <w:r>
        <w:rPr>
          <w:spacing w:val="-40"/>
        </w:rPr>
        <w:t> </w:t>
      </w:r>
      <w:r>
        <w:rPr/>
        <w:t>LED</w:t>
      </w:r>
      <w:r>
        <w:rPr>
          <w:spacing w:val="-40"/>
        </w:rPr>
        <w:t> </w:t>
      </w:r>
      <w:r>
        <w:rPr/>
        <w:t>芯片、外延片方面，公司在北京的高亮度</w:t>
      </w:r>
      <w:r>
        <w:rPr>
          <w:spacing w:val="-40"/>
        </w:rPr>
        <w:t> </w:t>
      </w:r>
      <w:r>
        <w:rPr/>
        <w:t>LED</w:t>
      </w:r>
      <w:r>
        <w:rPr>
          <w:spacing w:val="-40"/>
        </w:rPr>
        <w:t> </w:t>
      </w:r>
      <w:r>
        <w:rPr/>
        <w:t>发光二极管芯片生产基地已经完成</w:t>
      </w:r>
      <w:r>
        <w:rPr/>
        <w:t> </w:t>
      </w:r>
      <w:r>
        <w:rPr>
          <w:spacing w:val="-4"/>
        </w:rPr>
        <w:t>建设，实现量产。目前，该基地已经建成外延车间、正装芯片车间、垂直芯片车间和</w:t>
      </w:r>
      <w:r>
        <w:rPr>
          <w:spacing w:val="-58"/>
        </w:rPr>
        <w:t> </w:t>
      </w:r>
      <w:r>
        <w:rPr/>
        <w:t>PSS</w:t>
      </w:r>
      <w:r>
        <w:rPr>
          <w:spacing w:val="-111"/>
        </w:rPr>
        <w:t> </w:t>
      </w:r>
      <w:r>
        <w:rPr>
          <w:spacing w:val="-111"/>
        </w:rPr>
      </w:r>
      <w:r>
        <w:rPr/>
        <w:t>衬底车间，达到六条</w:t>
      </w:r>
      <w:r>
        <w:rPr>
          <w:spacing w:val="-64"/>
        </w:rPr>
        <w:t> </w:t>
      </w:r>
      <w:r>
        <w:rPr/>
        <w:t>MOCVD</w:t>
      </w:r>
      <w:r>
        <w:rPr>
          <w:spacing w:val="-64"/>
        </w:rPr>
        <w:t> </w:t>
      </w:r>
      <w:r>
        <w:rPr>
          <w:spacing w:val="-3"/>
        </w:rPr>
        <w:t>生产线、年产</w:t>
      </w:r>
      <w:r>
        <w:rPr>
          <w:spacing w:val="-64"/>
        </w:rPr>
        <w:t> </w:t>
      </w:r>
      <w:r>
        <w:rPr/>
        <w:t>20</w:t>
      </w:r>
      <w:r>
        <w:rPr>
          <w:spacing w:val="-64"/>
        </w:rPr>
        <w:t> </w:t>
      </w:r>
      <w:r>
        <w:rPr/>
        <w:t>万片外延片的生产能力，实现了产品的批量</w:t>
      </w:r>
      <w:r>
        <w:rPr/>
        <w:t> 供货。公司在南通投资的 LED</w:t>
      </w:r>
      <w:r>
        <w:rPr>
          <w:spacing w:val="-61"/>
        </w:rPr>
        <w:t> </w:t>
      </w:r>
      <w:r>
        <w:rPr/>
        <w:t>生产基地已经完成二栋半导体厂房、一栋电子厂房的主体</w:t>
      </w:r>
      <w:r>
        <w:rPr>
          <w:spacing w:val="-1"/>
        </w:rPr>
        <w:t> </w:t>
      </w:r>
      <w:r>
        <w:rPr/>
        <w:t>建设，正在实施内部洁净车间的装修，LED</w:t>
      </w:r>
      <w:r>
        <w:rPr>
          <w:spacing w:val="-57"/>
        </w:rPr>
        <w:t> </w:t>
      </w:r>
      <w:r>
        <w:rPr/>
        <w:t>外延生产线的核心设备</w:t>
      </w:r>
      <w:r>
        <w:rPr>
          <w:spacing w:val="-57"/>
        </w:rPr>
        <w:t> </w:t>
      </w:r>
      <w:r>
        <w:rPr/>
        <w:t>48</w:t>
      </w:r>
      <w:r>
        <w:rPr>
          <w:spacing w:val="-57"/>
        </w:rPr>
        <w:t> </w:t>
      </w:r>
      <w:r>
        <w:rPr/>
        <w:t>台</w:t>
      </w:r>
      <w:r>
        <w:rPr>
          <w:spacing w:val="-57"/>
        </w:rPr>
        <w:t> </w:t>
      </w:r>
      <w:r>
        <w:rPr/>
        <w:t>MOCVD</w:t>
      </w:r>
      <w:r>
        <w:rPr>
          <w:spacing w:val="-56"/>
        </w:rPr>
        <w:t> </w:t>
      </w:r>
      <w:r>
        <w:rPr/>
        <w:t>已经开始</w:t>
      </w:r>
      <w:r>
        <w:rPr/>
        <w:t> 采购。在芯片生产过程中，公司于国内率先采用了 DBR</w:t>
      </w:r>
      <w:r>
        <w:rPr>
          <w:spacing w:val="-41"/>
        </w:rPr>
        <w:t> </w:t>
      </w:r>
      <w:r>
        <w:rPr/>
        <w:t>反射镜技术、激光正面划片加湿</w:t>
      </w:r>
      <w:r>
        <w:rPr/>
        <w:t> 法腐蚀技术、化学镀金工艺等先进技术，提升了芯片发光亮度、降低了成本，目前研发</w:t>
      </w:r>
      <w:r>
        <w:rPr>
          <w:spacing w:val="-47"/>
        </w:rPr>
        <w:t> </w:t>
      </w:r>
      <w:r>
        <w:rPr>
          <w:spacing w:val="-47"/>
        </w:rPr>
      </w:r>
      <w:r>
        <w:rPr/>
        <w:t>的大功率芯片光效已达</w:t>
      </w:r>
      <w:r>
        <w:rPr>
          <w:spacing w:val="-52"/>
        </w:rPr>
        <w:t> </w:t>
      </w:r>
      <w:r>
        <w:rPr>
          <w:spacing w:val="-4"/>
        </w:rPr>
        <w:t>120Lm/W，公司的芯片产品在电性能、亮度等方面已与台湾量产厂</w:t>
      </w:r>
      <w:r>
        <w:rPr>
          <w:spacing w:val="-101"/>
        </w:rPr>
        <w:t> </w:t>
      </w:r>
      <w:r>
        <w:rPr>
          <w:spacing w:val="-101"/>
        </w:rPr>
      </w:r>
      <w:r>
        <w:rPr/>
        <w:t>商保持相同水准。本年度，公司自主研发的“垂直结构 LED</w:t>
      </w:r>
      <w:r>
        <w:rPr>
          <w:spacing w:val="-40"/>
        </w:rPr>
        <w:t> </w:t>
      </w:r>
      <w:r>
        <w:rPr/>
        <w:t>芯片”技术因其技术先进性</w:t>
      </w:r>
      <w:r>
        <w:rPr/>
        <w:t> </w:t>
      </w:r>
      <w:r>
        <w:rPr>
          <w:spacing w:val="-1"/>
        </w:rPr>
        <w:t>和具有巨大的市场潜力荣获了中关村半导体照明产业技术联盟</w:t>
      </w:r>
      <w:r>
        <w:rPr>
          <w:spacing w:val="-59"/>
        </w:rPr>
        <w:t> </w:t>
      </w:r>
      <w:r>
        <w:rPr>
          <w:spacing w:val="-1"/>
        </w:rPr>
        <w:t>2010</w:t>
      </w:r>
      <w:r>
        <w:rPr>
          <w:spacing w:val="-59"/>
        </w:rPr>
        <w:t> </w:t>
      </w:r>
      <w:r>
        <w:rPr>
          <w:spacing w:val="-17"/>
        </w:rPr>
        <w:t>年的“创新产品奖”。</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right="247"/>
        <w:jc w:val="left"/>
      </w:pPr>
      <w:r>
        <w:rPr/>
        <w:t>在</w:t>
      </w:r>
      <w:r>
        <w:rPr>
          <w:spacing w:val="-47"/>
        </w:rPr>
        <w:t> </w:t>
      </w:r>
      <w:r>
        <w:rPr/>
        <w:t>LED</w:t>
      </w:r>
      <w:r>
        <w:rPr>
          <w:spacing w:val="-47"/>
        </w:rPr>
        <w:t> </w:t>
      </w:r>
      <w:r>
        <w:rPr/>
        <w:t>产品方面，公司一方面把握</w:t>
      </w:r>
      <w:r>
        <w:rPr>
          <w:spacing w:val="-47"/>
        </w:rPr>
        <w:t> </w:t>
      </w:r>
      <w:r>
        <w:rPr/>
        <w:t>LED</w:t>
      </w:r>
      <w:r>
        <w:rPr>
          <w:spacing w:val="-47"/>
        </w:rPr>
        <w:t> </w:t>
      </w:r>
      <w:r>
        <w:rPr/>
        <w:t>电视兴起带来的巨大市场机遇，加大对于</w:t>
      </w:r>
      <w:r>
        <w:rPr>
          <w:spacing w:val="-47"/>
        </w:rPr>
        <w:t> </w:t>
      </w:r>
      <w:r>
        <w:rPr/>
        <w:t>LED</w:t>
      </w:r>
      <w:r>
        <w:rPr>
          <w:spacing w:val="-46"/>
        </w:rPr>
        <w:t> </w:t>
      </w:r>
      <w:r>
        <w:rPr/>
        <w:t>背</w:t>
      </w:r>
      <w:r>
        <w:rPr/>
        <w:t> 光模组的投入力度，建设了沈阳、广州南北两个生产基地，并已经建设完成以单边发光</w:t>
      </w:r>
      <w:r>
        <w:rPr>
          <w:spacing w:val="-47"/>
        </w:rPr>
        <w:t> </w:t>
      </w:r>
      <w:r>
        <w:rPr>
          <w:spacing w:val="-47"/>
        </w:rPr>
      </w:r>
      <w:r>
        <w:rPr/>
        <w:t>和直下式技术为主的</w:t>
      </w:r>
      <w:r>
        <w:rPr>
          <w:spacing w:val="-63"/>
        </w:rPr>
        <w:t> </w:t>
      </w:r>
      <w:r>
        <w:rPr/>
        <w:t>9</w:t>
      </w:r>
      <w:r>
        <w:rPr>
          <w:spacing w:val="-63"/>
        </w:rPr>
        <w:t> </w:t>
      </w:r>
      <w:r>
        <w:rPr>
          <w:spacing w:val="-5"/>
        </w:rPr>
        <w:t>条背光模组生产线，生产</w:t>
      </w:r>
      <w:r>
        <w:rPr>
          <w:spacing w:val="-63"/>
        </w:rPr>
        <w:t> </w:t>
      </w:r>
      <w:r>
        <w:rPr/>
        <w:t>CCFL</w:t>
      </w:r>
      <w:r>
        <w:rPr>
          <w:spacing w:val="-63"/>
        </w:rPr>
        <w:t> </w:t>
      </w:r>
      <w:r>
        <w:rPr/>
        <w:t>和</w:t>
      </w:r>
      <w:r>
        <w:rPr>
          <w:spacing w:val="-63"/>
        </w:rPr>
        <w:t> </w:t>
      </w:r>
      <w:r>
        <w:rPr/>
        <w:t>LED</w:t>
      </w:r>
      <w:r>
        <w:rPr>
          <w:spacing w:val="-63"/>
        </w:rPr>
        <w:t> </w:t>
      </w:r>
      <w:r>
        <w:rPr/>
        <w:t>22</w:t>
      </w:r>
      <w:r>
        <w:rPr>
          <w:spacing w:val="-63"/>
        </w:rPr>
        <w:t> </w:t>
      </w:r>
      <w:r>
        <w:rPr/>
        <w:t>寸-47</w:t>
      </w:r>
      <w:r>
        <w:rPr>
          <w:spacing w:val="-63"/>
        </w:rPr>
        <w:t> </w:t>
      </w:r>
      <w:r>
        <w:rPr/>
        <w:t>寸全系列背光模组</w:t>
      </w:r>
      <w:r>
        <w:rPr>
          <w:spacing w:val="-1"/>
        </w:rPr>
        <w:t> </w:t>
      </w:r>
      <w:r>
        <w:rPr>
          <w:spacing w:val="-3"/>
        </w:rPr>
        <w:t>产品，初步达到</w:t>
      </w:r>
      <w:r>
        <w:rPr>
          <w:spacing w:val="-65"/>
        </w:rPr>
        <w:t> </w:t>
      </w:r>
      <w:r>
        <w:rPr/>
        <w:t>450</w:t>
      </w:r>
      <w:r>
        <w:rPr>
          <w:spacing w:val="-65"/>
        </w:rPr>
        <w:t> </w:t>
      </w:r>
      <w:r>
        <w:rPr/>
        <w:t>万片/年的产能，并与众多国内外主要</w:t>
      </w:r>
      <w:r>
        <w:rPr>
          <w:spacing w:val="-65"/>
        </w:rPr>
        <w:t> </w:t>
      </w:r>
      <w:r>
        <w:rPr/>
        <w:t>TV</w:t>
      </w:r>
      <w:r>
        <w:rPr>
          <w:spacing w:val="-65"/>
        </w:rPr>
        <w:t> </w:t>
      </w:r>
      <w:r>
        <w:rPr/>
        <w:t>整机制造商达成供货意向。</w:t>
      </w:r>
      <w:r>
        <w:rPr/>
        <w:t> </w:t>
      </w:r>
      <w:r>
        <w:rPr>
          <w:spacing w:val="-11"/>
        </w:rPr>
        <w:t>另一方面，公司致力于</w:t>
      </w:r>
      <w:r>
        <w:rPr>
          <w:spacing w:val="-60"/>
        </w:rPr>
        <w:t> </w:t>
      </w:r>
      <w:r>
        <w:rPr/>
        <w:t>LED</w:t>
      </w:r>
      <w:r>
        <w:rPr>
          <w:spacing w:val="-60"/>
        </w:rPr>
        <w:t> </w:t>
      </w:r>
      <w:r>
        <w:rPr>
          <w:spacing w:val="-6"/>
        </w:rPr>
        <w:t>户内外(含景观照明)灯具，并与荷兰知名</w:t>
      </w:r>
      <w:r>
        <w:rPr>
          <w:spacing w:val="-60"/>
        </w:rPr>
        <w:t> </w:t>
      </w:r>
      <w:r>
        <w:rPr/>
        <w:t>LED</w:t>
      </w:r>
      <w:r>
        <w:rPr>
          <w:spacing w:val="-60"/>
        </w:rPr>
        <w:t> </w:t>
      </w:r>
      <w:r>
        <w:rPr/>
        <w:t>照明企业</w:t>
      </w:r>
      <w:r>
        <w:rPr>
          <w:spacing w:val="-60"/>
        </w:rPr>
        <w:t> </w:t>
      </w:r>
      <w:r>
        <w:rPr/>
        <w:t>Lemnis</w:t>
      </w:r>
      <w:r>
        <w:rPr/>
        <w:t> 合作开发，已经先后完成室内外照明光源模组及产品的开发设计，并形成了</w:t>
      </w:r>
      <w:r>
        <w:rPr>
          <w:spacing w:val="-70"/>
        </w:rPr>
        <w:t> </w:t>
      </w:r>
      <w:r>
        <w:rPr/>
        <w:t>Pharox</w:t>
      </w:r>
      <w:r>
        <w:rPr>
          <w:spacing w:val="-70"/>
        </w:rPr>
        <w:t> </w:t>
      </w:r>
      <w:r>
        <w:rPr/>
        <w:t>室内</w:t>
      </w:r>
      <w:r>
        <w:rPr/>
        <w:t> </w:t>
      </w:r>
      <w:r>
        <w:rPr>
          <w:spacing w:val="-6"/>
        </w:rPr>
        <w:t>灯、Lumis</w:t>
      </w:r>
      <w:r>
        <w:rPr>
          <w:spacing w:val="-61"/>
        </w:rPr>
        <w:t> </w:t>
      </w:r>
      <w:r>
        <w:rPr>
          <w:spacing w:val="-3"/>
        </w:rPr>
        <w:t>混光型路灯等系列产品，达到了年产室内</w:t>
      </w:r>
      <w:r>
        <w:rPr>
          <w:spacing w:val="-61"/>
        </w:rPr>
        <w:t> </w:t>
      </w:r>
      <w:r>
        <w:rPr/>
        <w:t>LED</w:t>
      </w:r>
      <w:r>
        <w:rPr>
          <w:spacing w:val="-61"/>
        </w:rPr>
        <w:t> </w:t>
      </w:r>
      <w:r>
        <w:rPr/>
        <w:t>照明产品</w:t>
      </w:r>
      <w:r>
        <w:rPr>
          <w:spacing w:val="-61"/>
        </w:rPr>
        <w:t> </w:t>
      </w:r>
      <w:r>
        <w:rPr/>
        <w:t>300</w:t>
      </w:r>
      <w:r>
        <w:rPr>
          <w:spacing w:val="-61"/>
        </w:rPr>
        <w:t> </w:t>
      </w:r>
      <w:r>
        <w:rPr>
          <w:spacing w:val="-5"/>
        </w:rPr>
        <w:t>万支、室外照明产</w:t>
      </w:r>
      <w:r>
        <w:rPr>
          <w:spacing w:val="-1"/>
        </w:rPr>
        <w:t> </w:t>
      </w:r>
      <w:r>
        <w:rPr/>
        <w:t>品</w:t>
      </w:r>
      <w:r>
        <w:rPr>
          <w:spacing w:val="-55"/>
        </w:rPr>
        <w:t> </w:t>
      </w:r>
      <w:r>
        <w:rPr/>
        <w:t>30</w:t>
      </w:r>
      <w:r>
        <w:rPr>
          <w:spacing w:val="-55"/>
        </w:rPr>
        <w:t> </w:t>
      </w:r>
      <w:r>
        <w:rPr>
          <w:spacing w:val="-4"/>
        </w:rPr>
        <w:t>万盏的生产规模。其中，Pharox</w:t>
      </w:r>
      <w:r>
        <w:rPr>
          <w:spacing w:val="-55"/>
        </w:rPr>
        <w:t> </w:t>
      </w:r>
      <w:r>
        <w:rPr>
          <w:spacing w:val="-3"/>
        </w:rPr>
        <w:t>室内灯是目前显色效果最好、发热量相对最低、实</w:t>
      </w:r>
      <w:r>
        <w:rPr>
          <w:spacing w:val="-108"/>
        </w:rPr>
        <w:t> </w:t>
      </w:r>
      <w:r>
        <w:rPr>
          <w:spacing w:val="-108"/>
        </w:rPr>
      </w:r>
      <w:r>
        <w:rPr/>
        <w:t>际寿命最长、故障率最低的室内</w:t>
      </w:r>
      <w:r>
        <w:rPr>
          <w:spacing w:val="-60"/>
        </w:rPr>
        <w:t> </w:t>
      </w:r>
      <w:r>
        <w:rPr/>
        <w:t>LED</w:t>
      </w:r>
      <w:r>
        <w:rPr>
          <w:spacing w:val="-60"/>
        </w:rPr>
        <w:t> </w:t>
      </w:r>
      <w:r>
        <w:rPr/>
        <w:t>照明产品，其外观模具和散热器均为自行开发。</w:t>
      </w:r>
    </w:p>
    <w:p>
      <w:pPr>
        <w:spacing w:line="240" w:lineRule="auto" w:before="11"/>
        <w:rPr>
          <w:rFonts w:ascii="宋体" w:hAnsi="宋体" w:cs="宋体" w:eastAsia="宋体" w:hint="default"/>
          <w:sz w:val="23"/>
          <w:szCs w:val="23"/>
        </w:rPr>
      </w:pPr>
    </w:p>
    <w:p>
      <w:pPr>
        <w:pStyle w:val="BodyText"/>
        <w:spacing w:line="237" w:lineRule="auto"/>
        <w:ind w:right="380"/>
        <w:jc w:val="both"/>
      </w:pPr>
      <w:r>
        <w:rPr/>
        <w:t>在城市景观照明应用方面，公司凭借丰富的工程实施及景观照明设计经验，依托自主研</w:t>
      </w:r>
      <w:r>
        <w:rPr>
          <w:spacing w:val="-47"/>
        </w:rPr>
        <w:t> </w:t>
      </w:r>
      <w:r>
        <w:rPr>
          <w:spacing w:val="-47"/>
        </w:rPr>
      </w:r>
      <w:r>
        <w:rPr/>
        <w:t>发的</w:t>
      </w:r>
      <w:r>
        <w:rPr>
          <w:spacing w:val="-53"/>
        </w:rPr>
        <w:t> </w:t>
      </w:r>
      <w:r>
        <w:rPr/>
        <w:t>LED</w:t>
      </w:r>
      <w:r>
        <w:rPr>
          <w:spacing w:val="-53"/>
        </w:rPr>
        <w:t> </w:t>
      </w:r>
      <w:r>
        <w:rPr/>
        <w:t>相关照明产品，积极实施市场开拓，承接了众多大型项目。2010</w:t>
      </w:r>
      <w:r>
        <w:rPr>
          <w:spacing w:val="-53"/>
        </w:rPr>
        <w:t> </w:t>
      </w:r>
      <w:r>
        <w:rPr/>
        <w:t>年，公司先后</w:t>
      </w:r>
      <w:r>
        <w:rPr/>
        <w:t> 承接了天津海河两岸夜景照明工程、西安世界园艺博览会园区照明工程等项目。其中，</w:t>
      </w:r>
      <w:r>
        <w:rPr>
          <w:spacing w:val="-47"/>
        </w:rPr>
        <w:t> </w:t>
      </w:r>
      <w:r>
        <w:rPr>
          <w:spacing w:val="-47"/>
        </w:rPr>
      </w:r>
      <w:r>
        <w:rPr/>
        <w:t>公司中标的</w:t>
      </w:r>
      <w:r>
        <w:rPr>
          <w:spacing w:val="-40"/>
        </w:rPr>
        <w:t> </w:t>
      </w:r>
      <w:r>
        <w:rPr/>
        <w:t>2011</w:t>
      </w:r>
      <w:r>
        <w:rPr>
          <w:spacing w:val="-40"/>
        </w:rPr>
        <w:t> </w:t>
      </w:r>
      <w:r>
        <w:rPr/>
        <w:t>西安世界园艺博览会景观照明及喷泉工程合同金额高达</w:t>
      </w:r>
      <w:r>
        <w:rPr>
          <w:spacing w:val="-40"/>
        </w:rPr>
        <w:t> </w:t>
      </w:r>
      <w:r>
        <w:rPr/>
        <w:t>2.89</w:t>
      </w:r>
      <w:r>
        <w:rPr>
          <w:spacing w:val="-40"/>
        </w:rPr>
        <w:t> </w:t>
      </w:r>
      <w:r>
        <w:rPr/>
        <w:t>亿元，将</w:t>
      </w:r>
      <w:r>
        <w:rPr/>
        <w:t> 为西安园博会提供包括多组水景喷泉、建筑物群及园区景观照明的深化设计、设备供货</w:t>
      </w:r>
      <w:r>
        <w:rPr>
          <w:spacing w:val="-47"/>
        </w:rPr>
        <w:t> </w:t>
      </w:r>
      <w:r>
        <w:rPr>
          <w:spacing w:val="-47"/>
        </w:rPr>
      </w:r>
      <w:r>
        <w:rPr/>
        <w:t>及工程施工，该项目的承接进一步扩大了公司的市场影响力。本年度，公司参与建设的</w:t>
      </w:r>
      <w:r>
        <w:rPr>
          <w:spacing w:val="-47"/>
        </w:rPr>
        <w:t> </w:t>
      </w:r>
      <w:r>
        <w:rPr>
          <w:spacing w:val="-47"/>
        </w:rPr>
      </w:r>
      <w:r>
        <w:rPr/>
        <w:t>“济南园博园</w:t>
      </w:r>
      <w:r>
        <w:rPr>
          <w:spacing w:val="-53"/>
        </w:rPr>
        <w:t> </w:t>
      </w:r>
      <w:r>
        <w:rPr/>
        <w:t>LED</w:t>
      </w:r>
      <w:r>
        <w:rPr>
          <w:spacing w:val="-53"/>
        </w:rPr>
        <w:t> </w:t>
      </w:r>
      <w:r>
        <w:rPr>
          <w:spacing w:val="-5"/>
        </w:rPr>
        <w:t>大屏及照明水景工程”还获得建筑业的最高奖项“鲁班奖”。</w:t>
      </w:r>
    </w:p>
    <w:p>
      <w:pPr>
        <w:spacing w:line="240" w:lineRule="auto" w:before="1"/>
        <w:rPr>
          <w:rFonts w:ascii="宋体" w:hAnsi="宋体" w:cs="宋体" w:eastAsia="宋体" w:hint="default"/>
          <w:sz w:val="23"/>
          <w:szCs w:val="23"/>
        </w:rPr>
      </w:pPr>
    </w:p>
    <w:p>
      <w:pPr>
        <w:pStyle w:val="Heading2"/>
        <w:spacing w:line="240" w:lineRule="auto"/>
        <w:ind w:right="247"/>
        <w:jc w:val="left"/>
        <w:rPr>
          <w:b w:val="0"/>
          <w:bCs w:val="0"/>
        </w:rPr>
      </w:pPr>
      <w:r>
        <w:rPr/>
        <w:t>(二)公司全资附属企业及主要控参股公司经营业绩</w:t>
      </w:r>
      <w:r>
        <w:rPr>
          <w:b w:val="0"/>
          <w:bCs w:val="0"/>
        </w:rPr>
      </w:r>
    </w:p>
    <w:p>
      <w:pPr>
        <w:spacing w:line="620" w:lineRule="atLeast" w:before="9"/>
        <w:ind w:left="138" w:right="247" w:firstLine="0"/>
        <w:jc w:val="left"/>
        <w:rPr>
          <w:rFonts w:ascii="宋体" w:hAnsi="宋体" w:cs="宋体" w:eastAsia="宋体" w:hint="default"/>
          <w:sz w:val="24"/>
          <w:szCs w:val="24"/>
        </w:rPr>
      </w:pPr>
      <w:r>
        <w:rPr>
          <w:rFonts w:ascii="宋体" w:hAnsi="宋体" w:cs="宋体" w:eastAsia="宋体" w:hint="default"/>
          <w:b/>
          <w:bCs/>
          <w:sz w:val="24"/>
          <w:szCs w:val="24"/>
        </w:rPr>
        <w:t>1、泰豪科技股份有限公司(股票代码：600590)</w:t>
      </w:r>
      <w:r>
        <w:rPr>
          <w:rFonts w:ascii="宋体" w:hAnsi="宋体" w:cs="宋体" w:eastAsia="宋体" w:hint="default"/>
          <w:b/>
          <w:bCs/>
          <w:w w:val="99"/>
          <w:sz w:val="24"/>
          <w:szCs w:val="24"/>
        </w:rPr>
        <w:t> </w:t>
      </w:r>
      <w:r>
        <w:rPr>
          <w:rFonts w:ascii="宋体" w:hAnsi="宋体" w:cs="宋体" w:eastAsia="宋体" w:hint="default"/>
          <w:spacing w:val="-4"/>
          <w:sz w:val="24"/>
          <w:szCs w:val="24"/>
        </w:rPr>
        <w:t>泰豪科技股份有限公司(股票简称：泰豪科技，股票代码：600590)成立于</w:t>
      </w:r>
      <w:r>
        <w:rPr>
          <w:rFonts w:ascii="宋体" w:hAnsi="宋体" w:cs="宋体" w:eastAsia="宋体" w:hint="default"/>
          <w:spacing w:val="-60"/>
          <w:sz w:val="24"/>
          <w:szCs w:val="24"/>
        </w:rPr>
        <w:t> </w:t>
      </w: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w:t>
      </w:r>
    </w:p>
    <w:p>
      <w:pPr>
        <w:pStyle w:val="BodyText"/>
        <w:spacing w:line="312" w:lineRule="exact" w:before="28"/>
        <w:ind w:right="252"/>
        <w:jc w:val="left"/>
      </w:pPr>
      <w:r>
        <w:rPr>
          <w:spacing w:val="-40"/>
        </w:rPr>
        <w:t>日，于</w:t>
      </w:r>
      <w:r>
        <w:rPr>
          <w:spacing w:val="-83"/>
        </w:rPr>
        <w:t> </w:t>
      </w:r>
      <w:r>
        <w:rPr/>
        <w:t>2002</w:t>
      </w:r>
      <w:r>
        <w:rPr>
          <w:spacing w:val="-85"/>
        </w:rPr>
        <w:t> </w:t>
      </w:r>
      <w:r>
        <w:rPr>
          <w:spacing w:val="27"/>
        </w:rPr>
        <w:t>年7月3</w:t>
      </w:r>
      <w:r>
        <w:rPr>
          <w:spacing w:val="-83"/>
        </w:rPr>
        <w:t> </w:t>
      </w:r>
      <w:r>
        <w:rPr>
          <w:spacing w:val="-8"/>
        </w:rPr>
        <w:t>日在上海证券交易所上市，注册资本</w:t>
      </w:r>
      <w:r>
        <w:rPr>
          <w:spacing w:val="-83"/>
        </w:rPr>
        <w:t> </w:t>
      </w:r>
      <w:r>
        <w:rPr>
          <w:rFonts w:ascii="Times New Roman" w:hAnsi="Times New Roman" w:cs="Times New Roman" w:eastAsia="Times New Roman" w:hint="default"/>
        </w:rPr>
        <w:t>45,532.57</w:t>
      </w:r>
      <w:r>
        <w:rPr>
          <w:rFonts w:ascii="Times New Roman" w:hAnsi="Times New Roman" w:cs="Times New Roman" w:eastAsia="Times New Roman" w:hint="default"/>
          <w:spacing w:val="-23"/>
        </w:rPr>
        <w:t> </w:t>
      </w:r>
      <w:r>
        <w:rPr>
          <w:spacing w:val="-18"/>
        </w:rPr>
        <w:t>万元，公司持股</w:t>
      </w:r>
      <w:r>
        <w:rPr>
          <w:spacing w:val="-83"/>
        </w:rPr>
        <w:t> </w:t>
      </w:r>
      <w:r>
        <w:rPr/>
        <w:t>22.71%。</w:t>
      </w:r>
      <w:r>
        <w:rPr/>
        <w:t> 泰豪科技主要从事低压发电机组、建筑电气产品、配电设备、军工电源以及光机电一体</w:t>
      </w:r>
      <w:r>
        <w:rPr>
          <w:spacing w:val="-47"/>
        </w:rPr>
        <w:t> </w:t>
      </w:r>
      <w:r>
        <w:rPr>
          <w:spacing w:val="-47"/>
        </w:rPr>
      </w:r>
      <w:r>
        <w:rPr/>
        <w:t>化产品的生产和销售。</w:t>
      </w:r>
    </w:p>
    <w:p>
      <w:pPr>
        <w:spacing w:line="240" w:lineRule="auto" w:before="9"/>
        <w:rPr>
          <w:rFonts w:ascii="宋体" w:hAnsi="宋体" w:cs="宋体" w:eastAsia="宋体" w:hint="default"/>
          <w:sz w:val="21"/>
          <w:szCs w:val="21"/>
        </w:rPr>
      </w:pPr>
    </w:p>
    <w:p>
      <w:pPr>
        <w:pStyle w:val="BodyText"/>
        <w:spacing w:line="237" w:lineRule="auto"/>
        <w:ind w:right="380"/>
        <w:jc w:val="both"/>
      </w:pPr>
      <w:r>
        <w:rPr/>
        <w:t>2010</w:t>
      </w:r>
      <w:r>
        <w:rPr>
          <w:spacing w:val="-40"/>
        </w:rPr>
        <w:t> </w:t>
      </w:r>
      <w:r>
        <w:rPr/>
        <w:t>年，泰豪科技继续围绕“以智能建筑电气为主体，以发电机及电源和装备信息产品</w:t>
      </w:r>
      <w:r>
        <w:rPr/>
        <w:t> 为两翼”的发展战略，抓住国家对合同能源管理的有利机会，积极推动节能服务业务发</w:t>
      </w:r>
      <w:r>
        <w:rPr>
          <w:spacing w:val="-47"/>
        </w:rPr>
        <w:t> </w:t>
      </w:r>
      <w:r>
        <w:rPr>
          <w:spacing w:val="-47"/>
        </w:rPr>
      </w:r>
      <w:r>
        <w:rPr/>
        <w:t>展和新能源产品的应用；同时重点发展电源产品的智能化、静音化和目标市场开拓，并</w:t>
      </w:r>
      <w:r>
        <w:rPr>
          <w:spacing w:val="-47"/>
        </w:rPr>
        <w:t> </w:t>
      </w:r>
      <w:r>
        <w:rPr>
          <w:spacing w:val="-47"/>
        </w:rPr>
      </w:r>
      <w:r>
        <w:rPr/>
        <w:t>进一步推动发电机产品的低成本制造；在装备信息产业方面，在保障军工电站市场优势</w:t>
      </w:r>
      <w:r>
        <w:rPr>
          <w:spacing w:val="-47"/>
        </w:rPr>
        <w:t> </w:t>
      </w:r>
      <w:r>
        <w:rPr>
          <w:spacing w:val="-47"/>
        </w:rPr>
      </w:r>
      <w:r>
        <w:rPr/>
        <w:t>的同时，提升通信产品竞争能力，开拓导航产品应用市场。</w:t>
      </w:r>
    </w:p>
    <w:p>
      <w:pPr>
        <w:spacing w:line="240" w:lineRule="auto" w:before="8"/>
        <w:rPr>
          <w:rFonts w:ascii="宋体" w:hAnsi="宋体" w:cs="宋体" w:eastAsia="宋体" w:hint="default"/>
          <w:sz w:val="23"/>
          <w:szCs w:val="23"/>
        </w:rPr>
      </w:pPr>
    </w:p>
    <w:p>
      <w:pPr>
        <w:pStyle w:val="BodyText"/>
        <w:spacing w:line="240" w:lineRule="auto"/>
        <w:ind w:right="247"/>
        <w:jc w:val="left"/>
      </w:pPr>
      <w:r>
        <w:rPr/>
        <w:t>泰豪科技近三年主要财务数据：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514"/>
        <w:gridCol w:w="1120"/>
        <w:gridCol w:w="3401"/>
        <w:gridCol w:w="1334"/>
      </w:tblGrid>
      <w:tr>
        <w:trPr>
          <w:trHeight w:val="339" w:hRule="exact"/>
        </w:trPr>
        <w:tc>
          <w:tcPr>
            <w:tcW w:w="2102" w:type="dxa"/>
            <w:tcBorders>
              <w:top w:val="single" w:sz="12" w:space="0" w:color="000000"/>
              <w:left w:val="single" w:sz="12"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年度(单位：万元)</w:t>
            </w:r>
            <w:r>
              <w:rPr>
                <w:rFonts w:ascii="宋体" w:hAnsi="宋体" w:cs="宋体" w:eastAsia="宋体" w:hint="default"/>
                <w:sz w:val="21"/>
                <w:szCs w:val="21"/>
              </w:rPr>
            </w:r>
          </w:p>
        </w:tc>
        <w:tc>
          <w:tcPr>
            <w:tcW w:w="1514"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334"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292,513.55</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17.50%</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169,485.17</w:t>
            </w:r>
          </w:p>
        </w:tc>
        <w:tc>
          <w:tcPr>
            <w:tcW w:w="13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485,296.16</w:t>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233,477.89</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20.13%</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167,710.51</w:t>
            </w:r>
          </w:p>
        </w:tc>
        <w:tc>
          <w:tcPr>
            <w:tcW w:w="13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422,256.33</w:t>
            </w:r>
          </w:p>
        </w:tc>
      </w:tr>
      <w:tr>
        <w:trPr>
          <w:trHeight w:val="337" w:hRule="exact"/>
        </w:trPr>
        <w:tc>
          <w:tcPr>
            <w:tcW w:w="2102"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5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224,100.07</w:t>
            </w:r>
          </w:p>
        </w:tc>
        <w:tc>
          <w:tcPr>
            <w:tcW w:w="1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21.02%</w:t>
            </w:r>
          </w:p>
        </w:tc>
        <w:tc>
          <w:tcPr>
            <w:tcW w:w="34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98,145.11</w:t>
            </w:r>
          </w:p>
        </w:tc>
        <w:tc>
          <w:tcPr>
            <w:tcW w:w="1334"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334,180.16</w:t>
            </w:r>
          </w:p>
        </w:tc>
      </w:tr>
    </w:tbl>
    <w:p>
      <w:pPr>
        <w:spacing w:line="240" w:lineRule="auto" w:before="11"/>
        <w:rPr>
          <w:rFonts w:ascii="宋体" w:hAnsi="宋体" w:cs="宋体" w:eastAsia="宋体" w:hint="default"/>
          <w:sz w:val="18"/>
          <w:szCs w:val="18"/>
        </w:rPr>
      </w:pPr>
    </w:p>
    <w:p>
      <w:pPr>
        <w:pStyle w:val="Heading3"/>
        <w:spacing w:line="240" w:lineRule="auto" w:before="26"/>
        <w:ind w:right="247"/>
        <w:jc w:val="left"/>
        <w:rPr>
          <w:b w:val="0"/>
          <w:bCs w:val="0"/>
        </w:rPr>
      </w:pPr>
      <w:r>
        <w:rPr/>
        <w:t>2、同方威视技术股份有限公司</w:t>
      </w:r>
      <w:r>
        <w:rPr>
          <w:b w:val="0"/>
          <w:bCs w:val="0"/>
        </w:rPr>
      </w:r>
    </w:p>
    <w:p>
      <w:pPr>
        <w:spacing w:after="0" w:line="240" w:lineRule="auto"/>
        <w:jc w:val="left"/>
        <w:sectPr>
          <w:pgSz w:w="11910" w:h="16840"/>
          <w:pgMar w:header="610" w:footer="764" w:top="1080" w:bottom="980" w:left="1280" w:right="9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37" w:lineRule="auto" w:before="28"/>
        <w:ind w:right="302"/>
        <w:jc w:val="both"/>
      </w:pPr>
      <w:r>
        <w:rPr/>
        <w:t>同方威视技术股份有限公司成立于</w:t>
      </w:r>
      <w:r>
        <w:rPr>
          <w:spacing w:val="-51"/>
        </w:rPr>
        <w:t> </w:t>
      </w:r>
      <w:r>
        <w:rPr/>
        <w:t>2000</w:t>
      </w:r>
      <w:r>
        <w:rPr>
          <w:spacing w:val="-51"/>
        </w:rPr>
        <w:t> </w:t>
      </w:r>
      <w:r>
        <w:rPr/>
        <w:t>年</w:t>
      </w:r>
      <w:r>
        <w:rPr>
          <w:spacing w:val="-50"/>
        </w:rPr>
        <w:t> </w:t>
      </w:r>
      <w:r>
        <w:rPr/>
        <w:t>12</w:t>
      </w:r>
      <w:r>
        <w:rPr>
          <w:spacing w:val="-51"/>
        </w:rPr>
        <w:t> </w:t>
      </w:r>
      <w:r>
        <w:rPr/>
        <w:t>月</w:t>
      </w:r>
      <w:r>
        <w:rPr>
          <w:spacing w:val="-51"/>
        </w:rPr>
        <w:t> </w:t>
      </w:r>
      <w:r>
        <w:rPr/>
        <w:t>19</w:t>
      </w:r>
      <w:r>
        <w:rPr>
          <w:spacing w:val="-51"/>
        </w:rPr>
        <w:t> </w:t>
      </w:r>
      <w:r>
        <w:rPr/>
        <w:t>日，注册资本</w:t>
      </w:r>
      <w:r>
        <w:rPr>
          <w:spacing w:val="-51"/>
        </w:rPr>
        <w:t> </w:t>
      </w:r>
      <w:r>
        <w:rPr/>
        <w:t>15,000</w:t>
      </w:r>
      <w:r>
        <w:rPr>
          <w:spacing w:val="-50"/>
        </w:rPr>
        <w:t> </w:t>
      </w:r>
      <w:r>
        <w:rPr/>
        <w:t>万元，公司持</w:t>
      </w:r>
      <w:r>
        <w:rPr/>
        <w:t> 股</w:t>
      </w:r>
      <w:r>
        <w:rPr>
          <w:spacing w:val="-43"/>
        </w:rPr>
        <w:t> </w:t>
      </w:r>
      <w:r>
        <w:rPr>
          <w:spacing w:val="-3"/>
        </w:rPr>
        <w:t>76%。同方威视主要生产和销售直线加速器的集装箱/车辆检查系统、集装货物/车辆检</w:t>
      </w:r>
      <w:r>
        <w:rPr>
          <w:spacing w:val="-118"/>
        </w:rPr>
        <w:t> </w:t>
      </w:r>
      <w:r>
        <w:rPr>
          <w:spacing w:val="-118"/>
        </w:rPr>
      </w:r>
      <w:r>
        <w:rPr>
          <w:spacing w:val="-4"/>
        </w:rPr>
        <w:t>查系统、放射性物质监测系统、X</w:t>
      </w:r>
      <w:r>
        <w:rPr>
          <w:spacing w:val="-38"/>
        </w:rPr>
        <w:t> </w:t>
      </w:r>
      <w:r>
        <w:rPr>
          <w:spacing w:val="-3"/>
        </w:rPr>
        <w:t>射线检查系统、邮件电子束灭菌安全系统、铁路车辆检</w:t>
      </w:r>
      <w:r>
        <w:rPr>
          <w:spacing w:val="-115"/>
        </w:rPr>
        <w:t> </w:t>
      </w:r>
      <w:r>
        <w:rPr>
          <w:spacing w:val="-115"/>
        </w:rPr>
      </w:r>
      <w:r>
        <w:rPr/>
        <w:t>查系统、工业无损检测系统、小型物品检查机等系列产品。</w:t>
      </w:r>
    </w:p>
    <w:p>
      <w:pPr>
        <w:spacing w:line="240" w:lineRule="auto" w:before="10"/>
        <w:rPr>
          <w:rFonts w:ascii="宋体" w:hAnsi="宋体" w:cs="宋体" w:eastAsia="宋体" w:hint="default"/>
          <w:sz w:val="23"/>
          <w:szCs w:val="23"/>
        </w:rPr>
      </w:pPr>
    </w:p>
    <w:p>
      <w:pPr>
        <w:pStyle w:val="BodyText"/>
        <w:spacing w:line="237" w:lineRule="auto"/>
        <w:ind w:right="298"/>
        <w:jc w:val="both"/>
      </w:pPr>
      <w:r>
        <w:rPr/>
        <w:t>2010</w:t>
      </w:r>
      <w:r>
        <w:rPr>
          <w:spacing w:val="-40"/>
        </w:rPr>
        <w:t> </w:t>
      </w:r>
      <w:r>
        <w:rPr/>
        <w:t>年，同方威视面对海外市场萎缩、国际贸易摩擦加剧、人民币升值等种种市场不利</w:t>
      </w:r>
      <w:r>
        <w:rPr/>
        <w:t> 因素，积极采取对策开拓开拓航空、场馆、轨道交通、高铁、冶金等新兴行业应用，同</w:t>
      </w:r>
      <w:r>
        <w:rPr>
          <w:spacing w:val="-47"/>
        </w:rPr>
        <w:t> </w:t>
      </w:r>
      <w:r>
        <w:rPr>
          <w:spacing w:val="-47"/>
        </w:rPr>
      </w:r>
      <w:r>
        <w:rPr/>
        <w:t>时通过不断实施技术创新保持了自身的竞争力。本年度，同方威视加大了小型产品的开</w:t>
      </w:r>
      <w:r>
        <w:rPr>
          <w:spacing w:val="-47"/>
        </w:rPr>
        <w:t> </w:t>
      </w:r>
      <w:r>
        <w:rPr>
          <w:spacing w:val="-47"/>
        </w:rPr>
      </w:r>
      <w:r>
        <w:rPr>
          <w:spacing w:val="-11"/>
        </w:rPr>
        <w:t>发力度，众多产品取得了政府和行业部门的认证，其中，“液体安全检查系统”被列入“国</w:t>
      </w:r>
      <w:r>
        <w:rPr>
          <w:spacing w:val="-112"/>
        </w:rPr>
        <w:t> </w:t>
      </w:r>
      <w:r>
        <w:rPr>
          <w:spacing w:val="-112"/>
        </w:rPr>
      </w:r>
      <w:r>
        <w:rPr>
          <w:spacing w:val="-8"/>
        </w:rPr>
        <w:t>家火炬计划”，XT1080CT</w:t>
      </w:r>
      <w:r>
        <w:rPr>
          <w:spacing w:val="-40"/>
        </w:rPr>
        <w:t> </w:t>
      </w:r>
      <w:r>
        <w:rPr/>
        <w:t>型旅客行李爆炸物自动探测系统、CX16580S</w:t>
      </w:r>
      <w:r>
        <w:rPr>
          <w:spacing w:val="-40"/>
        </w:rPr>
        <w:t> </w:t>
      </w:r>
      <w:r>
        <w:rPr/>
        <w:t>旅客行李</w:t>
      </w:r>
      <w:r>
        <w:rPr>
          <w:spacing w:val="-40"/>
        </w:rPr>
        <w:t> </w:t>
      </w:r>
      <w:r>
        <w:rPr/>
        <w:t>X</w:t>
      </w:r>
      <w:r>
        <w:rPr>
          <w:spacing w:val="-40"/>
        </w:rPr>
        <w:t> </w:t>
      </w:r>
      <w:r>
        <w:rPr/>
        <w:t>射线安</w:t>
      </w:r>
      <w:r>
        <w:rPr/>
        <w:t> 全检查设备和</w:t>
      </w:r>
      <w:r>
        <w:rPr>
          <w:spacing w:val="-53"/>
        </w:rPr>
        <w:t> </w:t>
      </w:r>
      <w:r>
        <w:rPr/>
        <w:t>CX8380S</w:t>
      </w:r>
      <w:r>
        <w:rPr>
          <w:spacing w:val="-53"/>
        </w:rPr>
        <w:t> </w:t>
      </w:r>
      <w:r>
        <w:rPr/>
        <w:t>旅客行李</w:t>
      </w:r>
      <w:r>
        <w:rPr>
          <w:spacing w:val="-53"/>
        </w:rPr>
        <w:t> </w:t>
      </w:r>
      <w:r>
        <w:rPr/>
        <w:t>X 射线安全检查设备均获得了我国民航安检设备使用许</w:t>
      </w:r>
      <w:r>
        <w:rPr/>
        <w:t> </w:t>
      </w:r>
      <w:r>
        <w:rPr>
          <w:spacing w:val="-4"/>
        </w:rPr>
        <w:t>可。同方威视与清华大学共同承担的首都机场“MB1215BS</w:t>
      </w:r>
      <w:r>
        <w:rPr>
          <w:spacing w:val="-48"/>
        </w:rPr>
        <w:t> </w:t>
      </w:r>
      <w:r>
        <w:rPr/>
        <w:t>组合移动式双能双视角集装箱/</w:t>
      </w:r>
      <w:r>
        <w:rPr>
          <w:spacing w:val="-117"/>
        </w:rPr>
        <w:t> </w:t>
      </w:r>
      <w:r>
        <w:rPr>
          <w:spacing w:val="-117"/>
        </w:rPr>
      </w:r>
      <w:r>
        <w:rPr/>
        <w:t>车辆检查系统”项目还获得了北京市首批“政府采购中关村自主创新产品首台(套)重大</w:t>
      </w:r>
      <w:r>
        <w:rPr>
          <w:spacing w:val="-45"/>
        </w:rPr>
        <w:t> </w:t>
      </w:r>
      <w:r>
        <w:rPr>
          <w:spacing w:val="-45"/>
        </w:rPr>
      </w:r>
      <w:r>
        <w:rPr/>
        <w:t>技术装备示范项目”认定，被认定为首台(套)重大技术装备示范的项目。</w:t>
      </w:r>
    </w:p>
    <w:p>
      <w:pPr>
        <w:spacing w:line="240" w:lineRule="auto" w:before="8"/>
        <w:rPr>
          <w:rFonts w:ascii="宋体" w:hAnsi="宋体" w:cs="宋体" w:eastAsia="宋体" w:hint="default"/>
          <w:sz w:val="23"/>
          <w:szCs w:val="23"/>
        </w:rPr>
      </w:pPr>
    </w:p>
    <w:p>
      <w:pPr>
        <w:pStyle w:val="BodyText"/>
        <w:spacing w:line="240" w:lineRule="auto"/>
        <w:ind w:right="0"/>
        <w:jc w:val="both"/>
      </w:pPr>
      <w:r>
        <w:rPr/>
        <w:t>同方威视近三年主要财务数据：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160"/>
        <w:gridCol w:w="1120"/>
        <w:gridCol w:w="3401"/>
        <w:gridCol w:w="1413"/>
      </w:tblGrid>
      <w:tr>
        <w:trPr>
          <w:trHeight w:val="339" w:hRule="exact"/>
        </w:trPr>
        <w:tc>
          <w:tcPr>
            <w:tcW w:w="2102"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6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413"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380"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185,436.26</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30.41%</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120,227.55</w:t>
            </w:r>
          </w:p>
        </w:tc>
        <w:tc>
          <w:tcPr>
            <w:tcW w:w="141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left="349" w:right="0"/>
              <w:jc w:val="left"/>
              <w:rPr>
                <w:rFonts w:ascii="Times New Roman" w:hAnsi="Times New Roman" w:cs="Times New Roman" w:eastAsia="Times New Roman" w:hint="default"/>
                <w:sz w:val="21"/>
                <w:szCs w:val="21"/>
              </w:rPr>
            </w:pPr>
            <w:r>
              <w:rPr>
                <w:rFonts w:ascii="Times New Roman"/>
                <w:sz w:val="21"/>
              </w:rPr>
              <w:t>341,391.54</w:t>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175,176.24</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23.53%</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110,006.70</w:t>
            </w:r>
          </w:p>
        </w:tc>
        <w:tc>
          <w:tcPr>
            <w:tcW w:w="141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left="349" w:right="0"/>
              <w:jc w:val="left"/>
              <w:rPr>
                <w:rFonts w:ascii="Times New Roman" w:hAnsi="Times New Roman" w:cs="Times New Roman" w:eastAsia="Times New Roman" w:hint="default"/>
                <w:sz w:val="21"/>
                <w:szCs w:val="21"/>
              </w:rPr>
            </w:pPr>
            <w:r>
              <w:rPr>
                <w:rFonts w:ascii="Times New Roman"/>
                <w:sz w:val="21"/>
              </w:rPr>
              <w:t>329,491.01</w:t>
            </w:r>
          </w:p>
        </w:tc>
      </w:tr>
      <w:tr>
        <w:trPr>
          <w:trHeight w:val="337" w:hRule="exact"/>
        </w:trPr>
        <w:tc>
          <w:tcPr>
            <w:tcW w:w="2102"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243,912.54</w:t>
            </w:r>
          </w:p>
        </w:tc>
        <w:tc>
          <w:tcPr>
            <w:tcW w:w="1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25.86%</w:t>
            </w:r>
          </w:p>
        </w:tc>
        <w:tc>
          <w:tcPr>
            <w:tcW w:w="34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98,337.05</w:t>
            </w:r>
          </w:p>
        </w:tc>
        <w:tc>
          <w:tcPr>
            <w:tcW w:w="1413"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left="350" w:right="0"/>
              <w:jc w:val="left"/>
              <w:rPr>
                <w:rFonts w:ascii="Times New Roman" w:hAnsi="Times New Roman" w:cs="Times New Roman" w:eastAsia="Times New Roman" w:hint="default"/>
                <w:sz w:val="21"/>
                <w:szCs w:val="21"/>
              </w:rPr>
            </w:pPr>
            <w:r>
              <w:rPr>
                <w:rFonts w:ascii="Times New Roman"/>
                <w:sz w:val="21"/>
              </w:rPr>
              <w:t>320,907.93</w:t>
            </w:r>
          </w:p>
        </w:tc>
      </w:tr>
    </w:tbl>
    <w:p>
      <w:pPr>
        <w:spacing w:line="240" w:lineRule="auto" w:before="11"/>
        <w:rPr>
          <w:rFonts w:ascii="宋体" w:hAnsi="宋体" w:cs="宋体" w:eastAsia="宋体" w:hint="default"/>
          <w:sz w:val="18"/>
          <w:szCs w:val="18"/>
        </w:rPr>
      </w:pPr>
    </w:p>
    <w:p>
      <w:pPr>
        <w:pStyle w:val="Heading3"/>
        <w:spacing w:line="240" w:lineRule="auto" w:before="26"/>
        <w:ind w:right="0"/>
        <w:jc w:val="both"/>
        <w:rPr>
          <w:b w:val="0"/>
          <w:bCs w:val="0"/>
        </w:rPr>
      </w:pPr>
      <w:r>
        <w:rPr/>
        <w:t>3、北京同方微电子有限公司</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300"/>
        <w:jc w:val="both"/>
      </w:pPr>
      <w:r>
        <w:rPr/>
        <w:t>北京同方微电子有限公司成立于</w:t>
      </w:r>
      <w:r>
        <w:rPr>
          <w:spacing w:val="-63"/>
        </w:rPr>
        <w:t> </w:t>
      </w:r>
      <w:r>
        <w:rPr/>
        <w:t>2001</w:t>
      </w:r>
      <w:r>
        <w:rPr>
          <w:spacing w:val="-63"/>
        </w:rPr>
        <w:t> </w:t>
      </w:r>
      <w:r>
        <w:rPr/>
        <w:t>年</w:t>
      </w:r>
      <w:r>
        <w:rPr>
          <w:spacing w:val="-63"/>
        </w:rPr>
        <w:t> </w:t>
      </w:r>
      <w:r>
        <w:rPr/>
        <w:t>12</w:t>
      </w:r>
      <w:r>
        <w:rPr>
          <w:spacing w:val="-63"/>
        </w:rPr>
        <w:t> </w:t>
      </w:r>
      <w:r>
        <w:rPr>
          <w:spacing w:val="-7"/>
        </w:rPr>
        <w:t>月，注册资本</w:t>
      </w:r>
      <w:r>
        <w:rPr>
          <w:spacing w:val="-63"/>
        </w:rPr>
        <w:t> </w:t>
      </w:r>
      <w:r>
        <w:rPr/>
        <w:t>3,160</w:t>
      </w:r>
      <w:r>
        <w:rPr>
          <w:spacing w:val="-63"/>
        </w:rPr>
        <w:t> </w:t>
      </w:r>
      <w:r>
        <w:rPr>
          <w:spacing w:val="-6"/>
        </w:rPr>
        <w:t>万元，公司持股</w:t>
      </w:r>
      <w:r>
        <w:rPr>
          <w:spacing w:val="-63"/>
        </w:rPr>
        <w:t> </w:t>
      </w:r>
      <w:r>
        <w:rPr>
          <w:spacing w:val="-7"/>
        </w:rPr>
        <w:t>86%。同</w:t>
      </w:r>
      <w:r>
        <w:rPr/>
        <w:t> 方微电子主要从事集成电路设计及配套系统的产品开发，主要产品包括第二代居民身份</w:t>
      </w:r>
      <w:r>
        <w:rPr>
          <w:spacing w:val="-47"/>
        </w:rPr>
        <w:t> </w:t>
      </w:r>
      <w:r>
        <w:rPr>
          <w:spacing w:val="-47"/>
        </w:rPr>
      </w:r>
      <w:r>
        <w:rPr/>
        <w:t>证芯片、接触式/非接触式</w:t>
      </w:r>
      <w:r>
        <w:rPr>
          <w:spacing w:val="-60"/>
        </w:rPr>
        <w:t> </w:t>
      </w:r>
      <w:r>
        <w:rPr/>
        <w:t>CPU</w:t>
      </w:r>
      <w:r>
        <w:rPr>
          <w:spacing w:val="-60"/>
        </w:rPr>
        <w:t> </w:t>
      </w:r>
      <w:r>
        <w:rPr/>
        <w:t>卡芯片、RFID</w:t>
      </w:r>
      <w:r>
        <w:rPr>
          <w:spacing w:val="-60"/>
        </w:rPr>
        <w:t> </w:t>
      </w:r>
      <w:r>
        <w:rPr/>
        <w:t>芯片等相关产品。</w:t>
      </w:r>
    </w:p>
    <w:p>
      <w:pPr>
        <w:spacing w:line="240" w:lineRule="auto" w:before="11"/>
        <w:rPr>
          <w:rFonts w:ascii="宋体" w:hAnsi="宋体" w:cs="宋体" w:eastAsia="宋体" w:hint="default"/>
          <w:sz w:val="23"/>
          <w:szCs w:val="23"/>
        </w:rPr>
      </w:pPr>
    </w:p>
    <w:p>
      <w:pPr>
        <w:pStyle w:val="BodyText"/>
        <w:spacing w:line="237" w:lineRule="auto"/>
        <w:ind w:right="300"/>
        <w:jc w:val="both"/>
      </w:pPr>
      <w:r>
        <w:rPr/>
        <w:t>2010</w:t>
      </w:r>
      <w:r>
        <w:rPr>
          <w:spacing w:val="-40"/>
        </w:rPr>
        <w:t> </w:t>
      </w:r>
      <w:r>
        <w:rPr/>
        <w:t>年，同方微电子继续专注于智能卡芯片的设计开发工作，并不断加大投入，在电信</w:t>
      </w:r>
      <w:r>
        <w:rPr/>
        <w:t> SIM</w:t>
      </w:r>
      <w:r>
        <w:rPr>
          <w:spacing w:val="-55"/>
        </w:rPr>
        <w:t> </w:t>
      </w:r>
      <w:r>
        <w:rPr>
          <w:spacing w:val="-4"/>
        </w:rPr>
        <w:t>卡芯片、金融支付芯片、信息安全芯片等方面实施技术创新，通过产品线的延伸与拓</w:t>
      </w:r>
      <w:r>
        <w:rPr>
          <w:spacing w:val="-115"/>
        </w:rPr>
        <w:t> </w:t>
      </w:r>
      <w:r>
        <w:rPr>
          <w:spacing w:val="-115"/>
        </w:rPr>
      </w:r>
      <w:r>
        <w:rPr/>
        <w:t>展，保证了收入与利润的持续增长。本年度，随着银行</w:t>
      </w:r>
      <w:r>
        <w:rPr>
          <w:spacing w:val="-79"/>
        </w:rPr>
        <w:t> </w:t>
      </w:r>
      <w:r>
        <w:rPr/>
        <w:t>IC</w:t>
      </w:r>
      <w:r>
        <w:rPr>
          <w:spacing w:val="-79"/>
        </w:rPr>
        <w:t> </w:t>
      </w:r>
      <w:r>
        <w:rPr/>
        <w:t>卡的启动，同方微电子研发了</w:t>
      </w:r>
      <w:r>
        <w:rPr/>
        <w:t> 适合多应用的双界面银行卡芯片，并配合人民银行和银联建立中国的银行卡芯片安全认</w:t>
      </w:r>
      <w:r>
        <w:rPr>
          <w:spacing w:val="-47"/>
        </w:rPr>
        <w:t> </w:t>
      </w:r>
      <w:r>
        <w:rPr>
          <w:spacing w:val="-47"/>
        </w:rPr>
      </w:r>
      <w:r>
        <w:rPr/>
        <w:t>证体系。报告期内，同方微电子的首款</w:t>
      </w:r>
      <w:r>
        <w:rPr>
          <w:spacing w:val="-79"/>
        </w:rPr>
        <w:t> </w:t>
      </w:r>
      <w:r>
        <w:rPr/>
        <w:t>USBKey</w:t>
      </w:r>
      <w:r>
        <w:rPr>
          <w:spacing w:val="-79"/>
        </w:rPr>
        <w:t> </w:t>
      </w:r>
      <w:r>
        <w:rPr/>
        <w:t>芯片产品、社保卡芯片产品、交通卡芯片</w:t>
      </w:r>
      <w:r>
        <w:rPr/>
        <w:t> 产品还均已经获得国密局的审批，并已实现批量供货。在由工信部主办的“2010</w:t>
      </w:r>
      <w:r>
        <w:rPr>
          <w:spacing w:val="-40"/>
        </w:rPr>
        <w:t> </w:t>
      </w:r>
      <w:r>
        <w:rPr/>
        <w:t>中国集</w:t>
      </w:r>
      <w:r>
        <w:rPr/>
        <w:t> </w:t>
      </w:r>
      <w:r>
        <w:rPr>
          <w:spacing w:val="-1"/>
        </w:rPr>
        <w:t>成电路产业促进大会暨第五届‘中国芯’颁奖典礼”中，同方微电子荣获了“2001-2010</w:t>
      </w:r>
      <w:r>
        <w:rPr/>
        <w:t> </w:t>
      </w:r>
      <w:r>
        <w:rPr>
          <w:spacing w:val="-9"/>
        </w:rPr>
        <w:t>十年中国芯优秀设计企业奖”。</w:t>
      </w:r>
    </w:p>
    <w:p>
      <w:pPr>
        <w:spacing w:line="240" w:lineRule="auto" w:before="7"/>
        <w:rPr>
          <w:rFonts w:ascii="宋体" w:hAnsi="宋体" w:cs="宋体" w:eastAsia="宋体" w:hint="default"/>
          <w:sz w:val="23"/>
          <w:szCs w:val="23"/>
        </w:rPr>
      </w:pPr>
    </w:p>
    <w:p>
      <w:pPr>
        <w:pStyle w:val="BodyText"/>
        <w:spacing w:line="240" w:lineRule="auto"/>
        <w:ind w:right="0"/>
        <w:jc w:val="both"/>
      </w:pPr>
      <w:r>
        <w:rPr/>
        <w:t>同方微电子近三年主要财务数据：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401"/>
        <w:gridCol w:w="1419"/>
      </w:tblGrid>
      <w:tr>
        <w:trPr>
          <w:trHeight w:val="340" w:hRule="exact"/>
        </w:trPr>
        <w:tc>
          <w:tcPr>
            <w:tcW w:w="2102"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419"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1"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76" w:right="0"/>
              <w:jc w:val="left"/>
              <w:rPr>
                <w:rFonts w:ascii="Times New Roman" w:hAnsi="Times New Roman" w:cs="Times New Roman" w:eastAsia="Times New Roman" w:hint="default"/>
                <w:sz w:val="21"/>
                <w:szCs w:val="21"/>
              </w:rPr>
            </w:pPr>
            <w:r>
              <w:rPr>
                <w:rFonts w:ascii="Times New Roman"/>
                <w:sz w:val="21"/>
              </w:rPr>
              <w:t>34,428.56</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31.62%</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52,067.09</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69,621.36</w:t>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76" w:right="0"/>
              <w:jc w:val="left"/>
              <w:rPr>
                <w:rFonts w:ascii="Times New Roman" w:hAnsi="Times New Roman" w:cs="Times New Roman" w:eastAsia="Times New Roman" w:hint="default"/>
                <w:sz w:val="21"/>
                <w:szCs w:val="21"/>
              </w:rPr>
            </w:pPr>
            <w:r>
              <w:rPr>
                <w:rFonts w:ascii="Times New Roman"/>
                <w:sz w:val="21"/>
              </w:rPr>
              <w:t>45,005.68</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38.07%</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44,904.80</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69,208.45</w:t>
            </w:r>
          </w:p>
        </w:tc>
      </w:tr>
      <w:tr>
        <w:trPr>
          <w:trHeight w:val="338" w:hRule="exact"/>
        </w:trPr>
        <w:tc>
          <w:tcPr>
            <w:tcW w:w="2102"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3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376" w:right="0"/>
              <w:jc w:val="left"/>
              <w:rPr>
                <w:rFonts w:ascii="Times New Roman" w:hAnsi="Times New Roman" w:cs="Times New Roman" w:eastAsia="Times New Roman" w:hint="default"/>
                <w:sz w:val="21"/>
                <w:szCs w:val="21"/>
              </w:rPr>
            </w:pPr>
            <w:r>
              <w:rPr>
                <w:rFonts w:ascii="Times New Roman"/>
                <w:sz w:val="21"/>
              </w:rPr>
              <w:t>39,666.52</w:t>
            </w:r>
          </w:p>
        </w:tc>
        <w:tc>
          <w:tcPr>
            <w:tcW w:w="1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39.31%</w:t>
            </w:r>
          </w:p>
        </w:tc>
        <w:tc>
          <w:tcPr>
            <w:tcW w:w="34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34,697.43</w:t>
            </w:r>
          </w:p>
        </w:tc>
        <w:tc>
          <w:tcPr>
            <w:tcW w:w="141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63,889.88</w:t>
            </w:r>
          </w:p>
        </w:tc>
      </w:tr>
    </w:tbl>
    <w:p>
      <w:pPr>
        <w:spacing w:after="0" w:line="240" w:lineRule="auto"/>
        <w:jc w:val="right"/>
        <w:rPr>
          <w:rFonts w:ascii="Times New Roman" w:hAnsi="Times New Roman" w:cs="Times New Roman" w:eastAsia="Times New Roman" w:hint="default"/>
          <w:sz w:val="21"/>
          <w:szCs w:val="21"/>
        </w:rPr>
        <w:sectPr>
          <w:pgSz w:w="11910" w:h="16840"/>
          <w:pgMar w:header="610" w:footer="764" w:top="1080" w:bottom="98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26"/>
        <w:ind w:right="179"/>
        <w:jc w:val="left"/>
        <w:rPr>
          <w:b w:val="0"/>
          <w:bCs w:val="0"/>
        </w:rPr>
      </w:pPr>
      <w:r>
        <w:rPr/>
        <w:t>4、同方工业有限公司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300"/>
        <w:jc w:val="both"/>
      </w:pPr>
      <w:r>
        <w:rPr/>
        <w:t>同方工业有限公司系公司以江西无线电厂为主体于</w:t>
      </w:r>
      <w:r>
        <w:rPr>
          <w:spacing w:val="-70"/>
        </w:rPr>
        <w:t> </w:t>
      </w:r>
      <w:r>
        <w:rPr/>
        <w:t>2006</w:t>
      </w:r>
      <w:r>
        <w:rPr>
          <w:spacing w:val="-70"/>
        </w:rPr>
        <w:t> </w:t>
      </w:r>
      <w:r>
        <w:rPr/>
        <w:t>年</w:t>
      </w:r>
      <w:r>
        <w:rPr>
          <w:spacing w:val="-70"/>
        </w:rPr>
        <w:t> </w:t>
      </w:r>
      <w:r>
        <w:rPr/>
        <w:t>9</w:t>
      </w:r>
      <w:r>
        <w:rPr>
          <w:spacing w:val="-70"/>
        </w:rPr>
        <w:t> </w:t>
      </w:r>
      <w:r>
        <w:rPr/>
        <w:t>月新组建的专业从事军工产</w:t>
      </w:r>
      <w:r>
        <w:rPr/>
        <w:t> 业的公司，注册资本为</w:t>
      </w:r>
      <w:r>
        <w:rPr>
          <w:spacing w:val="-53"/>
        </w:rPr>
        <w:t> </w:t>
      </w:r>
      <w:r>
        <w:rPr/>
        <w:t>4</w:t>
      </w:r>
      <w:r>
        <w:rPr>
          <w:spacing w:val="-53"/>
        </w:rPr>
        <w:t> </w:t>
      </w:r>
      <w:r>
        <w:rPr/>
        <w:t>亿元，公司持股</w:t>
      </w:r>
      <w:r>
        <w:rPr>
          <w:spacing w:val="-53"/>
        </w:rPr>
        <w:t> </w:t>
      </w:r>
      <w:r>
        <w:rPr/>
        <w:t>100%。同方工业公司目前主要投资了全资子公</w:t>
      </w:r>
      <w:r>
        <w:rPr/>
        <w:t> 司江西无线电厂和九江同方江新造船有限公司，其中，江西无线电厂主要从事军用民用</w:t>
      </w:r>
      <w:r>
        <w:rPr>
          <w:spacing w:val="-47"/>
        </w:rPr>
        <w:t> </w:t>
      </w:r>
      <w:r>
        <w:rPr>
          <w:spacing w:val="-47"/>
        </w:rPr>
      </w:r>
      <w:r>
        <w:rPr/>
        <w:t>通讯设备、电子产品的制造；江新造船公司主要从事军民用船舶的制造。</w:t>
      </w:r>
    </w:p>
    <w:p>
      <w:pPr>
        <w:spacing w:line="240" w:lineRule="auto" w:before="11"/>
        <w:rPr>
          <w:rFonts w:ascii="宋体" w:hAnsi="宋体" w:cs="宋体" w:eastAsia="宋体" w:hint="default"/>
          <w:sz w:val="23"/>
          <w:szCs w:val="23"/>
        </w:rPr>
      </w:pPr>
    </w:p>
    <w:p>
      <w:pPr>
        <w:pStyle w:val="BodyText"/>
        <w:spacing w:line="237" w:lineRule="auto"/>
        <w:ind w:right="179"/>
        <w:jc w:val="left"/>
      </w:pPr>
      <w:r>
        <w:rPr/>
        <w:t>2010</w:t>
      </w:r>
      <w:r>
        <w:rPr>
          <w:spacing w:val="-40"/>
        </w:rPr>
        <w:t> </w:t>
      </w:r>
      <w:r>
        <w:rPr/>
        <w:t>年，同方工业对内外资源进行了深度优化整合，积极实施产业结构调整，坚持以作</w:t>
      </w:r>
      <w:r>
        <w:rPr/>
        <w:t> </w:t>
      </w:r>
      <w:r>
        <w:rPr>
          <w:spacing w:val="-2"/>
        </w:rPr>
        <w:t>战对象为目标，以作战需求为牵引的发展战略，快速响应用户需求，实现了业绩的增长。</w:t>
      </w:r>
      <w:r>
        <w:rPr>
          <w:spacing w:val="-84"/>
        </w:rPr>
        <w:t> </w:t>
      </w:r>
      <w:r>
        <w:rPr>
          <w:spacing w:val="-84"/>
        </w:rPr>
      </w:r>
      <w:r>
        <w:rPr/>
        <w:t>本年度，同方工业紧紧把握十一五研制项目的完成和装备升级换代的市场机遇，重点发</w:t>
      </w:r>
      <w:r>
        <w:rPr>
          <w:spacing w:val="-47"/>
        </w:rPr>
        <w:t> </w:t>
      </w:r>
      <w:r>
        <w:rPr>
          <w:spacing w:val="-47"/>
        </w:rPr>
      </w:r>
      <w:r>
        <w:rPr/>
        <w:t>展以通信、技侦、电子对抗、卫星导航定位等为核心的电子信息系统与装备业务，承接</w:t>
      </w:r>
      <w:r>
        <w:rPr>
          <w:spacing w:val="-47"/>
        </w:rPr>
        <w:t> </w:t>
      </w:r>
      <w:r>
        <w:rPr>
          <w:spacing w:val="-47"/>
        </w:rPr>
      </w:r>
      <w:r>
        <w:rPr/>
        <w:t>了许多重点工程任务，同时开拓装备修理、器材供应、技术培训、战时与重大任务保障</w:t>
      </w:r>
      <w:r>
        <w:rPr>
          <w:spacing w:val="-47"/>
        </w:rPr>
        <w:t> </w:t>
      </w:r>
      <w:r>
        <w:rPr>
          <w:spacing w:val="-47"/>
        </w:rPr>
      </w:r>
      <w:r>
        <w:rPr/>
        <w:t>等技术服务类业务，率先在全国军工电子领域里探索并建立了具有新军事变革理念和模</w:t>
      </w:r>
      <w:r>
        <w:rPr>
          <w:spacing w:val="-47"/>
        </w:rPr>
        <w:t> </w:t>
      </w:r>
      <w:r>
        <w:rPr>
          <w:spacing w:val="-47"/>
        </w:rPr>
      </w:r>
      <w:r>
        <w:rPr/>
        <w:t>式的寓军于民的军民一体化技术保障体系，为我军的信息化装备提供了有力保障，得到</w:t>
      </w:r>
      <w:r>
        <w:rPr>
          <w:spacing w:val="-47"/>
        </w:rPr>
        <w:t> </w:t>
      </w:r>
      <w:r>
        <w:rPr>
          <w:spacing w:val="-47"/>
        </w:rPr>
      </w:r>
      <w:r>
        <w:rPr/>
        <w:t>了军方的充分肯定。</w:t>
      </w:r>
    </w:p>
    <w:p>
      <w:pPr>
        <w:spacing w:line="240" w:lineRule="auto" w:before="8"/>
        <w:rPr>
          <w:rFonts w:ascii="宋体" w:hAnsi="宋体" w:cs="宋体" w:eastAsia="宋体" w:hint="default"/>
          <w:sz w:val="23"/>
          <w:szCs w:val="23"/>
        </w:rPr>
      </w:pPr>
    </w:p>
    <w:p>
      <w:pPr>
        <w:pStyle w:val="BodyText"/>
        <w:spacing w:line="240" w:lineRule="auto"/>
        <w:ind w:right="179"/>
        <w:jc w:val="left"/>
      </w:pPr>
      <w:r>
        <w:rPr/>
        <w:t>工业公司近三年主要财务数据：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401"/>
        <w:gridCol w:w="1419"/>
      </w:tblGrid>
      <w:tr>
        <w:trPr>
          <w:trHeight w:val="339" w:hRule="exact"/>
        </w:trPr>
        <w:tc>
          <w:tcPr>
            <w:tcW w:w="2102"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419"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132,692.34</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16.37%</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54,204.39</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left="356" w:right="0"/>
              <w:jc w:val="left"/>
              <w:rPr>
                <w:rFonts w:ascii="Times New Roman" w:hAnsi="Times New Roman" w:cs="Times New Roman" w:eastAsia="Times New Roman" w:hint="default"/>
                <w:sz w:val="21"/>
                <w:szCs w:val="21"/>
              </w:rPr>
            </w:pPr>
            <w:r>
              <w:rPr>
                <w:rFonts w:ascii="Times New Roman"/>
                <w:sz w:val="21"/>
              </w:rPr>
              <w:t>167,290.92</w:t>
            </w:r>
          </w:p>
        </w:tc>
      </w:tr>
      <w:tr>
        <w:trPr>
          <w:trHeight w:val="331"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85,400.80</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13.13%</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56,363.15</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left="355" w:right="0"/>
              <w:jc w:val="left"/>
              <w:rPr>
                <w:rFonts w:ascii="Times New Roman" w:hAnsi="Times New Roman" w:cs="Times New Roman" w:eastAsia="Times New Roman" w:hint="default"/>
                <w:sz w:val="21"/>
                <w:szCs w:val="21"/>
              </w:rPr>
            </w:pPr>
            <w:r>
              <w:rPr>
                <w:rFonts w:ascii="Times New Roman"/>
                <w:sz w:val="21"/>
              </w:rPr>
              <w:t>184,848.96</w:t>
            </w:r>
          </w:p>
        </w:tc>
      </w:tr>
      <w:tr>
        <w:trPr>
          <w:trHeight w:val="338" w:hRule="exact"/>
        </w:trPr>
        <w:tc>
          <w:tcPr>
            <w:tcW w:w="2102"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3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86,504.92</w:t>
            </w:r>
          </w:p>
        </w:tc>
        <w:tc>
          <w:tcPr>
            <w:tcW w:w="1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21.24%</w:t>
            </w:r>
          </w:p>
        </w:tc>
        <w:tc>
          <w:tcPr>
            <w:tcW w:w="34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52,832.07</w:t>
            </w:r>
          </w:p>
        </w:tc>
        <w:tc>
          <w:tcPr>
            <w:tcW w:w="141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left="355" w:right="0"/>
              <w:jc w:val="left"/>
              <w:rPr>
                <w:rFonts w:ascii="Times New Roman" w:hAnsi="Times New Roman" w:cs="Times New Roman" w:eastAsia="Times New Roman" w:hint="default"/>
                <w:sz w:val="21"/>
                <w:szCs w:val="21"/>
              </w:rPr>
            </w:pPr>
            <w:r>
              <w:rPr>
                <w:rFonts w:ascii="Times New Roman"/>
                <w:sz w:val="21"/>
              </w:rPr>
              <w:t>161,996.74</w:t>
            </w:r>
          </w:p>
        </w:tc>
      </w:tr>
    </w:tbl>
    <w:p>
      <w:pPr>
        <w:spacing w:line="240" w:lineRule="auto" w:before="10"/>
        <w:rPr>
          <w:rFonts w:ascii="宋体" w:hAnsi="宋体" w:cs="宋体" w:eastAsia="宋体" w:hint="default"/>
          <w:sz w:val="18"/>
          <w:szCs w:val="18"/>
        </w:rPr>
      </w:pPr>
    </w:p>
    <w:p>
      <w:pPr>
        <w:pStyle w:val="Heading3"/>
        <w:spacing w:line="240" w:lineRule="auto" w:before="26"/>
        <w:ind w:right="179"/>
        <w:jc w:val="left"/>
        <w:rPr>
          <w:b w:val="0"/>
          <w:bCs w:val="0"/>
        </w:rPr>
      </w:pPr>
      <w:r>
        <w:rPr/>
        <w:t>5、同方知网(北京)技术有限公司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79"/>
        <w:jc w:val="left"/>
      </w:pPr>
      <w:r>
        <w:rPr/>
        <w:t>同方知网注册资本</w:t>
      </w:r>
      <w:r>
        <w:rPr>
          <w:spacing w:val="-53"/>
        </w:rPr>
        <w:t> </w:t>
      </w:r>
      <w:r>
        <w:rPr/>
        <w:t>100</w:t>
      </w:r>
      <w:r>
        <w:rPr>
          <w:spacing w:val="-53"/>
        </w:rPr>
        <w:t> </w:t>
      </w:r>
      <w:r>
        <w:rPr/>
        <w:t>万美元，公司合并持股</w:t>
      </w:r>
      <w:r>
        <w:rPr>
          <w:spacing w:val="-53"/>
        </w:rPr>
        <w:t> </w:t>
      </w:r>
      <w:r>
        <w:rPr/>
        <w:t>100%，系公司为推动互联网业务的国际化</w:t>
      </w:r>
      <w:r>
        <w:rPr/>
        <w:t> 进程，通过海外投资平台 ResuccessInvestmentsLimited</w:t>
      </w:r>
      <w:r>
        <w:rPr>
          <w:spacing w:val="-40"/>
        </w:rPr>
        <w:t> </w:t>
      </w:r>
      <w:r>
        <w:rPr/>
        <w:t>设立的面向全球市场的互联网</w:t>
      </w:r>
      <w:r>
        <w:rPr/>
        <w:t> </w:t>
      </w:r>
      <w:r>
        <w:rPr>
          <w:spacing w:val="-2"/>
        </w:rPr>
        <w:t>技术开发公司，同方知网主要从事互联网出版与服务业务，目前已经形成了“中国知网”</w:t>
      </w:r>
      <w:r>
        <w:rPr>
          <w:spacing w:val="-84"/>
        </w:rPr>
        <w:t> </w:t>
      </w:r>
      <w:r>
        <w:rPr>
          <w:spacing w:val="-84"/>
        </w:rPr>
      </w:r>
      <w:r>
        <w:rPr>
          <w:spacing w:val="-10"/>
        </w:rPr>
        <w:t>(CNKI)门户网站，为用户提供《中国知识资源总库》、《中国学术期刊数据库》、《中国博</w:t>
      </w:r>
      <w:r>
        <w:rPr>
          <w:spacing w:val="-102"/>
        </w:rPr>
        <w:t> </w:t>
      </w:r>
      <w:r>
        <w:rPr>
          <w:spacing w:val="-102"/>
        </w:rPr>
      </w:r>
      <w:r>
        <w:rPr>
          <w:spacing w:val="-13"/>
        </w:rPr>
        <w:t>硕士论文数据库》、《中国年鉴全文数据库》、《中国工具书网络出版总库》等一系列产品，</w:t>
      </w:r>
      <w:r>
        <w:rPr>
          <w:spacing w:val="-109"/>
        </w:rPr>
        <w:t> </w:t>
      </w:r>
      <w:r>
        <w:rPr>
          <w:spacing w:val="-109"/>
        </w:rPr>
      </w:r>
      <w:r>
        <w:rPr/>
        <w:t>以及知识资源互联网搜索、共享和网络出版服务。</w:t>
      </w:r>
    </w:p>
    <w:p>
      <w:pPr>
        <w:spacing w:line="240" w:lineRule="auto" w:before="11"/>
        <w:rPr>
          <w:rFonts w:ascii="宋体" w:hAnsi="宋体" w:cs="宋体" w:eastAsia="宋体" w:hint="default"/>
          <w:sz w:val="23"/>
          <w:szCs w:val="23"/>
        </w:rPr>
      </w:pPr>
    </w:p>
    <w:p>
      <w:pPr>
        <w:pStyle w:val="BodyText"/>
        <w:spacing w:line="237" w:lineRule="auto"/>
        <w:ind w:right="300"/>
        <w:jc w:val="both"/>
      </w:pPr>
      <w:r>
        <w:rPr/>
        <w:t>2010</w:t>
      </w:r>
      <w:r>
        <w:rPr>
          <w:spacing w:val="-40"/>
        </w:rPr>
        <w:t> </w:t>
      </w:r>
      <w:r>
        <w:rPr/>
        <w:t>年，同方知网把握数字出版产业兴起带来的市场机会，坚持专注于学术文献出版和</w:t>
      </w:r>
      <w:r>
        <w:rPr/>
        <w:t> 知识服务业务领域，不断拓展知识资源，集成整合出版规模，协调产业链利益关系，提</w:t>
      </w:r>
      <w:r>
        <w:rPr>
          <w:spacing w:val="-47"/>
        </w:rPr>
        <w:t> </w:t>
      </w:r>
      <w:r>
        <w:rPr>
          <w:spacing w:val="-47"/>
        </w:rPr>
      </w:r>
      <w:r>
        <w:rPr/>
        <w:t>高出版产品质量和增值服务水平。目前，同方知网建设的《中国知识资源总库》已经囊</w:t>
      </w:r>
      <w:r>
        <w:rPr>
          <w:spacing w:val="-47"/>
        </w:rPr>
        <w:t> </w:t>
      </w:r>
      <w:r>
        <w:rPr>
          <w:spacing w:val="-47"/>
        </w:rPr>
      </w:r>
      <w:r>
        <w:rPr/>
        <w:t>括我国</w:t>
      </w:r>
      <w:r>
        <w:rPr>
          <w:spacing w:val="-53"/>
        </w:rPr>
        <w:t> </w:t>
      </w:r>
      <w:r>
        <w:rPr/>
        <w:t>80%的信息资源，包括</w:t>
      </w:r>
      <w:r>
        <w:rPr>
          <w:spacing w:val="-53"/>
        </w:rPr>
        <w:t> </w:t>
      </w:r>
      <w:r>
        <w:rPr/>
        <w:t>7000</w:t>
      </w:r>
      <w:r>
        <w:rPr>
          <w:spacing w:val="-53"/>
        </w:rPr>
        <w:t> </w:t>
      </w:r>
      <w:r>
        <w:rPr/>
        <w:t>多万篇期刊、学位论文、会议论文、报纸、年鉴、统</w:t>
      </w:r>
      <w:r>
        <w:rPr/>
        <w:t> 计年鉴、工具书、专利、标准、国学古籍、图书、国外数据库等产品，涵盖了学术、文</w:t>
      </w:r>
      <w:r>
        <w:rPr>
          <w:spacing w:val="-47"/>
        </w:rPr>
        <w:t> </w:t>
      </w:r>
      <w:r>
        <w:rPr>
          <w:spacing w:val="-47"/>
        </w:rPr>
      </w:r>
      <w:r>
        <w:rPr/>
        <w:t>艺、文化、科普、高等教育、基础教育、医药卫生、农业工业等出版内容，实现机构用</w:t>
      </w:r>
      <w:r>
        <w:rPr>
          <w:spacing w:val="-47"/>
        </w:rPr>
        <w:t> </w:t>
      </w:r>
      <w:r>
        <w:rPr>
          <w:spacing w:val="-47"/>
        </w:rPr>
      </w:r>
      <w:r>
        <w:rPr/>
        <w:t>户</w:t>
      </w:r>
      <w:r>
        <w:rPr>
          <w:spacing w:val="-67"/>
        </w:rPr>
        <w:t> </w:t>
      </w:r>
      <w:r>
        <w:rPr/>
        <w:t>21000</w:t>
      </w:r>
      <w:r>
        <w:rPr>
          <w:spacing w:val="-67"/>
        </w:rPr>
        <w:t> </w:t>
      </w:r>
      <w:r>
        <w:rPr/>
        <w:t>家，终端用户数超过</w:t>
      </w:r>
      <w:r>
        <w:rPr>
          <w:spacing w:val="-67"/>
        </w:rPr>
        <w:t> </w:t>
      </w:r>
      <w:r>
        <w:rPr/>
        <w:t>4000</w:t>
      </w:r>
      <w:r>
        <w:rPr>
          <w:spacing w:val="-67"/>
        </w:rPr>
        <w:t> </w:t>
      </w:r>
      <w:r>
        <w:rPr/>
        <w:t>万人，海外用户遍及世界</w:t>
      </w:r>
      <w:r>
        <w:rPr>
          <w:spacing w:val="-67"/>
        </w:rPr>
        <w:t> </w:t>
      </w:r>
      <w:r>
        <w:rPr/>
        <w:t>100</w:t>
      </w:r>
      <w:r>
        <w:rPr>
          <w:spacing w:val="-67"/>
        </w:rPr>
        <w:t> </w:t>
      </w:r>
      <w:r>
        <w:rPr/>
        <w:t>多个国家与地区。本年</w:t>
      </w:r>
      <w:r>
        <w:rPr/>
        <w:t> 度，同方知网还率先启动了学术期刊优先数字出版，确定了“单篇定稿出版”和“整期</w:t>
      </w:r>
      <w:r>
        <w:rPr>
          <w:spacing w:val="-47"/>
        </w:rPr>
        <w:t> </w:t>
      </w:r>
      <w:r>
        <w:rPr>
          <w:spacing w:val="-47"/>
        </w:rPr>
      </w:r>
      <w:r>
        <w:rPr/>
        <w:t>定稿出版”两种优先数字出版方式，以及与各期刊的优先数字出版合作模式，并成功签</w:t>
      </w:r>
      <w:r>
        <w:rPr>
          <w:spacing w:val="-47"/>
        </w:rPr>
        <w:t> </w:t>
      </w:r>
      <w:r>
        <w:rPr>
          <w:spacing w:val="-47"/>
        </w:rPr>
      </w:r>
      <w:r>
        <w:rPr/>
        <w:t>约</w:t>
      </w:r>
      <w:r>
        <w:rPr>
          <w:spacing w:val="-60"/>
        </w:rPr>
        <w:t> </w:t>
      </w:r>
      <w:r>
        <w:rPr/>
        <w:t>400</w:t>
      </w:r>
      <w:r>
        <w:rPr>
          <w:spacing w:val="-60"/>
        </w:rPr>
        <w:t> </w:t>
      </w:r>
      <w:r>
        <w:rPr/>
        <w:t>多加期刊杂志社。</w:t>
      </w:r>
    </w:p>
    <w:p>
      <w:pPr>
        <w:spacing w:after="0" w:line="237" w:lineRule="auto"/>
        <w:jc w:val="both"/>
        <w:sectPr>
          <w:pgSz w:w="11910" w:h="16840"/>
          <w:pgMar w:header="610" w:footer="764" w:top="1080" w:bottom="98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right="179"/>
        <w:jc w:val="left"/>
      </w:pPr>
      <w:r>
        <w:rPr/>
        <w:t>同方知网近三年主要财务数据：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401"/>
        <w:gridCol w:w="1419"/>
      </w:tblGrid>
      <w:tr>
        <w:trPr>
          <w:trHeight w:val="339" w:hRule="exact"/>
        </w:trPr>
        <w:tc>
          <w:tcPr>
            <w:tcW w:w="2102"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419"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76" w:right="0"/>
              <w:jc w:val="left"/>
              <w:rPr>
                <w:rFonts w:ascii="Times New Roman" w:hAnsi="Times New Roman" w:cs="Times New Roman" w:eastAsia="Times New Roman" w:hint="default"/>
                <w:sz w:val="21"/>
                <w:szCs w:val="21"/>
              </w:rPr>
            </w:pPr>
            <w:r>
              <w:rPr>
                <w:rFonts w:ascii="Times New Roman"/>
                <w:sz w:val="21"/>
              </w:rPr>
              <w:t>38,055.97</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70.18%</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42,990.73</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71,026.07</w:t>
            </w:r>
          </w:p>
        </w:tc>
      </w:tr>
      <w:tr>
        <w:trPr>
          <w:trHeight w:val="331"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76" w:right="0"/>
              <w:jc w:val="left"/>
              <w:rPr>
                <w:rFonts w:ascii="Times New Roman" w:hAnsi="Times New Roman" w:cs="Times New Roman" w:eastAsia="Times New Roman" w:hint="default"/>
                <w:sz w:val="21"/>
                <w:szCs w:val="21"/>
              </w:rPr>
            </w:pPr>
            <w:r>
              <w:rPr>
                <w:rFonts w:ascii="Times New Roman"/>
                <w:sz w:val="21"/>
              </w:rPr>
              <w:t>39,970.42</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61.24%</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33,047.83</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54,874.47</w:t>
            </w:r>
          </w:p>
        </w:tc>
      </w:tr>
      <w:tr>
        <w:trPr>
          <w:trHeight w:val="338" w:hRule="exact"/>
        </w:trPr>
        <w:tc>
          <w:tcPr>
            <w:tcW w:w="2102"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3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376" w:right="0"/>
              <w:jc w:val="left"/>
              <w:rPr>
                <w:rFonts w:ascii="Times New Roman" w:hAnsi="Times New Roman" w:cs="Times New Roman" w:eastAsia="Times New Roman" w:hint="default"/>
                <w:sz w:val="21"/>
                <w:szCs w:val="21"/>
              </w:rPr>
            </w:pPr>
            <w:r>
              <w:rPr>
                <w:rFonts w:ascii="Times New Roman"/>
                <w:sz w:val="21"/>
              </w:rPr>
              <w:t>34,443.46</w:t>
            </w:r>
          </w:p>
        </w:tc>
        <w:tc>
          <w:tcPr>
            <w:tcW w:w="1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64.08%</w:t>
            </w:r>
          </w:p>
        </w:tc>
        <w:tc>
          <w:tcPr>
            <w:tcW w:w="34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24,421.95</w:t>
            </w:r>
          </w:p>
        </w:tc>
        <w:tc>
          <w:tcPr>
            <w:tcW w:w="141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37,955.10</w:t>
            </w:r>
          </w:p>
        </w:tc>
      </w:tr>
    </w:tbl>
    <w:p>
      <w:pPr>
        <w:spacing w:line="240" w:lineRule="auto" w:before="10"/>
        <w:rPr>
          <w:rFonts w:ascii="宋体" w:hAnsi="宋体" w:cs="宋体" w:eastAsia="宋体" w:hint="default"/>
          <w:sz w:val="18"/>
          <w:szCs w:val="18"/>
        </w:rPr>
      </w:pPr>
    </w:p>
    <w:p>
      <w:pPr>
        <w:pStyle w:val="Heading3"/>
        <w:spacing w:line="240" w:lineRule="auto" w:before="26"/>
        <w:ind w:right="179"/>
        <w:jc w:val="left"/>
        <w:rPr>
          <w:b w:val="0"/>
          <w:bCs w:val="0"/>
        </w:rPr>
      </w:pPr>
      <w:r>
        <w:rPr/>
        <w:t>6、沈阳同方多媒体科技有限公司</w:t>
      </w:r>
      <w:r>
        <w:rPr>
          <w:b w:val="0"/>
          <w:bCs w:val="0"/>
        </w:rPr>
      </w:r>
    </w:p>
    <w:p>
      <w:pPr>
        <w:spacing w:line="240" w:lineRule="auto" w:before="8"/>
        <w:rPr>
          <w:rFonts w:ascii="宋体" w:hAnsi="宋体" w:cs="宋体" w:eastAsia="宋体" w:hint="default"/>
          <w:b/>
          <w:bCs/>
          <w:sz w:val="23"/>
          <w:szCs w:val="23"/>
        </w:rPr>
      </w:pPr>
    </w:p>
    <w:p>
      <w:pPr>
        <w:pStyle w:val="BodyText"/>
        <w:spacing w:line="313" w:lineRule="exact"/>
        <w:ind w:right="179"/>
        <w:jc w:val="left"/>
      </w:pPr>
      <w:r>
        <w:rPr/>
        <w:t>沈阳同方多媒体科技有限公司成立于</w:t>
      </w:r>
      <w:r>
        <w:rPr>
          <w:spacing w:val="-60"/>
        </w:rPr>
        <w:t> </w:t>
      </w:r>
      <w:r>
        <w:rPr/>
        <w:t>2004</w:t>
      </w:r>
      <w:r>
        <w:rPr>
          <w:spacing w:val="-60"/>
        </w:rPr>
        <w:t> </w:t>
      </w:r>
      <w:r>
        <w:rPr/>
        <w:t>年</w:t>
      </w:r>
      <w:r>
        <w:rPr>
          <w:spacing w:val="-60"/>
        </w:rPr>
        <w:t> </w:t>
      </w:r>
      <w:r>
        <w:rPr/>
        <w:t>12</w:t>
      </w:r>
      <w:r>
        <w:rPr>
          <w:spacing w:val="-60"/>
        </w:rPr>
        <w:t> </w:t>
      </w:r>
      <w:r>
        <w:rPr>
          <w:spacing w:val="-3"/>
        </w:rPr>
        <w:t>月，注册资本为</w:t>
      </w:r>
      <w:r>
        <w:rPr>
          <w:spacing w:val="-60"/>
        </w:rPr>
        <w:t> </w:t>
      </w:r>
      <w:r>
        <w:rPr/>
        <w:t>3.18</w:t>
      </w:r>
      <w:r>
        <w:rPr>
          <w:spacing w:val="-60"/>
        </w:rPr>
        <w:t> </w:t>
      </w:r>
      <w:r>
        <w:rPr>
          <w:spacing w:val="-3"/>
        </w:rPr>
        <w:t>亿元，系公司全资</w:t>
      </w:r>
    </w:p>
    <w:p>
      <w:pPr>
        <w:pStyle w:val="BodyText"/>
        <w:spacing w:line="311" w:lineRule="exact"/>
        <w:ind w:right="179"/>
        <w:jc w:val="left"/>
      </w:pPr>
      <w:r>
        <w:rPr/>
        <w:t>子公司，主要从事公司的数字电视机整机制造。目前，沈阳多媒体已经建成 6</w:t>
      </w:r>
      <w:r>
        <w:rPr>
          <w:spacing w:val="-41"/>
        </w:rPr>
        <w:t> </w:t>
      </w:r>
      <w:r>
        <w:rPr/>
        <w:t>条现代化</w:t>
      </w:r>
    </w:p>
    <w:p>
      <w:pPr>
        <w:pStyle w:val="BodyText"/>
        <w:spacing w:line="312" w:lineRule="exact"/>
        <w:ind w:right="179"/>
        <w:jc w:val="left"/>
      </w:pPr>
      <w:r>
        <w:rPr/>
        <w:t>大型电视机生产线，多条辅助加工线及试产线，年产能为</w:t>
      </w:r>
      <w:r>
        <w:rPr>
          <w:spacing w:val="-60"/>
        </w:rPr>
        <w:t> </w:t>
      </w:r>
      <w:r>
        <w:rPr/>
        <w:t>350</w:t>
      </w:r>
      <w:r>
        <w:rPr>
          <w:spacing w:val="-60"/>
        </w:rPr>
        <w:t> </w:t>
      </w:r>
      <w:r>
        <w:rPr/>
        <w:t>万台。</w:t>
      </w:r>
    </w:p>
    <w:p>
      <w:pPr>
        <w:spacing w:line="240" w:lineRule="auto" w:before="11"/>
        <w:rPr>
          <w:rFonts w:ascii="宋体" w:hAnsi="宋体" w:cs="宋体" w:eastAsia="宋体" w:hint="default"/>
          <w:sz w:val="23"/>
          <w:szCs w:val="23"/>
        </w:rPr>
      </w:pPr>
    </w:p>
    <w:p>
      <w:pPr>
        <w:pStyle w:val="BodyText"/>
        <w:spacing w:line="237" w:lineRule="auto"/>
        <w:ind w:right="171"/>
        <w:jc w:val="left"/>
      </w:pPr>
      <w:r>
        <w:rPr>
          <w:spacing w:val="-3"/>
        </w:rPr>
        <w:t>做为公司数字电视的重要生产基地，2010</w:t>
      </w:r>
      <w:r>
        <w:rPr>
          <w:spacing w:val="-42"/>
        </w:rPr>
        <w:t> </w:t>
      </w:r>
      <w:r>
        <w:rPr>
          <w:spacing w:val="-3"/>
        </w:rPr>
        <w:t>年，沈阳多媒体一方面通过不断优化工艺设计，</w:t>
      </w:r>
      <w:r>
        <w:rPr>
          <w:spacing w:val="-117"/>
        </w:rPr>
        <w:t> </w:t>
      </w:r>
      <w:r>
        <w:rPr>
          <w:spacing w:val="-117"/>
        </w:rPr>
      </w:r>
      <w:r>
        <w:rPr>
          <w:spacing w:val="-2"/>
        </w:rPr>
        <w:t>提高生产管理水平，保证公司平板电视机的国内供货需要，另一方面积极拓展国际市场，</w:t>
      </w:r>
      <w:r>
        <w:rPr>
          <w:spacing w:val="-82"/>
        </w:rPr>
        <w:t> </w:t>
      </w:r>
      <w:r>
        <w:rPr>
          <w:spacing w:val="-82"/>
        </w:rPr>
      </w:r>
      <w:r>
        <w:rPr/>
        <w:t>与</w:t>
      </w:r>
      <w:r>
        <w:rPr>
          <w:spacing w:val="-40"/>
        </w:rPr>
        <w:t> </w:t>
      </w:r>
      <w:r>
        <w:rPr/>
        <w:t>SHARP、LG、TOSHIBA、ETC</w:t>
      </w:r>
      <w:r>
        <w:rPr>
          <w:spacing w:val="-40"/>
        </w:rPr>
        <w:t> </w:t>
      </w:r>
      <w:r>
        <w:rPr/>
        <w:t>等国际知名电视企业合作，为其提供</w:t>
      </w:r>
      <w:r>
        <w:rPr>
          <w:spacing w:val="-40"/>
        </w:rPr>
        <w:t> </w:t>
      </w:r>
      <w:r>
        <w:rPr/>
        <w:t>EMS</w:t>
      </w:r>
      <w:r>
        <w:rPr>
          <w:spacing w:val="-40"/>
        </w:rPr>
        <w:t> </w:t>
      </w:r>
      <w:r>
        <w:rPr/>
        <w:t>业务。目前，沈</w:t>
      </w:r>
      <w:r>
        <w:rPr/>
        <w:t> 阳多媒体已经取得</w:t>
      </w:r>
      <w:r>
        <w:rPr>
          <w:spacing w:val="-60"/>
        </w:rPr>
        <w:t> </w:t>
      </w:r>
      <w:r>
        <w:rPr/>
        <w:t>SHARP</w:t>
      </w:r>
      <w:r>
        <w:rPr>
          <w:spacing w:val="-60"/>
        </w:rPr>
        <w:t> </w:t>
      </w:r>
      <w:r>
        <w:rPr/>
        <w:t>公司的认证，并开始接单交货。</w:t>
      </w:r>
    </w:p>
    <w:p>
      <w:pPr>
        <w:spacing w:line="240" w:lineRule="auto" w:before="8"/>
        <w:rPr>
          <w:rFonts w:ascii="宋体" w:hAnsi="宋体" w:cs="宋体" w:eastAsia="宋体" w:hint="default"/>
          <w:sz w:val="23"/>
          <w:szCs w:val="23"/>
        </w:rPr>
      </w:pPr>
    </w:p>
    <w:p>
      <w:pPr>
        <w:pStyle w:val="BodyText"/>
        <w:spacing w:line="240" w:lineRule="auto"/>
        <w:ind w:right="179"/>
        <w:jc w:val="left"/>
      </w:pPr>
      <w:r>
        <w:rPr/>
        <w:t>沈阳多媒体近三年主要财务数据：</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401"/>
        <w:gridCol w:w="1419"/>
      </w:tblGrid>
      <w:tr>
        <w:trPr>
          <w:trHeight w:val="340" w:hRule="exact"/>
        </w:trPr>
        <w:tc>
          <w:tcPr>
            <w:tcW w:w="2102"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419"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210,996.24</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7.08%</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33,556.24</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left="355" w:right="0"/>
              <w:jc w:val="left"/>
              <w:rPr>
                <w:rFonts w:ascii="Times New Roman" w:hAnsi="Times New Roman" w:cs="Times New Roman" w:eastAsia="Times New Roman" w:hint="default"/>
                <w:sz w:val="21"/>
                <w:szCs w:val="21"/>
              </w:rPr>
            </w:pPr>
            <w:r>
              <w:rPr>
                <w:rFonts w:ascii="Times New Roman"/>
                <w:sz w:val="21"/>
              </w:rPr>
              <w:t>150,137.97</w:t>
            </w:r>
          </w:p>
        </w:tc>
      </w:tr>
      <w:tr>
        <w:trPr>
          <w:trHeight w:val="331" w:hRule="exact"/>
        </w:trPr>
        <w:tc>
          <w:tcPr>
            <w:tcW w:w="210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205,881.04</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5.76%</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25,224.82</w:t>
            </w:r>
          </w:p>
        </w:tc>
        <w:tc>
          <w:tcPr>
            <w:tcW w:w="14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left="355" w:right="0"/>
              <w:jc w:val="left"/>
              <w:rPr>
                <w:rFonts w:ascii="Times New Roman" w:hAnsi="Times New Roman" w:cs="Times New Roman" w:eastAsia="Times New Roman" w:hint="default"/>
                <w:sz w:val="21"/>
                <w:szCs w:val="21"/>
              </w:rPr>
            </w:pPr>
            <w:r>
              <w:rPr>
                <w:rFonts w:ascii="Times New Roman"/>
                <w:sz w:val="21"/>
              </w:rPr>
              <w:t>147,733.19</w:t>
            </w:r>
          </w:p>
        </w:tc>
      </w:tr>
      <w:tr>
        <w:trPr>
          <w:trHeight w:val="338" w:hRule="exact"/>
        </w:trPr>
        <w:tc>
          <w:tcPr>
            <w:tcW w:w="2102"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3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91,874.91</w:t>
            </w:r>
          </w:p>
        </w:tc>
        <w:tc>
          <w:tcPr>
            <w:tcW w:w="1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6.67%</w:t>
            </w:r>
          </w:p>
        </w:tc>
        <w:tc>
          <w:tcPr>
            <w:tcW w:w="34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29,150.86</w:t>
            </w:r>
          </w:p>
        </w:tc>
        <w:tc>
          <w:tcPr>
            <w:tcW w:w="141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left="356" w:right="0"/>
              <w:jc w:val="left"/>
              <w:rPr>
                <w:rFonts w:ascii="Times New Roman" w:hAnsi="Times New Roman" w:cs="Times New Roman" w:eastAsia="Times New Roman" w:hint="default"/>
                <w:sz w:val="21"/>
                <w:szCs w:val="21"/>
              </w:rPr>
            </w:pPr>
            <w:r>
              <w:rPr>
                <w:rFonts w:ascii="Times New Roman"/>
                <w:sz w:val="21"/>
              </w:rPr>
              <w:t>110,298.12</w:t>
            </w:r>
          </w:p>
        </w:tc>
      </w:tr>
    </w:tbl>
    <w:p>
      <w:pPr>
        <w:spacing w:line="240"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注：沈阳多媒体的收入未扣除因向公司母公司及其他合并范围内子公司销售而形成的合并抵消。</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r>
        <w:rPr/>
        <w:t>(三)管理层讨论及财务状况的分析说明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2010</w:t>
      </w:r>
      <w:r>
        <w:rPr>
          <w:spacing w:val="-60"/>
        </w:rPr>
        <w:t> </w:t>
      </w:r>
      <w:r>
        <w:rPr/>
        <w:t>年，公司通过采用有效措施，保证了收入、净利润继续稳定的增长。</w:t>
      </w:r>
    </w:p>
    <w:p>
      <w:pPr>
        <w:spacing w:line="240" w:lineRule="auto" w:before="8"/>
        <w:rPr>
          <w:rFonts w:ascii="宋体" w:hAnsi="宋体" w:cs="宋体" w:eastAsia="宋体" w:hint="default"/>
          <w:sz w:val="23"/>
          <w:szCs w:val="23"/>
        </w:rPr>
      </w:pPr>
    </w:p>
    <w:p>
      <w:pPr>
        <w:spacing w:line="475" w:lineRule="auto" w:before="0"/>
        <w:ind w:left="138" w:right="7686" w:firstLine="0"/>
        <w:jc w:val="left"/>
        <w:rPr>
          <w:rFonts w:ascii="宋体" w:hAnsi="宋体" w:cs="宋体" w:eastAsia="宋体" w:hint="default"/>
          <w:sz w:val="24"/>
          <w:szCs w:val="24"/>
        </w:rPr>
      </w:pPr>
      <w:r>
        <w:rPr>
          <w:rFonts w:ascii="宋体" w:hAnsi="宋体" w:cs="宋体" w:eastAsia="宋体" w:hint="default"/>
          <w:b/>
          <w:bCs/>
          <w:sz w:val="24"/>
          <w:szCs w:val="24"/>
        </w:rPr>
        <w:t>1、经营业绩</w:t>
      </w:r>
      <w:r>
        <w:rPr>
          <w:rFonts w:ascii="宋体" w:hAnsi="宋体" w:cs="宋体" w:eastAsia="宋体" w:hint="default"/>
          <w:b/>
          <w:bCs/>
          <w:spacing w:val="1"/>
          <w:w w:val="99"/>
          <w:sz w:val="24"/>
          <w:szCs w:val="24"/>
        </w:rPr>
        <w:t> </w:t>
      </w:r>
      <w:r>
        <w:rPr>
          <w:rFonts w:ascii="宋体" w:hAnsi="宋体" w:cs="宋体" w:eastAsia="宋体" w:hint="default"/>
          <w:sz w:val="24"/>
          <w:szCs w:val="24"/>
        </w:rPr>
        <w:t>(1)收入情况分析</w:t>
      </w:r>
    </w:p>
    <w:p>
      <w:pPr>
        <w:pStyle w:val="BodyText"/>
        <w:spacing w:line="237" w:lineRule="auto" w:before="75"/>
        <w:ind w:right="300"/>
        <w:jc w:val="both"/>
      </w:pPr>
      <w:r>
        <w:rPr/>
        <w:t>2010</w:t>
      </w:r>
      <w:r>
        <w:rPr>
          <w:spacing w:val="-40"/>
        </w:rPr>
        <w:t> </w:t>
      </w:r>
      <w:r>
        <w:rPr/>
        <w:t>年，公司立足于信息技术和能源环保两个核心行业领域，实施了结构调整，形成了</w:t>
      </w:r>
      <w:r>
        <w:rPr/>
        <w:t> 计算机系统、数字城市、安防系统、物联网应用、微电子与核心元器件、多媒体、知识</w:t>
      </w:r>
      <w:r>
        <w:rPr>
          <w:spacing w:val="-47"/>
        </w:rPr>
        <w:t> </w:t>
      </w:r>
      <w:r>
        <w:rPr>
          <w:spacing w:val="-47"/>
        </w:rPr>
      </w:r>
      <w:r>
        <w:rPr/>
        <w:t>网络、军工、数字电视系统、建筑节能和半导体与照明十一个产业，归纳分属信息产业</w:t>
      </w:r>
      <w:r>
        <w:rPr>
          <w:spacing w:val="-47"/>
        </w:rPr>
        <w:t> </w:t>
      </w:r>
      <w:r>
        <w:rPr>
          <w:spacing w:val="-47"/>
        </w:rPr>
      </w:r>
      <w:r>
        <w:rPr/>
        <w:t>和能源环境产业。</w:t>
      </w:r>
    </w:p>
    <w:p>
      <w:pPr>
        <w:spacing w:line="240" w:lineRule="auto" w:before="7"/>
        <w:rPr>
          <w:rFonts w:ascii="宋体" w:hAnsi="宋体" w:cs="宋体" w:eastAsia="宋体" w:hint="default"/>
          <w:sz w:val="23"/>
          <w:szCs w:val="23"/>
        </w:rPr>
      </w:pPr>
    </w:p>
    <w:p>
      <w:pPr>
        <w:pStyle w:val="BodyText"/>
        <w:spacing w:line="313" w:lineRule="exact"/>
        <w:ind w:right="0"/>
        <w:jc w:val="both"/>
      </w:pPr>
      <w:r>
        <w:rPr>
          <w:spacing w:val="2"/>
        </w:rPr>
        <w:t>本报告期，公司实现主营业务收入 </w:t>
      </w:r>
      <w:r>
        <w:rPr/>
        <w:t>1,813,523.34</w:t>
      </w:r>
      <w:r>
        <w:rPr>
          <w:spacing w:val="4"/>
        </w:rPr>
        <w:t> </w:t>
      </w:r>
      <w:r>
        <w:rPr>
          <w:spacing w:val="2"/>
        </w:rPr>
        <w:t>万元，公司主营业务收入同比增长了</w:t>
      </w:r>
      <w:r>
        <w:rPr/>
      </w:r>
    </w:p>
    <w:p>
      <w:pPr>
        <w:pStyle w:val="BodyText"/>
        <w:spacing w:line="312" w:lineRule="exact"/>
        <w:ind w:right="0"/>
        <w:jc w:val="both"/>
      </w:pPr>
      <w:r>
        <w:rPr/>
        <w:t>19.12%，其中多媒体业务实现了规模化销售，实现收入 27.29</w:t>
      </w:r>
      <w:r>
        <w:rPr>
          <w:spacing w:val="-40"/>
        </w:rPr>
        <w:t> </w:t>
      </w:r>
      <w:r>
        <w:rPr/>
        <w:t>亿元，与同期相比增长了</w:t>
      </w:r>
    </w:p>
    <w:p>
      <w:pPr>
        <w:pStyle w:val="BodyText"/>
        <w:spacing w:line="313" w:lineRule="exact"/>
        <w:ind w:right="0"/>
        <w:jc w:val="both"/>
      </w:pPr>
      <w:r>
        <w:rPr/>
        <w:t>58%</w:t>
      </w:r>
      <w:r>
        <w:rPr>
          <w:color w:val="0000FF"/>
        </w:rPr>
        <w:t>。</w:t>
      </w:r>
      <w:r>
        <w:rPr/>
      </w:r>
    </w:p>
    <w:p>
      <w:pPr>
        <w:spacing w:after="0" w:line="313" w:lineRule="exact"/>
        <w:jc w:val="both"/>
        <w:sectPr>
          <w:pgSz w:w="11910" w:h="16840"/>
          <w:pgMar w:header="610" w:footer="764" w:top="1080" w:bottom="98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left="238" w:right="108"/>
        <w:jc w:val="left"/>
      </w:pPr>
      <w:r>
        <w:rPr/>
        <w:t>其中，公司核心控股子公司收入情况如下：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736"/>
        <w:gridCol w:w="1896"/>
        <w:gridCol w:w="1895"/>
        <w:gridCol w:w="1891"/>
      </w:tblGrid>
      <w:tr>
        <w:trPr>
          <w:trHeight w:val="345" w:hRule="exact"/>
        </w:trPr>
        <w:tc>
          <w:tcPr>
            <w:tcW w:w="3736" w:type="dxa"/>
            <w:vMerge w:val="restart"/>
            <w:tcBorders>
              <w:top w:val="single" w:sz="12" w:space="0" w:color="000000"/>
              <w:left w:val="single" w:sz="12" w:space="0" w:color="000000"/>
              <w:right w:val="single" w:sz="6" w:space="0" w:color="000000"/>
            </w:tcBorders>
          </w:tcPr>
          <w:p>
            <w:pPr>
              <w:pStyle w:val="TableParagraph"/>
              <w:spacing w:line="240" w:lineRule="auto" w:before="146"/>
              <w:ind w:right="5"/>
              <w:jc w:val="center"/>
              <w:rPr>
                <w:rFonts w:ascii="宋体" w:hAnsi="宋体" w:cs="宋体" w:eastAsia="宋体" w:hint="default"/>
                <w:sz w:val="21"/>
                <w:szCs w:val="21"/>
              </w:rPr>
            </w:pPr>
            <w:r>
              <w:rPr>
                <w:rFonts w:ascii="宋体" w:hAnsi="宋体" w:cs="宋体" w:eastAsia="宋体" w:hint="default"/>
                <w:sz w:val="21"/>
                <w:szCs w:val="21"/>
              </w:rPr>
              <w:t>单位：万元</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4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95"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49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91" w:type="dxa"/>
            <w:tcBorders>
              <w:top w:val="single" w:sz="12" w:space="0" w:color="000000"/>
              <w:left w:val="single" w:sz="6" w:space="0" w:color="000000"/>
              <w:bottom w:val="single" w:sz="6" w:space="0" w:color="000000"/>
              <w:right w:val="single" w:sz="12" w:space="0" w:color="000000"/>
            </w:tcBorders>
          </w:tcPr>
          <w:p>
            <w:pPr>
              <w:pStyle w:val="TableParagraph"/>
              <w:spacing w:line="281" w:lineRule="exact"/>
              <w:ind w:left="4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42" w:hRule="exact"/>
        </w:trPr>
        <w:tc>
          <w:tcPr>
            <w:tcW w:w="3736" w:type="dxa"/>
            <w:vMerge/>
            <w:tcBorders>
              <w:left w:val="single" w:sz="12"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left="306"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r>
      <w:tr>
        <w:trPr>
          <w:trHeight w:val="326"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一、母公司合计</w:t>
            </w:r>
            <w:r>
              <w:rPr>
                <w:rFonts w:ascii="Times New Roman" w:hAnsi="Times New Roman" w:cs="Times New Roman" w:eastAsia="Times New Roman" w:hint="default"/>
                <w:b/>
                <w:bCs/>
                <w:sz w:val="21"/>
                <w:szCs w:val="21"/>
              </w:rPr>
              <w:t>(a)</w:t>
            </w:r>
            <w:r>
              <w:rPr>
                <w:rFonts w:ascii="Times New Roman" w:hAnsi="Times New Roman" w:cs="Times New Roman" w:eastAsia="Times New Roman"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b/>
                <w:spacing w:val="-1"/>
                <w:sz w:val="21"/>
              </w:rPr>
              <w:t>725,046.60</w:t>
            </w:r>
            <w:r>
              <w:rPr>
                <w:rFonts w:ascii="Times New Roman"/>
                <w:sz w:val="21"/>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b/>
                <w:spacing w:val="-1"/>
                <w:sz w:val="21"/>
              </w:rPr>
              <w:t>678,530.95</w:t>
            </w:r>
            <w:r>
              <w:rPr>
                <w:rFonts w:ascii="Times New Roman"/>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b/>
                <w:spacing w:val="-1"/>
                <w:sz w:val="21"/>
              </w:rPr>
              <w:t>627,514.83</w:t>
            </w:r>
            <w:r>
              <w:rPr>
                <w:rFonts w:ascii="Times New Roman"/>
                <w:sz w:val="21"/>
              </w:rPr>
            </w:r>
          </w:p>
        </w:tc>
      </w:tr>
      <w:tr>
        <w:trPr>
          <w:trHeight w:val="328"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其中：数字城市</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104,698.63</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92,499.26</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76,797.92</w:t>
            </w:r>
          </w:p>
        </w:tc>
      </w:tr>
      <w:tr>
        <w:trPr>
          <w:trHeight w:val="326"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359,492.42</w:t>
            </w:r>
            <w:r>
              <w:rPr>
                <w:rFonts w:ascii="Times New Roman"/>
                <w:sz w:val="21"/>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359,076.27</w:t>
            </w:r>
            <w:r>
              <w:rPr>
                <w:rFonts w:ascii="Times New Roman"/>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356,237.26</w:t>
            </w:r>
            <w:r>
              <w:rPr>
                <w:rFonts w:ascii="Times New Roman"/>
                <w:sz w:val="21"/>
              </w:rPr>
            </w:r>
          </w:p>
        </w:tc>
      </w:tr>
      <w:tr>
        <w:trPr>
          <w:trHeight w:val="328"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消费电子</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124,885.06</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93,453.10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80,754.26</w:t>
            </w:r>
          </w:p>
        </w:tc>
      </w:tr>
      <w:tr>
        <w:trPr>
          <w:trHeight w:val="326"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二、子公司合计</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b/>
                <w:spacing w:val="-1"/>
                <w:sz w:val="21"/>
              </w:rPr>
              <w:t>1,088,476.74</w:t>
            </w:r>
            <w:r>
              <w:rPr>
                <w:rFonts w:ascii="Times New Roman"/>
                <w:spacing w:val="-1"/>
                <w:sz w:val="21"/>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b/>
                <w:spacing w:val="-1"/>
                <w:sz w:val="21"/>
              </w:rPr>
              <w:t>843,947.65</w:t>
            </w:r>
            <w:r>
              <w:rPr>
                <w:rFonts w:ascii="Times New Roman"/>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b/>
                <w:spacing w:val="-1"/>
                <w:sz w:val="21"/>
              </w:rPr>
              <w:t>743,131.84</w:t>
            </w:r>
            <w:r>
              <w:rPr>
                <w:rFonts w:ascii="Times New Roman"/>
                <w:sz w:val="21"/>
              </w:rPr>
            </w:r>
          </w:p>
        </w:tc>
      </w:tr>
      <w:tr>
        <w:trPr>
          <w:trHeight w:val="328"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其中：同方威视</w:t>
            </w:r>
            <w:r>
              <w:rPr>
                <w:rFonts w:ascii="Times New Roman" w:hAnsi="Times New Roman" w:cs="Times New Roman" w:eastAsia="Times New Roman" w:hint="default"/>
                <w:sz w:val="21"/>
                <w:szCs w:val="21"/>
              </w:rPr>
              <w:t>(b)</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185,436.26</w:t>
            </w:r>
            <w:r>
              <w:rPr>
                <w:rFonts w:ascii="Times New Roman"/>
                <w:sz w:val="21"/>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175,176.24</w:t>
            </w:r>
            <w:r>
              <w:rPr>
                <w:rFonts w:ascii="Times New Roman"/>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243,912.54</w:t>
            </w:r>
            <w:r>
              <w:rPr>
                <w:rFonts w:ascii="Times New Roman"/>
                <w:sz w:val="21"/>
              </w:rPr>
            </w:r>
          </w:p>
        </w:tc>
      </w:tr>
      <w:tr>
        <w:trPr>
          <w:trHeight w:val="326"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39" w:right="0"/>
              <w:jc w:val="left"/>
              <w:rPr>
                <w:rFonts w:ascii="宋体" w:hAnsi="宋体" w:cs="宋体" w:eastAsia="宋体" w:hint="default"/>
                <w:sz w:val="21"/>
                <w:szCs w:val="21"/>
              </w:rPr>
            </w:pPr>
            <w:r>
              <w:rPr>
                <w:rFonts w:ascii="宋体" w:hAnsi="宋体" w:cs="宋体" w:eastAsia="宋体" w:hint="default"/>
                <w:sz w:val="21"/>
                <w:szCs w:val="21"/>
              </w:rPr>
              <w:t>泰豪科技(c)</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292,513.55</w:t>
            </w:r>
            <w:r>
              <w:rPr>
                <w:rFonts w:ascii="Times New Roman"/>
                <w:sz w:val="21"/>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233,477.89</w:t>
            </w:r>
            <w:r>
              <w:rPr>
                <w:rFonts w:ascii="Times New Roman"/>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224,100.07</w:t>
            </w:r>
            <w:r>
              <w:rPr>
                <w:rFonts w:ascii="Times New Roman"/>
                <w:sz w:val="21"/>
              </w:rPr>
            </w:r>
          </w:p>
        </w:tc>
      </w:tr>
      <w:tr>
        <w:trPr>
          <w:trHeight w:val="328"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39" w:right="0"/>
              <w:jc w:val="left"/>
              <w:rPr>
                <w:rFonts w:ascii="宋体" w:hAnsi="宋体" w:cs="宋体" w:eastAsia="宋体" w:hint="default"/>
                <w:sz w:val="21"/>
                <w:szCs w:val="21"/>
              </w:rPr>
            </w:pPr>
            <w:r>
              <w:rPr>
                <w:rFonts w:ascii="宋体" w:hAnsi="宋体" w:cs="宋体" w:eastAsia="宋体" w:hint="default"/>
                <w:sz w:val="21"/>
                <w:szCs w:val="21"/>
              </w:rPr>
              <w:t>同方微电子(d)</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34,428.56</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45,005.68</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39,666.52</w:t>
            </w:r>
          </w:p>
        </w:tc>
      </w:tr>
      <w:tr>
        <w:trPr>
          <w:trHeight w:val="326"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39" w:right="0"/>
              <w:jc w:val="left"/>
              <w:rPr>
                <w:rFonts w:ascii="宋体" w:hAnsi="宋体" w:cs="宋体" w:eastAsia="宋体" w:hint="default"/>
                <w:sz w:val="21"/>
                <w:szCs w:val="21"/>
              </w:rPr>
            </w:pPr>
            <w:r>
              <w:rPr>
                <w:rFonts w:ascii="宋体" w:hAnsi="宋体" w:cs="宋体" w:eastAsia="宋体" w:hint="default"/>
                <w:sz w:val="21"/>
                <w:szCs w:val="21"/>
              </w:rPr>
              <w:t>工业公司(e)</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132,692.34</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85,400.80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86,504.92</w:t>
            </w:r>
          </w:p>
        </w:tc>
      </w:tr>
      <w:tr>
        <w:trPr>
          <w:trHeight w:val="328"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39" w:right="0"/>
              <w:jc w:val="left"/>
              <w:rPr>
                <w:rFonts w:ascii="宋体" w:hAnsi="宋体" w:cs="宋体" w:eastAsia="宋体" w:hint="default"/>
                <w:sz w:val="21"/>
                <w:szCs w:val="21"/>
              </w:rPr>
            </w:pPr>
            <w:r>
              <w:rPr>
                <w:rFonts w:ascii="宋体" w:hAnsi="宋体" w:cs="宋体" w:eastAsia="宋体" w:hint="default"/>
                <w:sz w:val="21"/>
                <w:szCs w:val="21"/>
              </w:rPr>
              <w:t>同方知网(f)</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38,055.97</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39,970.42</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34,443.46</w:t>
            </w:r>
          </w:p>
        </w:tc>
      </w:tr>
      <w:tr>
        <w:trPr>
          <w:trHeight w:val="326"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39" w:right="0"/>
              <w:jc w:val="left"/>
              <w:rPr>
                <w:rFonts w:ascii="宋体" w:hAnsi="宋体" w:cs="宋体" w:eastAsia="宋体" w:hint="default"/>
                <w:sz w:val="21"/>
                <w:szCs w:val="21"/>
              </w:rPr>
            </w:pPr>
            <w:r>
              <w:rPr>
                <w:rFonts w:ascii="宋体" w:hAnsi="宋体" w:cs="宋体" w:eastAsia="宋体" w:hint="default"/>
                <w:sz w:val="21"/>
                <w:szCs w:val="21"/>
              </w:rPr>
              <w:t>沈阳多媒体(g)</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210,996.24</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205,881.04</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91,874.91</w:t>
            </w:r>
          </w:p>
        </w:tc>
      </w:tr>
      <w:tr>
        <w:trPr>
          <w:trHeight w:val="407" w:hRule="exact"/>
        </w:trPr>
        <w:tc>
          <w:tcPr>
            <w:tcW w:w="37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三、(a)～(g)小计（含合并抵销）</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1,566,407.69</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1,371,294.06</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89"/>
              <w:jc w:val="right"/>
              <w:rPr>
                <w:rFonts w:ascii="Times New Roman" w:hAnsi="Times New Roman" w:cs="Times New Roman" w:eastAsia="Times New Roman" w:hint="default"/>
                <w:sz w:val="21"/>
                <w:szCs w:val="21"/>
              </w:rPr>
            </w:pPr>
            <w:r>
              <w:rPr>
                <w:rFonts w:ascii="Times New Roman"/>
                <w:spacing w:val="-1"/>
                <w:sz w:val="21"/>
              </w:rPr>
              <w:t>1,292,344.59</w:t>
            </w:r>
          </w:p>
        </w:tc>
      </w:tr>
      <w:tr>
        <w:trPr>
          <w:trHeight w:val="335" w:hRule="exact"/>
        </w:trPr>
        <w:tc>
          <w:tcPr>
            <w:tcW w:w="373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四、公司总计</w:t>
            </w:r>
            <w:r>
              <w:rPr>
                <w:rFonts w:ascii="宋体" w:hAnsi="宋体" w:cs="宋体" w:eastAsia="宋体" w:hint="default"/>
                <w:sz w:val="21"/>
                <w:szCs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b/>
                <w:spacing w:val="-1"/>
                <w:sz w:val="21"/>
              </w:rPr>
              <w:t>1,813,523.34</w:t>
            </w:r>
            <w:r>
              <w:rPr>
                <w:rFonts w:ascii="Times New Roman"/>
                <w:spacing w:val="-1"/>
                <w:sz w:val="21"/>
              </w:rPr>
            </w:r>
          </w:p>
        </w:tc>
        <w:tc>
          <w:tcPr>
            <w:tcW w:w="1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b/>
                <w:spacing w:val="-1"/>
                <w:sz w:val="21"/>
              </w:rPr>
              <w:t>1,522,478.60</w:t>
            </w:r>
            <w:r>
              <w:rPr>
                <w:rFonts w:ascii="Times New Roman"/>
                <w:spacing w:val="-1"/>
                <w:sz w:val="21"/>
              </w:rPr>
            </w:r>
          </w:p>
        </w:tc>
        <w:tc>
          <w:tcPr>
            <w:tcW w:w="18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21"/>
                <w:szCs w:val="21"/>
              </w:rPr>
            </w:pPr>
            <w:r>
              <w:rPr>
                <w:rFonts w:ascii="Times New Roman"/>
                <w:b/>
                <w:spacing w:val="-1"/>
                <w:sz w:val="21"/>
              </w:rPr>
              <w:t>1,370,646.67</w:t>
            </w:r>
            <w:r>
              <w:rPr>
                <w:rFonts w:ascii="Times New Roman"/>
                <w:spacing w:val="-1"/>
                <w:sz w:val="21"/>
              </w:rPr>
            </w:r>
          </w:p>
        </w:tc>
      </w:tr>
    </w:tbl>
    <w:p>
      <w:pPr>
        <w:spacing w:line="240" w:lineRule="auto" w:before="10"/>
        <w:rPr>
          <w:rFonts w:ascii="宋体" w:hAnsi="宋体" w:cs="宋体" w:eastAsia="宋体" w:hint="default"/>
          <w:sz w:val="18"/>
          <w:szCs w:val="18"/>
        </w:rPr>
      </w:pPr>
    </w:p>
    <w:p>
      <w:pPr>
        <w:pStyle w:val="BodyText"/>
        <w:spacing w:line="240" w:lineRule="auto" w:before="26"/>
        <w:ind w:left="238" w:right="108"/>
        <w:jc w:val="left"/>
      </w:pPr>
      <w:r>
        <w:rPr/>
        <w:t>(2)盈利情况分析</w:t>
      </w:r>
    </w:p>
    <w:p>
      <w:pPr>
        <w:spacing w:line="240" w:lineRule="auto" w:before="8"/>
        <w:rPr>
          <w:rFonts w:ascii="宋体" w:hAnsi="宋体" w:cs="宋体" w:eastAsia="宋体" w:hint="default"/>
          <w:sz w:val="23"/>
          <w:szCs w:val="23"/>
        </w:rPr>
      </w:pPr>
    </w:p>
    <w:p>
      <w:pPr>
        <w:pStyle w:val="BodyText"/>
        <w:spacing w:line="240" w:lineRule="auto"/>
        <w:ind w:left="238" w:right="108"/>
        <w:jc w:val="left"/>
      </w:pPr>
      <w:r>
        <w:rPr/>
        <w:t>在盈利能力方面，2010</w:t>
      </w:r>
      <w:r>
        <w:rPr>
          <w:spacing w:val="-60"/>
        </w:rPr>
        <w:t> </w:t>
      </w:r>
      <w:r>
        <w:rPr/>
        <w:t>年公司整体毛利率水平与</w:t>
      </w:r>
      <w:r>
        <w:rPr>
          <w:spacing w:val="-60"/>
        </w:rPr>
        <w:t> </w:t>
      </w:r>
      <w:r>
        <w:rPr/>
        <w:t>2009</w:t>
      </w:r>
      <w:r>
        <w:rPr>
          <w:spacing w:val="-60"/>
        </w:rPr>
        <w:t> </w:t>
      </w:r>
      <w:r>
        <w:rPr/>
        <w:t>年相比变动不大，为</w:t>
      </w:r>
      <w:r>
        <w:rPr>
          <w:spacing w:val="-60"/>
        </w:rPr>
        <w:t> </w:t>
      </w:r>
      <w:r>
        <w:rPr/>
        <w:t>15.51%。</w:t>
      </w:r>
    </w:p>
    <w:p>
      <w:pPr>
        <w:spacing w:line="240" w:lineRule="auto" w:before="11"/>
        <w:rPr>
          <w:rFonts w:ascii="宋体" w:hAnsi="宋体" w:cs="宋体" w:eastAsia="宋体" w:hint="default"/>
          <w:sz w:val="23"/>
          <w:szCs w:val="23"/>
        </w:rPr>
      </w:pPr>
    </w:p>
    <w:p>
      <w:pPr>
        <w:pStyle w:val="BodyText"/>
        <w:spacing w:line="237" w:lineRule="auto"/>
        <w:ind w:left="238" w:right="108"/>
        <w:jc w:val="left"/>
      </w:pPr>
      <w:r>
        <w:rPr>
          <w:spacing w:val="-2"/>
        </w:rPr>
        <w:t>在费用管理方面，公司继续深化完善计划预算考核制度，规范管理流程、提高管理效率，</w:t>
      </w:r>
      <w:r>
        <w:rPr>
          <w:spacing w:val="-84"/>
        </w:rPr>
        <w:t> </w:t>
      </w:r>
      <w:r>
        <w:rPr>
          <w:spacing w:val="-84"/>
        </w:rPr>
      </w:r>
      <w:r>
        <w:rPr/>
        <w:t>严格控制成本费用支出。因此，从全年整体盈利状况来看，在保持收入增长的情况下，</w:t>
      </w:r>
      <w:r>
        <w:rPr>
          <w:spacing w:val="-47"/>
        </w:rPr>
        <w:t> </w:t>
      </w:r>
      <w:r>
        <w:rPr>
          <w:spacing w:val="-47"/>
        </w:rPr>
      </w:r>
      <w:r>
        <w:rPr>
          <w:spacing w:val="-4"/>
        </w:rPr>
        <w:t>公司的期间费率与上年基本持平，其中销售费用率增加</w:t>
      </w:r>
      <w:r>
        <w:rPr>
          <w:spacing w:val="-51"/>
        </w:rPr>
        <w:t> </w:t>
      </w:r>
      <w:r>
        <w:rPr>
          <w:spacing w:val="-6"/>
        </w:rPr>
        <w:t>0.12%、管理费用率下降了</w:t>
      </w:r>
      <w:r>
        <w:rPr>
          <w:spacing w:val="-51"/>
        </w:rPr>
        <w:t> </w:t>
      </w:r>
      <w:r>
        <w:rPr/>
        <w:t>0.46%，</w:t>
      </w:r>
      <w:r>
        <w:rPr/>
        <w:t> 财务费用率增加了</w:t>
      </w:r>
      <w:r>
        <w:rPr>
          <w:spacing w:val="-50"/>
        </w:rPr>
        <w:t> </w:t>
      </w:r>
      <w:r>
        <w:rPr>
          <w:spacing w:val="-4"/>
        </w:rPr>
        <w:t>0.34%。财务费用增加较大主要是负债规模扩大、利率水平提高及本期</w:t>
      </w:r>
      <w:r>
        <w:rPr>
          <w:spacing w:val="-99"/>
        </w:rPr>
        <w:t> </w:t>
      </w:r>
      <w:r>
        <w:rPr>
          <w:spacing w:val="-99"/>
        </w:rPr>
      </w:r>
      <w:r>
        <w:rPr/>
        <w:t>合并范围增加所致。</w:t>
      </w:r>
    </w:p>
    <w:p>
      <w:pPr>
        <w:spacing w:line="240" w:lineRule="auto" w:before="8"/>
        <w:rPr>
          <w:rFonts w:ascii="宋体" w:hAnsi="宋体" w:cs="宋体" w:eastAsia="宋体" w:hint="default"/>
          <w:sz w:val="23"/>
          <w:szCs w:val="23"/>
        </w:rPr>
      </w:pPr>
    </w:p>
    <w:p>
      <w:pPr>
        <w:pStyle w:val="BodyText"/>
        <w:spacing w:line="240" w:lineRule="auto"/>
        <w:ind w:left="238" w:right="108"/>
        <w:jc w:val="left"/>
      </w:pPr>
      <w:r>
        <w:rPr/>
        <w:t>公司</w:t>
      </w:r>
      <w:r>
        <w:rPr>
          <w:spacing w:val="-60"/>
        </w:rPr>
        <w:t> </w:t>
      </w:r>
      <w:r>
        <w:rPr/>
        <w:t>2010</w:t>
      </w:r>
      <w:r>
        <w:rPr>
          <w:spacing w:val="-60"/>
        </w:rPr>
        <w:t> </w:t>
      </w:r>
      <w:r>
        <w:rPr/>
        <w:t>年利润表的各项财务比率如下</w:t>
      </w:r>
      <w:r>
        <w:rPr>
          <w:color w:val="0000FF"/>
        </w:rPr>
        <w:t>：</w:t>
      </w:r>
      <w:r>
        <w:rPr/>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356"/>
        <w:gridCol w:w="2353"/>
        <w:gridCol w:w="2354"/>
        <w:gridCol w:w="2354"/>
      </w:tblGrid>
      <w:tr>
        <w:trPr>
          <w:trHeight w:val="368" w:hRule="exact"/>
        </w:trPr>
        <w:tc>
          <w:tcPr>
            <w:tcW w:w="2356" w:type="dxa"/>
            <w:tcBorders>
              <w:top w:val="single" w:sz="12" w:space="0" w:color="000000"/>
              <w:left w:val="single" w:sz="12" w:space="0" w:color="000000"/>
              <w:bottom w:val="single" w:sz="8" w:space="0" w:color="000000"/>
              <w:right w:val="single" w:sz="8" w:space="0" w:color="000000"/>
            </w:tcBorders>
          </w:tcPr>
          <w:p>
            <w:pPr/>
          </w:p>
        </w:tc>
        <w:tc>
          <w:tcPr>
            <w:tcW w:w="235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54"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3"/>
              <w:jc w:val="right"/>
              <w:rPr>
                <w:rFonts w:ascii="Times New Roman" w:hAnsi="Times New Roman" w:cs="Times New Roman" w:eastAsia="Times New Roman" w:hint="default"/>
                <w:sz w:val="21"/>
                <w:szCs w:val="21"/>
              </w:rPr>
            </w:pPr>
            <w:r>
              <w:rPr>
                <w:rFonts w:ascii="Times New Roman"/>
                <w:spacing w:val="-1"/>
                <w:sz w:val="21"/>
              </w:rPr>
              <w:t>15.51%</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4"/>
              <w:jc w:val="right"/>
              <w:rPr>
                <w:rFonts w:ascii="Times New Roman" w:hAnsi="Times New Roman" w:cs="Times New Roman" w:eastAsia="Times New Roman" w:hint="default"/>
                <w:sz w:val="21"/>
                <w:szCs w:val="21"/>
              </w:rPr>
            </w:pPr>
            <w:r>
              <w:rPr>
                <w:rFonts w:ascii="Times New Roman"/>
                <w:spacing w:val="-1"/>
                <w:sz w:val="21"/>
              </w:rPr>
              <w:t>15.89%</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88"/>
              <w:jc w:val="right"/>
              <w:rPr>
                <w:rFonts w:ascii="Times New Roman" w:hAnsi="Times New Roman" w:cs="Times New Roman" w:eastAsia="Times New Roman" w:hint="default"/>
                <w:sz w:val="21"/>
                <w:szCs w:val="21"/>
              </w:rPr>
            </w:pPr>
            <w:r>
              <w:rPr>
                <w:rFonts w:ascii="Times New Roman"/>
                <w:spacing w:val="-1"/>
                <w:sz w:val="21"/>
              </w:rPr>
              <w:t>18.48%</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期间费率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3"/>
              <w:jc w:val="right"/>
              <w:rPr>
                <w:rFonts w:ascii="Times New Roman" w:hAnsi="Times New Roman" w:cs="Times New Roman" w:eastAsia="Times New Roman" w:hint="default"/>
                <w:sz w:val="21"/>
                <w:szCs w:val="21"/>
              </w:rPr>
            </w:pPr>
            <w:r>
              <w:rPr>
                <w:rFonts w:ascii="Times New Roman"/>
                <w:spacing w:val="-1"/>
                <w:sz w:val="21"/>
              </w:rPr>
              <w:t>13.60%</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4"/>
              <w:jc w:val="right"/>
              <w:rPr>
                <w:rFonts w:ascii="Times New Roman" w:hAnsi="Times New Roman" w:cs="Times New Roman" w:eastAsia="Times New Roman" w:hint="default"/>
                <w:sz w:val="21"/>
                <w:szCs w:val="21"/>
              </w:rPr>
            </w:pPr>
            <w:r>
              <w:rPr>
                <w:rFonts w:ascii="Times New Roman"/>
                <w:spacing w:val="-1"/>
                <w:sz w:val="21"/>
              </w:rPr>
              <w:t>13.61%</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88"/>
              <w:jc w:val="right"/>
              <w:rPr>
                <w:rFonts w:ascii="Times New Roman" w:hAnsi="Times New Roman" w:cs="Times New Roman" w:eastAsia="Times New Roman" w:hint="default"/>
                <w:sz w:val="21"/>
                <w:szCs w:val="21"/>
              </w:rPr>
            </w:pPr>
            <w:r>
              <w:rPr>
                <w:rFonts w:ascii="Times New Roman"/>
                <w:spacing w:val="-1"/>
                <w:sz w:val="21"/>
              </w:rPr>
              <w:t>15.05%</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其中：销售费用率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5.96%</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5.84%</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6.15%</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right="557"/>
              <w:jc w:val="right"/>
              <w:rPr>
                <w:rFonts w:ascii="宋体" w:hAnsi="宋体" w:cs="宋体" w:eastAsia="宋体" w:hint="default"/>
                <w:sz w:val="21"/>
                <w:szCs w:val="21"/>
              </w:rPr>
            </w:pPr>
            <w:r>
              <w:rPr>
                <w:rFonts w:ascii="宋体" w:hAnsi="宋体" w:cs="宋体" w:eastAsia="宋体" w:hint="default"/>
                <w:sz w:val="21"/>
                <w:szCs w:val="21"/>
              </w:rPr>
              <w:t>管理费用率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6.08%</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6.54%</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7.00%</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right="557"/>
              <w:jc w:val="right"/>
              <w:rPr>
                <w:rFonts w:ascii="宋体" w:hAnsi="宋体" w:cs="宋体" w:eastAsia="宋体" w:hint="default"/>
                <w:sz w:val="21"/>
                <w:szCs w:val="21"/>
              </w:rPr>
            </w:pPr>
            <w:r>
              <w:rPr>
                <w:rFonts w:ascii="宋体" w:hAnsi="宋体" w:cs="宋体" w:eastAsia="宋体" w:hint="default"/>
                <w:sz w:val="21"/>
                <w:szCs w:val="21"/>
              </w:rPr>
              <w:t>财务费用率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1.57%</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1.23%</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1.91%</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净利润率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2.64%</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2.31%</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1.76%</w:t>
            </w:r>
          </w:p>
        </w:tc>
      </w:tr>
      <w:tr>
        <w:trPr>
          <w:trHeight w:val="353" w:hRule="exact"/>
        </w:trPr>
        <w:tc>
          <w:tcPr>
            <w:tcW w:w="2356"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3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6.25%</w:t>
            </w:r>
          </w:p>
        </w:tc>
        <w:tc>
          <w:tcPr>
            <w:tcW w:w="23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4.90%</w:t>
            </w:r>
          </w:p>
        </w:tc>
        <w:tc>
          <w:tcPr>
            <w:tcW w:w="2354"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3.72%</w:t>
            </w:r>
          </w:p>
        </w:tc>
      </w:tr>
    </w:tbl>
    <w:p>
      <w:pPr>
        <w:spacing w:line="240" w:lineRule="auto" w:before="11"/>
        <w:rPr>
          <w:rFonts w:ascii="宋体" w:hAnsi="宋体" w:cs="宋体" w:eastAsia="宋体" w:hint="default"/>
          <w:sz w:val="18"/>
          <w:szCs w:val="18"/>
        </w:rPr>
      </w:pPr>
    </w:p>
    <w:p>
      <w:pPr>
        <w:pStyle w:val="BodyText"/>
        <w:spacing w:line="240" w:lineRule="auto" w:before="26"/>
        <w:ind w:left="238" w:right="108"/>
        <w:jc w:val="left"/>
      </w:pPr>
      <w:r>
        <w:rPr/>
        <w:t>公司各骨干控股子公司的营业费用、管理费用情况总体保持稳定，具体如下：</w:t>
      </w:r>
    </w:p>
    <w:p>
      <w:pPr>
        <w:spacing w:after="0" w:line="240"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876"/>
        <w:gridCol w:w="1148"/>
        <w:gridCol w:w="1150"/>
        <w:gridCol w:w="1062"/>
        <w:gridCol w:w="1062"/>
        <w:gridCol w:w="1062"/>
        <w:gridCol w:w="1058"/>
      </w:tblGrid>
      <w:tr>
        <w:trPr>
          <w:trHeight w:val="337" w:hRule="exact"/>
        </w:trPr>
        <w:tc>
          <w:tcPr>
            <w:tcW w:w="2876" w:type="dxa"/>
            <w:vMerge w:val="restart"/>
            <w:tcBorders>
              <w:top w:val="single" w:sz="12" w:space="0" w:color="000000"/>
              <w:left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单位：万元</w:t>
            </w:r>
          </w:p>
        </w:tc>
        <w:tc>
          <w:tcPr>
            <w:tcW w:w="2298"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7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c>
          <w:tcPr>
            <w:tcW w:w="2124"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66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年度</w:t>
            </w:r>
            <w:r>
              <w:rPr>
                <w:rFonts w:ascii="宋体" w:hAnsi="宋体" w:cs="宋体" w:eastAsia="宋体" w:hint="default"/>
                <w:sz w:val="18"/>
                <w:szCs w:val="18"/>
              </w:rPr>
            </w:r>
          </w:p>
        </w:tc>
        <w:tc>
          <w:tcPr>
            <w:tcW w:w="2120"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0"/>
              <w:ind w:left="6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2" w:hRule="exact"/>
        </w:trPr>
        <w:tc>
          <w:tcPr>
            <w:tcW w:w="2876" w:type="dxa"/>
            <w:vMerge/>
            <w:tcBorders>
              <w:left w:val="single" w:sz="12" w:space="0" w:color="000000"/>
              <w:bottom w:val="single" w:sz="8" w:space="0" w:color="000000"/>
              <w:right w:val="single" w:sz="8" w:space="0" w:color="000000"/>
            </w:tcBorders>
          </w:tcPr>
          <w:p>
            <w:pP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58"/>
              <w:jc w:val="right"/>
              <w:rPr>
                <w:rFonts w:ascii="宋体" w:hAnsi="宋体" w:cs="宋体" w:eastAsia="宋体" w:hint="default"/>
                <w:sz w:val="18"/>
                <w:szCs w:val="18"/>
              </w:rPr>
            </w:pPr>
            <w:r>
              <w:rPr>
                <w:rFonts w:ascii="宋体" w:hAnsi="宋体" w:cs="宋体" w:eastAsia="宋体" w:hint="default"/>
                <w:b/>
                <w:bCs/>
                <w:w w:val="95"/>
                <w:sz w:val="18"/>
                <w:szCs w:val="18"/>
              </w:rPr>
              <w:t>销售费用</w:t>
            </w:r>
            <w:r>
              <w:rPr>
                <w:rFonts w:ascii="宋体" w:hAnsi="宋体" w:cs="宋体" w:eastAsia="宋体" w:hint="default"/>
                <w:sz w:val="18"/>
                <w:szCs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1"/>
              <w:ind w:left="156"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一、母公司合计</w:t>
            </w:r>
            <w:r>
              <w:rPr>
                <w:rFonts w:ascii="Times New Roman" w:hAnsi="Times New Roman" w:cs="Times New Roman" w:eastAsia="Times New Roman" w:hint="default"/>
                <w:b/>
                <w:bCs/>
                <w:sz w:val="18"/>
                <w:szCs w:val="18"/>
              </w:rPr>
              <w:t>(a)</w:t>
            </w:r>
            <w:r>
              <w:rPr>
                <w:rFonts w:ascii="Times New Roman" w:hAnsi="Times New Roman" w:cs="Times New Roman" w:eastAsia="Times New Roman"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37,961.21</w:t>
            </w:r>
            <w:r>
              <w:rPr>
                <w:rFonts w:ascii="Times New Roman"/>
                <w:sz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20,999.46</w:t>
            </w:r>
            <w:r>
              <w:rPr>
                <w:rFonts w:ascii="Times New Roman"/>
                <w:sz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40,745.71</w:t>
            </w:r>
            <w:r>
              <w:rPr>
                <w:rFonts w:ascii="Times New Roman"/>
                <w:sz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4"/>
              <w:jc w:val="right"/>
              <w:rPr>
                <w:rFonts w:ascii="Times New Roman" w:hAnsi="Times New Roman" w:cs="Times New Roman" w:eastAsia="Times New Roman" w:hint="default"/>
                <w:sz w:val="18"/>
                <w:szCs w:val="18"/>
              </w:rPr>
            </w:pPr>
            <w:r>
              <w:rPr>
                <w:rFonts w:ascii="Times New Roman"/>
                <w:b/>
                <w:sz w:val="18"/>
              </w:rPr>
              <w:t>21,469.81</w:t>
            </w:r>
            <w:r>
              <w:rPr>
                <w:rFonts w:ascii="Times New Roman"/>
                <w:sz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4"/>
              <w:jc w:val="right"/>
              <w:rPr>
                <w:rFonts w:ascii="Times New Roman" w:hAnsi="Times New Roman" w:cs="Times New Roman" w:eastAsia="Times New Roman" w:hint="default"/>
                <w:sz w:val="18"/>
                <w:szCs w:val="18"/>
              </w:rPr>
            </w:pPr>
            <w:r>
              <w:rPr>
                <w:rFonts w:ascii="Times New Roman"/>
                <w:b/>
                <w:sz w:val="18"/>
              </w:rPr>
              <w:t>35,440.98</w:t>
            </w:r>
            <w:r>
              <w:rPr>
                <w:rFonts w:ascii="Times New Roman"/>
                <w:sz w:val="18"/>
              </w:rPr>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24,350.46</w:t>
            </w:r>
            <w:r>
              <w:rPr>
                <w:rFonts w:ascii="Times New Roman"/>
                <w:sz w:val="18"/>
              </w:rPr>
            </w:r>
          </w:p>
        </w:tc>
      </w:tr>
      <w:tr>
        <w:trPr>
          <w:trHeight w:val="331"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其中：数字城市</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3,292.04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3,526.31</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2,660.90</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3,037.38</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2,526.77</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1,749.51</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63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20,553.24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1,932.34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19,966.12</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4,069.25</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18,110.55</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9,467.58</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633"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10,375.21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2,132.29</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14,361.03</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1,731.48</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w w:val="95"/>
                <w:sz w:val="18"/>
              </w:rPr>
              <w:t>11,538.67</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1,094.92</w:t>
            </w:r>
          </w:p>
        </w:tc>
      </w:tr>
      <w:tr>
        <w:trPr>
          <w:trHeight w:val="389"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9"/>
              <w:ind w:left="93" w:right="0"/>
              <w:jc w:val="left"/>
              <w:rPr>
                <w:rFonts w:ascii="宋体" w:hAnsi="宋体" w:cs="宋体" w:eastAsia="宋体" w:hint="default"/>
                <w:sz w:val="18"/>
                <w:szCs w:val="18"/>
              </w:rPr>
            </w:pPr>
            <w:r>
              <w:rPr>
                <w:rFonts w:ascii="宋体" w:hAnsi="宋体" w:cs="宋体" w:eastAsia="宋体" w:hint="default"/>
                <w:b/>
                <w:bCs/>
                <w:sz w:val="18"/>
                <w:szCs w:val="18"/>
              </w:rPr>
              <w:t>二、子公司合计</w:t>
            </w:r>
            <w:r>
              <w:rPr>
                <w:rFonts w:ascii="宋体" w:hAnsi="宋体" w:cs="宋体" w:eastAsia="宋体"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b/>
                <w:sz w:val="18"/>
              </w:rPr>
              <w:t>70,129.18</w:t>
            </w:r>
            <w:r>
              <w:rPr>
                <w:rFonts w:ascii="Times New Roman"/>
                <w:sz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b/>
                <w:sz w:val="18"/>
              </w:rPr>
              <w:t>89,184.60</w:t>
            </w:r>
            <w:r>
              <w:rPr>
                <w:rFonts w:ascii="Times New Roman"/>
                <w:sz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b/>
                <w:sz w:val="18"/>
              </w:rPr>
              <w:t>48,230.59</w:t>
            </w:r>
            <w:r>
              <w:rPr>
                <w:rFonts w:ascii="Times New Roman"/>
                <w:sz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b/>
                <w:sz w:val="18"/>
              </w:rPr>
              <w:t>78,071.03</w:t>
            </w:r>
            <w:r>
              <w:rPr>
                <w:rFonts w:ascii="Times New Roman"/>
                <w:sz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b/>
                <w:sz w:val="18"/>
              </w:rPr>
              <w:t>48,857.16</w:t>
            </w:r>
            <w:r>
              <w:rPr>
                <w:rFonts w:ascii="Times New Roman"/>
                <w:sz w:val="18"/>
              </w:rPr>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3"/>
              <w:ind w:right="89"/>
              <w:jc w:val="right"/>
              <w:rPr>
                <w:rFonts w:ascii="Times New Roman" w:hAnsi="Times New Roman" w:cs="Times New Roman" w:eastAsia="Times New Roman" w:hint="default"/>
                <w:sz w:val="18"/>
                <w:szCs w:val="18"/>
              </w:rPr>
            </w:pPr>
            <w:r>
              <w:rPr>
                <w:rFonts w:ascii="Times New Roman"/>
                <w:b/>
                <w:sz w:val="18"/>
              </w:rPr>
              <w:t>71,567.36</w:t>
            </w:r>
            <w:r>
              <w:rPr>
                <w:rFonts w:ascii="Times New Roman"/>
                <w:sz w:val="18"/>
              </w:rPr>
            </w:r>
          </w:p>
        </w:tc>
      </w:tr>
      <w:tr>
        <w:trPr>
          <w:trHeight w:val="331"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其中：同方威视</w:t>
            </w:r>
            <w:r>
              <w:rPr>
                <w:rFonts w:ascii="Times New Roman" w:hAnsi="Times New Roman" w:cs="Times New Roman" w:eastAsia="Times New Roman" w:hint="default"/>
                <w:sz w:val="18"/>
                <w:szCs w:val="18"/>
              </w:rPr>
              <w:t>(b)</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12,163.84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23,436.14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8,623.50</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21,030.45</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10,527.37</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23,283.30</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泰豪科技(c)</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16,006.67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17,669.50</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13,908.69</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14,037.17</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14,271.72</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14,082.01</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同方微电子(d)</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569.98</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2,327.67</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544.34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4,424.94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651.68</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4,028.14</w:t>
            </w:r>
          </w:p>
        </w:tc>
      </w:tr>
      <w:tr>
        <w:trPr>
          <w:trHeight w:val="331"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工业公司(e)</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2,406.48</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10,507.27</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1,004.76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8,845.86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812.14</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8,447.76</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同方知网(f)</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10,586.57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3,779.48</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9,860.05</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3,543.83</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8,796.30</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3,175.76</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沈阳多媒体(g)</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7,539.37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5,146.82</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5,823.50</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8,704.19</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6,661.21</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w w:val="95"/>
                <w:sz w:val="18"/>
              </w:rPr>
              <w:t>2,850.11</w:t>
            </w:r>
          </w:p>
        </w:tc>
      </w:tr>
      <w:tr>
        <w:trPr>
          <w:trHeight w:val="331"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b/>
                <w:bCs/>
                <w:sz w:val="18"/>
                <w:szCs w:val="18"/>
              </w:rPr>
              <w:t>三、(a)～(g)小计（含合并抵销）</w:t>
            </w:r>
            <w:r>
              <w:rPr>
                <w:rFonts w:ascii="宋体" w:hAnsi="宋体" w:cs="宋体" w:eastAsia="宋体"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87,234.12</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83,866.34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80,510.56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82,056.26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77,161.40</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z w:val="18"/>
              </w:rPr>
              <w:t>80,217.53</w:t>
            </w:r>
          </w:p>
        </w:tc>
      </w:tr>
      <w:tr>
        <w:trPr>
          <w:trHeight w:val="338" w:hRule="exact"/>
        </w:trPr>
        <w:tc>
          <w:tcPr>
            <w:tcW w:w="2876"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b/>
                <w:bCs/>
                <w:sz w:val="18"/>
                <w:szCs w:val="18"/>
              </w:rPr>
              <w:t>四、公司总计</w:t>
            </w:r>
            <w:r>
              <w:rPr>
                <w:rFonts w:ascii="宋体" w:hAnsi="宋体" w:cs="宋体" w:eastAsia="宋体" w:hint="default"/>
                <w:sz w:val="18"/>
                <w:szCs w:val="18"/>
              </w:rPr>
            </w:r>
          </w:p>
        </w:tc>
        <w:tc>
          <w:tcPr>
            <w:tcW w:w="114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108,090.39</w:t>
            </w:r>
            <w:r>
              <w:rPr>
                <w:rFonts w:ascii="Times New Roman"/>
                <w:sz w:val="18"/>
              </w:rPr>
            </w:r>
          </w:p>
        </w:tc>
        <w:tc>
          <w:tcPr>
            <w:tcW w:w="11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pacing w:val="-1"/>
                <w:sz w:val="18"/>
              </w:rPr>
              <w:t>110,184.06</w:t>
            </w:r>
            <w:r>
              <w:rPr>
                <w:rFonts w:ascii="Times New Roman"/>
                <w:spacing w:val="-1"/>
                <w:sz w:val="18"/>
              </w:rPr>
            </w:r>
          </w:p>
        </w:tc>
        <w:tc>
          <w:tcPr>
            <w:tcW w:w="10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88,976.30</w:t>
            </w:r>
            <w:r>
              <w:rPr>
                <w:rFonts w:ascii="Times New Roman"/>
                <w:sz w:val="18"/>
              </w:rPr>
            </w:r>
          </w:p>
        </w:tc>
        <w:tc>
          <w:tcPr>
            <w:tcW w:w="10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99,540.84</w:t>
            </w:r>
            <w:r>
              <w:rPr>
                <w:rFonts w:ascii="Times New Roman"/>
                <w:sz w:val="18"/>
              </w:rPr>
            </w:r>
          </w:p>
        </w:tc>
        <w:tc>
          <w:tcPr>
            <w:tcW w:w="10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84,298.14</w:t>
            </w:r>
            <w:r>
              <w:rPr>
                <w:rFonts w:ascii="Times New Roman"/>
                <w:sz w:val="18"/>
              </w:rPr>
            </w:r>
          </w:p>
        </w:tc>
        <w:tc>
          <w:tcPr>
            <w:tcW w:w="1058"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95,917.82</w:t>
            </w:r>
            <w:r>
              <w:rPr>
                <w:rFonts w:ascii="Times New Roman"/>
                <w:sz w:val="18"/>
              </w:rPr>
            </w:r>
          </w:p>
        </w:tc>
      </w:tr>
    </w:tbl>
    <w:p>
      <w:pPr>
        <w:spacing w:line="240" w:lineRule="auto" w:before="10"/>
        <w:rPr>
          <w:rFonts w:ascii="宋体" w:hAnsi="宋体" w:cs="宋体" w:eastAsia="宋体" w:hint="default"/>
          <w:sz w:val="18"/>
          <w:szCs w:val="18"/>
        </w:rPr>
      </w:pPr>
    </w:p>
    <w:p>
      <w:pPr>
        <w:pStyle w:val="BodyText"/>
        <w:spacing w:line="475" w:lineRule="auto" w:before="26"/>
        <w:ind w:left="238" w:right="3786"/>
        <w:jc w:val="left"/>
      </w:pPr>
      <w:r>
        <w:rPr/>
        <w:t>(3)损益科目分析 本年度公司的部分损益科目变化较大，具体原因如下:</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027"/>
        <w:gridCol w:w="1820"/>
        <w:gridCol w:w="1944"/>
        <w:gridCol w:w="1301"/>
        <w:gridCol w:w="1325"/>
      </w:tblGrid>
      <w:tr>
        <w:trPr>
          <w:trHeight w:val="339" w:hRule="exact"/>
        </w:trPr>
        <w:tc>
          <w:tcPr>
            <w:tcW w:w="3027" w:type="dxa"/>
            <w:tcBorders>
              <w:top w:val="single" w:sz="12" w:space="0" w:color="000000"/>
              <w:left w:val="single" w:sz="12" w:space="0" w:color="000000"/>
              <w:bottom w:val="single" w:sz="8" w:space="0" w:color="000000"/>
              <w:right w:val="single" w:sz="8" w:space="0" w:color="000000"/>
            </w:tcBorders>
          </w:tcPr>
          <w:p>
            <w:pPr>
              <w:pStyle w:val="TableParagraph"/>
              <w:spacing w:line="261" w:lineRule="exact"/>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55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44"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617"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0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322" w:right="0"/>
              <w:jc w:val="left"/>
              <w:rPr>
                <w:rFonts w:ascii="宋体" w:hAnsi="宋体" w:cs="宋体" w:eastAsia="宋体" w:hint="default"/>
                <w:sz w:val="21"/>
                <w:szCs w:val="21"/>
              </w:rPr>
            </w:pPr>
            <w:r>
              <w:rPr>
                <w:rFonts w:ascii="宋体" w:hAnsi="宋体" w:cs="宋体" w:eastAsia="宋体" w:hint="default"/>
                <w:b/>
                <w:bCs/>
                <w:sz w:val="21"/>
                <w:szCs w:val="21"/>
              </w:rPr>
              <w:t>增减额</w:t>
            </w:r>
            <w:r>
              <w:rPr>
                <w:rFonts w:ascii="宋体" w:hAnsi="宋体" w:cs="宋体" w:eastAsia="宋体" w:hint="default"/>
                <w:sz w:val="21"/>
                <w:szCs w:val="21"/>
              </w:rPr>
            </w:r>
          </w:p>
        </w:tc>
        <w:tc>
          <w:tcPr>
            <w:tcW w:w="1325"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tc>
      </w:tr>
      <w:tr>
        <w:trPr>
          <w:trHeight w:val="332" w:hRule="exact"/>
        </w:trPr>
        <w:tc>
          <w:tcPr>
            <w:tcW w:w="3027"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28,389.35</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18,726.63</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9,662.72</w:t>
            </w:r>
          </w:p>
        </w:tc>
        <w:tc>
          <w:tcPr>
            <w:tcW w:w="13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51.60%</w:t>
            </w:r>
          </w:p>
        </w:tc>
      </w:tr>
      <w:tr>
        <w:trPr>
          <w:trHeight w:val="332" w:hRule="exact"/>
        </w:trPr>
        <w:tc>
          <w:tcPr>
            <w:tcW w:w="3027"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24,959.40</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19,378.68</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5,580.72</w:t>
            </w:r>
          </w:p>
        </w:tc>
        <w:tc>
          <w:tcPr>
            <w:tcW w:w="13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28.80%</w:t>
            </w:r>
          </w:p>
        </w:tc>
      </w:tr>
      <w:tr>
        <w:trPr>
          <w:trHeight w:val="331" w:hRule="exact"/>
        </w:trPr>
        <w:tc>
          <w:tcPr>
            <w:tcW w:w="3027"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2"/>
                <w:sz w:val="21"/>
              </w:rPr>
              <w:t>14,118.12</w:t>
            </w:r>
            <w:r>
              <w:rPr>
                <w:rFonts w:ascii="Times New Roman"/>
                <w:sz w:val="21"/>
              </w:rPr>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4,668.40</w:t>
            </w:r>
            <w:r>
              <w:rPr>
                <w:rFonts w:ascii="Times New Roman"/>
                <w:sz w:val="21"/>
              </w:rPr>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9,449.72</w:t>
            </w:r>
            <w:r>
              <w:rPr>
                <w:rFonts w:ascii="Times New Roman"/>
                <w:sz w:val="21"/>
              </w:rPr>
            </w:r>
          </w:p>
        </w:tc>
        <w:tc>
          <w:tcPr>
            <w:tcW w:w="13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202.42%</w:t>
            </w:r>
          </w:p>
        </w:tc>
      </w:tr>
      <w:tr>
        <w:trPr>
          <w:trHeight w:val="332" w:hRule="exact"/>
        </w:trPr>
        <w:tc>
          <w:tcPr>
            <w:tcW w:w="3027"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51,495.89</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33,566.92</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17,928.97</w:t>
            </w:r>
          </w:p>
        </w:tc>
        <w:tc>
          <w:tcPr>
            <w:tcW w:w="13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53.41%</w:t>
            </w:r>
          </w:p>
        </w:tc>
      </w:tr>
      <w:tr>
        <w:trPr>
          <w:trHeight w:val="332" w:hRule="exact"/>
        </w:trPr>
        <w:tc>
          <w:tcPr>
            <w:tcW w:w="3027"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4,794.36</w:t>
            </w:r>
            <w:r>
              <w:rPr>
                <w:rFonts w:ascii="Times New Roman"/>
                <w:sz w:val="21"/>
              </w:rPr>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3,597.15</w:t>
            </w:r>
            <w:r>
              <w:rPr>
                <w:rFonts w:ascii="Times New Roman"/>
                <w:sz w:val="21"/>
              </w:rPr>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1,197.21</w:t>
            </w:r>
            <w:r>
              <w:rPr>
                <w:rFonts w:ascii="Times New Roman"/>
                <w:sz w:val="21"/>
              </w:rPr>
            </w:r>
          </w:p>
        </w:tc>
        <w:tc>
          <w:tcPr>
            <w:tcW w:w="13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33.28%</w:t>
            </w:r>
          </w:p>
        </w:tc>
      </w:tr>
      <w:tr>
        <w:trPr>
          <w:trHeight w:val="337" w:hRule="exact"/>
        </w:trPr>
        <w:tc>
          <w:tcPr>
            <w:tcW w:w="3027"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2"/>
                <w:sz w:val="21"/>
              </w:rPr>
              <w:t>11,827.73</w:t>
            </w:r>
          </w:p>
        </w:tc>
        <w:tc>
          <w:tcPr>
            <w:tcW w:w="194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7,365.95</w:t>
            </w:r>
          </w:p>
        </w:tc>
        <w:tc>
          <w:tcPr>
            <w:tcW w:w="13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4,461.77</w:t>
            </w:r>
          </w:p>
        </w:tc>
        <w:tc>
          <w:tcPr>
            <w:tcW w:w="1325"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60.57%</w:t>
            </w:r>
          </w:p>
        </w:tc>
      </w:tr>
    </w:tbl>
    <w:p>
      <w:pPr>
        <w:spacing w:line="240" w:lineRule="auto" w:before="11"/>
        <w:rPr>
          <w:rFonts w:ascii="宋体" w:hAnsi="宋体" w:cs="宋体" w:eastAsia="宋体" w:hint="default"/>
          <w:sz w:val="18"/>
          <w:szCs w:val="18"/>
        </w:rPr>
      </w:pPr>
    </w:p>
    <w:p>
      <w:pPr>
        <w:pStyle w:val="BodyText"/>
        <w:spacing w:line="237" w:lineRule="auto" w:before="28"/>
        <w:ind w:left="238" w:right="108"/>
        <w:jc w:val="left"/>
      </w:pPr>
      <w:r>
        <w:rPr/>
        <w:t>其中： A.财务费用变动较大，主要是公司因长期负债总额增长、市场利率水平提高所致。 B.资产减值损失变动较大，主要是由于本期计提的坏账准备、固定资产减值准备增加所</w:t>
      </w:r>
      <w:r>
        <w:rPr>
          <w:spacing w:val="-47"/>
        </w:rPr>
        <w:t> </w:t>
      </w:r>
      <w:r>
        <w:rPr>
          <w:spacing w:val="-47"/>
        </w:rPr>
      </w:r>
      <w:r>
        <w:rPr/>
        <w:t>致。</w:t>
      </w:r>
      <w:r>
        <w:rPr/>
        <w:t> C.公允价值变动收益变动较大，主要是由于公司本期将原按长期股权投资核算的润邦股</w:t>
      </w:r>
      <w:r>
        <w:rPr>
          <w:spacing w:val="-47"/>
        </w:rPr>
        <w:t> </w:t>
      </w:r>
      <w:r>
        <w:rPr>
          <w:spacing w:val="-47"/>
        </w:rPr>
      </w:r>
      <w:r>
        <w:rPr/>
        <w:t>份和泰盛国际股权确认为交易性金融资产所致。</w:t>
      </w:r>
      <w:r>
        <w:rPr/>
        <w:t> D.投资收益变动较大，主要是由于本期处置百视通网络技术有限公司、北京同方电子商</w:t>
      </w:r>
      <w:r>
        <w:rPr>
          <w:spacing w:val="-47"/>
        </w:rPr>
        <w:t> </w:t>
      </w:r>
      <w:r>
        <w:rPr>
          <w:spacing w:val="-47"/>
        </w:rPr>
      </w:r>
      <w:r>
        <w:rPr/>
        <w:t>务有限公司股权产生的投资收益所致。</w:t>
      </w:r>
      <w:r>
        <w:rPr/>
        <w:t> E.营业外支出变动较大，主要是由于公司所属子公司泰豪科技股份有限公司本期发生对</w:t>
      </w:r>
      <w:r>
        <w:rPr>
          <w:spacing w:val="-47"/>
        </w:rPr>
        <w:t> </w:t>
      </w:r>
      <w:r>
        <w:rPr>
          <w:spacing w:val="-47"/>
        </w:rPr>
      </w:r>
      <w:r>
        <w:rPr/>
        <w:t>外担保损失所致。</w:t>
      </w:r>
    </w:p>
    <w:p>
      <w:pPr>
        <w:pStyle w:val="BodyText"/>
        <w:spacing w:line="475" w:lineRule="auto"/>
        <w:ind w:left="238" w:right="2226"/>
        <w:jc w:val="left"/>
      </w:pPr>
      <w:r>
        <w:rPr/>
        <w:t>F.所得税费用变动较大，主要是本期利润总额较上年同期增加所致。 (4)扣除非经常性净利润分析</w:t>
      </w:r>
    </w:p>
    <w:p>
      <w:pPr>
        <w:spacing w:after="0" w:line="475" w:lineRule="auto"/>
        <w:jc w:val="left"/>
        <w:sectPr>
          <w:headerReference w:type="default" r:id="rId19"/>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left="538" w:right="520"/>
        <w:jc w:val="both"/>
      </w:pPr>
      <w:r>
        <w:rPr>
          <w:spacing w:val="-4"/>
        </w:rPr>
        <w:t>在扣除非经常性净利润方面，本年度，公司非经常性损益为</w:t>
      </w:r>
      <w:r>
        <w:rPr>
          <w:spacing w:val="-59"/>
        </w:rPr>
        <w:t> </w:t>
      </w:r>
      <w:r>
        <w:rPr/>
        <w:t>2.88</w:t>
      </w:r>
      <w:r>
        <w:rPr>
          <w:spacing w:val="-59"/>
        </w:rPr>
        <w:t> </w:t>
      </w:r>
      <w:r>
        <w:rPr>
          <w:spacing w:val="-5"/>
        </w:rPr>
        <w:t>亿元，同比增加了</w:t>
      </w:r>
      <w:r>
        <w:rPr>
          <w:spacing w:val="-59"/>
        </w:rPr>
        <w:t> </w:t>
      </w:r>
      <w:r>
        <w:rPr/>
        <w:t>1.87</w:t>
      </w:r>
      <w:r>
        <w:rPr>
          <w:spacing w:val="-1"/>
        </w:rPr>
        <w:t> </w:t>
      </w:r>
      <w:r>
        <w:rPr/>
        <w:t>亿元，主要增加的项目内容为所持股票和基金的市值变动造成公允价值变动和处置长期</w:t>
      </w:r>
      <w:r>
        <w:rPr>
          <w:spacing w:val="-47"/>
        </w:rPr>
        <w:t> </w:t>
      </w:r>
      <w:r>
        <w:rPr>
          <w:spacing w:val="-47"/>
        </w:rPr>
      </w:r>
      <w:r>
        <w:rPr/>
        <w:t>股权投资产生的投资收益。</w:t>
      </w:r>
    </w:p>
    <w:p>
      <w:pPr>
        <w:spacing w:line="240" w:lineRule="auto" w:before="7"/>
        <w:rPr>
          <w:rFonts w:ascii="宋体" w:hAnsi="宋体" w:cs="宋体" w:eastAsia="宋体" w:hint="default"/>
          <w:sz w:val="26"/>
          <w:szCs w:val="26"/>
        </w:rPr>
      </w:pPr>
    </w:p>
    <w:tbl>
      <w:tblPr>
        <w:tblW w:w="0" w:type="auto"/>
        <w:jc w:val="left"/>
        <w:tblInd w:w="414" w:type="dxa"/>
        <w:tblLayout w:type="fixed"/>
        <w:tblCellMar>
          <w:top w:w="0" w:type="dxa"/>
          <w:left w:w="0" w:type="dxa"/>
          <w:bottom w:w="0" w:type="dxa"/>
          <w:right w:w="0" w:type="dxa"/>
        </w:tblCellMar>
        <w:tblLook w:val="01E0"/>
      </w:tblPr>
      <w:tblGrid>
        <w:gridCol w:w="2762"/>
        <w:gridCol w:w="2168"/>
        <w:gridCol w:w="2372"/>
        <w:gridCol w:w="2115"/>
      </w:tblGrid>
      <w:tr>
        <w:trPr>
          <w:trHeight w:val="334" w:hRule="exact"/>
        </w:trPr>
        <w:tc>
          <w:tcPr>
            <w:tcW w:w="276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73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47,955.55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35,137.02</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24,059.58</w:t>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19,189.93</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24,994.84</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25,915.68</w:t>
            </w:r>
          </w:p>
        </w:tc>
      </w:tr>
    </w:tbl>
    <w:p>
      <w:pPr>
        <w:spacing w:line="240" w:lineRule="auto" w:before="11"/>
        <w:rPr>
          <w:rFonts w:ascii="宋体" w:hAnsi="宋体" w:cs="宋体" w:eastAsia="宋体" w:hint="default"/>
          <w:sz w:val="15"/>
          <w:szCs w:val="15"/>
        </w:rPr>
      </w:pPr>
    </w:p>
    <w:p>
      <w:pPr>
        <w:spacing w:line="475" w:lineRule="auto" w:before="26"/>
        <w:ind w:left="538" w:right="7426" w:firstLine="0"/>
        <w:jc w:val="left"/>
        <w:rPr>
          <w:rFonts w:ascii="宋体" w:hAnsi="宋体" w:cs="宋体" w:eastAsia="宋体" w:hint="default"/>
          <w:sz w:val="24"/>
          <w:szCs w:val="24"/>
        </w:rPr>
      </w:pPr>
      <w:r>
        <w:rPr>
          <w:rFonts w:ascii="宋体" w:hAnsi="宋体" w:cs="宋体" w:eastAsia="宋体" w:hint="default"/>
          <w:b/>
          <w:bCs/>
          <w:sz w:val="24"/>
          <w:szCs w:val="24"/>
        </w:rPr>
        <w:t>2、资产状况</w:t>
      </w:r>
      <w:r>
        <w:rPr>
          <w:rFonts w:ascii="宋体" w:hAnsi="宋体" w:cs="宋体" w:eastAsia="宋体" w:hint="default"/>
          <w:b/>
          <w:bCs/>
          <w:spacing w:val="1"/>
          <w:w w:val="99"/>
          <w:sz w:val="24"/>
          <w:szCs w:val="24"/>
        </w:rPr>
        <w:t> </w:t>
      </w:r>
      <w:r>
        <w:rPr>
          <w:rFonts w:ascii="宋体" w:hAnsi="宋体" w:cs="宋体" w:eastAsia="宋体" w:hint="default"/>
          <w:sz w:val="24"/>
          <w:szCs w:val="24"/>
        </w:rPr>
        <w:t>(1)整体资产状况分析</w:t>
      </w:r>
    </w:p>
    <w:p>
      <w:pPr>
        <w:pStyle w:val="BodyText"/>
        <w:spacing w:line="237" w:lineRule="auto" w:before="76"/>
        <w:ind w:left="538" w:right="406"/>
        <w:jc w:val="left"/>
      </w:pPr>
      <w:r>
        <w:rPr/>
        <w:t>公司资产期末总额为</w:t>
      </w:r>
      <w:r>
        <w:rPr>
          <w:spacing w:val="-59"/>
        </w:rPr>
        <w:t> </w:t>
      </w:r>
      <w:r>
        <w:rPr/>
        <w:t>248.65</w:t>
      </w:r>
      <w:r>
        <w:rPr>
          <w:spacing w:val="-59"/>
        </w:rPr>
        <w:t> </w:t>
      </w:r>
      <w:r>
        <w:rPr>
          <w:spacing w:val="-5"/>
        </w:rPr>
        <w:t>亿元，同比增长了</w:t>
      </w:r>
      <w:r>
        <w:rPr>
          <w:spacing w:val="-59"/>
        </w:rPr>
        <w:t> </w:t>
      </w:r>
      <w:r>
        <w:rPr>
          <w:spacing w:val="-4"/>
        </w:rPr>
        <w:t>16%；负债总额为</w:t>
      </w:r>
      <w:r>
        <w:rPr>
          <w:spacing w:val="-59"/>
        </w:rPr>
        <w:t> </w:t>
      </w:r>
      <w:r>
        <w:rPr/>
        <w:t>142.67</w:t>
      </w:r>
      <w:r>
        <w:rPr>
          <w:spacing w:val="-59"/>
        </w:rPr>
        <w:t> </w:t>
      </w:r>
      <w:r>
        <w:rPr>
          <w:spacing w:val="-5"/>
        </w:rPr>
        <w:t>亿元，同比增长</w:t>
      </w:r>
      <w:r>
        <w:rPr>
          <w:spacing w:val="-118"/>
        </w:rPr>
        <w:t> </w:t>
      </w:r>
      <w:r>
        <w:rPr>
          <w:spacing w:val="-118"/>
        </w:rPr>
      </w:r>
      <w:r>
        <w:rPr/>
        <w:t>了</w:t>
      </w:r>
      <w:r>
        <w:rPr>
          <w:spacing w:val="-60"/>
        </w:rPr>
        <w:t> </w:t>
      </w:r>
      <w:r>
        <w:rPr/>
        <w:t>19%。报告期内，面对宏观经济环境剧烈变动的情况下，公司采取了谨慎的经营策略，</w:t>
      </w:r>
      <w:r>
        <w:rPr/>
        <w:t> 加大了资金回笼力度，通过资金管理保证了营运资金的高效运转。因此本年度公司在资</w:t>
      </w:r>
      <w:r>
        <w:rPr>
          <w:spacing w:val="-47"/>
        </w:rPr>
        <w:t> </w:t>
      </w:r>
      <w:r>
        <w:rPr>
          <w:spacing w:val="-47"/>
        </w:rPr>
      </w:r>
      <w:r>
        <w:rPr/>
        <w:t>产负债率保持相对稳定的情况下，流动比率和速动比率继续保持了在合理水平内。</w:t>
      </w:r>
    </w:p>
    <w:p>
      <w:pPr>
        <w:spacing w:line="240" w:lineRule="auto" w:before="8"/>
        <w:rPr>
          <w:rFonts w:ascii="宋体" w:hAnsi="宋体" w:cs="宋体" w:eastAsia="宋体" w:hint="default"/>
          <w:sz w:val="23"/>
          <w:szCs w:val="23"/>
        </w:rPr>
      </w:pPr>
    </w:p>
    <w:p>
      <w:pPr>
        <w:pStyle w:val="BodyText"/>
        <w:spacing w:line="240" w:lineRule="auto"/>
        <w:ind w:left="538" w:right="690"/>
        <w:jc w:val="left"/>
      </w:pPr>
      <w:r>
        <w:rPr/>
        <w:t>公司</w:t>
      </w:r>
      <w:r>
        <w:rPr>
          <w:spacing w:val="-60"/>
        </w:rPr>
        <w:t> </w:t>
      </w:r>
      <w:r>
        <w:rPr/>
        <w:t>2010</w:t>
      </w:r>
      <w:r>
        <w:rPr>
          <w:spacing w:val="-60"/>
        </w:rPr>
        <w:t> </w:t>
      </w:r>
      <w:r>
        <w:rPr/>
        <w:t>年资产负债表的各项财务指标如下：</w:t>
      </w:r>
    </w:p>
    <w:p>
      <w:pPr>
        <w:spacing w:line="240" w:lineRule="auto" w:before="6"/>
        <w:rPr>
          <w:rFonts w:ascii="宋体" w:hAnsi="宋体" w:cs="宋体" w:eastAsia="宋体" w:hint="default"/>
          <w:sz w:val="26"/>
          <w:szCs w:val="26"/>
        </w:rPr>
      </w:pPr>
    </w:p>
    <w:tbl>
      <w:tblPr>
        <w:tblW w:w="0" w:type="auto"/>
        <w:jc w:val="left"/>
        <w:tblInd w:w="414" w:type="dxa"/>
        <w:tblLayout w:type="fixed"/>
        <w:tblCellMar>
          <w:top w:w="0" w:type="dxa"/>
          <w:left w:w="0" w:type="dxa"/>
          <w:bottom w:w="0" w:type="dxa"/>
          <w:right w:w="0" w:type="dxa"/>
        </w:tblCellMar>
        <w:tblLook w:val="01E0"/>
      </w:tblPr>
      <w:tblGrid>
        <w:gridCol w:w="2762"/>
        <w:gridCol w:w="2168"/>
        <w:gridCol w:w="2372"/>
        <w:gridCol w:w="2115"/>
      </w:tblGrid>
      <w:tr>
        <w:trPr>
          <w:trHeight w:val="338" w:hRule="exact"/>
        </w:trPr>
        <w:tc>
          <w:tcPr>
            <w:tcW w:w="276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56.05%</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53.32%</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142.24%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138.07%</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139.63%</w:t>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104.24%</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97.24%</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91.32%</w:t>
            </w:r>
          </w:p>
        </w:tc>
      </w:tr>
    </w:tbl>
    <w:p>
      <w:pPr>
        <w:spacing w:line="240" w:lineRule="auto" w:before="11"/>
        <w:rPr>
          <w:rFonts w:ascii="宋体" w:hAnsi="宋体" w:cs="宋体" w:eastAsia="宋体" w:hint="default"/>
          <w:sz w:val="18"/>
          <w:szCs w:val="18"/>
        </w:rPr>
      </w:pPr>
    </w:p>
    <w:p>
      <w:pPr>
        <w:pStyle w:val="BodyText"/>
        <w:spacing w:line="475" w:lineRule="auto" w:before="26"/>
        <w:ind w:left="538" w:right="3586"/>
        <w:jc w:val="left"/>
      </w:pPr>
      <w:r>
        <w:rPr/>
        <w:t>(2)主要资产科目分析 本年度公司的部分资产负债科目变化较大，具体原因如下:</w:t>
      </w:r>
    </w:p>
    <w:p>
      <w:pPr>
        <w:spacing w:line="240" w:lineRule="auto" w:before="8"/>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027"/>
        <w:gridCol w:w="1453"/>
        <w:gridCol w:w="1078"/>
        <w:gridCol w:w="1448"/>
        <w:gridCol w:w="1075"/>
        <w:gridCol w:w="1625"/>
        <w:gridCol w:w="1300"/>
      </w:tblGrid>
      <w:tr>
        <w:trPr>
          <w:trHeight w:val="337" w:hRule="exact"/>
        </w:trPr>
        <w:tc>
          <w:tcPr>
            <w:tcW w:w="2027" w:type="dxa"/>
            <w:vMerge w:val="restart"/>
            <w:tcBorders>
              <w:top w:val="single" w:sz="12" w:space="0" w:color="000000"/>
              <w:left w:val="single" w:sz="12"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p>
            <w:pPr>
              <w:pStyle w:val="TableParagraph"/>
              <w:spacing w:line="240" w:lineRule="auto" w:before="37"/>
              <w:ind w:right="7"/>
              <w:jc w:val="center"/>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25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784"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25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780" w:right="0"/>
              <w:jc w:val="left"/>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625" w:type="dxa"/>
            <w:vMerge w:val="restart"/>
            <w:tcBorders>
              <w:top w:val="single" w:sz="12"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与去年相比金</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额增减幅度</w:t>
            </w:r>
            <w:r>
              <w:rPr>
                <w:rFonts w:ascii="宋体" w:hAnsi="宋体" w:cs="宋体" w:eastAsia="宋体" w:hint="default"/>
                <w:sz w:val="21"/>
                <w:szCs w:val="21"/>
              </w:rPr>
            </w:r>
          </w:p>
        </w:tc>
        <w:tc>
          <w:tcPr>
            <w:tcW w:w="1300" w:type="dxa"/>
            <w:vMerge w:val="restart"/>
            <w:tcBorders>
              <w:top w:val="single" w:sz="12" w:space="0" w:color="000000"/>
              <w:left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比重变动幅</w:t>
            </w:r>
            <w:r>
              <w:rPr>
                <w:rFonts w:ascii="宋体" w:hAnsi="宋体" w:cs="宋体" w:eastAsia="宋体" w:hint="default"/>
                <w:sz w:val="21"/>
                <w:szCs w:val="21"/>
              </w:rPr>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b/>
                <w:bCs/>
                <w:w w:val="99"/>
                <w:sz w:val="21"/>
                <w:szCs w:val="21"/>
              </w:rPr>
              <w:t>度</w:t>
            </w:r>
            <w:r>
              <w:rPr>
                <w:rFonts w:ascii="宋体" w:hAnsi="宋体" w:cs="宋体" w:eastAsia="宋体" w:hint="default"/>
                <w:sz w:val="21"/>
                <w:szCs w:val="21"/>
              </w:rPr>
            </w:r>
          </w:p>
        </w:tc>
      </w:tr>
      <w:tr>
        <w:trPr>
          <w:trHeight w:val="342" w:hRule="exact"/>
        </w:trPr>
        <w:tc>
          <w:tcPr>
            <w:tcW w:w="2027" w:type="dxa"/>
            <w:vMerge/>
            <w:tcBorders>
              <w:left w:val="single" w:sz="12"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20"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18"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625"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12" w:space="0" w:color="000000"/>
            </w:tcBorders>
          </w:tcPr>
          <w:p>
            <w:pPr/>
          </w:p>
        </w:tc>
      </w:tr>
      <w:tr>
        <w:trPr>
          <w:trHeight w:val="328"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2,486,463.82</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2,138,992.17</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347,471.66</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16.24%</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11,501.24</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0.46%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8,419.34</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0.39%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3,081.90</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36.61%</w:t>
            </w:r>
          </w:p>
        </w:tc>
      </w:tr>
      <w:tr>
        <w:trPr>
          <w:trHeight w:val="328"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109,902.34</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4.42%</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70,853.15</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39,049.20</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2"/>
                <w:sz w:val="21"/>
              </w:rPr>
              <w:t>55.11%</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700.42</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1,184.10</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-483.68</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-40.85%</w:t>
            </w:r>
          </w:p>
        </w:tc>
      </w:tr>
      <w:tr>
        <w:trPr>
          <w:trHeight w:val="328"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11,400.00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0.46%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20,227.73</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0.95%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-8,827.73</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-43.64%</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95,377.63</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72,851.77</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22,525.87</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30.92%</w:t>
            </w:r>
          </w:p>
        </w:tc>
      </w:tr>
      <w:tr>
        <w:trPr>
          <w:trHeight w:val="328"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29,343.84</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1.18%</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15,318.34</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0.72%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14,025.50</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91.56%</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36,774.65</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1.48%</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13,314.44</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0.62%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23,460.21</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176.20%</w:t>
            </w:r>
          </w:p>
        </w:tc>
      </w:tr>
      <w:tr>
        <w:trPr>
          <w:trHeight w:val="328"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10,585.46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0.43%</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4,015.41</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6,570.05</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163.62%</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16,408.86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0.66%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16,408.86</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3,882.98</w:t>
            </w:r>
            <w:r>
              <w:rPr>
                <w:rFonts w:ascii="Times New Roman"/>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1,605.12</w:t>
            </w:r>
            <w:r>
              <w:rPr>
                <w:rFonts w:ascii="Times New Roman"/>
                <w:sz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2,277.86</w:t>
            </w:r>
            <w:r>
              <w:rPr>
                <w:rFonts w:ascii="Times New Roman"/>
                <w:sz w:val="21"/>
              </w:rPr>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141.91%</w:t>
            </w:r>
          </w:p>
        </w:tc>
      </w:tr>
    </w:tbl>
    <w:p>
      <w:pPr>
        <w:spacing w:after="0" w:line="240" w:lineRule="auto"/>
        <w:jc w:val="right"/>
        <w:rPr>
          <w:rFonts w:ascii="Times New Roman" w:hAnsi="Times New Roman" w:cs="Times New Roman" w:eastAsia="Times New Roman" w:hint="default"/>
          <w:sz w:val="21"/>
          <w:szCs w:val="21"/>
        </w:rPr>
        <w:sectPr>
          <w:pgSz w:w="11910" w:h="16840"/>
          <w:pgMar w:header="610" w:footer="764" w:top="1080" w:bottom="980" w:left="8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2027"/>
        <w:gridCol w:w="1453"/>
        <w:gridCol w:w="1078"/>
        <w:gridCol w:w="1448"/>
        <w:gridCol w:w="1075"/>
        <w:gridCol w:w="1625"/>
        <w:gridCol w:w="1300"/>
      </w:tblGrid>
      <w:tr>
        <w:trPr>
          <w:trHeight w:val="337" w:hRule="exact"/>
        </w:trPr>
        <w:tc>
          <w:tcPr>
            <w:tcW w:w="2027" w:type="dxa"/>
            <w:vMerge w:val="restart"/>
            <w:tcBorders>
              <w:top w:val="single" w:sz="12" w:space="0" w:color="000000"/>
              <w:left w:val="single" w:sz="12"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p>
            <w:pPr>
              <w:pStyle w:val="TableParagraph"/>
              <w:spacing w:line="240" w:lineRule="auto" w:before="36"/>
              <w:ind w:right="7"/>
              <w:jc w:val="center"/>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25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784"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25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780" w:right="0"/>
              <w:jc w:val="left"/>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625" w:type="dxa"/>
            <w:vMerge w:val="restart"/>
            <w:tcBorders>
              <w:top w:val="single" w:sz="12"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与去年相比金</w:t>
            </w:r>
            <w:r>
              <w:rPr>
                <w:rFonts w:ascii="宋体" w:hAnsi="宋体" w:cs="宋体" w:eastAsia="宋体" w:hint="default"/>
                <w:sz w:val="21"/>
                <w:szCs w:val="21"/>
              </w:rPr>
            </w:r>
          </w:p>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b/>
                <w:bCs/>
                <w:sz w:val="21"/>
                <w:szCs w:val="21"/>
              </w:rPr>
              <w:t>额增减幅度</w:t>
            </w:r>
            <w:r>
              <w:rPr>
                <w:rFonts w:ascii="宋体" w:hAnsi="宋体" w:cs="宋体" w:eastAsia="宋体" w:hint="default"/>
                <w:sz w:val="21"/>
                <w:szCs w:val="21"/>
              </w:rPr>
            </w:r>
          </w:p>
        </w:tc>
        <w:tc>
          <w:tcPr>
            <w:tcW w:w="1300" w:type="dxa"/>
            <w:vMerge w:val="restart"/>
            <w:tcBorders>
              <w:top w:val="single" w:sz="12" w:space="0" w:color="000000"/>
              <w:left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比重变动幅</w:t>
            </w:r>
            <w:r>
              <w:rPr>
                <w:rFonts w:ascii="宋体" w:hAnsi="宋体" w:cs="宋体" w:eastAsia="宋体" w:hint="default"/>
                <w:sz w:val="21"/>
                <w:szCs w:val="21"/>
              </w:rPr>
            </w:r>
          </w:p>
          <w:p>
            <w:pPr>
              <w:pStyle w:val="TableParagraph"/>
              <w:spacing w:line="240" w:lineRule="auto" w:before="36"/>
              <w:ind w:left="6" w:right="0"/>
              <w:jc w:val="center"/>
              <w:rPr>
                <w:rFonts w:ascii="宋体" w:hAnsi="宋体" w:cs="宋体" w:eastAsia="宋体" w:hint="default"/>
                <w:sz w:val="21"/>
                <w:szCs w:val="21"/>
              </w:rPr>
            </w:pPr>
            <w:r>
              <w:rPr>
                <w:rFonts w:ascii="宋体" w:hAnsi="宋体" w:cs="宋体" w:eastAsia="宋体" w:hint="default"/>
                <w:b/>
                <w:bCs/>
                <w:w w:val="99"/>
                <w:sz w:val="21"/>
                <w:szCs w:val="21"/>
              </w:rPr>
              <w:t>度</w:t>
            </w:r>
            <w:r>
              <w:rPr>
                <w:rFonts w:ascii="宋体" w:hAnsi="宋体" w:cs="宋体" w:eastAsia="宋体" w:hint="default"/>
                <w:sz w:val="21"/>
                <w:szCs w:val="21"/>
              </w:rPr>
            </w:r>
          </w:p>
        </w:tc>
      </w:tr>
      <w:tr>
        <w:trPr>
          <w:trHeight w:val="342" w:hRule="exact"/>
        </w:trPr>
        <w:tc>
          <w:tcPr>
            <w:tcW w:w="2027" w:type="dxa"/>
            <w:vMerge/>
            <w:tcBorders>
              <w:left w:val="single" w:sz="12"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625"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12" w:space="0" w:color="000000"/>
            </w:tcBorders>
          </w:tcPr>
          <w:p>
            <w:pP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5,587.27</w:t>
            </w:r>
            <w:r>
              <w:rPr>
                <w:rFonts w:ascii="Times New Roman"/>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703.02</w:t>
            </w:r>
            <w:r>
              <w:rPr>
                <w:rFonts w:ascii="Times New Roman"/>
                <w:sz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4,884.25</w:t>
            </w:r>
            <w:r>
              <w:rPr>
                <w:rFonts w:ascii="Times New Roman"/>
                <w:sz w:val="21"/>
              </w:rPr>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694.76%</w:t>
            </w:r>
          </w:p>
        </w:tc>
      </w:tr>
      <w:tr>
        <w:trPr>
          <w:trHeight w:val="328"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1,307.95</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-1,307.95</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56,449.42</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2.27%</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40,987.27</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15,462.15</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37.72%</w:t>
            </w:r>
          </w:p>
        </w:tc>
      </w:tr>
      <w:tr>
        <w:trPr>
          <w:trHeight w:val="328"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80,692.44</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80,692.44</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326"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2,237.88</w:t>
            </w:r>
            <w:r>
              <w:rPr>
                <w:rFonts w:ascii="Times New Roman"/>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0.09%</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136.56</w:t>
            </w:r>
            <w:r>
              <w:rPr>
                <w:rFonts w:ascii="Times New Roman"/>
                <w:sz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2,101.32</w:t>
            </w:r>
            <w:r>
              <w:rPr>
                <w:rFonts w:ascii="Times New Roman"/>
                <w:sz w:val="21"/>
              </w:rPr>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1538.71%</w:t>
            </w:r>
          </w:p>
        </w:tc>
      </w:tr>
      <w:tr>
        <w:trPr>
          <w:trHeight w:val="640" w:hRule="exact"/>
        </w:trPr>
        <w:tc>
          <w:tcPr>
            <w:tcW w:w="202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9"/>
                <w:sz w:val="21"/>
                <w:szCs w:val="21"/>
              </w:rPr>
              <w:t>长期借款（含一年内</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到期的长期借款）</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224,737.58</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9.04%</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147,843.06</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76,894.52</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pacing w:val="-1"/>
                <w:sz w:val="21"/>
              </w:rPr>
              <w:t>52.01%</w:t>
            </w:r>
          </w:p>
        </w:tc>
      </w:tr>
      <w:tr>
        <w:trPr>
          <w:trHeight w:val="334" w:hRule="exact"/>
        </w:trPr>
        <w:tc>
          <w:tcPr>
            <w:tcW w:w="2027"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48,926.32</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1.97%</w:t>
            </w: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48,926.32</w:t>
            </w:r>
          </w:p>
        </w:tc>
        <w:tc>
          <w:tcPr>
            <w:tcW w:w="1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spacing w:line="240" w:lineRule="auto" w:before="11"/>
        <w:rPr>
          <w:rFonts w:ascii="宋体" w:hAnsi="宋体" w:cs="宋体" w:eastAsia="宋体" w:hint="default"/>
          <w:sz w:val="15"/>
          <w:szCs w:val="15"/>
        </w:rPr>
      </w:pPr>
    </w:p>
    <w:p>
      <w:pPr>
        <w:pStyle w:val="BodyText"/>
        <w:spacing w:line="313" w:lineRule="exact" w:before="26"/>
        <w:ind w:left="538" w:right="690"/>
        <w:jc w:val="left"/>
      </w:pPr>
      <w:r>
        <w:rPr/>
        <w:t>其中：</w:t>
      </w:r>
    </w:p>
    <w:p>
      <w:pPr>
        <w:pStyle w:val="BodyText"/>
        <w:spacing w:line="311" w:lineRule="exact"/>
        <w:ind w:left="538" w:right="690"/>
        <w:jc w:val="left"/>
      </w:pPr>
      <w:r>
        <w:rPr/>
        <w:t>A. 应收票据增加主要系对部分客户采用了承兑汇票结算方式所致。</w:t>
      </w:r>
    </w:p>
    <w:p>
      <w:pPr>
        <w:pStyle w:val="BodyText"/>
        <w:spacing w:line="237" w:lineRule="auto" w:before="1"/>
        <w:ind w:left="538" w:right="725"/>
        <w:jc w:val="both"/>
      </w:pPr>
      <w:r>
        <w:rPr/>
        <w:t>B. 其他应收款增加主要系本期母公司及所属子公司项目前期垫款及项目保证金所致。 C. 可供出售金融资产减少主要系本期持有的北京银行股票的公允价值变动减少所致。 D. 持有至到期投资减少主要系本期收回到期的委托贷款及其应计利息期所致。</w:t>
      </w:r>
    </w:p>
    <w:p>
      <w:pPr>
        <w:pStyle w:val="BodyText"/>
        <w:spacing w:line="312" w:lineRule="exact" w:before="27"/>
        <w:ind w:left="898" w:right="466" w:hanging="360"/>
        <w:jc w:val="left"/>
      </w:pPr>
      <w:r>
        <w:rPr/>
        <w:t>E. </w:t>
      </w:r>
      <w:r>
        <w:rPr>
          <w:spacing w:val="4"/>
        </w:rPr>
        <w:t>在建工程增加主要系由于母公司及所属子公司预付项目设备采购款和工程进度款增</w:t>
      </w:r>
      <w:r>
        <w:rPr>
          <w:spacing w:val="-85"/>
        </w:rPr>
        <w:t> </w:t>
      </w:r>
      <w:r>
        <w:rPr>
          <w:spacing w:val="-85"/>
        </w:rPr>
      </w:r>
      <w:r>
        <w:rPr/>
        <w:t>加以及本期新增合并范围南通同方科技园有限公司、南通同方半导体有限公司所致。</w:t>
      </w:r>
    </w:p>
    <w:p>
      <w:pPr>
        <w:pStyle w:val="BodyText"/>
        <w:spacing w:line="281" w:lineRule="exact"/>
        <w:ind w:left="538" w:right="406"/>
        <w:jc w:val="left"/>
      </w:pPr>
      <w:r>
        <w:rPr/>
        <w:t>F.</w:t>
      </w:r>
      <w:r>
        <w:rPr>
          <w:spacing w:val="-40"/>
        </w:rPr>
        <w:t> </w:t>
      </w:r>
      <w:r>
        <w:rPr/>
        <w:t>开发支出增加主要系本期计算机产业、知识网络产业、多媒体产业等业务板块及公司</w:t>
      </w:r>
    </w:p>
    <w:p>
      <w:pPr>
        <w:pStyle w:val="BodyText"/>
        <w:spacing w:line="311" w:lineRule="exact"/>
        <w:ind w:left="898" w:right="690"/>
        <w:jc w:val="left"/>
      </w:pPr>
      <w:r>
        <w:rPr/>
        <w:t>所属子公司同方威视技术股份有限公司研发支出投入增加所致。</w:t>
      </w:r>
    </w:p>
    <w:p>
      <w:pPr>
        <w:pStyle w:val="BodyText"/>
        <w:spacing w:line="310" w:lineRule="exact" w:before="31"/>
        <w:ind w:left="898" w:right="506" w:hanging="360"/>
        <w:jc w:val="left"/>
      </w:pPr>
      <w:r>
        <w:rPr/>
        <w:t>G. 商誉增加主要系母公司本期收购唐山晶源裕丰电子股份有限公司的</w:t>
      </w:r>
      <w:r>
        <w:rPr>
          <w:spacing w:val="-40"/>
        </w:rPr>
        <w:t> </w:t>
      </w:r>
      <w:r>
        <w:rPr/>
        <w:t>25%股权产生的商</w:t>
      </w:r>
      <w:r>
        <w:rPr/>
        <w:t> 誉</w:t>
      </w:r>
      <w:r>
        <w:rPr>
          <w:spacing w:val="-60"/>
        </w:rPr>
        <w:t> </w:t>
      </w:r>
      <w:r>
        <w:rPr/>
        <w:t>1.98</w:t>
      </w:r>
      <w:r>
        <w:rPr>
          <w:spacing w:val="-60"/>
        </w:rPr>
        <w:t> </w:t>
      </w:r>
      <w:r>
        <w:rPr/>
        <w:t>亿元所致。</w:t>
      </w:r>
    </w:p>
    <w:p>
      <w:pPr>
        <w:pStyle w:val="BodyText"/>
        <w:spacing w:line="310" w:lineRule="exact" w:before="2"/>
        <w:ind w:left="538" w:right="506"/>
        <w:jc w:val="left"/>
      </w:pPr>
      <w:r>
        <w:rPr/>
        <w:t>H. 长期待摊费用增加主要系本期租入固定资产的改良支出、版权费比期初增加所致。 I.</w:t>
      </w:r>
      <w:r>
        <w:rPr>
          <w:spacing w:val="35"/>
        </w:rPr>
        <w:t> </w:t>
      </w:r>
      <w:r>
        <w:rPr>
          <w:spacing w:val="4"/>
        </w:rPr>
        <w:t>其他非流动资产增加主要系公司所属子公司北京同方创新投资有限公司本期将所持</w:t>
      </w:r>
      <w:r>
        <w:rPr/>
      </w:r>
    </w:p>
    <w:p>
      <w:pPr>
        <w:pStyle w:val="BodyText"/>
        <w:spacing w:line="282" w:lineRule="exact"/>
        <w:ind w:left="898" w:right="406"/>
        <w:jc w:val="left"/>
      </w:pPr>
      <w:r>
        <w:rPr/>
        <w:t>有的江苏润邦重工股份有限公司已上市限售流通股按期末公允价值 1.64</w:t>
      </w:r>
      <w:r>
        <w:rPr>
          <w:spacing w:val="-40"/>
        </w:rPr>
        <w:t> </w:t>
      </w:r>
      <w:r>
        <w:rPr/>
        <w:t>亿元确认为</w:t>
      </w:r>
    </w:p>
    <w:p>
      <w:pPr>
        <w:pStyle w:val="BodyText"/>
        <w:spacing w:line="311" w:lineRule="exact"/>
        <w:ind w:left="898" w:right="690"/>
        <w:jc w:val="left"/>
      </w:pPr>
      <w:r>
        <w:rPr/>
        <w:t>交易性金融资产，因其限售期超过一年，将其列示为非流动资产所致。</w:t>
      </w:r>
    </w:p>
    <w:p>
      <w:pPr>
        <w:pStyle w:val="BodyText"/>
        <w:spacing w:line="310" w:lineRule="exact" w:before="30"/>
        <w:ind w:left="898" w:right="406" w:hanging="360"/>
        <w:jc w:val="left"/>
      </w:pPr>
      <w:r>
        <w:rPr/>
        <w:t>J.</w:t>
      </w:r>
      <w:r>
        <w:rPr>
          <w:spacing w:val="26"/>
        </w:rPr>
        <w:t> </w:t>
      </w:r>
      <w:r>
        <w:rPr>
          <w:spacing w:val="4"/>
        </w:rPr>
        <w:t>应付利息增加主要系母公司及所属子公司淮安同方水务有限公司按期计提应付清华</w:t>
      </w:r>
      <w:r>
        <w:rPr>
          <w:spacing w:val="-112"/>
        </w:rPr>
        <w:t> </w:t>
      </w:r>
      <w:r>
        <w:rPr>
          <w:spacing w:val="-112"/>
        </w:rPr>
      </w:r>
      <w:r>
        <w:rPr/>
        <w:t>控股有限公司委托贷款利息费用且于本期末尚未支付所致。</w:t>
      </w:r>
    </w:p>
    <w:p>
      <w:pPr>
        <w:pStyle w:val="BodyText"/>
        <w:spacing w:line="310" w:lineRule="exact" w:before="2"/>
        <w:ind w:left="898" w:right="406" w:hanging="360"/>
        <w:jc w:val="left"/>
      </w:pPr>
      <w:r>
        <w:rPr/>
        <w:t>K.</w:t>
      </w:r>
      <w:r>
        <w:rPr>
          <w:spacing w:val="26"/>
        </w:rPr>
        <w:t> </w:t>
      </w:r>
      <w:r>
        <w:rPr>
          <w:spacing w:val="4"/>
        </w:rPr>
        <w:t>应付股利减少主要系本期公司所属子公司北京同方微电子有限公司支付前期应付股</w:t>
      </w:r>
      <w:r>
        <w:rPr>
          <w:spacing w:val="-112"/>
        </w:rPr>
        <w:t> </w:t>
      </w:r>
      <w:r>
        <w:rPr>
          <w:spacing w:val="-112"/>
        </w:rPr>
      </w:r>
      <w:r>
        <w:rPr/>
        <w:t>利所致。</w:t>
      </w:r>
    </w:p>
    <w:p>
      <w:pPr>
        <w:pStyle w:val="BodyText"/>
        <w:spacing w:line="282" w:lineRule="exact"/>
        <w:ind w:left="538" w:right="690"/>
        <w:jc w:val="left"/>
      </w:pPr>
      <w:r>
        <w:rPr/>
        <w:t>L. 其他应付款增加主要系业务规模增大所致。</w:t>
      </w:r>
    </w:p>
    <w:p>
      <w:pPr>
        <w:pStyle w:val="BodyText"/>
        <w:spacing w:line="311" w:lineRule="exact"/>
        <w:ind w:left="538" w:right="690"/>
        <w:jc w:val="left"/>
      </w:pPr>
      <w:r>
        <w:rPr/>
        <w:t>M. 其他流动负债增加主要系公司本期发行</w:t>
      </w:r>
      <w:r>
        <w:rPr>
          <w:spacing w:val="-60"/>
        </w:rPr>
        <w:t> </w:t>
      </w:r>
      <w:r>
        <w:rPr/>
        <w:t>8</w:t>
      </w:r>
      <w:r>
        <w:rPr>
          <w:spacing w:val="-60"/>
        </w:rPr>
        <w:t> </w:t>
      </w:r>
      <w:r>
        <w:rPr/>
        <w:t>亿元一年期短期融资券所致。</w:t>
      </w:r>
    </w:p>
    <w:p>
      <w:pPr>
        <w:pStyle w:val="BodyText"/>
        <w:spacing w:line="312" w:lineRule="exact" w:before="29"/>
        <w:ind w:left="898" w:right="406" w:hanging="360"/>
        <w:jc w:val="left"/>
      </w:pPr>
      <w:r>
        <w:rPr/>
        <w:t>N.</w:t>
      </w:r>
      <w:r>
        <w:rPr>
          <w:spacing w:val="26"/>
        </w:rPr>
        <w:t> </w:t>
      </w:r>
      <w:r>
        <w:rPr>
          <w:spacing w:val="4"/>
        </w:rPr>
        <w:t>预计负债增加主要系公司所属子公司泰豪科技股份有限公司本期预计的对外担保损</w:t>
      </w:r>
      <w:r>
        <w:rPr>
          <w:spacing w:val="-112"/>
        </w:rPr>
        <w:t> </w:t>
      </w:r>
      <w:r>
        <w:rPr>
          <w:spacing w:val="-112"/>
        </w:rPr>
      </w:r>
      <w:r>
        <w:rPr/>
        <w:t>失</w:t>
      </w:r>
      <w:r>
        <w:rPr>
          <w:spacing w:val="-60"/>
        </w:rPr>
        <w:t> </w:t>
      </w:r>
      <w:r>
        <w:rPr/>
        <w:t>1,609.07</w:t>
      </w:r>
      <w:r>
        <w:rPr>
          <w:spacing w:val="-60"/>
        </w:rPr>
        <w:t> </w:t>
      </w:r>
      <w:r>
        <w:rPr/>
        <w:t>万元。</w:t>
      </w:r>
    </w:p>
    <w:p>
      <w:pPr>
        <w:pStyle w:val="BodyText"/>
        <w:spacing w:line="281" w:lineRule="exact"/>
        <w:ind w:left="538" w:right="406"/>
        <w:jc w:val="left"/>
      </w:pPr>
      <w:r>
        <w:rPr/>
        <w:t>O.</w:t>
      </w:r>
      <w:r>
        <w:rPr>
          <w:spacing w:val="-40"/>
        </w:rPr>
        <w:t> </w:t>
      </w:r>
      <w:r>
        <w:rPr/>
        <w:t>长期借款（含一年内到期的长期借款）增加主要系公司本期以委托贷款方式从清华控</w:t>
      </w:r>
    </w:p>
    <w:p>
      <w:pPr>
        <w:pStyle w:val="BodyText"/>
        <w:spacing w:line="311" w:lineRule="exact"/>
        <w:ind w:left="898" w:right="690"/>
        <w:jc w:val="left"/>
      </w:pPr>
      <w:r>
        <w:rPr/>
        <w:t>股有限公司取得中期票据募集资金</w:t>
      </w:r>
      <w:r>
        <w:rPr>
          <w:spacing w:val="-60"/>
        </w:rPr>
        <w:t> </w:t>
      </w:r>
      <w:r>
        <w:rPr/>
        <w:t>10</w:t>
      </w:r>
      <w:r>
        <w:rPr>
          <w:spacing w:val="-60"/>
        </w:rPr>
        <w:t> </w:t>
      </w:r>
      <w:r>
        <w:rPr/>
        <w:t>亿元所致。</w:t>
      </w:r>
    </w:p>
    <w:p>
      <w:pPr>
        <w:pStyle w:val="BodyText"/>
        <w:spacing w:line="310" w:lineRule="exact" w:before="31"/>
        <w:ind w:left="898" w:right="406" w:hanging="360"/>
        <w:jc w:val="left"/>
      </w:pPr>
      <w:r>
        <w:rPr/>
        <w:t>P.</w:t>
      </w:r>
      <w:r>
        <w:rPr>
          <w:spacing w:val="-18"/>
        </w:rPr>
        <w:t> </w:t>
      </w:r>
      <w:r>
        <w:rPr/>
        <w:t>应付债券增加主要系公司所属子公司泰豪科技股份有限公司本期发行</w:t>
      </w:r>
      <w:r>
        <w:rPr>
          <w:spacing w:val="-86"/>
        </w:rPr>
        <w:t> </w:t>
      </w:r>
      <w:r>
        <w:rPr/>
        <w:t>5</w:t>
      </w:r>
      <w:r>
        <w:rPr>
          <w:spacing w:val="-86"/>
        </w:rPr>
        <w:t> </w:t>
      </w:r>
      <w:r>
        <w:rPr/>
        <w:t>亿元公司债券</w:t>
      </w:r>
      <w:r>
        <w:rPr>
          <w:spacing w:val="-1"/>
        </w:rPr>
        <w:t> </w:t>
      </w:r>
      <w:r>
        <w:rPr/>
        <w:t>所致。</w:t>
      </w:r>
    </w:p>
    <w:p>
      <w:pPr>
        <w:spacing w:line="240" w:lineRule="auto" w:before="6"/>
        <w:rPr>
          <w:rFonts w:ascii="宋体" w:hAnsi="宋体" w:cs="宋体" w:eastAsia="宋体" w:hint="default"/>
          <w:sz w:val="21"/>
          <w:szCs w:val="21"/>
        </w:rPr>
      </w:pPr>
    </w:p>
    <w:p>
      <w:pPr>
        <w:pStyle w:val="BodyText"/>
        <w:spacing w:line="240" w:lineRule="auto"/>
        <w:ind w:left="538" w:right="690"/>
        <w:jc w:val="left"/>
      </w:pPr>
      <w:r>
        <w:rPr/>
        <w:t>(3)主要流动资产质量分析</w:t>
      </w:r>
    </w:p>
    <w:p>
      <w:pPr>
        <w:spacing w:line="240" w:lineRule="auto" w:before="1"/>
        <w:rPr>
          <w:rFonts w:ascii="宋体" w:hAnsi="宋体" w:cs="宋体" w:eastAsia="宋体" w:hint="default"/>
          <w:sz w:val="26"/>
          <w:szCs w:val="26"/>
        </w:rPr>
      </w:pPr>
    </w:p>
    <w:p>
      <w:pPr>
        <w:pStyle w:val="BodyText"/>
        <w:spacing w:line="310" w:lineRule="exact"/>
        <w:ind w:left="538" w:right="507"/>
        <w:jc w:val="left"/>
      </w:pPr>
      <w:r>
        <w:rPr/>
        <w:t>本年度，公司流动资产随着销售规模的增长保持了适度增长。从流动资产的质量来看，</w:t>
      </w:r>
      <w:r>
        <w:rPr>
          <w:spacing w:val="-47"/>
        </w:rPr>
        <w:t> </w:t>
      </w:r>
      <w:r>
        <w:rPr>
          <w:spacing w:val="-47"/>
        </w:rPr>
      </w:r>
      <w:r>
        <w:rPr/>
        <w:t>公司存货同比增长不大，与上年同期相比净增额为</w:t>
      </w:r>
      <w:r>
        <w:rPr>
          <w:spacing w:val="-50"/>
        </w:rPr>
        <w:t> </w:t>
      </w:r>
      <w:r>
        <w:rPr>
          <w:rFonts w:ascii="Times New Roman" w:hAnsi="Times New Roman" w:cs="Times New Roman" w:eastAsia="Times New Roman" w:hint="default"/>
        </w:rPr>
        <w:t>1.02</w:t>
      </w:r>
      <w:r>
        <w:rPr>
          <w:rFonts w:ascii="Times New Roman" w:hAnsi="Times New Roman" w:cs="Times New Roman" w:eastAsia="Times New Roman" w:hint="default"/>
          <w:spacing w:val="9"/>
        </w:rPr>
        <w:t> </w:t>
      </w:r>
      <w:r>
        <w:rPr/>
        <w:t>亿元；而应收账款则适度增长，</w:t>
      </w:r>
    </w:p>
    <w:p>
      <w:pPr>
        <w:spacing w:after="0" w:line="310" w:lineRule="exact"/>
        <w:jc w:val="left"/>
        <w:sectPr>
          <w:headerReference w:type="default" r:id="rId20"/>
          <w:pgSz w:w="11910" w:h="16840"/>
          <w:pgMar w:header="610" w:footer="764" w:top="1080" w:bottom="980" w:left="880" w:right="7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240"/>
        <w:jc w:val="both"/>
      </w:pPr>
      <w:r>
        <w:rPr/>
        <w:t>与上年同期相比净增额达到</w:t>
      </w:r>
      <w:r>
        <w:rPr>
          <w:spacing w:val="-50"/>
        </w:rPr>
        <w:t> </w:t>
      </w:r>
      <w:r>
        <w:rPr>
          <w:rFonts w:ascii="Times New Roman" w:hAnsi="Times New Roman" w:cs="Times New Roman" w:eastAsia="Times New Roman" w:hint="default"/>
        </w:rPr>
        <w:t>9.00</w:t>
      </w:r>
      <w:r>
        <w:rPr>
          <w:rFonts w:ascii="Times New Roman" w:hAnsi="Times New Roman" w:cs="Times New Roman" w:eastAsia="Times New Roman" w:hint="default"/>
          <w:spacing w:val="9"/>
        </w:rPr>
        <w:t> </w:t>
      </w:r>
      <w:r>
        <w:rPr/>
        <w:t>亿元，主要是计算机和消费类电子产品增加在国美、苏 宁等大卖场的销售，相应地应收账款增加，以及同方威视技术股份有限公司规模扩大所</w:t>
      </w:r>
      <w:r>
        <w:rPr>
          <w:spacing w:val="-47"/>
        </w:rPr>
        <w:t> </w:t>
      </w:r>
      <w:r>
        <w:rPr>
          <w:spacing w:val="-47"/>
        </w:rPr>
      </w:r>
      <w:r>
        <w:rPr/>
        <w:t>致。</w:t>
      </w: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832"/>
        <w:gridCol w:w="2032"/>
        <w:gridCol w:w="2032"/>
        <w:gridCol w:w="1522"/>
      </w:tblGrid>
      <w:tr>
        <w:trPr>
          <w:trHeight w:val="334" w:hRule="exact"/>
        </w:trPr>
        <w:tc>
          <w:tcPr>
            <w:tcW w:w="383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26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03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3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22"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21.88%</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20.15%</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18.61%</w:t>
            </w:r>
          </w:p>
        </w:tc>
      </w:tr>
      <w:tr>
        <w:trPr>
          <w:trHeight w:val="328"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应收款同比净增额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5.17</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0.30</w:t>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5.16</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5.42</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5.41</w:t>
            </w:r>
          </w:p>
        </w:tc>
      </w:tr>
      <w:tr>
        <w:trPr>
          <w:trHeight w:val="328"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24.17%</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28.12%</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31.15%</w:t>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3.51</w:t>
            </w:r>
          </w:p>
        </w:tc>
      </w:tr>
      <w:tr>
        <w:trPr>
          <w:trHeight w:val="335" w:hRule="exact"/>
        </w:trPr>
        <w:tc>
          <w:tcPr>
            <w:tcW w:w="3832" w:type="dxa"/>
            <w:tcBorders>
              <w:top w:val="single" w:sz="6" w:space="0" w:color="000000"/>
              <w:left w:val="single" w:sz="12" w:space="0" w:color="000000"/>
              <w:bottom w:val="single" w:sz="12"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3.54</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5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2.73</w:t>
            </w:r>
          </w:p>
        </w:tc>
      </w:tr>
    </w:tbl>
    <w:p>
      <w:pPr>
        <w:spacing w:line="240" w:lineRule="auto" w:before="10"/>
        <w:rPr>
          <w:rFonts w:ascii="宋体" w:hAnsi="宋体" w:cs="宋体" w:eastAsia="宋体" w:hint="default"/>
          <w:sz w:val="18"/>
          <w:szCs w:val="18"/>
        </w:rPr>
      </w:pPr>
    </w:p>
    <w:p>
      <w:pPr>
        <w:pStyle w:val="BodyText"/>
        <w:spacing w:line="240" w:lineRule="auto" w:before="26"/>
        <w:ind w:left="238" w:right="108"/>
        <w:jc w:val="left"/>
      </w:pPr>
      <w:r>
        <w:rPr/>
        <w:t>本年度，公司各骨干子公司应收账款、存货情况为：</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917"/>
        <w:gridCol w:w="1253"/>
        <w:gridCol w:w="1256"/>
        <w:gridCol w:w="1252"/>
        <w:gridCol w:w="1252"/>
        <w:gridCol w:w="1253"/>
        <w:gridCol w:w="1235"/>
      </w:tblGrid>
      <w:tr>
        <w:trPr>
          <w:trHeight w:val="337" w:hRule="exact"/>
        </w:trPr>
        <w:tc>
          <w:tcPr>
            <w:tcW w:w="1917" w:type="dxa"/>
            <w:vMerge w:val="restart"/>
            <w:tcBorders>
              <w:top w:val="single" w:sz="12" w:space="0" w:color="000000"/>
              <w:left w:val="single" w:sz="12" w:space="0" w:color="000000"/>
              <w:right w:val="single" w:sz="8" w:space="0" w:color="000000"/>
            </w:tcBorders>
          </w:tcPr>
          <w:p>
            <w:pPr>
              <w:pStyle w:val="TableParagraph"/>
              <w:spacing w:line="240" w:lineRule="auto" w:before="157"/>
              <w:ind w:left="493" w:right="0"/>
              <w:jc w:val="left"/>
              <w:rPr>
                <w:rFonts w:ascii="宋体" w:hAnsi="宋体" w:cs="宋体" w:eastAsia="宋体" w:hint="default"/>
                <w:sz w:val="18"/>
                <w:szCs w:val="18"/>
              </w:rPr>
            </w:pPr>
            <w:r>
              <w:rPr>
                <w:rFonts w:ascii="宋体" w:hAnsi="宋体" w:cs="宋体" w:eastAsia="宋体" w:hint="default"/>
                <w:sz w:val="18"/>
                <w:szCs w:val="18"/>
              </w:rPr>
              <w:t>单位：万元</w:t>
            </w:r>
          </w:p>
        </w:tc>
        <w:tc>
          <w:tcPr>
            <w:tcW w:w="2509"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503"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2488"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b/>
                <w:sz w:val="18"/>
              </w:rPr>
              <w:t>2008.12.31</w:t>
            </w:r>
            <w:r>
              <w:rPr>
                <w:rFonts w:ascii="Times New Roman"/>
                <w:sz w:val="18"/>
              </w:rPr>
            </w:r>
          </w:p>
        </w:tc>
      </w:tr>
      <w:tr>
        <w:trPr>
          <w:trHeight w:val="328" w:hRule="exact"/>
        </w:trPr>
        <w:tc>
          <w:tcPr>
            <w:tcW w:w="1917" w:type="dxa"/>
            <w:vMerge/>
            <w:tcBorders>
              <w:left w:val="single" w:sz="12"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5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45"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r>
      <w:tr>
        <w:trPr>
          <w:trHeight w:val="331"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一、母公司合计</w:t>
            </w:r>
            <w:r>
              <w:rPr>
                <w:rFonts w:ascii="Times New Roman" w:hAnsi="Times New Roman" w:cs="Times New Roman" w:eastAsia="Times New Roman" w:hint="default"/>
                <w:b/>
                <w:bCs/>
                <w:sz w:val="18"/>
                <w:szCs w:val="18"/>
              </w:rPr>
              <w:t>(a)</w:t>
            </w:r>
            <w:r>
              <w:rPr>
                <w:rFonts w:ascii="Times New Roman" w:hAnsi="Times New Roman" w:cs="Times New Roman" w:eastAsia="Times New Roman" w:hint="default"/>
                <w:sz w:val="18"/>
                <w:szCs w:val="18"/>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pacing w:val="-1"/>
                <w:sz w:val="18"/>
              </w:rPr>
              <w:t>128,745.11</w:t>
            </w:r>
            <w:r>
              <w:rPr>
                <w:rFonts w:ascii="Times New Roman"/>
                <w:spacing w:val="-1"/>
                <w:sz w:val="18"/>
              </w:rPr>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59,419.39</w:t>
            </w:r>
            <w:r>
              <w:rPr>
                <w:rFonts w:ascii="Times New Roman"/>
                <w:sz w:val="18"/>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155,264.97</w:t>
            </w:r>
            <w:r>
              <w:rPr>
                <w:rFonts w:ascii="Times New Roman"/>
                <w:sz w:val="18"/>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56,130.00</w:t>
            </w:r>
            <w:r>
              <w:rPr>
                <w:rFonts w:ascii="Times New Roman"/>
                <w:sz w:val="18"/>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140,312.84</w:t>
            </w:r>
            <w:r>
              <w:rPr>
                <w:rFonts w:ascii="Times New Roman"/>
                <w:sz w:val="18"/>
              </w:rPr>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62,531.06</w:t>
            </w:r>
            <w:r>
              <w:rPr>
                <w:rFonts w:ascii="Times New Roman"/>
                <w:sz w:val="18"/>
              </w:rPr>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sz w:val="18"/>
                <w:szCs w:val="18"/>
              </w:rPr>
              <w:t>其中：数字城市</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44,693.07</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13,430.68</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33,909.23</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10,914.25</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29,501.90</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12,626.52</w:t>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right="5"/>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45,467.14</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18,401.10</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53,458.09</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13,123.09</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42,672.29</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6,105.49</w:t>
            </w:r>
          </w:p>
        </w:tc>
      </w:tr>
      <w:tr>
        <w:trPr>
          <w:trHeight w:val="331"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633"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12,151.03</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3,048.90</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34,503.19</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4,651.90</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23,639.95</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18,068.58</w:t>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b/>
                <w:bCs/>
                <w:sz w:val="18"/>
                <w:szCs w:val="18"/>
              </w:rPr>
              <w:t>二、子公司合计</w:t>
            </w:r>
            <w:r>
              <w:rPr>
                <w:rFonts w:ascii="宋体" w:hAnsi="宋体" w:cs="宋体" w:eastAsia="宋体" w:hint="default"/>
                <w:sz w:val="18"/>
                <w:szCs w:val="18"/>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309,547.42</w:t>
            </w:r>
            <w:r>
              <w:rPr>
                <w:rFonts w:ascii="Times New Roman"/>
                <w:sz w:val="18"/>
              </w:rPr>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337,370.81</w:t>
            </w:r>
            <w:r>
              <w:rPr>
                <w:rFonts w:ascii="Times New Roman"/>
                <w:sz w:val="18"/>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4"/>
              <w:jc w:val="right"/>
              <w:rPr>
                <w:rFonts w:ascii="Times New Roman" w:hAnsi="Times New Roman" w:cs="Times New Roman" w:eastAsia="Times New Roman" w:hint="default"/>
                <w:sz w:val="18"/>
                <w:szCs w:val="18"/>
              </w:rPr>
            </w:pPr>
            <w:r>
              <w:rPr>
                <w:rFonts w:ascii="Times New Roman"/>
                <w:b/>
                <w:sz w:val="18"/>
              </w:rPr>
              <w:t>272,866.65</w:t>
            </w:r>
            <w:r>
              <w:rPr>
                <w:rFonts w:ascii="Times New Roman"/>
                <w:sz w:val="18"/>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250,613.81</w:t>
            </w:r>
            <w:r>
              <w:rPr>
                <w:rFonts w:ascii="Times New Roman"/>
                <w:sz w:val="18"/>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286,650.73</w:t>
            </w:r>
            <w:r>
              <w:rPr>
                <w:rFonts w:ascii="Times New Roman"/>
                <w:sz w:val="18"/>
              </w:rPr>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192,526.57</w:t>
            </w:r>
            <w:r>
              <w:rPr>
                <w:rFonts w:ascii="Times New Roman"/>
                <w:sz w:val="18"/>
              </w:rPr>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其中：同方威视</w:t>
            </w:r>
            <w:r>
              <w:rPr>
                <w:rFonts w:ascii="Times New Roman" w:hAnsi="Times New Roman" w:cs="Times New Roman" w:eastAsia="Times New Roman" w:hint="default"/>
                <w:sz w:val="18"/>
                <w:szCs w:val="18"/>
              </w:rPr>
              <w:t>(b)</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66,676.87</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69,972.57</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97,500.08</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51,913.07</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118,746.58</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z w:val="18"/>
              </w:rPr>
              <w:t>66,039.00</w:t>
            </w:r>
          </w:p>
        </w:tc>
      </w:tr>
      <w:tr>
        <w:trPr>
          <w:trHeight w:val="331"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538" w:right="0"/>
              <w:jc w:val="left"/>
              <w:rPr>
                <w:rFonts w:ascii="宋体" w:hAnsi="宋体" w:cs="宋体" w:eastAsia="宋体" w:hint="default"/>
                <w:sz w:val="18"/>
                <w:szCs w:val="18"/>
              </w:rPr>
            </w:pPr>
            <w:r>
              <w:rPr>
                <w:rFonts w:ascii="宋体" w:hAnsi="宋体" w:cs="宋体" w:eastAsia="宋体" w:hint="default"/>
                <w:sz w:val="18"/>
                <w:szCs w:val="18"/>
              </w:rPr>
              <w:t>泰豪科技(c)</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61,100.05</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89,838.17</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53,162.28</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101,010.18</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56,802.33</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72,778.81</w:t>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493" w:right="0"/>
              <w:jc w:val="left"/>
              <w:rPr>
                <w:rFonts w:ascii="宋体" w:hAnsi="宋体" w:cs="宋体" w:eastAsia="宋体" w:hint="default"/>
                <w:sz w:val="18"/>
                <w:szCs w:val="18"/>
              </w:rPr>
            </w:pPr>
            <w:r>
              <w:rPr>
                <w:rFonts w:ascii="宋体" w:hAnsi="宋体" w:cs="宋体" w:eastAsia="宋体" w:hint="default"/>
                <w:sz w:val="18"/>
                <w:szCs w:val="18"/>
              </w:rPr>
              <w:t>同方微电子(d)</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3,658.89</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w w:val="95"/>
                <w:sz w:val="18"/>
              </w:rPr>
              <w:t>11,213.08</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4,261.53</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11,697.95</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13,433.81</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w w:val="95"/>
                <w:sz w:val="18"/>
              </w:rPr>
              <w:t>11,718.57</w:t>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493" w:right="0"/>
              <w:jc w:val="left"/>
              <w:rPr>
                <w:rFonts w:ascii="宋体" w:hAnsi="宋体" w:cs="宋体" w:eastAsia="宋体" w:hint="default"/>
                <w:sz w:val="18"/>
                <w:szCs w:val="18"/>
              </w:rPr>
            </w:pPr>
            <w:r>
              <w:rPr>
                <w:rFonts w:ascii="宋体" w:hAnsi="宋体" w:cs="宋体" w:eastAsia="宋体" w:hint="default"/>
                <w:sz w:val="18"/>
                <w:szCs w:val="18"/>
              </w:rPr>
              <w:t>工业公司(e)</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52,104.10</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4,686.53</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32,835.80</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9,990.41</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33,538.82</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6,727.69</w:t>
            </w:r>
          </w:p>
        </w:tc>
      </w:tr>
      <w:tr>
        <w:trPr>
          <w:trHeight w:val="331"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493" w:right="0"/>
              <w:jc w:val="left"/>
              <w:rPr>
                <w:rFonts w:ascii="宋体" w:hAnsi="宋体" w:cs="宋体" w:eastAsia="宋体" w:hint="default"/>
                <w:sz w:val="18"/>
                <w:szCs w:val="18"/>
              </w:rPr>
            </w:pPr>
            <w:r>
              <w:rPr>
                <w:rFonts w:ascii="宋体" w:hAnsi="宋体" w:cs="宋体" w:eastAsia="宋体" w:hint="default"/>
                <w:sz w:val="18"/>
                <w:szCs w:val="18"/>
              </w:rPr>
              <w:t>同方知网(f)</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1,891.69</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12,436.71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2,742.22</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11,145.77</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1,044.85</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6,064.75</w:t>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448" w:right="0"/>
              <w:jc w:val="left"/>
              <w:rPr>
                <w:rFonts w:ascii="宋体" w:hAnsi="宋体" w:cs="宋体" w:eastAsia="宋体" w:hint="default"/>
                <w:sz w:val="18"/>
                <w:szCs w:val="18"/>
              </w:rPr>
            </w:pPr>
            <w:r>
              <w:rPr>
                <w:rFonts w:ascii="宋体" w:hAnsi="宋体" w:cs="宋体" w:eastAsia="宋体" w:hint="default"/>
                <w:sz w:val="18"/>
                <w:szCs w:val="18"/>
              </w:rPr>
              <w:t>沈阳多媒体(g)</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30,350.63</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77,776.26</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35,778.49</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63,990.29</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12,640.09</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36,341.65</w:t>
            </w:r>
          </w:p>
        </w:tc>
      </w:tr>
      <w:tr>
        <w:trPr>
          <w:trHeight w:val="332"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b/>
                <w:bCs/>
                <w:sz w:val="18"/>
                <w:szCs w:val="18"/>
              </w:rPr>
              <w:t>三、</w:t>
            </w: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(g)</w:t>
            </w:r>
            <w:r>
              <w:rPr>
                <w:rFonts w:ascii="宋体" w:hAnsi="宋体" w:cs="宋体" w:eastAsia="宋体" w:hint="default"/>
                <w:b/>
                <w:bCs/>
                <w:sz w:val="18"/>
                <w:szCs w:val="18"/>
              </w:rPr>
              <w:t>小计</w:t>
            </w:r>
            <w:r>
              <w:rPr>
                <w:rFonts w:ascii="宋体" w:hAnsi="宋体" w:cs="宋体" w:eastAsia="宋体" w:hint="default"/>
                <w:sz w:val="18"/>
                <w:szCs w:val="18"/>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344,527.35</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325,342.71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379,212.71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269,934.38</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374,174.53</w:t>
            </w:r>
          </w:p>
        </w:tc>
        <w:tc>
          <w:tcPr>
            <w:tcW w:w="123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228,165.30</w:t>
            </w:r>
          </w:p>
        </w:tc>
      </w:tr>
      <w:tr>
        <w:trPr>
          <w:trHeight w:val="337" w:hRule="exact"/>
        </w:trPr>
        <w:tc>
          <w:tcPr>
            <w:tcW w:w="1917"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b/>
                <w:bCs/>
                <w:sz w:val="18"/>
                <w:szCs w:val="18"/>
              </w:rPr>
              <w:t>四、公司总计</w:t>
            </w:r>
            <w:r>
              <w:rPr>
                <w:rFonts w:ascii="宋体" w:hAnsi="宋体" w:cs="宋体" w:eastAsia="宋体" w:hint="default"/>
                <w:sz w:val="18"/>
                <w:szCs w:val="18"/>
              </w:rPr>
            </w:r>
          </w:p>
        </w:tc>
        <w:tc>
          <w:tcPr>
            <w:tcW w:w="12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438,292.53</w:t>
            </w:r>
            <w:r>
              <w:rPr>
                <w:rFonts w:ascii="Times New Roman"/>
                <w:sz w:val="18"/>
              </w:rPr>
            </w:r>
          </w:p>
        </w:tc>
        <w:tc>
          <w:tcPr>
            <w:tcW w:w="12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396,790.20</w:t>
            </w:r>
            <w:r>
              <w:rPr>
                <w:rFonts w:ascii="Times New Roman"/>
                <w:sz w:val="18"/>
              </w:rPr>
            </w:r>
          </w:p>
        </w:tc>
        <w:tc>
          <w:tcPr>
            <w:tcW w:w="12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4"/>
              <w:jc w:val="right"/>
              <w:rPr>
                <w:rFonts w:ascii="Times New Roman" w:hAnsi="Times New Roman" w:cs="Times New Roman" w:eastAsia="Times New Roman" w:hint="default"/>
                <w:sz w:val="18"/>
                <w:szCs w:val="18"/>
              </w:rPr>
            </w:pPr>
            <w:r>
              <w:rPr>
                <w:rFonts w:ascii="Times New Roman"/>
                <w:b/>
                <w:sz w:val="18"/>
              </w:rPr>
              <w:t>428,131.62</w:t>
            </w:r>
            <w:r>
              <w:rPr>
                <w:rFonts w:ascii="Times New Roman"/>
                <w:sz w:val="18"/>
              </w:rPr>
            </w:r>
          </w:p>
        </w:tc>
        <w:tc>
          <w:tcPr>
            <w:tcW w:w="12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306,743.81</w:t>
            </w:r>
            <w:r>
              <w:rPr>
                <w:rFonts w:ascii="Times New Roman"/>
                <w:sz w:val="18"/>
              </w:rPr>
            </w:r>
          </w:p>
        </w:tc>
        <w:tc>
          <w:tcPr>
            <w:tcW w:w="12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426,963.57</w:t>
            </w:r>
            <w:r>
              <w:rPr>
                <w:rFonts w:ascii="Times New Roman"/>
                <w:sz w:val="18"/>
              </w:rPr>
            </w:r>
          </w:p>
        </w:tc>
        <w:tc>
          <w:tcPr>
            <w:tcW w:w="1235"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255,057.63</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26"/>
        <w:ind w:left="238" w:right="0"/>
        <w:jc w:val="both"/>
        <w:rPr>
          <w:b w:val="0"/>
          <w:bCs w:val="0"/>
        </w:rPr>
      </w:pPr>
      <w:r>
        <w:rPr/>
        <w:t>3、现金流量</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242"/>
        <w:jc w:val="both"/>
      </w:pPr>
      <w:r>
        <w:rPr/>
        <w:t>2010</w:t>
      </w:r>
      <w:r>
        <w:rPr>
          <w:spacing w:val="-57"/>
        </w:rPr>
        <w:t> </w:t>
      </w:r>
      <w:r>
        <w:rPr/>
        <w:t>年，公司现金净增加额为</w:t>
      </w:r>
      <w:r>
        <w:rPr>
          <w:spacing w:val="-57"/>
        </w:rPr>
        <w:t> </w:t>
      </w:r>
      <w:r>
        <w:rPr/>
        <w:t>2.56</w:t>
      </w:r>
      <w:r>
        <w:rPr>
          <w:spacing w:val="-57"/>
        </w:rPr>
        <w:t> </w:t>
      </w:r>
      <w:r>
        <w:rPr/>
        <w:t>亿元，其中经营性现金流净额为</w:t>
      </w:r>
      <w:r>
        <w:rPr>
          <w:spacing w:val="-57"/>
        </w:rPr>
        <w:t> </w:t>
      </w:r>
      <w:r>
        <w:rPr/>
        <w:t>2.70</w:t>
      </w:r>
      <w:r>
        <w:rPr>
          <w:spacing w:val="-56"/>
        </w:rPr>
        <w:t> </w:t>
      </w:r>
      <w:r>
        <w:rPr/>
        <w:t>亿元、投资性</w:t>
      </w:r>
      <w:r>
        <w:rPr/>
        <w:t> 现金流净额为-8.03</w:t>
      </w:r>
      <w:r>
        <w:rPr>
          <w:spacing w:val="-53"/>
        </w:rPr>
        <w:t> </w:t>
      </w:r>
      <w:r>
        <w:rPr/>
        <w:t>亿元，筹资活动净现金流量为</w:t>
      </w:r>
      <w:r>
        <w:rPr>
          <w:spacing w:val="-53"/>
        </w:rPr>
        <w:t> </w:t>
      </w:r>
      <w:r>
        <w:rPr/>
        <w:t>7.94</w:t>
      </w:r>
      <w:r>
        <w:rPr>
          <w:spacing w:val="-53"/>
        </w:rPr>
        <w:t> </w:t>
      </w:r>
      <w:r>
        <w:rPr/>
        <w:t>亿元。与上年同期相比，经营性</w:t>
      </w:r>
      <w:r>
        <w:rPr/>
        <w:t> 现金流净额同比减少</w:t>
      </w:r>
      <w:r>
        <w:rPr>
          <w:spacing w:val="-40"/>
        </w:rPr>
        <w:t> </w:t>
      </w:r>
      <w:r>
        <w:rPr/>
        <w:t>4.86</w:t>
      </w:r>
      <w:r>
        <w:rPr>
          <w:spacing w:val="-40"/>
        </w:rPr>
        <w:t> </w:t>
      </w:r>
      <w:r>
        <w:rPr/>
        <w:t>亿元，投资性现金流净额同比较减少</w:t>
      </w:r>
      <w:r>
        <w:rPr>
          <w:spacing w:val="-40"/>
        </w:rPr>
        <w:t> </w:t>
      </w:r>
      <w:r>
        <w:rPr/>
        <w:t>1.83</w:t>
      </w:r>
      <w:r>
        <w:rPr>
          <w:spacing w:val="-40"/>
        </w:rPr>
        <w:t> </w:t>
      </w:r>
      <w:r>
        <w:rPr/>
        <w:t>亿元，筹资性现金</w:t>
      </w:r>
    </w:p>
    <w:p>
      <w:pPr>
        <w:pStyle w:val="BodyText"/>
        <w:spacing w:line="311" w:lineRule="exact"/>
        <w:ind w:left="238" w:right="0"/>
        <w:jc w:val="both"/>
      </w:pPr>
      <w:r>
        <w:rPr/>
        <w:t>流净额同比减少</w:t>
      </w:r>
      <w:r>
        <w:rPr>
          <w:spacing w:val="-60"/>
        </w:rPr>
        <w:t> </w:t>
      </w:r>
      <w:r>
        <w:rPr/>
        <w:t>2.48</w:t>
      </w:r>
      <w:r>
        <w:rPr>
          <w:spacing w:val="-60"/>
        </w:rPr>
        <w:t> </w:t>
      </w:r>
      <w:r>
        <w:rPr/>
        <w:t>亿元。</w:t>
      </w:r>
    </w:p>
    <w:p>
      <w:pPr>
        <w:spacing w:line="240" w:lineRule="auto" w:before="12"/>
        <w:rPr>
          <w:rFonts w:ascii="宋体" w:hAnsi="宋体" w:cs="宋体" w:eastAsia="宋体" w:hint="default"/>
          <w:sz w:val="23"/>
          <w:szCs w:val="23"/>
        </w:rPr>
      </w:pPr>
    </w:p>
    <w:p>
      <w:pPr>
        <w:pStyle w:val="BodyText"/>
        <w:spacing w:line="237" w:lineRule="auto"/>
        <w:ind w:left="238" w:right="240"/>
        <w:jc w:val="both"/>
      </w:pPr>
      <w:r>
        <w:rPr/>
        <w:t>本年度，公司经营性现金流量净额与去年同期相比有所下降，主要系本期公司的计算机</w:t>
      </w:r>
      <w:r>
        <w:rPr>
          <w:spacing w:val="-47"/>
        </w:rPr>
        <w:t> </w:t>
      </w:r>
      <w:r>
        <w:rPr>
          <w:spacing w:val="-47"/>
        </w:rPr>
      </w:r>
      <w:r>
        <w:rPr/>
        <w:t>产品、消费电子产品、军工产品、微电子与元器件产品等业务采购支出较上年同期增加</w:t>
      </w:r>
      <w:r>
        <w:rPr>
          <w:spacing w:val="-47"/>
        </w:rPr>
        <w:t> </w:t>
      </w:r>
      <w:r>
        <w:rPr>
          <w:spacing w:val="-47"/>
        </w:rPr>
      </w:r>
      <w:r>
        <w:rPr/>
        <w:t>所致。公司投资性现金流净额减少主要是由于本期实施南通半导体产业基地等固定资产</w:t>
      </w:r>
      <w:r>
        <w:rPr>
          <w:spacing w:val="-47"/>
        </w:rPr>
        <w:t> </w:t>
      </w:r>
      <w:r>
        <w:rPr>
          <w:spacing w:val="-47"/>
        </w:rPr>
      </w:r>
      <w:r>
        <w:rPr/>
        <w:t>投资规模加大所致。公司筹资性现金流量减少主要是由于上年同期公司所属子公司泰豪</w:t>
      </w:r>
      <w:r>
        <w:rPr>
          <w:spacing w:val="-47"/>
        </w:rPr>
        <w:t> </w:t>
      </w:r>
      <w:r>
        <w:rPr>
          <w:spacing w:val="-47"/>
        </w:rPr>
      </w:r>
      <w:r>
        <w:rPr/>
        <w:t>科技股份公司配股资金募集到位。</w:t>
      </w:r>
    </w:p>
    <w:p>
      <w:pPr>
        <w:spacing w:after="0" w:line="237"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left"/>
      </w:pPr>
      <w:r>
        <w:rPr/>
        <w:t>公司</w:t>
      </w:r>
      <w:r>
        <w:rPr>
          <w:spacing w:val="-60"/>
        </w:rPr>
        <w:t> </w:t>
      </w:r>
      <w:r>
        <w:rPr/>
        <w:t>2010</w:t>
      </w:r>
      <w:r>
        <w:rPr>
          <w:spacing w:val="-60"/>
        </w:rPr>
        <w:t> </w:t>
      </w:r>
      <w:r>
        <w:rPr/>
        <w:t>年现金流量表的各项财务指标如下：</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3350"/>
        <w:gridCol w:w="1852"/>
        <w:gridCol w:w="2036"/>
        <w:gridCol w:w="2035"/>
      </w:tblGrid>
      <w:tr>
        <w:trPr>
          <w:trHeight w:val="334" w:hRule="exact"/>
        </w:trPr>
        <w:tc>
          <w:tcPr>
            <w:tcW w:w="335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02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85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4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036"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56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035"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56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8"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269,779,353.46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755,637,454.71</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47,575,992.00</w:t>
            </w:r>
          </w:p>
        </w:tc>
      </w:tr>
      <w:tr>
        <w:trPr>
          <w:trHeight w:val="326"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-803,128,917.19</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-620,529,972.31</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-1,531,902,318.77</w:t>
            </w:r>
          </w:p>
        </w:tc>
      </w:tr>
      <w:tr>
        <w:trPr>
          <w:trHeight w:val="328"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筹资性现金流净额(元)</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793,768,622.00</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1,042,078,471.36</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1,827,570,849.83</w:t>
            </w:r>
          </w:p>
        </w:tc>
      </w:tr>
      <w:tr>
        <w:trPr>
          <w:trHeight w:val="326"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其中：长短期借款净增加额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99,264,745.84</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1,328,199,684.52</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180,215,555.31</w:t>
            </w:r>
          </w:p>
        </w:tc>
      </w:tr>
      <w:tr>
        <w:trPr>
          <w:trHeight w:val="335" w:hRule="exact"/>
        </w:trPr>
        <w:tc>
          <w:tcPr>
            <w:tcW w:w="335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经营性现金流净额与流动负债比</w:t>
            </w:r>
          </w:p>
        </w:tc>
        <w:tc>
          <w:tcPr>
            <w:tcW w:w="1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0.02</w:t>
            </w:r>
          </w:p>
        </w:tc>
        <w:tc>
          <w:tcPr>
            <w:tcW w:w="2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0.07</w:t>
            </w:r>
          </w:p>
        </w:tc>
        <w:tc>
          <w:tcPr>
            <w:tcW w:w="20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0.01</w:t>
            </w:r>
          </w:p>
        </w:tc>
      </w:tr>
    </w:tbl>
    <w:p>
      <w:pPr>
        <w:spacing w:line="240" w:lineRule="auto" w:before="10"/>
        <w:rPr>
          <w:rFonts w:ascii="宋体" w:hAnsi="宋体" w:cs="宋体" w:eastAsia="宋体" w:hint="default"/>
          <w:sz w:val="18"/>
          <w:szCs w:val="18"/>
        </w:rPr>
      </w:pPr>
    </w:p>
    <w:p>
      <w:pPr>
        <w:pStyle w:val="Heading3"/>
        <w:spacing w:line="240" w:lineRule="auto" w:before="26"/>
        <w:ind w:right="0"/>
        <w:jc w:val="left"/>
        <w:rPr>
          <w:b w:val="0"/>
          <w:bCs w:val="0"/>
        </w:rPr>
      </w:pPr>
      <w:r>
        <w:rPr/>
        <w:t>4、与公允价值计量相关的项目</w:t>
      </w:r>
      <w:r>
        <w:rPr>
          <w:b w:val="0"/>
          <w:bCs w:val="0"/>
        </w:rPr>
      </w:r>
    </w:p>
    <w:p>
      <w:pPr>
        <w:spacing w:line="240" w:lineRule="auto" w:before="9"/>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2561"/>
        <w:gridCol w:w="1480"/>
        <w:gridCol w:w="1560"/>
        <w:gridCol w:w="1560"/>
        <w:gridCol w:w="960"/>
        <w:gridCol w:w="1480"/>
      </w:tblGrid>
      <w:tr>
        <w:trPr>
          <w:trHeight w:val="491" w:hRule="exact"/>
        </w:trPr>
        <w:tc>
          <w:tcPr>
            <w:tcW w:w="2561" w:type="dxa"/>
            <w:tcBorders>
              <w:top w:val="single" w:sz="12" w:space="0" w:color="000000"/>
              <w:left w:val="single" w:sz="12" w:space="0" w:color="000000"/>
              <w:bottom w:val="single" w:sz="8" w:space="0" w:color="000000"/>
              <w:right w:val="single" w:sz="8"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36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本期公允价值变</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动损益</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228" w:right="0" w:hanging="90"/>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sz w:val="18"/>
                <w:szCs w:val="18"/>
              </w:rPr>
            </w:r>
          </w:p>
          <w:p>
            <w:pPr>
              <w:pStyle w:val="TableParagraph"/>
              <w:spacing w:line="235" w:lineRule="exact"/>
              <w:ind w:left="228" w:right="0"/>
              <w:jc w:val="left"/>
              <w:rPr>
                <w:rFonts w:ascii="宋体" w:hAnsi="宋体" w:cs="宋体" w:eastAsia="宋体" w:hint="default"/>
                <w:sz w:val="18"/>
                <w:szCs w:val="18"/>
              </w:rPr>
            </w:pP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198" w:right="0" w:hanging="89"/>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p>
            <w:pPr>
              <w:pStyle w:val="TableParagraph"/>
              <w:spacing w:line="235"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的减值</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86"/>
              <w:ind w:left="36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20" w:hRule="exact"/>
        </w:trPr>
        <w:tc>
          <w:tcPr>
            <w:tcW w:w="9601" w:type="dxa"/>
            <w:gridSpan w:val="6"/>
            <w:tcBorders>
              <w:top w:val="single" w:sz="8" w:space="0" w:color="000000"/>
              <w:left w:val="single" w:sz="12" w:space="0" w:color="000000"/>
              <w:bottom w:val="single" w:sz="8" w:space="0" w:color="000000"/>
              <w:right w:val="single" w:sz="12"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87"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12" w:lineRule="exact"/>
              <w:ind w:left="94" w:right="0" w:firstLine="9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以公允价值计量且其</w:t>
            </w:r>
          </w:p>
          <w:p>
            <w:pPr>
              <w:pStyle w:val="TableParagraph"/>
              <w:spacing w:line="227" w:lineRule="exact"/>
              <w:ind w:left="94" w:right="0"/>
              <w:jc w:val="left"/>
              <w:rPr>
                <w:rFonts w:ascii="宋体" w:hAnsi="宋体" w:cs="宋体" w:eastAsia="宋体" w:hint="default"/>
                <w:sz w:val="18"/>
                <w:szCs w:val="18"/>
              </w:rPr>
            </w:pPr>
            <w:r>
              <w:rPr>
                <w:rFonts w:ascii="宋体" w:hAnsi="宋体" w:cs="宋体" w:eastAsia="宋体" w:hint="default"/>
                <w:sz w:val="18"/>
                <w:szCs w:val="18"/>
              </w:rPr>
              <w:t>变动计入当期损益的金融资产</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117,606,423.17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141,181,221.62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8"/>
              <w:ind w:right="90"/>
              <w:jc w:val="right"/>
              <w:rPr>
                <w:rFonts w:ascii="Times New Roman" w:hAnsi="Times New Roman" w:cs="Times New Roman" w:eastAsia="Times New Roman" w:hint="default"/>
                <w:sz w:val="18"/>
                <w:szCs w:val="18"/>
              </w:rPr>
            </w:pPr>
            <w:r>
              <w:rPr>
                <w:rFonts w:ascii="Times New Roman"/>
                <w:spacing w:val="-1"/>
                <w:sz w:val="18"/>
              </w:rPr>
              <w:t>315,507,721.92</w:t>
            </w:r>
          </w:p>
        </w:tc>
      </w:tr>
      <w:tr>
        <w:trPr>
          <w:trHeight w:val="331"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right="191"/>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20" w:lineRule="exact"/>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11,840,953.68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2"/>
                <w:sz w:val="18"/>
              </w:rPr>
              <w:t>-4,111,272.15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pacing w:val="-1"/>
                <w:sz w:val="18"/>
              </w:rPr>
              <w:t>7,004,162.88</w:t>
            </w: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129,447,376.85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141,181,221.62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-4,111,272.15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322,511,884.80</w:t>
            </w:r>
          </w:p>
        </w:tc>
      </w:tr>
      <w:tr>
        <w:trPr>
          <w:trHeight w:val="331"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1"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61" w:type="dxa"/>
            <w:tcBorders>
              <w:top w:val="single" w:sz="8" w:space="0" w:color="000000"/>
              <w:left w:val="single" w:sz="12" w:space="0" w:color="000000"/>
              <w:bottom w:val="single" w:sz="12"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129,447,376.85</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141,181,221.62</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-4,111,272.15</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322,511,884.80</w:t>
            </w:r>
          </w:p>
        </w:tc>
      </w:tr>
    </w:tbl>
    <w:p>
      <w:pPr>
        <w:spacing w:line="240" w:lineRule="auto" w:before="11"/>
        <w:rPr>
          <w:rFonts w:ascii="宋体" w:hAnsi="宋体" w:cs="宋体" w:eastAsia="宋体" w:hint="default"/>
          <w:b/>
          <w:bCs/>
          <w:sz w:val="18"/>
          <w:szCs w:val="18"/>
        </w:rPr>
      </w:pPr>
    </w:p>
    <w:p>
      <w:pPr>
        <w:pStyle w:val="BodyText"/>
        <w:spacing w:line="312" w:lineRule="exact" w:before="56"/>
        <w:ind w:right="0"/>
        <w:jc w:val="left"/>
      </w:pPr>
      <w:r>
        <w:rPr/>
        <w:t>其中：A.以公允价值计量且其变动计入当期损益的金融资产为公司持有的基金和股票，</w:t>
      </w:r>
      <w:r>
        <w:rPr>
          <w:spacing w:val="-47"/>
        </w:rPr>
        <w:t> </w:t>
      </w:r>
      <w:r>
        <w:rPr>
          <w:spacing w:val="-47"/>
        </w:rPr>
      </w:r>
      <w:r>
        <w:rPr>
          <w:spacing w:val="-2"/>
        </w:rPr>
        <w:t>本期公允价值发生变动主要系持有的润邦股份、事安集团、泰盛国际市值发生变动所致；</w:t>
      </w:r>
      <w:r>
        <w:rPr>
          <w:spacing w:val="-82"/>
        </w:rPr>
        <w:t> </w:t>
      </w:r>
      <w:r>
        <w:rPr>
          <w:spacing w:val="-82"/>
        </w:rPr>
      </w:r>
      <w:r>
        <w:rPr/>
        <w:t>B.可供出售金融资产为公司持有的北京银行股票，本期公允价值发生变动主要系股票市</w:t>
      </w:r>
      <w:r>
        <w:rPr>
          <w:spacing w:val="-47"/>
        </w:rPr>
        <w:t> </w:t>
      </w:r>
      <w:r>
        <w:rPr>
          <w:spacing w:val="-47"/>
        </w:rPr>
      </w:r>
      <w:r>
        <w:rPr/>
        <w:t>值发生变动所致。</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5、持有外币金融资产的情况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2561"/>
        <w:gridCol w:w="1480"/>
        <w:gridCol w:w="1560"/>
        <w:gridCol w:w="1560"/>
        <w:gridCol w:w="960"/>
        <w:gridCol w:w="1480"/>
      </w:tblGrid>
      <w:tr>
        <w:trPr>
          <w:trHeight w:val="491" w:hRule="exact"/>
        </w:trPr>
        <w:tc>
          <w:tcPr>
            <w:tcW w:w="2561" w:type="dxa"/>
            <w:tcBorders>
              <w:top w:val="single" w:sz="12" w:space="0" w:color="000000"/>
              <w:left w:val="single" w:sz="12" w:space="0" w:color="000000"/>
              <w:bottom w:val="single" w:sz="8" w:space="0" w:color="000000"/>
              <w:right w:val="single" w:sz="8" w:space="0" w:color="000000"/>
            </w:tcBorders>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36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本期公允价值变</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动损益</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4" w:lineRule="exact"/>
              <w:ind w:left="228" w:right="0" w:hanging="90"/>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sz w:val="18"/>
                <w:szCs w:val="18"/>
              </w:rPr>
            </w:r>
          </w:p>
          <w:p>
            <w:pPr>
              <w:pStyle w:val="TableParagraph"/>
              <w:spacing w:line="234" w:lineRule="exact"/>
              <w:ind w:left="228" w:right="0"/>
              <w:jc w:val="left"/>
              <w:rPr>
                <w:rFonts w:ascii="宋体" w:hAnsi="宋体" w:cs="宋体" w:eastAsia="宋体" w:hint="default"/>
                <w:sz w:val="18"/>
                <w:szCs w:val="18"/>
              </w:rPr>
            </w:pP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204" w:lineRule="exact"/>
              <w:ind w:left="198" w:right="0" w:hanging="89"/>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p>
            <w:pPr>
              <w:pStyle w:val="TableParagraph"/>
              <w:spacing w:line="234"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的减值</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86"/>
              <w:ind w:left="36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20" w:hRule="exact"/>
        </w:trPr>
        <w:tc>
          <w:tcPr>
            <w:tcW w:w="9601" w:type="dxa"/>
            <w:gridSpan w:val="6"/>
            <w:tcBorders>
              <w:top w:val="single" w:sz="8" w:space="0" w:color="000000"/>
              <w:left w:val="single" w:sz="12" w:space="0" w:color="000000"/>
              <w:bottom w:val="single" w:sz="8" w:space="0" w:color="000000"/>
              <w:right w:val="single" w:sz="12" w:space="0" w:color="000000"/>
            </w:tcBorders>
          </w:tcPr>
          <w:p>
            <w:pPr>
              <w:pStyle w:val="TableParagraph"/>
              <w:spacing w:line="240" w:lineRule="auto" w:before="3"/>
              <w:ind w:left="9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86"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12" w:lineRule="exact"/>
              <w:ind w:left="94" w:right="0"/>
              <w:jc w:val="left"/>
              <w:rPr>
                <w:rFonts w:ascii="宋体" w:hAnsi="宋体" w:cs="宋体" w:eastAsia="宋体" w:hint="default"/>
                <w:sz w:val="18"/>
                <w:szCs w:val="18"/>
              </w:rPr>
            </w:pPr>
            <w:r>
              <w:rPr>
                <w:rFonts w:ascii="宋体" w:hAnsi="宋体" w:cs="宋体" w:eastAsia="宋体" w:hint="default"/>
                <w:spacing w:val="2"/>
                <w:sz w:val="18"/>
                <w:szCs w:val="18"/>
              </w:rPr>
              <w:t>其中：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w:t>
            </w:r>
          </w:p>
          <w:p>
            <w:pPr>
              <w:pStyle w:val="TableParagraph"/>
              <w:spacing w:line="227" w:lineRule="exact"/>
              <w:ind w:left="94" w:right="0"/>
              <w:jc w:val="left"/>
              <w:rPr>
                <w:rFonts w:ascii="宋体" w:hAnsi="宋体" w:cs="宋体" w:eastAsia="宋体" w:hint="default"/>
                <w:sz w:val="18"/>
                <w:szCs w:val="18"/>
              </w:rPr>
            </w:pPr>
            <w:r>
              <w:rPr>
                <w:rFonts w:ascii="宋体" w:hAnsi="宋体" w:cs="宋体" w:eastAsia="宋体" w:hint="default"/>
                <w:sz w:val="18"/>
                <w:szCs w:val="18"/>
              </w:rPr>
              <w:t>变动计入当期损益的金融资产</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326" w:right="0"/>
              <w:jc w:val="left"/>
              <w:rPr>
                <w:rFonts w:ascii="Times New Roman" w:hAnsi="Times New Roman" w:cs="Times New Roman" w:eastAsia="Times New Roman" w:hint="default"/>
                <w:sz w:val="18"/>
                <w:szCs w:val="18"/>
              </w:rPr>
            </w:pPr>
            <w:r>
              <w:rPr>
                <w:rFonts w:ascii="Times New Roman"/>
                <w:sz w:val="18"/>
              </w:rPr>
              <w:t>26,973,300.05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7,912,441.66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8"/>
              <w:ind w:left="325" w:right="0"/>
              <w:jc w:val="left"/>
              <w:rPr>
                <w:rFonts w:ascii="Times New Roman" w:hAnsi="Times New Roman" w:cs="Times New Roman" w:eastAsia="Times New Roman" w:hint="default"/>
                <w:sz w:val="18"/>
                <w:szCs w:val="18"/>
              </w:rPr>
            </w:pPr>
            <w:r>
              <w:rPr>
                <w:rFonts w:ascii="Times New Roman"/>
                <w:sz w:val="18"/>
              </w:rPr>
              <w:t>42,493,637.04</w:t>
            </w: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4" w:right="0"/>
              <w:jc w:val="lef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贷款和应收款</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1"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持有至到期投资</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26,973,300.05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7,912,441.66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left="324" w:right="0"/>
              <w:jc w:val="left"/>
              <w:rPr>
                <w:rFonts w:ascii="Times New Roman" w:hAnsi="Times New Roman" w:cs="Times New Roman" w:eastAsia="Times New Roman" w:hint="default"/>
                <w:sz w:val="18"/>
                <w:szCs w:val="18"/>
              </w:rPr>
            </w:pPr>
            <w:r>
              <w:rPr>
                <w:rFonts w:ascii="Times New Roman"/>
                <w:sz w:val="18"/>
              </w:rPr>
              <w:t>42,493,637.04</w:t>
            </w:r>
          </w:p>
        </w:tc>
      </w:tr>
      <w:tr>
        <w:trPr>
          <w:trHeight w:val="331"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left="9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61"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9"/>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26,973,300.05</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7,912,441.66</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0.00</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1"/>
              <w:ind w:left="324" w:right="0"/>
              <w:jc w:val="left"/>
              <w:rPr>
                <w:rFonts w:ascii="Times New Roman" w:hAnsi="Times New Roman" w:cs="Times New Roman" w:eastAsia="Times New Roman" w:hint="default"/>
                <w:sz w:val="18"/>
                <w:szCs w:val="18"/>
              </w:rPr>
            </w:pPr>
            <w:r>
              <w:rPr>
                <w:rFonts w:ascii="Times New Roman"/>
                <w:sz w:val="18"/>
              </w:rPr>
              <w:t>42,493,637.04</w:t>
            </w:r>
          </w:p>
        </w:tc>
      </w:tr>
    </w:tbl>
    <w:p>
      <w:pPr>
        <w:spacing w:after="0" w:line="240" w:lineRule="auto"/>
        <w:jc w:val="left"/>
        <w:rPr>
          <w:rFonts w:ascii="Times New Roman" w:hAnsi="Times New Roman" w:cs="Times New Roman" w:eastAsia="Times New Roman" w:hint="default"/>
          <w:sz w:val="18"/>
          <w:szCs w:val="18"/>
        </w:rPr>
        <w:sectPr>
          <w:pgSz w:w="11910" w:h="16840"/>
          <w:pgMar w:header="610" w:footer="764" w:top="1080" w:bottom="980" w:left="1280" w:right="7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312" w:lineRule="exact" w:before="56"/>
        <w:ind w:left="238" w:right="946"/>
        <w:jc w:val="left"/>
      </w:pPr>
      <w:r>
        <w:rPr/>
        <w:t>持有外币的以公允价值计量的金融资产变动，主要系公司下属 Resuccess</w:t>
      </w:r>
      <w:r>
        <w:rPr>
          <w:spacing w:val="-40"/>
        </w:rPr>
        <w:t> </w:t>
      </w:r>
      <w:r>
        <w:rPr/>
        <w:t>公司持有的股</w:t>
      </w:r>
      <w:r>
        <w:rPr/>
        <w:t> 票事安集团、泰盛国际的公允价值变动所致。</w:t>
      </w:r>
    </w:p>
    <w:p>
      <w:pPr>
        <w:spacing w:line="240" w:lineRule="auto" w:before="12"/>
        <w:rPr>
          <w:rFonts w:ascii="宋体" w:hAnsi="宋体" w:cs="宋体" w:eastAsia="宋体" w:hint="default"/>
          <w:sz w:val="20"/>
          <w:szCs w:val="20"/>
        </w:rPr>
      </w:pPr>
    </w:p>
    <w:p>
      <w:pPr>
        <w:pStyle w:val="Heading2"/>
        <w:spacing w:line="240" w:lineRule="auto"/>
        <w:ind w:left="238" w:right="946"/>
        <w:jc w:val="left"/>
        <w:rPr>
          <w:b w:val="0"/>
          <w:bCs w:val="0"/>
        </w:rPr>
      </w:pPr>
      <w:r>
        <w:rPr/>
        <w:t>(四)公司投资情况</w:t>
      </w:r>
      <w:r>
        <w:rPr>
          <w:b w:val="0"/>
          <w:bCs w:val="0"/>
        </w:rPr>
      </w:r>
    </w:p>
    <w:p>
      <w:pPr>
        <w:spacing w:line="240" w:lineRule="auto" w:before="1"/>
        <w:rPr>
          <w:rFonts w:ascii="宋体" w:hAnsi="宋体" w:cs="宋体" w:eastAsia="宋体" w:hint="default"/>
          <w:b/>
          <w:bCs/>
          <w:sz w:val="21"/>
          <w:szCs w:val="21"/>
        </w:rPr>
      </w:pPr>
    </w:p>
    <w:p>
      <w:pPr>
        <w:pStyle w:val="Heading3"/>
        <w:spacing w:line="240" w:lineRule="auto"/>
        <w:ind w:left="238" w:right="946"/>
        <w:jc w:val="left"/>
        <w:rPr>
          <w:b w:val="0"/>
          <w:bCs w:val="0"/>
        </w:rPr>
      </w:pPr>
      <w:r>
        <w:rPr/>
        <w:t>1、募集资金使用情况</w:t>
      </w:r>
      <w:r>
        <w:rPr>
          <w:b w:val="0"/>
          <w:bCs w:val="0"/>
        </w:rPr>
      </w:r>
    </w:p>
    <w:p>
      <w:pPr>
        <w:spacing w:line="240" w:lineRule="auto" w:before="8"/>
        <w:rPr>
          <w:rFonts w:ascii="宋体" w:hAnsi="宋体" w:cs="宋体" w:eastAsia="宋体" w:hint="default"/>
          <w:b/>
          <w:bCs/>
          <w:sz w:val="23"/>
          <w:szCs w:val="23"/>
        </w:rPr>
      </w:pPr>
    </w:p>
    <w:p>
      <w:pPr>
        <w:spacing w:before="0"/>
        <w:ind w:left="238" w:right="946" w:firstLine="0"/>
        <w:jc w:val="left"/>
        <w:rPr>
          <w:rFonts w:ascii="宋体" w:hAnsi="宋体" w:cs="宋体" w:eastAsia="宋体" w:hint="default"/>
          <w:sz w:val="24"/>
          <w:szCs w:val="24"/>
        </w:rPr>
      </w:pPr>
      <w:r>
        <w:rPr>
          <w:rFonts w:ascii="宋体" w:hAnsi="宋体" w:cs="宋体" w:eastAsia="宋体" w:hint="default"/>
          <w:b/>
          <w:bCs/>
          <w:sz w:val="24"/>
          <w:szCs w:val="24"/>
        </w:rPr>
        <w:t>A．2007</w:t>
      </w:r>
      <w:r>
        <w:rPr>
          <w:rFonts w:ascii="宋体" w:hAnsi="宋体" w:cs="宋体" w:eastAsia="宋体" w:hint="default"/>
          <w:b/>
          <w:bCs/>
          <w:spacing w:val="-60"/>
          <w:sz w:val="24"/>
          <w:szCs w:val="24"/>
        </w:rPr>
        <w:t> </w:t>
      </w:r>
      <w:r>
        <w:rPr>
          <w:rFonts w:ascii="宋体" w:hAnsi="宋体" w:cs="宋体" w:eastAsia="宋体" w:hint="default"/>
          <w:b/>
          <w:bCs/>
          <w:sz w:val="24"/>
          <w:szCs w:val="24"/>
        </w:rPr>
        <w:t>年度非公开发行股票募集资金使用情况</w:t>
      </w:r>
      <w:r>
        <w:rPr>
          <w:rFonts w:ascii="宋体" w:hAnsi="宋体" w:cs="宋体" w:eastAsia="宋体" w:hint="default"/>
          <w:sz w:val="24"/>
          <w:szCs w:val="24"/>
        </w:rPr>
      </w:r>
    </w:p>
    <w:p>
      <w:pPr>
        <w:spacing w:line="240" w:lineRule="auto" w:before="1"/>
        <w:rPr>
          <w:rFonts w:ascii="宋体" w:hAnsi="宋体" w:cs="宋体" w:eastAsia="宋体" w:hint="default"/>
          <w:b/>
          <w:bCs/>
          <w:sz w:val="26"/>
          <w:szCs w:val="26"/>
        </w:rPr>
      </w:pPr>
    </w:p>
    <w:p>
      <w:pPr>
        <w:pStyle w:val="BodyText"/>
        <w:spacing w:line="310" w:lineRule="exact"/>
        <w:ind w:left="238" w:right="945"/>
        <w:jc w:val="left"/>
      </w:pPr>
      <w:r>
        <w:rPr/>
        <w:t>2007</w:t>
      </w:r>
      <w:r>
        <w:rPr>
          <w:spacing w:val="-53"/>
        </w:rPr>
        <w:t> </w:t>
      </w:r>
      <w:r>
        <w:rPr/>
        <w:t>年公司通过非公开发行股票方式募集资金</w:t>
      </w:r>
      <w:r>
        <w:rPr>
          <w:spacing w:val="-53"/>
        </w:rPr>
        <w:t> </w:t>
      </w:r>
      <w:r>
        <w:rPr/>
        <w:t>122,880</w:t>
      </w:r>
      <w:r>
        <w:rPr>
          <w:spacing w:val="-53"/>
        </w:rPr>
        <w:t> </w:t>
      </w:r>
      <w:r>
        <w:rPr/>
        <w:t>万元，截至本报告期末，公司完</w:t>
      </w:r>
      <w:r>
        <w:rPr/>
        <w:t> 成非公开发行股票募集资金的使用。</w:t>
      </w:r>
    </w:p>
    <w:p>
      <w:pPr>
        <w:spacing w:line="240" w:lineRule="auto" w:before="6"/>
        <w:rPr>
          <w:rFonts w:ascii="宋体" w:hAnsi="宋体" w:cs="宋体" w:eastAsia="宋体" w:hint="default"/>
          <w:sz w:val="21"/>
          <w:szCs w:val="21"/>
        </w:rPr>
      </w:pPr>
    </w:p>
    <w:p>
      <w:pPr>
        <w:pStyle w:val="BodyText"/>
        <w:spacing w:line="240" w:lineRule="auto"/>
        <w:ind w:left="238" w:right="946"/>
        <w:jc w:val="left"/>
      </w:pPr>
      <w:r>
        <w:rPr/>
        <w:t>募集资金投资具体投资项目如下：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931"/>
        <w:gridCol w:w="1957"/>
        <w:gridCol w:w="2332"/>
        <w:gridCol w:w="1421"/>
        <w:gridCol w:w="1362"/>
        <w:gridCol w:w="1298"/>
      </w:tblGrid>
      <w:tr>
        <w:trPr>
          <w:trHeight w:val="567" w:hRule="exact"/>
        </w:trPr>
        <w:tc>
          <w:tcPr>
            <w:tcW w:w="93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28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项目内容</w:t>
            </w:r>
            <w:r>
              <w:rPr>
                <w:rFonts w:ascii="宋体" w:hAnsi="宋体" w:cs="宋体" w:eastAsia="宋体" w:hint="default"/>
                <w:sz w:val="21"/>
                <w:szCs w:val="21"/>
              </w:rPr>
            </w:r>
          </w:p>
        </w:tc>
        <w:tc>
          <w:tcPr>
            <w:tcW w:w="1421"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投资总额(万</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sz w:val="21"/>
                <w:szCs w:val="21"/>
              </w:rPr>
            </w:r>
          </w:p>
        </w:tc>
        <w:tc>
          <w:tcPr>
            <w:tcW w:w="136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累计投资额</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298"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尚未投入金</w:t>
            </w:r>
            <w:r>
              <w:rPr>
                <w:rFonts w:ascii="宋体" w:hAnsi="宋体" w:cs="宋体" w:eastAsia="宋体" w:hint="default"/>
                <w:sz w:val="21"/>
                <w:szCs w:val="21"/>
              </w:rPr>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额(万元)</w:t>
            </w:r>
            <w:r>
              <w:rPr>
                <w:rFonts w:ascii="宋体" w:hAnsi="宋体" w:cs="宋体" w:eastAsia="宋体" w:hint="default"/>
                <w:sz w:val="21"/>
                <w:szCs w:val="21"/>
              </w:rPr>
            </w:r>
          </w:p>
        </w:tc>
      </w:tr>
      <w:tr>
        <w:trPr>
          <w:trHeight w:val="559" w:hRule="exact"/>
        </w:trPr>
        <w:tc>
          <w:tcPr>
            <w:tcW w:w="9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sz w:val="21"/>
              </w:rPr>
              <w:t>1</w:t>
            </w:r>
          </w:p>
        </w:tc>
        <w:tc>
          <w:tcPr>
            <w:tcW w:w="4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 ezONE</w:t>
            </w:r>
            <w:r>
              <w:rPr>
                <w:rFonts w:ascii="宋体" w:hAnsi="宋体" w:cs="宋体" w:eastAsia="宋体" w:hint="default"/>
                <w:spacing w:val="-25"/>
                <w:sz w:val="21"/>
                <w:szCs w:val="21"/>
              </w:rPr>
              <w:t> </w:t>
            </w:r>
            <w:r>
              <w:rPr>
                <w:rFonts w:ascii="宋体" w:hAnsi="宋体" w:cs="宋体" w:eastAsia="宋体" w:hint="default"/>
                <w:sz w:val="21"/>
                <w:szCs w:val="21"/>
              </w:rPr>
              <w:t>业务基础平台的数字城市应用技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术与信息系统开发与产业化</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50,394.63</w:t>
            </w:r>
          </w:p>
        </w:tc>
        <w:tc>
          <w:tcPr>
            <w:tcW w:w="12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0</w:t>
            </w:r>
          </w:p>
        </w:tc>
      </w:tr>
      <w:tr>
        <w:trPr>
          <w:trHeight w:val="832" w:hRule="exact"/>
        </w:trPr>
        <w:tc>
          <w:tcPr>
            <w:tcW w:w="9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21"/>
                <w:szCs w:val="21"/>
              </w:rPr>
            </w:pPr>
            <w:r>
              <w:rPr>
                <w:rFonts w:ascii="宋体"/>
                <w:sz w:val="21"/>
              </w:rPr>
              <w:t>2</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1"/>
              <w:jc w:val="left"/>
              <w:rPr>
                <w:rFonts w:ascii="宋体" w:hAnsi="宋体" w:cs="宋体" w:eastAsia="宋体" w:hint="default"/>
                <w:sz w:val="21"/>
                <w:szCs w:val="21"/>
              </w:rPr>
            </w:pPr>
            <w:r>
              <w:rPr>
                <w:rFonts w:ascii="宋体" w:hAnsi="宋体" w:cs="宋体" w:eastAsia="宋体" w:hint="default"/>
                <w:spacing w:val="8"/>
                <w:sz w:val="21"/>
                <w:szCs w:val="21"/>
              </w:rPr>
              <w:t>增资沈阳同方多媒 </w:t>
            </w:r>
            <w:r>
              <w:rPr>
                <w:rFonts w:ascii="宋体" w:hAnsi="宋体" w:cs="宋体" w:eastAsia="宋体" w:hint="default"/>
                <w:sz w:val="21"/>
                <w:szCs w:val="21"/>
              </w:rPr>
              <w:t>体科技有限公司</w:t>
            </w:r>
          </w:p>
        </w:tc>
        <w:tc>
          <w:tcPr>
            <w:tcW w:w="23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用于数字电视终端系统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产品产业化生产基地项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目</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22,880.00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22,880.00</w:t>
            </w:r>
          </w:p>
        </w:tc>
        <w:tc>
          <w:tcPr>
            <w:tcW w:w="12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z w:val="21"/>
              </w:rPr>
              <w:t>0</w:t>
            </w:r>
          </w:p>
        </w:tc>
      </w:tr>
      <w:tr>
        <w:trPr>
          <w:trHeight w:val="833" w:hRule="exact"/>
        </w:trPr>
        <w:tc>
          <w:tcPr>
            <w:tcW w:w="9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21"/>
                <w:szCs w:val="21"/>
              </w:rPr>
            </w:pPr>
            <w:r>
              <w:rPr>
                <w:rFonts w:ascii="宋体"/>
                <w:sz w:val="21"/>
              </w:rPr>
              <w:t>3</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1"/>
              <w:jc w:val="left"/>
              <w:rPr>
                <w:rFonts w:ascii="宋体" w:hAnsi="宋体" w:cs="宋体" w:eastAsia="宋体" w:hint="default"/>
                <w:sz w:val="21"/>
                <w:szCs w:val="21"/>
              </w:rPr>
            </w:pPr>
            <w:r>
              <w:rPr>
                <w:rFonts w:ascii="宋体" w:hAnsi="宋体" w:cs="宋体" w:eastAsia="宋体" w:hint="default"/>
                <w:spacing w:val="8"/>
                <w:sz w:val="21"/>
                <w:szCs w:val="21"/>
              </w:rPr>
              <w:t>增资同方工业有限 </w:t>
            </w:r>
            <w:r>
              <w:rPr>
                <w:rFonts w:ascii="宋体" w:hAnsi="宋体" w:cs="宋体" w:eastAsia="宋体" w:hint="default"/>
                <w:sz w:val="21"/>
                <w:szCs w:val="21"/>
              </w:rPr>
              <w:t>公司</w:t>
            </w:r>
          </w:p>
        </w:tc>
        <w:tc>
          <w:tcPr>
            <w:tcW w:w="23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用于军民用数字化综合</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通信系统研发产业化项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目</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w:t>
            </w:r>
          </w:p>
        </w:tc>
        <w:tc>
          <w:tcPr>
            <w:tcW w:w="12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z w:val="21"/>
              </w:rPr>
              <w:t>0</w:t>
            </w:r>
          </w:p>
        </w:tc>
      </w:tr>
      <w:tr>
        <w:trPr>
          <w:trHeight w:val="287" w:hRule="exact"/>
        </w:trPr>
        <w:tc>
          <w:tcPr>
            <w:tcW w:w="93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4</w:t>
            </w:r>
          </w:p>
        </w:tc>
        <w:tc>
          <w:tcPr>
            <w:tcW w:w="4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30,000.00</w:t>
            </w:r>
          </w:p>
        </w:tc>
        <w:tc>
          <w:tcPr>
            <w:tcW w:w="129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0</w:t>
            </w:r>
          </w:p>
        </w:tc>
      </w:tr>
      <w:tr>
        <w:trPr>
          <w:trHeight w:val="357" w:hRule="exact"/>
        </w:trPr>
        <w:tc>
          <w:tcPr>
            <w:tcW w:w="5219"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6"/>
              <w:jc w:val="right"/>
              <w:rPr>
                <w:rFonts w:ascii="宋体" w:hAnsi="宋体" w:cs="宋体" w:eastAsia="宋体" w:hint="default"/>
                <w:sz w:val="21"/>
                <w:szCs w:val="21"/>
              </w:rPr>
            </w:pPr>
            <w:r>
              <w:rPr>
                <w:rFonts w:ascii="宋体"/>
                <w:spacing w:val="-1"/>
                <w:sz w:val="21"/>
              </w:rPr>
              <w:t>122,880.00</w:t>
            </w:r>
          </w:p>
        </w:tc>
        <w:tc>
          <w:tcPr>
            <w:tcW w:w="136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6"/>
              <w:jc w:val="right"/>
              <w:rPr>
                <w:rFonts w:ascii="宋体" w:hAnsi="宋体" w:cs="宋体" w:eastAsia="宋体" w:hint="default"/>
                <w:sz w:val="21"/>
                <w:szCs w:val="21"/>
              </w:rPr>
            </w:pPr>
            <w:r>
              <w:rPr>
                <w:rFonts w:ascii="宋体"/>
                <w:spacing w:val="-1"/>
                <w:sz w:val="21"/>
              </w:rPr>
              <w:t>123,274.63</w:t>
            </w:r>
          </w:p>
        </w:tc>
        <w:tc>
          <w:tcPr>
            <w:tcW w:w="1298"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right="90"/>
              <w:jc w:val="right"/>
              <w:rPr>
                <w:rFonts w:ascii="宋体" w:hAnsi="宋体" w:cs="宋体" w:eastAsia="宋体" w:hint="default"/>
                <w:sz w:val="21"/>
                <w:szCs w:val="21"/>
              </w:rPr>
            </w:pPr>
            <w:r>
              <w:rPr>
                <w:rFonts w:ascii="宋体"/>
                <w:sz w:val="21"/>
              </w:rPr>
              <w:t>0</w:t>
            </w:r>
          </w:p>
        </w:tc>
      </w:tr>
    </w:tbl>
    <w:p>
      <w:pPr>
        <w:spacing w:line="240" w:lineRule="exact" w:before="0"/>
        <w:ind w:left="238" w:right="946" w:firstLine="0"/>
        <w:jc w:val="left"/>
        <w:rPr>
          <w:rFonts w:ascii="宋体" w:hAnsi="宋体" w:cs="宋体" w:eastAsia="宋体" w:hint="default"/>
          <w:sz w:val="21"/>
          <w:szCs w:val="21"/>
        </w:rPr>
      </w:pPr>
      <w:r>
        <w:rPr>
          <w:rFonts w:ascii="宋体" w:hAnsi="宋体" w:cs="宋体" w:eastAsia="宋体" w:hint="default"/>
          <w:sz w:val="21"/>
          <w:szCs w:val="21"/>
        </w:rPr>
        <w:t>注：累计投资额超出募集资金部分系募集资金产生的利息收入投入到项目中所致。</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80" w:left="1180" w:right="320"/>
        </w:sectPr>
      </w:pPr>
    </w:p>
    <w:p>
      <w:pPr>
        <w:pStyle w:val="BodyText"/>
        <w:spacing w:line="240" w:lineRule="auto" w:before="26"/>
        <w:ind w:left="238" w:right="-20"/>
        <w:jc w:val="left"/>
      </w:pPr>
      <w:r>
        <w:rPr/>
        <w:t>本年度，募集资金承诺项目投资以及收益情况如下：</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10" w:h="16840"/>
          <w:pgMar w:top="1600" w:bottom="280" w:left="1180" w:right="320"/>
          <w:cols w:num="2" w:equalWidth="0">
            <w:col w:w="5759" w:space="1763"/>
            <w:col w:w="288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70"/>
        <w:gridCol w:w="1208"/>
        <w:gridCol w:w="900"/>
        <w:gridCol w:w="1260"/>
        <w:gridCol w:w="1031"/>
        <w:gridCol w:w="1313"/>
        <w:gridCol w:w="1078"/>
        <w:gridCol w:w="1076"/>
      </w:tblGrid>
      <w:tr>
        <w:trPr>
          <w:trHeight w:val="502" w:hRule="exact"/>
        </w:trPr>
        <w:tc>
          <w:tcPr>
            <w:tcW w:w="22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578"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20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35" w:right="119" w:hanging="114"/>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年度拟</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70" w:right="168" w:firstLine="1"/>
              <w:jc w:val="left"/>
              <w:rPr>
                <w:rFonts w:ascii="宋体" w:hAnsi="宋体" w:cs="宋体" w:eastAsia="宋体" w:hint="default"/>
                <w:sz w:val="18"/>
                <w:szCs w:val="18"/>
              </w:rPr>
            </w:pPr>
            <w:r>
              <w:rPr>
                <w:rFonts w:ascii="宋体" w:hAnsi="宋体" w:cs="宋体" w:eastAsia="宋体" w:hint="default"/>
                <w:b/>
                <w:bCs/>
                <w:sz w:val="18"/>
                <w:szCs w:val="18"/>
              </w:rPr>
              <w:t>是否变</w:t>
            </w:r>
            <w:r>
              <w:rPr>
                <w:rFonts w:ascii="宋体" w:hAnsi="宋体" w:cs="宋体" w:eastAsia="宋体" w:hint="default"/>
                <w:b/>
                <w:bCs/>
                <w:spacing w:val="1"/>
                <w:w w:val="99"/>
                <w:sz w:val="18"/>
                <w:szCs w:val="18"/>
              </w:rPr>
              <w:t> </w:t>
            </w:r>
            <w:r>
              <w:rPr>
                <w:rFonts w:ascii="宋体" w:hAnsi="宋体" w:cs="宋体" w:eastAsia="宋体" w:hint="default"/>
                <w:b/>
                <w:bCs/>
                <w:sz w:val="18"/>
                <w:szCs w:val="18"/>
              </w:rPr>
              <w:t>更项目</w:t>
            </w:r>
            <w:r>
              <w:rPr>
                <w:rFonts w:ascii="宋体" w:hAnsi="宋体" w:cs="宋体" w:eastAsia="宋体" w:hint="default"/>
                <w:sz w:val="18"/>
                <w:szCs w:val="18"/>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70" w:right="144" w:hanging="2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年度实</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际投入金额</w:t>
            </w:r>
            <w:r>
              <w:rPr>
                <w:rFonts w:ascii="宋体" w:hAnsi="宋体" w:cs="宋体" w:eastAsia="宋体" w:hint="default"/>
                <w:sz w:val="18"/>
                <w:szCs w:val="18"/>
              </w:rPr>
            </w:r>
          </w:p>
        </w:tc>
        <w:tc>
          <w:tcPr>
            <w:tcW w:w="10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46"/>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31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96" w:right="170" w:hanging="2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年度产</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生收益情况</w:t>
            </w:r>
            <w:r>
              <w:rPr>
                <w:rFonts w:ascii="宋体" w:hAnsi="宋体" w:cs="宋体" w:eastAsia="宋体" w:hint="default"/>
                <w:sz w:val="18"/>
                <w:szCs w:val="18"/>
              </w:rPr>
            </w:r>
          </w:p>
        </w:tc>
        <w:tc>
          <w:tcPr>
            <w:tcW w:w="107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9" w:right="168" w:firstLine="1"/>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计划进度</w:t>
            </w:r>
            <w:r>
              <w:rPr>
                <w:rFonts w:ascii="宋体" w:hAnsi="宋体" w:cs="宋体" w:eastAsia="宋体" w:hint="default"/>
                <w:sz w:val="18"/>
                <w:szCs w:val="18"/>
              </w:rPr>
            </w:r>
          </w:p>
        </w:tc>
        <w:tc>
          <w:tcPr>
            <w:tcW w:w="1076"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69" w:right="159"/>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预计收益</w:t>
            </w:r>
            <w:r>
              <w:rPr>
                <w:rFonts w:ascii="宋体" w:hAnsi="宋体" w:cs="宋体" w:eastAsia="宋体" w:hint="default"/>
                <w:sz w:val="18"/>
                <w:szCs w:val="18"/>
              </w:rPr>
            </w:r>
          </w:p>
        </w:tc>
      </w:tr>
      <w:tr>
        <w:trPr>
          <w:trHeight w:val="734" w:hRule="exact"/>
        </w:trPr>
        <w:tc>
          <w:tcPr>
            <w:tcW w:w="22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2"/>
              <w:jc w:val="both"/>
              <w:rPr>
                <w:rFonts w:ascii="宋体" w:hAnsi="宋体" w:cs="宋体" w:eastAsia="宋体" w:hint="default"/>
                <w:sz w:val="18"/>
                <w:szCs w:val="18"/>
              </w:rPr>
            </w:pPr>
            <w:r>
              <w:rPr>
                <w:rFonts w:ascii="宋体" w:hAnsi="宋体" w:cs="宋体" w:eastAsia="宋体" w:hint="default"/>
                <w:sz w:val="18"/>
                <w:szCs w:val="18"/>
              </w:rPr>
              <w:t>基于 ezONE</w:t>
            </w:r>
            <w:r>
              <w:rPr>
                <w:rFonts w:ascii="宋体" w:hAnsi="宋体" w:cs="宋体" w:eastAsia="宋体" w:hint="default"/>
                <w:spacing w:val="-18"/>
                <w:sz w:val="18"/>
                <w:szCs w:val="18"/>
              </w:rPr>
              <w:t> </w:t>
            </w:r>
            <w:r>
              <w:rPr>
                <w:rFonts w:ascii="宋体" w:hAnsi="宋体" w:cs="宋体" w:eastAsia="宋体" w:hint="default"/>
                <w:sz w:val="18"/>
                <w:szCs w:val="18"/>
              </w:rPr>
              <w:t>业务基础平台</w:t>
            </w:r>
            <w:r>
              <w:rPr>
                <w:rFonts w:ascii="宋体" w:hAnsi="宋体" w:cs="宋体" w:eastAsia="宋体" w:hint="default"/>
                <w:sz w:val="18"/>
                <w:szCs w:val="18"/>
              </w:rPr>
              <w:t> </w:t>
            </w:r>
            <w:r>
              <w:rPr>
                <w:rFonts w:ascii="宋体" w:hAnsi="宋体" w:cs="宋体" w:eastAsia="宋体" w:hint="default"/>
                <w:spacing w:val="7"/>
                <w:sz w:val="18"/>
                <w:szCs w:val="18"/>
              </w:rPr>
              <w:t>的数字城市应用技术与信</w:t>
            </w:r>
            <w:r>
              <w:rPr>
                <w:rFonts w:ascii="宋体" w:hAnsi="宋体" w:cs="宋体" w:eastAsia="宋体" w:hint="default"/>
                <w:spacing w:val="7"/>
                <w:sz w:val="18"/>
                <w:szCs w:val="18"/>
              </w:rPr>
              <w:t> </w:t>
            </w:r>
            <w:r>
              <w:rPr>
                <w:rFonts w:ascii="宋体" w:hAnsi="宋体" w:cs="宋体" w:eastAsia="宋体" w:hint="default"/>
                <w:sz w:val="18"/>
                <w:szCs w:val="18"/>
              </w:rPr>
              <w:t>息系统开发与产业化</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12,529.76</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6,960.00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6,946.79</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6" w:hRule="exact"/>
        </w:trPr>
        <w:tc>
          <w:tcPr>
            <w:tcW w:w="2270"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pacing w:val="7"/>
                <w:sz w:val="18"/>
                <w:szCs w:val="18"/>
              </w:rPr>
              <w:t>增资沈阳同方多媒体科技</w:t>
            </w:r>
            <w:r>
              <w:rPr>
                <w:rFonts w:ascii="宋体" w:hAnsi="宋体" w:cs="宋体" w:eastAsia="宋体" w:hint="default"/>
                <w:sz w:val="18"/>
                <w:szCs w:val="18"/>
              </w:rPr>
            </w:r>
          </w:p>
        </w:tc>
        <w:tc>
          <w:tcPr>
            <w:tcW w:w="1208"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31"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078" w:type="dxa"/>
            <w:tcBorders>
              <w:top w:val="single" w:sz="6" w:space="0" w:color="000000"/>
              <w:left w:val="single" w:sz="6" w:space="0" w:color="000000"/>
              <w:bottom w:val="nil" w:sz="6" w:space="0" w:color="auto"/>
              <w:right w:val="single" w:sz="6" w:space="0" w:color="000000"/>
            </w:tcBorders>
          </w:tcPr>
          <w:p>
            <w:pPr/>
          </w:p>
        </w:tc>
        <w:tc>
          <w:tcPr>
            <w:tcW w:w="1076" w:type="dxa"/>
            <w:tcBorders>
              <w:top w:val="single" w:sz="6" w:space="0" w:color="000000"/>
              <w:left w:val="single" w:sz="6" w:space="0" w:color="000000"/>
              <w:bottom w:val="nil" w:sz="6" w:space="0" w:color="auto"/>
              <w:right w:val="single" w:sz="12" w:space="0" w:color="000000"/>
            </w:tcBorders>
          </w:tcPr>
          <w:p>
            <w:pPr/>
          </w:p>
        </w:tc>
      </w:tr>
      <w:tr>
        <w:trPr>
          <w:trHeight w:val="480" w:hRule="exact"/>
        </w:trPr>
        <w:tc>
          <w:tcPr>
            <w:tcW w:w="227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有限公司 2.288</w:t>
            </w:r>
            <w:r>
              <w:rPr>
                <w:rFonts w:ascii="宋体" w:hAnsi="宋体" w:cs="宋体" w:eastAsia="宋体" w:hint="default"/>
                <w:spacing w:val="-18"/>
                <w:sz w:val="18"/>
                <w:szCs w:val="18"/>
              </w:rPr>
              <w:t> </w:t>
            </w:r>
            <w:r>
              <w:rPr>
                <w:rFonts w:ascii="宋体" w:hAnsi="宋体" w:cs="宋体" w:eastAsia="宋体" w:hint="default"/>
                <w:sz w:val="18"/>
                <w:szCs w:val="18"/>
              </w:rPr>
              <w:t>亿元用于</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pacing w:val="7"/>
                <w:sz w:val="18"/>
                <w:szCs w:val="18"/>
              </w:rPr>
              <w:t>数字电视终端系统产品产</w:t>
            </w:r>
            <w:r>
              <w:rPr>
                <w:rFonts w:ascii="宋体" w:hAnsi="宋体" w:cs="宋体" w:eastAsia="宋体" w:hint="default"/>
                <w:sz w:val="18"/>
                <w:szCs w:val="18"/>
              </w:rPr>
            </w:r>
          </w:p>
        </w:tc>
        <w:tc>
          <w:tcPr>
            <w:tcW w:w="1208"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3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0</w:t>
            </w:r>
          </w:p>
        </w:tc>
        <w:tc>
          <w:tcPr>
            <w:tcW w:w="1031"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8,225.00</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202.33</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76" w:type="dxa"/>
            <w:tcBorders>
              <w:top w:val="nil" w:sz="6" w:space="0" w:color="auto"/>
              <w:left w:val="single" w:sz="6" w:space="0" w:color="000000"/>
              <w:bottom w:val="nil" w:sz="6" w:space="0" w:color="auto"/>
              <w:right w:val="single" w:sz="12" w:space="0" w:color="000000"/>
            </w:tcBorders>
          </w:tcPr>
          <w:p>
            <w:pPr>
              <w:pStyle w:val="TableParagraph"/>
              <w:spacing w:line="240" w:lineRule="auto" w:before="94"/>
              <w:ind w:left="44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0" w:hRule="exact"/>
        </w:trPr>
        <w:tc>
          <w:tcPr>
            <w:tcW w:w="2270"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业化生产基地项目</w:t>
            </w:r>
          </w:p>
        </w:tc>
        <w:tc>
          <w:tcPr>
            <w:tcW w:w="1208"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31"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078" w:type="dxa"/>
            <w:tcBorders>
              <w:top w:val="nil" w:sz="6" w:space="0" w:color="auto"/>
              <w:left w:val="single" w:sz="6" w:space="0" w:color="000000"/>
              <w:bottom w:val="single" w:sz="6" w:space="0" w:color="000000"/>
              <w:right w:val="single" w:sz="6" w:space="0" w:color="000000"/>
            </w:tcBorders>
          </w:tcPr>
          <w:p>
            <w:pPr/>
          </w:p>
        </w:tc>
        <w:tc>
          <w:tcPr>
            <w:tcW w:w="1076" w:type="dxa"/>
            <w:tcBorders>
              <w:top w:val="nil" w:sz="6" w:space="0" w:color="auto"/>
              <w:left w:val="single" w:sz="6" w:space="0" w:color="000000"/>
              <w:bottom w:val="single" w:sz="6" w:space="0" w:color="000000"/>
              <w:right w:val="single" w:sz="12" w:space="0" w:color="000000"/>
            </w:tcBorders>
          </w:tcPr>
          <w:p>
            <w:pPr/>
          </w:p>
        </w:tc>
      </w:tr>
      <w:tr>
        <w:trPr>
          <w:trHeight w:val="256" w:hRule="exact"/>
        </w:trPr>
        <w:tc>
          <w:tcPr>
            <w:tcW w:w="2270"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5"/>
              <w:jc w:val="left"/>
              <w:rPr>
                <w:rFonts w:ascii="宋体" w:hAnsi="宋体" w:cs="宋体" w:eastAsia="宋体" w:hint="default"/>
                <w:sz w:val="18"/>
                <w:szCs w:val="18"/>
              </w:rPr>
            </w:pPr>
            <w:r>
              <w:rPr>
                <w:rFonts w:ascii="宋体" w:hAnsi="宋体" w:cs="宋体" w:eastAsia="宋体" w:hint="default"/>
                <w:sz w:val="18"/>
                <w:szCs w:val="18"/>
              </w:rPr>
              <w:t>增资同方工业有限公司</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1208"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31"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078" w:type="dxa"/>
            <w:tcBorders>
              <w:top w:val="single" w:sz="6" w:space="0" w:color="000000"/>
              <w:left w:val="single" w:sz="6" w:space="0" w:color="000000"/>
              <w:bottom w:val="nil" w:sz="6" w:space="0" w:color="auto"/>
              <w:right w:val="single" w:sz="6" w:space="0" w:color="000000"/>
            </w:tcBorders>
          </w:tcPr>
          <w:p>
            <w:pPr/>
          </w:p>
        </w:tc>
        <w:tc>
          <w:tcPr>
            <w:tcW w:w="1076"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27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23"/>
              <w:jc w:val="left"/>
              <w:rPr>
                <w:rFonts w:ascii="宋体" w:hAnsi="宋体" w:cs="宋体" w:eastAsia="宋体" w:hint="default"/>
                <w:sz w:val="18"/>
                <w:szCs w:val="18"/>
              </w:rPr>
            </w:pPr>
            <w:r>
              <w:rPr>
                <w:rFonts w:ascii="宋体" w:hAnsi="宋体" w:cs="宋体" w:eastAsia="宋体" w:hint="default"/>
                <w:spacing w:val="16"/>
                <w:sz w:val="18"/>
                <w:szCs w:val="18"/>
              </w:rPr>
              <w:t>元用于军民用数字化综合</w:t>
            </w:r>
            <w:r>
              <w:rPr>
                <w:rFonts w:ascii="宋体" w:hAnsi="宋体" w:cs="宋体" w:eastAsia="宋体" w:hint="default"/>
                <w:spacing w:val="-72"/>
                <w:sz w:val="18"/>
                <w:szCs w:val="18"/>
              </w:rPr>
              <w:t> </w:t>
            </w:r>
            <w:r>
              <w:rPr>
                <w:rFonts w:ascii="宋体" w:hAnsi="宋体" w:cs="宋体" w:eastAsia="宋体" w:hint="default"/>
                <w:sz w:val="18"/>
                <w:szCs w:val="18"/>
              </w:rPr>
            </w:r>
          </w:p>
        </w:tc>
        <w:tc>
          <w:tcPr>
            <w:tcW w:w="120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7"/>
              <w:jc w:val="right"/>
              <w:rPr>
                <w:rFonts w:ascii="宋体" w:hAnsi="宋体" w:cs="宋体" w:eastAsia="宋体" w:hint="default"/>
                <w:sz w:val="18"/>
                <w:szCs w:val="18"/>
              </w:rPr>
            </w:pPr>
            <w:r>
              <w:rPr>
                <w:rFonts w:ascii="宋体"/>
                <w:sz w:val="18"/>
              </w:rPr>
              <w:t>0</w:t>
            </w:r>
          </w:p>
        </w:tc>
        <w:tc>
          <w:tcPr>
            <w:tcW w:w="1031"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3,549.30</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3,571.79</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76"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44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39" w:hRule="exact"/>
        </w:trPr>
        <w:tc>
          <w:tcPr>
            <w:tcW w:w="2270"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通信系统研发产业化项目</w:t>
            </w:r>
          </w:p>
        </w:tc>
        <w:tc>
          <w:tcPr>
            <w:tcW w:w="1208"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31"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078" w:type="dxa"/>
            <w:tcBorders>
              <w:top w:val="nil" w:sz="6" w:space="0" w:color="auto"/>
              <w:left w:val="single" w:sz="6" w:space="0" w:color="000000"/>
              <w:bottom w:val="single" w:sz="6" w:space="0" w:color="000000"/>
              <w:right w:val="single" w:sz="6" w:space="0" w:color="000000"/>
            </w:tcBorders>
          </w:tcPr>
          <w:p>
            <w:pPr/>
          </w:p>
        </w:tc>
        <w:tc>
          <w:tcPr>
            <w:tcW w:w="1076" w:type="dxa"/>
            <w:tcBorders>
              <w:top w:val="nil" w:sz="6" w:space="0" w:color="auto"/>
              <w:left w:val="single" w:sz="6" w:space="0" w:color="000000"/>
              <w:bottom w:val="single" w:sz="6" w:space="0" w:color="000000"/>
              <w:right w:val="single" w:sz="12" w:space="0" w:color="000000"/>
            </w:tcBorders>
          </w:tcPr>
          <w:p>
            <w:pPr/>
          </w:p>
        </w:tc>
      </w:tr>
      <w:tr>
        <w:trPr>
          <w:trHeight w:val="323" w:hRule="exact"/>
        </w:trPr>
        <w:tc>
          <w:tcPr>
            <w:tcW w:w="22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0</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397" w:right="0"/>
              <w:jc w:val="lef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sz w:val="18"/>
              </w:rPr>
              <w:t>12,529.76</w:t>
            </w:r>
          </w:p>
        </w:tc>
        <w:tc>
          <w:tcPr>
            <w:tcW w:w="10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18,734.30</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10,720.91</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486" w:right="0"/>
              <w:jc w:val="left"/>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5"/>
          <w:szCs w:val="15"/>
        </w:rPr>
      </w:pPr>
    </w:p>
    <w:p>
      <w:pPr>
        <w:pStyle w:val="Heading3"/>
        <w:spacing w:line="312" w:lineRule="exact" w:before="56"/>
        <w:ind w:left="238" w:right="947"/>
        <w:jc w:val="left"/>
        <w:rPr>
          <w:b w:val="0"/>
          <w:bCs w:val="0"/>
        </w:rPr>
      </w:pPr>
      <w:r>
        <w:rPr/>
        <w:t>(1)投资</w:t>
      </w:r>
      <w:r>
        <w:rPr>
          <w:spacing w:val="-82"/>
        </w:rPr>
        <w:t> </w:t>
      </w:r>
      <w:r>
        <w:rPr/>
        <w:t>5</w:t>
      </w:r>
      <w:r>
        <w:rPr>
          <w:spacing w:val="-82"/>
        </w:rPr>
        <w:t> </w:t>
      </w:r>
      <w:r>
        <w:rPr/>
        <w:t>亿元用于基于</w:t>
      </w:r>
      <w:r>
        <w:rPr>
          <w:spacing w:val="-80"/>
        </w:rPr>
        <w:t> </w:t>
      </w:r>
      <w:r>
        <w:rPr/>
        <w:t>ezONE</w:t>
      </w:r>
      <w:r>
        <w:rPr>
          <w:spacing w:val="-80"/>
        </w:rPr>
        <w:t> </w:t>
      </w:r>
      <w:r>
        <w:rPr/>
        <w:t>业务基础平台的数字城市应用技术与信息系统开发与产业</w:t>
      </w:r>
      <w:r>
        <w:rPr>
          <w:spacing w:val="1"/>
          <w:w w:val="99"/>
        </w:rPr>
        <w:t> </w:t>
      </w:r>
      <w:r>
        <w:rPr/>
        <w:t>化项目</w:t>
      </w:r>
      <w:r>
        <w:rPr>
          <w:b w:val="0"/>
          <w:bCs w:val="0"/>
        </w:rPr>
      </w:r>
    </w:p>
    <w:p>
      <w:pPr>
        <w:spacing w:after="0" w:line="312" w:lineRule="exact"/>
        <w:jc w:val="left"/>
        <w:sectPr>
          <w:type w:val="continuous"/>
          <w:pgSz w:w="11910" w:h="16840"/>
          <w:pgMar w:top="1600" w:bottom="280" w:left="1180" w:right="3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37" w:lineRule="auto" w:before="28"/>
        <w:ind w:right="86"/>
        <w:jc w:val="left"/>
      </w:pPr>
      <w:r>
        <w:rPr/>
        <w:t>本公司拟投资</w:t>
      </w:r>
      <w:r>
        <w:rPr>
          <w:spacing w:val="-40"/>
        </w:rPr>
        <w:t> </w:t>
      </w:r>
      <w:r>
        <w:rPr/>
        <w:t>5</w:t>
      </w:r>
      <w:r>
        <w:rPr>
          <w:spacing w:val="-40"/>
        </w:rPr>
        <w:t> </w:t>
      </w:r>
      <w:r>
        <w:rPr/>
        <w:t>亿元，用于基于</w:t>
      </w:r>
      <w:r>
        <w:rPr>
          <w:spacing w:val="-40"/>
        </w:rPr>
        <w:t> </w:t>
      </w:r>
      <w:r>
        <w:rPr/>
        <w:t>ezONE</w:t>
      </w:r>
      <w:r>
        <w:rPr>
          <w:spacing w:val="-40"/>
        </w:rPr>
        <w:t> </w:t>
      </w:r>
      <w:r>
        <w:rPr/>
        <w:t>业务基础平台的数字城市应用技术与信息系统开</w:t>
      </w:r>
      <w:r>
        <w:rPr/>
        <w:t> 发与产业化项目。项目基于“大集成管控营 DCM</w:t>
      </w:r>
      <w:r>
        <w:rPr>
          <w:spacing w:val="-40"/>
        </w:rPr>
        <w:t> </w:t>
      </w:r>
      <w:r>
        <w:rPr/>
        <w:t>一体化”核心技术，通过各种通讯技术</w:t>
      </w:r>
      <w:r>
        <w:rPr/>
        <w:t> 把各种末端设备、用户、应用软件和数据源连接到集成系统，实现对人和机器(M2M)的管 理和服务，为数字城市复杂系统的开发提供了一个基本框架和实现方法。在此基础上，</w:t>
      </w:r>
      <w:r>
        <w:rPr>
          <w:spacing w:val="-47"/>
        </w:rPr>
        <w:t> </w:t>
      </w:r>
      <w:r>
        <w:rPr>
          <w:spacing w:val="-47"/>
        </w:rPr>
      </w:r>
      <w:r>
        <w:rPr>
          <w:spacing w:val="-2"/>
        </w:rPr>
        <w:t>项目面向数字城市的智能楼宇、智能社区、电子政务、电子商务、城市安防、城市消防、</w:t>
      </w:r>
      <w:r>
        <w:rPr>
          <w:spacing w:val="-84"/>
        </w:rPr>
        <w:t> </w:t>
      </w:r>
      <w:r>
        <w:rPr>
          <w:spacing w:val="-84"/>
        </w:rPr>
      </w:r>
      <w:r>
        <w:rPr/>
        <w:t>智能交通、智能市政、城市应急、RFID</w:t>
      </w:r>
      <w:r>
        <w:rPr>
          <w:spacing w:val="-40"/>
        </w:rPr>
        <w:t> </w:t>
      </w:r>
      <w:r>
        <w:rPr/>
        <w:t>应用等各应用领域，开发与之相应的应用管理系</w:t>
      </w:r>
      <w:r>
        <w:rPr/>
        <w:t> 统软件及其设备，支持数字城市不同层次的远程监视、控制、诊断；资产跟踪/供应链管 理；集中数据处理和管理决策等业务模式，满足社会大众、企业、政府在任何时间、任</w:t>
      </w:r>
      <w:r>
        <w:rPr>
          <w:spacing w:val="-47"/>
        </w:rPr>
        <w:t> </w:t>
      </w:r>
      <w:r>
        <w:rPr>
          <w:spacing w:val="-47"/>
        </w:rPr>
      </w:r>
      <w:r>
        <w:rPr/>
        <w:t>何地点都能够通过最简便的方法得到其所需要的个性化服务。</w:t>
      </w:r>
    </w:p>
    <w:p>
      <w:pPr>
        <w:spacing w:line="240" w:lineRule="auto" w:before="8"/>
        <w:rPr>
          <w:rFonts w:ascii="宋体" w:hAnsi="宋体" w:cs="宋体" w:eastAsia="宋体" w:hint="default"/>
          <w:sz w:val="23"/>
          <w:szCs w:val="23"/>
        </w:rPr>
      </w:pPr>
    </w:p>
    <w:p>
      <w:pPr>
        <w:pStyle w:val="BodyText"/>
        <w:spacing w:line="312" w:lineRule="exact"/>
        <w:ind w:right="0"/>
        <w:jc w:val="both"/>
      </w:pPr>
      <w:r>
        <w:rPr>
          <w:spacing w:val="-3"/>
        </w:rPr>
        <w:t>本报告期内，该项目已经全部完成投入,本年度对该项目共投资</w:t>
      </w:r>
      <w:r>
        <w:rPr>
          <w:spacing w:val="-56"/>
        </w:rPr>
        <w:t> </w:t>
      </w:r>
      <w:r>
        <w:rPr/>
        <w:t>12,529.76</w:t>
      </w:r>
      <w:r>
        <w:rPr>
          <w:spacing w:val="-56"/>
        </w:rPr>
        <w:t> </w:t>
      </w:r>
      <w:r>
        <w:rPr>
          <w:spacing w:val="-12"/>
        </w:rPr>
        <w:t>万元。本年度，</w:t>
      </w:r>
    </w:p>
    <w:p>
      <w:pPr>
        <w:pStyle w:val="BodyText"/>
        <w:spacing w:line="312" w:lineRule="exact"/>
        <w:ind w:right="0"/>
        <w:jc w:val="both"/>
      </w:pPr>
      <w:r>
        <w:rPr/>
        <w:t>该项目承接的大量项目效益凸现，实现项目收益</w:t>
      </w:r>
      <w:r>
        <w:rPr>
          <w:spacing w:val="-60"/>
        </w:rPr>
        <w:t> </w:t>
      </w:r>
      <w:r>
        <w:rPr/>
        <w:t>6,946.79</w:t>
      </w:r>
      <w:r>
        <w:rPr>
          <w:spacing w:val="-60"/>
        </w:rPr>
        <w:t> </w:t>
      </w:r>
      <w:r>
        <w:rPr/>
        <w:t>万元。</w:t>
      </w:r>
    </w:p>
    <w:p>
      <w:pPr>
        <w:spacing w:line="240" w:lineRule="auto" w:before="1"/>
        <w:rPr>
          <w:rFonts w:ascii="宋体" w:hAnsi="宋体" w:cs="宋体" w:eastAsia="宋体" w:hint="default"/>
          <w:sz w:val="26"/>
          <w:szCs w:val="26"/>
        </w:rPr>
      </w:pPr>
    </w:p>
    <w:p>
      <w:pPr>
        <w:pStyle w:val="Heading3"/>
        <w:spacing w:line="310" w:lineRule="exact"/>
        <w:ind w:right="213"/>
        <w:jc w:val="left"/>
        <w:rPr>
          <w:b w:val="0"/>
          <w:bCs w:val="0"/>
        </w:rPr>
      </w:pPr>
      <w:r>
        <w:rPr/>
        <w:t>(2)增资沈阳同方多媒体科技有限公司 2.288</w:t>
      </w:r>
      <w:r>
        <w:rPr>
          <w:spacing w:val="17"/>
        </w:rPr>
        <w:t> </w:t>
      </w:r>
      <w:r>
        <w:rPr/>
        <w:t>亿元用于数字电视终端系统产品产业化生</w:t>
      </w:r>
      <w:r>
        <w:rPr>
          <w:spacing w:val="2"/>
          <w:w w:val="99"/>
        </w:rPr>
        <w:t> </w:t>
      </w:r>
      <w:r>
        <w:rPr/>
        <w:t>产基地项目</w:t>
      </w:r>
      <w:r>
        <w:rPr>
          <w:b w:val="0"/>
          <w:bCs w:val="0"/>
        </w:rPr>
      </w:r>
    </w:p>
    <w:p>
      <w:pPr>
        <w:spacing w:line="240" w:lineRule="auto" w:before="8"/>
        <w:rPr>
          <w:rFonts w:ascii="宋体" w:hAnsi="宋体" w:cs="宋体" w:eastAsia="宋体" w:hint="default"/>
          <w:b/>
          <w:bCs/>
          <w:sz w:val="21"/>
          <w:szCs w:val="21"/>
        </w:rPr>
      </w:pPr>
    </w:p>
    <w:p>
      <w:pPr>
        <w:pStyle w:val="BodyText"/>
        <w:spacing w:line="237" w:lineRule="auto"/>
        <w:ind w:right="220"/>
        <w:jc w:val="both"/>
      </w:pPr>
      <w:r>
        <w:rPr/>
        <w:t>公司拟投资 2.288</w:t>
      </w:r>
      <w:r>
        <w:rPr>
          <w:spacing w:val="-41"/>
        </w:rPr>
        <w:t> </w:t>
      </w:r>
      <w:r>
        <w:rPr/>
        <w:t>亿元增资沈阳同方多媒体科技有限公司用于数字电视终端系统产品产</w:t>
      </w:r>
      <w:r>
        <w:rPr/>
        <w:t> 业化生产基地项目，本次增资资金将用于数字电视一期扩产项目，包括厂房建设、购买</w:t>
      </w:r>
      <w:r>
        <w:rPr>
          <w:spacing w:val="-47"/>
        </w:rPr>
        <w:t> </w:t>
      </w:r>
      <w:r>
        <w:rPr>
          <w:spacing w:val="-47"/>
        </w:rPr>
      </w:r>
      <w:r>
        <w:rPr>
          <w:spacing w:val="-4"/>
        </w:rPr>
        <w:t>生产线和专用检测设备等，建成后达到生产各类数字电视终端设备(产品)100</w:t>
      </w:r>
      <w:r>
        <w:rPr>
          <w:spacing w:val="-48"/>
        </w:rPr>
        <w:t> </w:t>
      </w:r>
      <w:r>
        <w:rPr>
          <w:spacing w:val="-1"/>
        </w:rPr>
        <w:t>万台的生产</w:t>
      </w:r>
      <w:r>
        <w:rPr>
          <w:spacing w:val="-112"/>
        </w:rPr>
        <w:t> </w:t>
      </w:r>
      <w:r>
        <w:rPr>
          <w:spacing w:val="-112"/>
        </w:rPr>
      </w:r>
      <w:r>
        <w:rPr/>
        <w:t>能力。</w:t>
      </w:r>
    </w:p>
    <w:p>
      <w:pPr>
        <w:spacing w:line="240" w:lineRule="auto" w:before="8"/>
        <w:rPr>
          <w:rFonts w:ascii="宋体" w:hAnsi="宋体" w:cs="宋体" w:eastAsia="宋体" w:hint="default"/>
          <w:sz w:val="23"/>
          <w:szCs w:val="23"/>
        </w:rPr>
      </w:pPr>
    </w:p>
    <w:p>
      <w:pPr>
        <w:pStyle w:val="BodyText"/>
        <w:spacing w:line="312" w:lineRule="exact"/>
        <w:ind w:right="0"/>
        <w:jc w:val="both"/>
      </w:pPr>
      <w:r>
        <w:rPr/>
        <w:t>2007</w:t>
      </w:r>
      <w:r>
        <w:rPr>
          <w:spacing w:val="-60"/>
        </w:rPr>
        <w:t> </w:t>
      </w:r>
      <w:r>
        <w:rPr/>
        <w:t>年，公司已完成对沈阳同方多媒体科技有限公司的增资</w:t>
      </w:r>
      <w:r>
        <w:rPr>
          <w:spacing w:val="-60"/>
        </w:rPr>
        <w:t> </w:t>
      </w:r>
      <w:r>
        <w:rPr/>
        <w:t>22,880</w:t>
      </w:r>
      <w:r>
        <w:rPr>
          <w:spacing w:val="-60"/>
        </w:rPr>
        <w:t> </w:t>
      </w:r>
      <w:r>
        <w:rPr/>
        <w:t>万元，本报告期内，</w:t>
      </w:r>
    </w:p>
    <w:p>
      <w:pPr>
        <w:pStyle w:val="BodyText"/>
        <w:spacing w:line="312" w:lineRule="exact"/>
        <w:ind w:right="0"/>
        <w:jc w:val="both"/>
      </w:pPr>
      <w:r>
        <w:rPr/>
        <w:t>该项目实现收益</w:t>
      </w:r>
      <w:r>
        <w:rPr>
          <w:spacing w:val="-60"/>
        </w:rPr>
        <w:t> </w:t>
      </w:r>
      <w:r>
        <w:rPr/>
        <w:t>202.33</w:t>
      </w:r>
      <w:r>
        <w:rPr>
          <w:spacing w:val="-60"/>
        </w:rPr>
        <w:t> </w:t>
      </w:r>
      <w:r>
        <w:rPr/>
        <w:t>万元。由于产品受到市场价格下降的影响，收益低于预期。</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t>(3)增资同方工业有限公司</w:t>
      </w:r>
      <w:r>
        <w:rPr>
          <w:spacing w:val="-66"/>
        </w:rPr>
        <w:t> </w:t>
      </w:r>
      <w:r>
        <w:rPr/>
        <w:t>2</w:t>
      </w:r>
      <w:r>
        <w:rPr>
          <w:spacing w:val="-66"/>
        </w:rPr>
        <w:t> </w:t>
      </w:r>
      <w:r>
        <w:rPr/>
        <w:t>亿元用于军民用数字化综合通信系统研发产业化项目</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222"/>
        <w:jc w:val="both"/>
      </w:pPr>
      <w:r>
        <w:rPr/>
        <w:t>同方工业有限公司成立于</w:t>
      </w:r>
      <w:r>
        <w:rPr>
          <w:spacing w:val="-65"/>
        </w:rPr>
        <w:t> </w:t>
      </w:r>
      <w:r>
        <w:rPr>
          <w:spacing w:val="20"/>
        </w:rPr>
        <w:t>2006年9</w:t>
      </w:r>
      <w:r>
        <w:rPr>
          <w:spacing w:val="-65"/>
        </w:rPr>
        <w:t> </w:t>
      </w:r>
      <w:r>
        <w:rPr>
          <w:spacing w:val="-3"/>
        </w:rPr>
        <w:t>月，注册资本为</w:t>
      </w:r>
      <w:r>
        <w:rPr>
          <w:spacing w:val="-65"/>
        </w:rPr>
        <w:t> </w:t>
      </w:r>
      <w:r>
        <w:rPr/>
        <w:t>2</w:t>
      </w:r>
      <w:r>
        <w:rPr>
          <w:spacing w:val="-65"/>
        </w:rPr>
        <w:t> </w:t>
      </w:r>
      <w:r>
        <w:rPr/>
        <w:t>亿元，是按照国家军工体系要求单</w:t>
      </w:r>
      <w:r>
        <w:rPr/>
        <w:t> 独组建的</w:t>
      </w:r>
      <w:r>
        <w:rPr>
          <w:spacing w:val="-40"/>
        </w:rPr>
        <w:t> </w:t>
      </w:r>
      <w:r>
        <w:rPr/>
        <w:t>100%全资子公司，主要从事军用产品的研制、生产与销售工作。本次增资同方</w:t>
      </w:r>
      <w:r>
        <w:rPr/>
        <w:t> 工业有限公司的 2</w:t>
      </w:r>
      <w:r>
        <w:rPr>
          <w:spacing w:val="-42"/>
        </w:rPr>
        <w:t> </w:t>
      </w:r>
      <w:r>
        <w:rPr/>
        <w:t>亿元资金，将用于增加研制、开发与生产等方面的资金，包括完成已</w:t>
      </w:r>
    </w:p>
    <w:p>
      <w:pPr>
        <w:pStyle w:val="BodyText"/>
        <w:spacing w:line="284" w:lineRule="exact"/>
        <w:ind w:right="0"/>
        <w:jc w:val="both"/>
      </w:pPr>
      <w:r>
        <w:rPr/>
        <w:t>经获得的军方订单。增资后，同方工业有限公司注册资本金为</w:t>
      </w:r>
      <w:r>
        <w:rPr>
          <w:spacing w:val="-60"/>
        </w:rPr>
        <w:t> </w:t>
      </w:r>
      <w:r>
        <w:rPr/>
        <w:t>4</w:t>
      </w:r>
      <w:r>
        <w:rPr>
          <w:spacing w:val="-60"/>
        </w:rPr>
        <w:t> </w:t>
      </w:r>
      <w:r>
        <w:rPr/>
        <w:t>亿元。</w:t>
      </w:r>
    </w:p>
    <w:p>
      <w:pPr>
        <w:spacing w:line="240" w:lineRule="auto" w:before="8"/>
        <w:rPr>
          <w:rFonts w:ascii="宋体" w:hAnsi="宋体" w:cs="宋体" w:eastAsia="宋体" w:hint="default"/>
          <w:sz w:val="23"/>
          <w:szCs w:val="23"/>
        </w:rPr>
      </w:pPr>
    </w:p>
    <w:p>
      <w:pPr>
        <w:pStyle w:val="BodyText"/>
        <w:spacing w:line="312" w:lineRule="exact"/>
        <w:ind w:right="0"/>
        <w:jc w:val="both"/>
      </w:pPr>
      <w:r>
        <w:rPr/>
        <w:t>2007</w:t>
      </w:r>
      <w:r>
        <w:rPr>
          <w:spacing w:val="-60"/>
        </w:rPr>
        <w:t> </w:t>
      </w:r>
      <w:r>
        <w:rPr>
          <w:spacing w:val="-3"/>
        </w:rPr>
        <w:t>年，公司已完成对同方工业有限公司的增资</w:t>
      </w:r>
      <w:r>
        <w:rPr>
          <w:spacing w:val="-60"/>
        </w:rPr>
        <w:t> </w:t>
      </w:r>
      <w:r>
        <w:rPr/>
        <w:t>20,000</w:t>
      </w:r>
      <w:r>
        <w:rPr>
          <w:spacing w:val="-60"/>
        </w:rPr>
        <w:t> </w:t>
      </w:r>
      <w:r>
        <w:rPr>
          <w:spacing w:val="-6"/>
        </w:rPr>
        <w:t>万元，本报告期内，该项目实现</w:t>
      </w:r>
      <w:r>
        <w:rPr/>
      </w:r>
    </w:p>
    <w:p>
      <w:pPr>
        <w:pStyle w:val="BodyText"/>
        <w:spacing w:line="312" w:lineRule="exact"/>
        <w:ind w:right="0"/>
        <w:jc w:val="both"/>
      </w:pPr>
      <w:r>
        <w:rPr/>
        <w:t>收益</w:t>
      </w:r>
      <w:r>
        <w:rPr>
          <w:spacing w:val="-60"/>
        </w:rPr>
        <w:t> </w:t>
      </w:r>
      <w:r>
        <w:rPr/>
        <w:t>3,571.79</w:t>
      </w:r>
      <w:r>
        <w:rPr>
          <w:spacing w:val="-60"/>
        </w:rPr>
        <w:t> </w:t>
      </w:r>
      <w:r>
        <w:rPr/>
        <w:t>万元。</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t>B．2008</w:t>
      </w:r>
      <w:r>
        <w:rPr>
          <w:spacing w:val="-60"/>
        </w:rPr>
        <w:t> </w:t>
      </w:r>
      <w:r>
        <w:rPr/>
        <w:t>年度配股募集资金使用情况</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right="0"/>
        <w:jc w:val="both"/>
      </w:pPr>
      <w:r>
        <w:rPr/>
        <w:t>2008</w:t>
      </w:r>
      <w:r>
        <w:rPr>
          <w:spacing w:val="-57"/>
        </w:rPr>
        <w:t> </w:t>
      </w:r>
      <w:r>
        <w:rPr>
          <w:spacing w:val="-3"/>
        </w:rPr>
        <w:t>年，公司通过配股方式募集资金</w:t>
      </w:r>
      <w:r>
        <w:rPr>
          <w:spacing w:val="-57"/>
        </w:rPr>
        <w:t> </w:t>
      </w:r>
      <w:r>
        <w:rPr/>
        <w:t>191,942.97</w:t>
      </w:r>
      <w:r>
        <w:rPr>
          <w:spacing w:val="-57"/>
        </w:rPr>
        <w:t> </w:t>
      </w:r>
      <w:r>
        <w:rPr>
          <w:spacing w:val="-4"/>
        </w:rPr>
        <w:t>万元，截至本报告期末，公司已累计使</w:t>
      </w:r>
    </w:p>
    <w:p>
      <w:pPr>
        <w:pStyle w:val="BodyText"/>
        <w:spacing w:line="237" w:lineRule="auto" w:before="1"/>
        <w:ind w:right="216"/>
        <w:jc w:val="both"/>
      </w:pPr>
      <w:r>
        <w:rPr/>
        <w:t>用募集资金总额为</w:t>
      </w:r>
      <w:r>
        <w:rPr>
          <w:spacing w:val="-65"/>
        </w:rPr>
        <w:t> </w:t>
      </w:r>
      <w:r>
        <w:rPr/>
        <w:t>156,208.15</w:t>
      </w:r>
      <w:r>
        <w:rPr>
          <w:spacing w:val="-65"/>
        </w:rPr>
        <w:t> </w:t>
      </w:r>
      <w:r>
        <w:rPr/>
        <w:t>万元，尚未使用的募集资金金额为</w:t>
      </w:r>
      <w:r>
        <w:rPr>
          <w:spacing w:val="-65"/>
        </w:rPr>
        <w:t> </w:t>
      </w:r>
      <w:r>
        <w:rPr/>
        <w:t>35,734.82</w:t>
      </w:r>
      <w:r>
        <w:rPr>
          <w:spacing w:val="-65"/>
        </w:rPr>
        <w:t> </w:t>
      </w:r>
      <w:r>
        <w:rPr>
          <w:spacing w:val="-4"/>
        </w:rPr>
        <w:t>万元，尚未</w:t>
      </w:r>
      <w:r>
        <w:rPr/>
        <w:t> 使用的募集资金将根据公司配股说明书刊载的使用计划和实际使用进度，未来投入到高</w:t>
      </w:r>
      <w:r>
        <w:rPr>
          <w:spacing w:val="-47"/>
        </w:rPr>
        <w:t> </w:t>
      </w:r>
      <w:r>
        <w:rPr>
          <w:spacing w:val="-47"/>
        </w:rPr>
      </w:r>
      <w:r>
        <w:rPr>
          <w:spacing w:val="4"/>
        </w:rPr>
        <w:t>亮度发光二极管(LED)芯片制造及其应用产业化项目和基于国家标准的数字电视网络系</w:t>
      </w:r>
      <w:r>
        <w:rPr>
          <w:spacing w:val="-103"/>
        </w:rPr>
        <w:t> </w:t>
      </w:r>
      <w:r>
        <w:rPr>
          <w:spacing w:val="-103"/>
        </w:rPr>
      </w:r>
      <w:r>
        <w:rPr/>
        <w:t>统的技术开发、应用产业化项目中。</w:t>
      </w:r>
    </w:p>
    <w:p>
      <w:pPr>
        <w:spacing w:line="240" w:lineRule="auto" w:before="8"/>
        <w:rPr>
          <w:rFonts w:ascii="宋体" w:hAnsi="宋体" w:cs="宋体" w:eastAsia="宋体" w:hint="default"/>
          <w:sz w:val="23"/>
          <w:szCs w:val="23"/>
        </w:rPr>
      </w:pPr>
    </w:p>
    <w:p>
      <w:pPr>
        <w:pStyle w:val="BodyText"/>
        <w:spacing w:line="240" w:lineRule="auto"/>
        <w:ind w:right="0"/>
        <w:jc w:val="both"/>
      </w:pPr>
      <w:r>
        <w:rPr/>
        <w:t>募集资金投资具体投资项目如下：</w:t>
      </w:r>
    </w:p>
    <w:p>
      <w:pPr>
        <w:spacing w:after="0" w:line="240"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921"/>
        <w:gridCol w:w="4264"/>
        <w:gridCol w:w="1411"/>
        <w:gridCol w:w="1411"/>
        <w:gridCol w:w="1411"/>
      </w:tblGrid>
      <w:tr>
        <w:trPr>
          <w:trHeight w:val="567" w:hRule="exact"/>
        </w:trPr>
        <w:tc>
          <w:tcPr>
            <w:tcW w:w="92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项目内容</w:t>
            </w:r>
            <w:r>
              <w:rPr>
                <w:rFonts w:ascii="宋体" w:hAnsi="宋体" w:cs="宋体" w:eastAsia="宋体" w:hint="default"/>
                <w:sz w:val="21"/>
                <w:szCs w:val="21"/>
              </w:rPr>
            </w:r>
          </w:p>
        </w:tc>
        <w:tc>
          <w:tcPr>
            <w:tcW w:w="1411"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投资总额</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411"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累计投资额</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411"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尚未投入金</w:t>
            </w:r>
            <w:r>
              <w:rPr>
                <w:rFonts w:ascii="宋体" w:hAnsi="宋体" w:cs="宋体" w:eastAsia="宋体" w:hint="default"/>
                <w:sz w:val="21"/>
                <w:szCs w:val="21"/>
              </w:rPr>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额(万元)</w:t>
            </w:r>
            <w:r>
              <w:rPr>
                <w:rFonts w:ascii="宋体" w:hAnsi="宋体" w:cs="宋体" w:eastAsia="宋体" w:hint="default"/>
                <w:sz w:val="21"/>
                <w:szCs w:val="21"/>
              </w:rPr>
            </w:r>
          </w:p>
        </w:tc>
      </w:tr>
      <w:tr>
        <w:trPr>
          <w:trHeight w:val="559" w:hRule="exact"/>
        </w:trPr>
        <w:tc>
          <w:tcPr>
            <w:tcW w:w="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sz w:val="21"/>
              </w:rPr>
              <w:t>1</w:t>
            </w:r>
          </w:p>
        </w:tc>
        <w:tc>
          <w:tcPr>
            <w:tcW w:w="42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高亮度发光二极管（LED）芯片制造及其应用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产业化项目</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80,000.00</w:t>
            </w:r>
            <w:r>
              <w:rPr>
                <w:rFonts w:ascii="宋体"/>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54,912.09</w:t>
            </w:r>
            <w:r>
              <w:rPr>
                <w:rFonts w:ascii="宋体"/>
                <w:sz w:val="21"/>
              </w:rPr>
            </w:r>
          </w:p>
        </w:tc>
        <w:tc>
          <w:tcPr>
            <w:tcW w:w="14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25,087.91</w:t>
            </w:r>
            <w:r>
              <w:rPr>
                <w:rFonts w:ascii="宋体"/>
                <w:sz w:val="21"/>
              </w:rPr>
            </w:r>
          </w:p>
        </w:tc>
      </w:tr>
      <w:tr>
        <w:trPr>
          <w:trHeight w:val="560" w:hRule="exact"/>
        </w:trPr>
        <w:tc>
          <w:tcPr>
            <w:tcW w:w="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sz w:val="21"/>
              </w:rPr>
              <w:t>2</w:t>
            </w:r>
          </w:p>
        </w:tc>
        <w:tc>
          <w:tcPr>
            <w:tcW w:w="42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基于国家标准的数字电视网络系统的技术开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发、应用产业化项目</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r>
              <w:rPr>
                <w:rFonts w:ascii="宋体"/>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49,353.09</w:t>
            </w:r>
            <w:r>
              <w:rPr>
                <w:rFonts w:ascii="宋体"/>
                <w:sz w:val="21"/>
              </w:rPr>
            </w:r>
          </w:p>
        </w:tc>
        <w:tc>
          <w:tcPr>
            <w:tcW w:w="14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10,646.91</w:t>
            </w:r>
            <w:r>
              <w:rPr>
                <w:rFonts w:ascii="宋体"/>
                <w:sz w:val="21"/>
              </w:rPr>
            </w:r>
          </w:p>
        </w:tc>
      </w:tr>
      <w:tr>
        <w:trPr>
          <w:trHeight w:val="287" w:hRule="exact"/>
        </w:trPr>
        <w:tc>
          <w:tcPr>
            <w:tcW w:w="9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3</w:t>
            </w:r>
          </w:p>
        </w:tc>
        <w:tc>
          <w:tcPr>
            <w:tcW w:w="4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51,942.97</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51,942.97</w:t>
            </w:r>
          </w:p>
        </w:tc>
        <w:tc>
          <w:tcPr>
            <w:tcW w:w="141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0</w:t>
            </w:r>
          </w:p>
        </w:tc>
      </w:tr>
      <w:tr>
        <w:trPr>
          <w:trHeight w:val="357" w:hRule="exact"/>
        </w:trPr>
        <w:tc>
          <w:tcPr>
            <w:tcW w:w="5185"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7"/>
              <w:jc w:val="right"/>
              <w:rPr>
                <w:rFonts w:ascii="宋体" w:hAnsi="宋体" w:cs="宋体" w:eastAsia="宋体" w:hint="default"/>
                <w:sz w:val="21"/>
                <w:szCs w:val="21"/>
              </w:rPr>
            </w:pPr>
            <w:r>
              <w:rPr>
                <w:rFonts w:ascii="宋体"/>
                <w:spacing w:val="-1"/>
                <w:sz w:val="21"/>
              </w:rPr>
              <w:t>191,942.97</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156,208.15</w:t>
            </w:r>
          </w:p>
        </w:tc>
        <w:tc>
          <w:tcPr>
            <w:tcW w:w="141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35,734.82</w:t>
            </w:r>
          </w:p>
        </w:tc>
      </w:tr>
    </w:tbl>
    <w:p>
      <w:pPr>
        <w:spacing w:line="240" w:lineRule="auto" w:before="10"/>
        <w:rPr>
          <w:rFonts w:ascii="宋体" w:hAnsi="宋体" w:cs="宋体" w:eastAsia="宋体" w:hint="default"/>
          <w:sz w:val="18"/>
          <w:szCs w:val="18"/>
        </w:rPr>
      </w:pPr>
    </w:p>
    <w:p>
      <w:pPr>
        <w:pStyle w:val="BodyText"/>
        <w:spacing w:line="240" w:lineRule="auto" w:before="26"/>
        <w:ind w:left="238" w:right="0"/>
        <w:jc w:val="left"/>
      </w:pPr>
      <w:r>
        <w:rPr/>
        <w:t>本年度，募集资金承诺项目投资以及收益情况如下：</w:t>
      </w:r>
    </w:p>
    <w:p>
      <w:pPr>
        <w:spacing w:line="240" w:lineRule="auto" w:before="3"/>
        <w:rPr>
          <w:rFonts w:ascii="宋体" w:hAnsi="宋体" w:cs="宋体" w:eastAsia="宋体" w:hint="default"/>
          <w:sz w:val="18"/>
          <w:szCs w:val="18"/>
        </w:rPr>
      </w:pPr>
    </w:p>
    <w:p>
      <w:pPr>
        <w:spacing w:before="35"/>
        <w:ind w:left="0" w:right="862"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90"/>
        <w:gridCol w:w="1026"/>
        <w:gridCol w:w="703"/>
        <w:gridCol w:w="1027"/>
        <w:gridCol w:w="1028"/>
        <w:gridCol w:w="1098"/>
        <w:gridCol w:w="2140"/>
        <w:gridCol w:w="925"/>
      </w:tblGrid>
      <w:tr>
        <w:trPr>
          <w:trHeight w:val="742" w:hRule="exact"/>
        </w:trPr>
        <w:tc>
          <w:tcPr>
            <w:tcW w:w="209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21" w:right="119"/>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拟投入金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0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3" w:right="161"/>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027"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145" w:right="0" w:hanging="2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44" w:lineRule="auto" w:before="4"/>
              <w:ind w:left="325" w:right="143" w:hanging="180"/>
              <w:jc w:val="left"/>
              <w:rPr>
                <w:rFonts w:ascii="宋体" w:hAnsi="宋体" w:cs="宋体" w:eastAsia="宋体" w:hint="default"/>
                <w:sz w:val="18"/>
                <w:szCs w:val="18"/>
              </w:rPr>
            </w:pP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098"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180" w:right="0" w:hanging="2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44" w:lineRule="auto" w:before="4"/>
              <w:ind w:left="360" w:right="178" w:hanging="180"/>
              <w:jc w:val="left"/>
              <w:rPr>
                <w:rFonts w:ascii="宋体" w:hAnsi="宋体" w:cs="宋体" w:eastAsia="宋体" w:hint="default"/>
                <w:sz w:val="18"/>
                <w:szCs w:val="18"/>
              </w:rPr>
            </w:pP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21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是否符合计划进度</w:t>
            </w:r>
            <w:r>
              <w:rPr>
                <w:rFonts w:ascii="宋体" w:hAnsi="宋体" w:cs="宋体" w:eastAsia="宋体" w:hint="default"/>
                <w:sz w:val="18"/>
                <w:szCs w:val="18"/>
              </w:rPr>
            </w:r>
          </w:p>
        </w:tc>
        <w:tc>
          <w:tcPr>
            <w:tcW w:w="925" w:type="dxa"/>
            <w:tcBorders>
              <w:top w:val="single" w:sz="12" w:space="0" w:color="000000"/>
              <w:left w:val="single" w:sz="6" w:space="0" w:color="000000"/>
              <w:bottom w:val="single" w:sz="6" w:space="0" w:color="000000"/>
              <w:right w:val="single" w:sz="12" w:space="0" w:color="000000"/>
            </w:tcBorders>
          </w:tcPr>
          <w:p>
            <w:pPr>
              <w:pStyle w:val="TableParagraph"/>
              <w:spacing w:line="217" w:lineRule="exact"/>
              <w:ind w:left="184"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44" w:lineRule="auto" w:before="4"/>
              <w:ind w:left="274" w:right="172" w:hanging="90"/>
              <w:jc w:val="left"/>
              <w:rPr>
                <w:rFonts w:ascii="宋体" w:hAnsi="宋体" w:cs="宋体" w:eastAsia="宋体" w:hint="default"/>
                <w:sz w:val="18"/>
                <w:szCs w:val="18"/>
              </w:rPr>
            </w:pPr>
            <w:r>
              <w:rPr>
                <w:rFonts w:ascii="宋体" w:hAnsi="宋体" w:cs="宋体" w:eastAsia="宋体" w:hint="default"/>
                <w:b/>
                <w:bCs/>
                <w:sz w:val="18"/>
                <w:szCs w:val="18"/>
              </w:rPr>
              <w:t>合预计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734" w:hRule="exact"/>
        </w:trPr>
        <w:tc>
          <w:tcPr>
            <w:tcW w:w="209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35"/>
              <w:jc w:val="both"/>
              <w:rPr>
                <w:rFonts w:ascii="宋体" w:hAnsi="宋体" w:cs="宋体" w:eastAsia="宋体" w:hint="default"/>
                <w:sz w:val="18"/>
                <w:szCs w:val="18"/>
              </w:rPr>
            </w:pPr>
            <w:r>
              <w:rPr>
                <w:rFonts w:ascii="宋体" w:hAnsi="宋体" w:cs="宋体" w:eastAsia="宋体" w:hint="default"/>
                <w:spacing w:val="41"/>
                <w:sz w:val="18"/>
                <w:szCs w:val="18"/>
              </w:rPr>
              <w:t>高亮度</w:t>
            </w:r>
            <w:r>
              <w:rPr>
                <w:rFonts w:ascii="宋体" w:hAnsi="宋体" w:cs="宋体" w:eastAsia="宋体" w:hint="default"/>
                <w:spacing w:val="-29"/>
                <w:sz w:val="18"/>
                <w:szCs w:val="18"/>
              </w:rPr>
              <w:t> </w:t>
            </w:r>
            <w:r>
              <w:rPr>
                <w:rFonts w:ascii="宋体" w:hAnsi="宋体" w:cs="宋体" w:eastAsia="宋体" w:hint="default"/>
                <w:spacing w:val="31"/>
                <w:sz w:val="18"/>
                <w:szCs w:val="18"/>
              </w:rPr>
              <w:t>发光</w:t>
            </w:r>
            <w:r>
              <w:rPr>
                <w:rFonts w:ascii="宋体" w:hAnsi="宋体" w:cs="宋体" w:eastAsia="宋体" w:hint="default"/>
                <w:spacing w:val="-29"/>
                <w:sz w:val="18"/>
                <w:szCs w:val="18"/>
              </w:rPr>
              <w:t> </w:t>
            </w:r>
            <w:r>
              <w:rPr>
                <w:rFonts w:ascii="宋体" w:hAnsi="宋体" w:cs="宋体" w:eastAsia="宋体" w:hint="default"/>
                <w:spacing w:val="41"/>
                <w:sz w:val="18"/>
                <w:szCs w:val="18"/>
              </w:rPr>
              <w:t>二极管</w:t>
            </w:r>
            <w:r>
              <w:rPr>
                <w:rFonts w:ascii="宋体" w:hAnsi="宋体" w:cs="宋体" w:eastAsia="宋体" w:hint="default"/>
                <w:spacing w:val="-28"/>
                <w:sz w:val="18"/>
                <w:szCs w:val="18"/>
              </w:rPr>
              <w:t> </w:t>
            </w:r>
            <w:r>
              <w:rPr>
                <w:rFonts w:ascii="宋体" w:hAnsi="宋体" w:cs="宋体" w:eastAsia="宋体" w:hint="default"/>
                <w:sz w:val="18"/>
                <w:szCs w:val="18"/>
              </w:rPr>
              <w:t>(LED)</w:t>
            </w:r>
            <w:r>
              <w:rPr>
                <w:rFonts w:ascii="宋体" w:hAnsi="宋体" w:cs="宋体" w:eastAsia="宋体" w:hint="default"/>
                <w:spacing w:val="-68"/>
                <w:sz w:val="18"/>
                <w:szCs w:val="18"/>
              </w:rPr>
              <w:t> </w:t>
            </w:r>
            <w:r>
              <w:rPr>
                <w:rFonts w:ascii="宋体" w:hAnsi="宋体" w:cs="宋体" w:eastAsia="宋体" w:hint="default"/>
                <w:sz w:val="18"/>
                <w:szCs w:val="18"/>
              </w:rPr>
              <w:t>芯</w:t>
            </w:r>
            <w:r>
              <w:rPr>
                <w:rFonts w:ascii="宋体" w:hAnsi="宋体" w:cs="宋体" w:eastAsia="宋体" w:hint="default"/>
                <w:spacing w:val="-68"/>
                <w:sz w:val="18"/>
                <w:szCs w:val="18"/>
              </w:rPr>
              <w:t> </w:t>
            </w:r>
            <w:r>
              <w:rPr>
                <w:rFonts w:ascii="宋体" w:hAnsi="宋体" w:cs="宋体" w:eastAsia="宋体" w:hint="default"/>
                <w:sz w:val="18"/>
                <w:szCs w:val="18"/>
              </w:rPr>
              <w:t>片</w:t>
            </w:r>
            <w:r>
              <w:rPr>
                <w:rFonts w:ascii="宋体" w:hAnsi="宋体" w:cs="宋体" w:eastAsia="宋体" w:hint="default"/>
                <w:spacing w:val="-67"/>
                <w:sz w:val="18"/>
                <w:szCs w:val="18"/>
              </w:rPr>
              <w:t> </w:t>
            </w:r>
            <w:r>
              <w:rPr>
                <w:rFonts w:ascii="宋体" w:hAnsi="宋体" w:cs="宋体" w:eastAsia="宋体" w:hint="default"/>
                <w:sz w:val="18"/>
                <w:szCs w:val="18"/>
              </w:rPr>
              <w:t>制</w:t>
            </w:r>
            <w:r>
              <w:rPr>
                <w:rFonts w:ascii="宋体" w:hAnsi="宋体" w:cs="宋体" w:eastAsia="宋体" w:hint="default"/>
                <w:spacing w:val="-67"/>
                <w:sz w:val="18"/>
                <w:szCs w:val="18"/>
              </w:rPr>
              <w:t> </w:t>
            </w:r>
            <w:r>
              <w:rPr>
                <w:rFonts w:ascii="宋体" w:hAnsi="宋体" w:cs="宋体" w:eastAsia="宋体" w:hint="default"/>
                <w:spacing w:val="16"/>
                <w:sz w:val="18"/>
                <w:szCs w:val="18"/>
              </w:rPr>
              <w:t>造及其应</w:t>
            </w:r>
            <w:r>
              <w:rPr>
                <w:rFonts w:ascii="宋体" w:hAnsi="宋体" w:cs="宋体" w:eastAsia="宋体" w:hint="default"/>
                <w:spacing w:val="-68"/>
                <w:sz w:val="18"/>
                <w:szCs w:val="18"/>
              </w:rPr>
              <w:t> </w:t>
            </w:r>
            <w:r>
              <w:rPr>
                <w:rFonts w:ascii="宋体" w:hAnsi="宋体" w:cs="宋体" w:eastAsia="宋体" w:hint="default"/>
                <w:sz w:val="18"/>
                <w:szCs w:val="18"/>
              </w:rPr>
              <w:t>用产业化项目</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17,938.04</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28,265.00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-1,163.46</w:t>
            </w:r>
          </w:p>
        </w:tc>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6"/>
              <w:jc w:val="both"/>
              <w:rPr>
                <w:rFonts w:ascii="宋体" w:hAnsi="宋体" w:cs="宋体" w:eastAsia="宋体" w:hint="default"/>
                <w:sz w:val="18"/>
                <w:szCs w:val="18"/>
              </w:rPr>
            </w:pPr>
            <w:r>
              <w:rPr>
                <w:rFonts w:ascii="宋体" w:hAnsi="宋体" w:cs="宋体" w:eastAsia="宋体" w:hint="default"/>
                <w:spacing w:val="13"/>
                <w:sz w:val="18"/>
                <w:szCs w:val="18"/>
              </w:rPr>
              <w:t>因受到北京奥运会期间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施工限制的影响，该项目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投入进度整体推迟。</w:t>
            </w:r>
          </w:p>
        </w:tc>
        <w:tc>
          <w:tcPr>
            <w:tcW w:w="9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2090" w:type="dxa"/>
            <w:tcBorders>
              <w:top w:val="single" w:sz="6" w:space="0" w:color="000000"/>
              <w:left w:val="single" w:sz="12"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703"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1028" w:type="dxa"/>
            <w:tcBorders>
              <w:top w:val="single" w:sz="6" w:space="0" w:color="000000"/>
              <w:left w:val="single" w:sz="6" w:space="0" w:color="000000"/>
              <w:bottom w:val="nil" w:sz="6" w:space="0" w:color="auto"/>
              <w:right w:val="single" w:sz="6" w:space="0" w:color="000000"/>
            </w:tcBorders>
          </w:tcPr>
          <w:p>
            <w:pPr/>
          </w:p>
        </w:tc>
        <w:tc>
          <w:tcPr>
            <w:tcW w:w="1098" w:type="dxa"/>
            <w:tcBorders>
              <w:top w:val="single" w:sz="6" w:space="0" w:color="000000"/>
              <w:left w:val="single" w:sz="6" w:space="0" w:color="000000"/>
              <w:bottom w:val="nil" w:sz="6" w:space="0" w:color="auto"/>
              <w:right w:val="single" w:sz="6" w:space="0" w:color="000000"/>
            </w:tcBorders>
          </w:tcPr>
          <w:p>
            <w:pPr/>
          </w:p>
        </w:tc>
        <w:tc>
          <w:tcPr>
            <w:tcW w:w="2140" w:type="dxa"/>
            <w:tcBorders>
              <w:top w:val="single" w:sz="6" w:space="0" w:color="000000"/>
              <w:left w:val="single" w:sz="6" w:space="0" w:color="000000"/>
              <w:bottom w:val="nil" w:sz="6" w:space="0" w:color="auto"/>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该项目固定资产投资部</w:t>
            </w:r>
            <w:r>
              <w:rPr>
                <w:rFonts w:ascii="宋体" w:hAnsi="宋体" w:cs="宋体" w:eastAsia="宋体" w:hint="default"/>
                <w:sz w:val="18"/>
                <w:szCs w:val="18"/>
              </w:rPr>
            </w:r>
          </w:p>
        </w:tc>
        <w:tc>
          <w:tcPr>
            <w:tcW w:w="925"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09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7"/>
                <w:sz w:val="18"/>
                <w:szCs w:val="18"/>
              </w:rPr>
              <w:t>基于国家标准的数字电</w:t>
            </w:r>
            <w:r>
              <w:rPr>
                <w:rFonts w:ascii="宋体" w:hAnsi="宋体" w:cs="宋体" w:eastAsia="宋体" w:hint="default"/>
                <w:sz w:val="18"/>
                <w:szCs w:val="18"/>
              </w:rPr>
            </w:r>
          </w:p>
        </w:tc>
        <w:tc>
          <w:tcPr>
            <w:tcW w:w="1026" w:type="dxa"/>
            <w:tcBorders>
              <w:top w:val="nil" w:sz="6" w:space="0" w:color="auto"/>
              <w:left w:val="single" w:sz="6" w:space="0" w:color="000000"/>
              <w:bottom w:val="nil" w:sz="6" w:space="0" w:color="auto"/>
              <w:right w:val="single" w:sz="6" w:space="0" w:color="000000"/>
            </w:tcBorders>
          </w:tcPr>
          <w:p>
            <w:pPr/>
          </w:p>
        </w:tc>
        <w:tc>
          <w:tcPr>
            <w:tcW w:w="703"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1028" w:type="dxa"/>
            <w:tcBorders>
              <w:top w:val="nil" w:sz="6" w:space="0" w:color="auto"/>
              <w:left w:val="single" w:sz="6" w:space="0" w:color="000000"/>
              <w:bottom w:val="nil" w:sz="6" w:space="0" w:color="auto"/>
              <w:right w:val="single" w:sz="6" w:space="0" w:color="000000"/>
            </w:tcBorders>
          </w:tcPr>
          <w:p>
            <w:pPr/>
          </w:p>
        </w:tc>
        <w:tc>
          <w:tcPr>
            <w:tcW w:w="1098" w:type="dxa"/>
            <w:tcBorders>
              <w:top w:val="nil" w:sz="6" w:space="0" w:color="auto"/>
              <w:left w:val="single" w:sz="6" w:space="0" w:color="000000"/>
              <w:bottom w:val="nil" w:sz="6" w:space="0" w:color="auto"/>
              <w:right w:val="single" w:sz="6" w:space="0" w:color="000000"/>
            </w:tcBorders>
          </w:tcPr>
          <w:p>
            <w:pPr/>
          </w:p>
        </w:tc>
        <w:tc>
          <w:tcPr>
            <w:tcW w:w="21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分主体部分施工完成，开</w:t>
            </w:r>
          </w:p>
        </w:tc>
        <w:tc>
          <w:tcPr>
            <w:tcW w:w="925" w:type="dxa"/>
            <w:tcBorders>
              <w:top w:val="nil" w:sz="6" w:space="0" w:color="auto"/>
              <w:left w:val="single" w:sz="6" w:space="0" w:color="000000"/>
              <w:bottom w:val="nil" w:sz="6" w:space="0" w:color="auto"/>
              <w:right w:val="single" w:sz="12" w:space="0" w:color="000000"/>
            </w:tcBorders>
          </w:tcPr>
          <w:p>
            <w:pPr/>
          </w:p>
        </w:tc>
      </w:tr>
      <w:tr>
        <w:trPr>
          <w:trHeight w:val="240" w:hRule="exact"/>
        </w:trPr>
        <w:tc>
          <w:tcPr>
            <w:tcW w:w="209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23"/>
                <w:sz w:val="18"/>
                <w:szCs w:val="18"/>
              </w:rPr>
              <w:t>视网络系</w:t>
            </w:r>
            <w:r>
              <w:rPr>
                <w:rFonts w:ascii="宋体" w:hAnsi="宋体" w:cs="宋体" w:eastAsia="宋体" w:hint="default"/>
                <w:spacing w:val="-57"/>
                <w:sz w:val="18"/>
                <w:szCs w:val="18"/>
              </w:rPr>
              <w:t> </w:t>
            </w:r>
            <w:r>
              <w:rPr>
                <w:rFonts w:ascii="宋体" w:hAnsi="宋体" w:cs="宋体" w:eastAsia="宋体" w:hint="default"/>
                <w:sz w:val="18"/>
                <w:szCs w:val="18"/>
              </w:rPr>
              <w:t>统</w:t>
            </w:r>
            <w:r>
              <w:rPr>
                <w:rFonts w:ascii="宋体" w:hAnsi="宋体" w:cs="宋体" w:eastAsia="宋体" w:hint="default"/>
                <w:spacing w:val="-57"/>
                <w:sz w:val="18"/>
                <w:szCs w:val="18"/>
              </w:rPr>
              <w:t> </w:t>
            </w:r>
            <w:r>
              <w:rPr>
                <w:rFonts w:ascii="宋体" w:hAnsi="宋体" w:cs="宋体" w:eastAsia="宋体" w:hint="default"/>
                <w:spacing w:val="23"/>
                <w:sz w:val="18"/>
                <w:szCs w:val="18"/>
              </w:rPr>
              <w:t>的技术开</w:t>
            </w:r>
            <w:r>
              <w:rPr>
                <w:rFonts w:ascii="宋体" w:hAnsi="宋体" w:cs="宋体" w:eastAsia="宋体" w:hint="default"/>
                <w:spacing w:val="-59"/>
                <w:sz w:val="18"/>
                <w:szCs w:val="18"/>
              </w:rPr>
              <w:t> </w:t>
            </w:r>
            <w:r>
              <w:rPr>
                <w:rFonts w:ascii="宋体" w:hAnsi="宋体" w:cs="宋体" w:eastAsia="宋体" w:hint="default"/>
                <w:sz w:val="18"/>
                <w:szCs w:val="18"/>
              </w:rPr>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w:t>
            </w:r>
          </w:p>
        </w:tc>
        <w:tc>
          <w:tcPr>
            <w:tcW w:w="703"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 w:right="0"/>
              <w:jc w:val="center"/>
              <w:rPr>
                <w:rFonts w:ascii="宋体" w:hAnsi="宋体" w:cs="宋体" w:eastAsia="宋体" w:hint="default"/>
                <w:sz w:val="18"/>
                <w:szCs w:val="18"/>
              </w:rPr>
            </w:pPr>
            <w:r>
              <w:rPr>
                <w:rFonts w:ascii="宋体"/>
                <w:sz w:val="18"/>
              </w:rPr>
              <w:t>11,465.43</w:t>
            </w:r>
          </w:p>
        </w:tc>
        <w:tc>
          <w:tcPr>
            <w:tcW w:w="102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2,442.00</w:t>
            </w:r>
          </w:p>
        </w:tc>
        <w:tc>
          <w:tcPr>
            <w:tcW w:w="109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72" w:right="0"/>
              <w:jc w:val="center"/>
              <w:rPr>
                <w:rFonts w:ascii="宋体" w:hAnsi="宋体" w:cs="宋体" w:eastAsia="宋体" w:hint="default"/>
                <w:sz w:val="18"/>
                <w:szCs w:val="18"/>
              </w:rPr>
            </w:pPr>
            <w:r>
              <w:rPr>
                <w:rFonts w:ascii="宋体"/>
                <w:sz w:val="18"/>
              </w:rPr>
              <w:t>31,286.16</w:t>
            </w:r>
          </w:p>
        </w:tc>
        <w:tc>
          <w:tcPr>
            <w:tcW w:w="21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始内部装修，但因工程结</w:t>
            </w:r>
          </w:p>
        </w:tc>
        <w:tc>
          <w:tcPr>
            <w:tcW w:w="925"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209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发、应用产业化项目</w:t>
            </w:r>
          </w:p>
        </w:tc>
        <w:tc>
          <w:tcPr>
            <w:tcW w:w="1026" w:type="dxa"/>
            <w:tcBorders>
              <w:top w:val="nil" w:sz="6" w:space="0" w:color="auto"/>
              <w:left w:val="single" w:sz="6" w:space="0" w:color="000000"/>
              <w:bottom w:val="nil" w:sz="6" w:space="0" w:color="auto"/>
              <w:right w:val="single" w:sz="6" w:space="0" w:color="000000"/>
            </w:tcBorders>
          </w:tcPr>
          <w:p>
            <w:pPr/>
          </w:p>
        </w:tc>
        <w:tc>
          <w:tcPr>
            <w:tcW w:w="703"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1028" w:type="dxa"/>
            <w:tcBorders>
              <w:top w:val="nil" w:sz="6" w:space="0" w:color="auto"/>
              <w:left w:val="single" w:sz="6" w:space="0" w:color="000000"/>
              <w:bottom w:val="nil" w:sz="6" w:space="0" w:color="auto"/>
              <w:right w:val="single" w:sz="6" w:space="0" w:color="000000"/>
            </w:tcBorders>
          </w:tcPr>
          <w:p>
            <w:pPr/>
          </w:p>
        </w:tc>
        <w:tc>
          <w:tcPr>
            <w:tcW w:w="1098" w:type="dxa"/>
            <w:tcBorders>
              <w:top w:val="nil" w:sz="6" w:space="0" w:color="auto"/>
              <w:left w:val="single" w:sz="6" w:space="0" w:color="000000"/>
              <w:bottom w:val="nil" w:sz="6" w:space="0" w:color="auto"/>
              <w:right w:val="single" w:sz="6" w:space="0" w:color="000000"/>
            </w:tcBorders>
          </w:tcPr>
          <w:p>
            <w:pPr/>
          </w:p>
        </w:tc>
        <w:tc>
          <w:tcPr>
            <w:tcW w:w="21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算支付方式问题，尚未实</w:t>
            </w:r>
          </w:p>
        </w:tc>
        <w:tc>
          <w:tcPr>
            <w:tcW w:w="925" w:type="dxa"/>
            <w:tcBorders>
              <w:top w:val="nil" w:sz="6" w:space="0" w:color="auto"/>
              <w:left w:val="single" w:sz="6" w:space="0" w:color="000000"/>
              <w:bottom w:val="nil" w:sz="6" w:space="0" w:color="auto"/>
              <w:right w:val="single" w:sz="12" w:space="0" w:color="000000"/>
            </w:tcBorders>
          </w:tcPr>
          <w:p>
            <w:pPr/>
          </w:p>
        </w:tc>
      </w:tr>
      <w:tr>
        <w:trPr>
          <w:trHeight w:val="240" w:hRule="exact"/>
        </w:trPr>
        <w:tc>
          <w:tcPr>
            <w:tcW w:w="2090" w:type="dxa"/>
            <w:tcBorders>
              <w:top w:val="nil" w:sz="6" w:space="0" w:color="auto"/>
              <w:left w:val="single" w:sz="12"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703"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1028" w:type="dxa"/>
            <w:tcBorders>
              <w:top w:val="nil" w:sz="6" w:space="0" w:color="auto"/>
              <w:left w:val="single" w:sz="6" w:space="0" w:color="000000"/>
              <w:bottom w:val="single" w:sz="6" w:space="0" w:color="000000"/>
              <w:right w:val="single" w:sz="6" w:space="0" w:color="000000"/>
            </w:tcBorders>
          </w:tcPr>
          <w:p>
            <w:pPr/>
          </w:p>
        </w:tc>
        <w:tc>
          <w:tcPr>
            <w:tcW w:w="1098" w:type="dxa"/>
            <w:tcBorders>
              <w:top w:val="nil" w:sz="6" w:space="0" w:color="auto"/>
              <w:left w:val="single" w:sz="6" w:space="0" w:color="000000"/>
              <w:bottom w:val="single" w:sz="6" w:space="0" w:color="000000"/>
              <w:right w:val="single" w:sz="6" w:space="0" w:color="000000"/>
            </w:tcBorders>
          </w:tcPr>
          <w:p>
            <w:pPr/>
          </w:p>
        </w:tc>
        <w:tc>
          <w:tcPr>
            <w:tcW w:w="2140"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际支付。</w:t>
            </w:r>
          </w:p>
        </w:tc>
        <w:tc>
          <w:tcPr>
            <w:tcW w:w="925" w:type="dxa"/>
            <w:tcBorders>
              <w:top w:val="nil" w:sz="6" w:space="0" w:color="auto"/>
              <w:left w:val="single" w:sz="6" w:space="0" w:color="000000"/>
              <w:bottom w:val="single" w:sz="6" w:space="0" w:color="000000"/>
              <w:right w:val="single" w:sz="12" w:space="0" w:color="000000"/>
            </w:tcBorders>
          </w:tcPr>
          <w:p>
            <w:pPr/>
          </w:p>
        </w:tc>
      </w:tr>
      <w:tr>
        <w:trPr>
          <w:trHeight w:val="322" w:hRule="exact"/>
        </w:trPr>
        <w:tc>
          <w:tcPr>
            <w:tcW w:w="20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0</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29,403.47</w:t>
            </w:r>
          </w:p>
        </w:tc>
        <w:tc>
          <w:tcPr>
            <w:tcW w:w="1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30,707.00</w:t>
            </w:r>
          </w:p>
        </w:tc>
        <w:tc>
          <w:tcPr>
            <w:tcW w:w="10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72" w:right="0"/>
              <w:jc w:val="center"/>
              <w:rPr>
                <w:rFonts w:ascii="宋体" w:hAnsi="宋体" w:cs="宋体" w:eastAsia="宋体" w:hint="default"/>
                <w:sz w:val="18"/>
                <w:szCs w:val="18"/>
              </w:rPr>
            </w:pPr>
            <w:r>
              <w:rPr>
                <w:rFonts w:ascii="宋体"/>
                <w:sz w:val="18"/>
              </w:rPr>
              <w:t>30,122.70</w:t>
            </w:r>
          </w:p>
        </w:tc>
        <w:tc>
          <w:tcPr>
            <w:tcW w:w="2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w:t>
            </w:r>
          </w:p>
        </w:tc>
        <w:tc>
          <w:tcPr>
            <w:tcW w:w="9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8"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8"/>
          <w:szCs w:val="18"/>
        </w:rPr>
      </w:pPr>
    </w:p>
    <w:p>
      <w:pPr>
        <w:pStyle w:val="Heading3"/>
        <w:spacing w:line="240" w:lineRule="auto" w:before="26"/>
        <w:ind w:left="238" w:right="0"/>
        <w:jc w:val="both"/>
        <w:rPr>
          <w:b w:val="0"/>
          <w:bCs w:val="0"/>
        </w:rPr>
      </w:pPr>
      <w:r>
        <w:rPr/>
        <w:t>(1)投资</w:t>
      </w:r>
      <w:r>
        <w:rPr>
          <w:spacing w:val="-68"/>
        </w:rPr>
        <w:t> </w:t>
      </w:r>
      <w:r>
        <w:rPr/>
        <w:t>8</w:t>
      </w:r>
      <w:r>
        <w:rPr>
          <w:spacing w:val="-70"/>
        </w:rPr>
        <w:t> </w:t>
      </w:r>
      <w:r>
        <w:rPr/>
        <w:t>亿元用于高亮度发光二极管(LED)芯片制造及其应用产业化项目</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left="238" w:right="860"/>
        <w:jc w:val="both"/>
      </w:pPr>
      <w:r>
        <w:rPr/>
        <w:t>本项目拟投资</w:t>
      </w:r>
      <w:r>
        <w:rPr>
          <w:spacing w:val="-54"/>
        </w:rPr>
        <w:t> </w:t>
      </w:r>
      <w:r>
        <w:rPr/>
        <w:t>8.0</w:t>
      </w:r>
      <w:r>
        <w:rPr>
          <w:spacing w:val="-54"/>
        </w:rPr>
        <w:t> </w:t>
      </w:r>
      <w:r>
        <w:rPr>
          <w:spacing w:val="-3"/>
        </w:rPr>
        <w:t>亿元，用于高亮度半导体发光二极管(LED)芯片的扩大生产以及高亮度</w:t>
      </w:r>
      <w:r>
        <w:rPr>
          <w:spacing w:val="-114"/>
        </w:rPr>
        <w:t> </w:t>
      </w:r>
      <w:r>
        <w:rPr>
          <w:spacing w:val="-114"/>
        </w:rPr>
      </w:r>
      <w:r>
        <w:rPr/>
        <w:t>LED</w:t>
      </w:r>
      <w:r>
        <w:rPr>
          <w:spacing w:val="-51"/>
        </w:rPr>
        <w:t> </w:t>
      </w:r>
      <w:r>
        <w:rPr>
          <w:spacing w:val="-3"/>
        </w:rPr>
        <w:t>照明产品在特种景观照明的规模化应用。项目依托公司已经开发、研究和掌握的高亮</w:t>
      </w:r>
      <w:r>
        <w:rPr/>
        <w:t> 度半导体</w:t>
      </w:r>
      <w:r>
        <w:rPr>
          <w:spacing w:val="-47"/>
        </w:rPr>
        <w:t> </w:t>
      </w:r>
      <w:r>
        <w:rPr/>
        <w:t>LED</w:t>
      </w:r>
      <w:r>
        <w:rPr>
          <w:spacing w:val="-47"/>
        </w:rPr>
        <w:t> </w:t>
      </w:r>
      <w:r>
        <w:rPr/>
        <w:t>芯片产业化关键技术，投资建设发光效率超过</w:t>
      </w:r>
      <w:r>
        <w:rPr>
          <w:spacing w:val="-47"/>
        </w:rPr>
        <w:t> </w:t>
      </w:r>
      <w:r>
        <w:rPr/>
        <w:t>60 lm/w</w:t>
      </w:r>
      <w:r>
        <w:rPr>
          <w:spacing w:val="-47"/>
        </w:rPr>
        <w:t> </w:t>
      </w:r>
      <w:r>
        <w:rPr/>
        <w:t>的半导体</w:t>
      </w:r>
      <w:r>
        <w:rPr>
          <w:spacing w:val="-47"/>
        </w:rPr>
        <w:t> </w:t>
      </w:r>
      <w:r>
        <w:rPr/>
        <w:t>LED</w:t>
      </w:r>
      <w:r>
        <w:rPr>
          <w:spacing w:val="-47"/>
        </w:rPr>
        <w:t> </w:t>
      </w:r>
      <w:r>
        <w:rPr/>
        <w:t>芯片</w:t>
      </w:r>
      <w:r>
        <w:rPr/>
        <w:t> 生产线，规模化生产高亮度蓝、绿光</w:t>
      </w:r>
      <w:r>
        <w:rPr>
          <w:spacing w:val="-67"/>
        </w:rPr>
        <w:t> </w:t>
      </w:r>
      <w:r>
        <w:rPr/>
        <w:t>LED</w:t>
      </w:r>
      <w:r>
        <w:rPr>
          <w:spacing w:val="-67"/>
        </w:rPr>
        <w:t> </w:t>
      </w:r>
      <w:r>
        <w:rPr/>
        <w:t>芯片，形成年产</w:t>
      </w:r>
      <w:r>
        <w:rPr>
          <w:spacing w:val="-67"/>
        </w:rPr>
        <w:t> </w:t>
      </w:r>
      <w:r>
        <w:rPr/>
        <w:t>36</w:t>
      </w:r>
      <w:r>
        <w:rPr>
          <w:spacing w:val="-67"/>
        </w:rPr>
        <w:t> </w:t>
      </w:r>
      <w:r>
        <w:rPr/>
        <w:t>亿粒高亮度</w:t>
      </w:r>
      <w:r>
        <w:rPr>
          <w:spacing w:val="-67"/>
        </w:rPr>
        <w:t> </w:t>
      </w:r>
      <w:r>
        <w:rPr/>
        <w:t>LED</w:t>
      </w:r>
      <w:r>
        <w:rPr>
          <w:spacing w:val="-67"/>
        </w:rPr>
        <w:t> </w:t>
      </w:r>
      <w:r>
        <w:rPr/>
        <w:t>芯片的生产</w:t>
      </w:r>
      <w:r>
        <w:rPr/>
        <w:t> 能力；公司并以此为基础，研制与开发高亮度 LED</w:t>
      </w:r>
      <w:r>
        <w:rPr>
          <w:spacing w:val="-70"/>
        </w:rPr>
        <w:t> </w:t>
      </w:r>
      <w:r>
        <w:rPr/>
        <w:t>照明产品在园林景观、建筑景观等特</w:t>
      </w:r>
      <w:r>
        <w:rPr>
          <w:spacing w:val="-1"/>
        </w:rPr>
        <w:t> </w:t>
      </w:r>
      <w:r>
        <w:rPr/>
        <w:t>种景观照明工程中的规模化应用。</w:t>
      </w:r>
    </w:p>
    <w:p>
      <w:pPr>
        <w:spacing w:line="240" w:lineRule="auto" w:before="10"/>
        <w:rPr>
          <w:rFonts w:ascii="宋体" w:hAnsi="宋体" w:cs="宋体" w:eastAsia="宋体" w:hint="default"/>
          <w:sz w:val="23"/>
          <w:szCs w:val="23"/>
        </w:rPr>
      </w:pPr>
    </w:p>
    <w:p>
      <w:pPr>
        <w:pStyle w:val="BodyText"/>
        <w:spacing w:line="237" w:lineRule="auto"/>
        <w:ind w:left="238" w:right="860"/>
        <w:jc w:val="both"/>
      </w:pPr>
      <w:r>
        <w:rPr/>
        <w:t>因受到北京奥运会期间施工限制的影响，该项目整体投入进度推迟。本报告期内，公司</w:t>
      </w:r>
      <w:r>
        <w:rPr>
          <w:spacing w:val="-47"/>
        </w:rPr>
        <w:t> </w:t>
      </w:r>
      <w:r>
        <w:rPr>
          <w:spacing w:val="-47"/>
        </w:rPr>
      </w:r>
      <w:r>
        <w:rPr/>
        <w:t>在北京的一期生产基地已经完成建设，达到六条</w:t>
      </w:r>
      <w:r>
        <w:rPr>
          <w:spacing w:val="-64"/>
        </w:rPr>
        <w:t> </w:t>
      </w:r>
      <w:r>
        <w:rPr/>
        <w:t>MOCVD</w:t>
      </w:r>
      <w:r>
        <w:rPr>
          <w:spacing w:val="-64"/>
        </w:rPr>
        <w:t> </w:t>
      </w:r>
      <w:r>
        <w:rPr>
          <w:spacing w:val="-4"/>
        </w:rPr>
        <w:t>生产线、年产</w:t>
      </w:r>
      <w:r>
        <w:rPr>
          <w:spacing w:val="-64"/>
        </w:rPr>
        <w:t> </w:t>
      </w:r>
      <w:r>
        <w:rPr/>
        <w:t>20</w:t>
      </w:r>
      <w:r>
        <w:rPr>
          <w:spacing w:val="-64"/>
        </w:rPr>
        <w:t> </w:t>
      </w:r>
      <w:r>
        <w:rPr/>
        <w:t>万片外延片的生</w:t>
      </w:r>
      <w:r>
        <w:rPr/>
        <w:t> 产能力，实现了产品的批量供货。在南通的生产基地已经完成二栋半导体厂房、一栋电</w:t>
      </w:r>
      <w:r>
        <w:rPr>
          <w:spacing w:val="-47"/>
        </w:rPr>
        <w:t> </w:t>
      </w:r>
      <w:r>
        <w:rPr>
          <w:spacing w:val="-47"/>
        </w:rPr>
      </w:r>
      <w:r>
        <w:rPr/>
        <w:t>子厂房的主体建设，正在实施内部洁净车间的装修，LED</w:t>
      </w:r>
      <w:r>
        <w:rPr>
          <w:spacing w:val="22"/>
        </w:rPr>
        <w:t> </w:t>
      </w:r>
      <w:r>
        <w:rPr/>
        <w:t>外延生产线的核心设备</w:t>
      </w:r>
      <w:r>
        <w:rPr>
          <w:spacing w:val="22"/>
        </w:rPr>
        <w:t> </w:t>
      </w:r>
      <w:r>
        <w:rPr/>
        <w:t>48</w:t>
      </w:r>
      <w:r>
        <w:rPr>
          <w:spacing w:val="20"/>
        </w:rPr>
        <w:t> </w:t>
      </w:r>
      <w:r>
        <w:rPr/>
        <w:t>台</w:t>
      </w:r>
      <w:r>
        <w:rPr>
          <w:spacing w:val="-117"/>
        </w:rPr>
        <w:t> </w:t>
      </w:r>
      <w:r>
        <w:rPr>
          <w:spacing w:val="-117"/>
        </w:rPr>
      </w:r>
      <w:r>
        <w:rPr/>
        <w:t>MOCVD</w:t>
      </w:r>
      <w:r>
        <w:rPr>
          <w:spacing w:val="-40"/>
        </w:rPr>
        <w:t> </w:t>
      </w:r>
      <w:r>
        <w:rPr/>
        <w:t>已经开始采购；高亮度发光二极管(LED)芯片应用部分涉及的固定资产投资部分主</w:t>
      </w:r>
      <w:r>
        <w:rPr/>
        <w:t> 体部分施工完成，开始内部装修。本报告期对该项目共投资 17,938.04</w:t>
      </w:r>
      <w:r>
        <w:rPr>
          <w:spacing w:val="-40"/>
        </w:rPr>
        <w:t> </w:t>
      </w:r>
      <w:r>
        <w:rPr/>
        <w:t>万元，实现项目</w:t>
      </w:r>
      <w:r>
        <w:rPr/>
        <w:t> 收益-1,163.46</w:t>
      </w:r>
      <w:r>
        <w:rPr>
          <w:spacing w:val="-60"/>
        </w:rPr>
        <w:t> </w:t>
      </w:r>
      <w:r>
        <w:rPr/>
        <w:t>万元，项目收益低于预期系投资进度延后导致。</w:t>
      </w:r>
    </w:p>
    <w:p>
      <w:pPr>
        <w:spacing w:line="240" w:lineRule="auto" w:before="10"/>
        <w:rPr>
          <w:rFonts w:ascii="宋体" w:hAnsi="宋体" w:cs="宋体" w:eastAsia="宋体" w:hint="default"/>
          <w:sz w:val="23"/>
          <w:szCs w:val="23"/>
        </w:rPr>
      </w:pPr>
    </w:p>
    <w:p>
      <w:pPr>
        <w:pStyle w:val="BodyText"/>
        <w:spacing w:line="237" w:lineRule="auto"/>
        <w:ind w:left="238" w:right="862"/>
        <w:jc w:val="both"/>
      </w:pPr>
      <w:r>
        <w:rPr>
          <w:spacing w:val="12"/>
        </w:rPr>
        <w:t>2010年</w:t>
      </w:r>
      <w:r>
        <w:rPr>
          <w:spacing w:val="-48"/>
        </w:rPr>
        <w:t> </w:t>
      </w:r>
      <w:r>
        <w:rPr>
          <w:spacing w:val="30"/>
        </w:rPr>
        <w:t>11月7</w:t>
      </w:r>
      <w:r>
        <w:rPr>
          <w:spacing w:val="-48"/>
        </w:rPr>
        <w:t> </w:t>
      </w:r>
      <w:r>
        <w:rPr>
          <w:spacing w:val="-4"/>
        </w:rPr>
        <w:t>日，经公司第五届董事会第九次会议审议批准，为进一步加快高亮度发光</w:t>
      </w:r>
      <w:r>
        <w:rPr>
          <w:spacing w:val="-118"/>
        </w:rPr>
        <w:t> </w:t>
      </w:r>
      <w:r>
        <w:rPr>
          <w:spacing w:val="-118"/>
        </w:rPr>
      </w:r>
      <w:r>
        <w:rPr>
          <w:spacing w:val="-3"/>
        </w:rPr>
        <w:t>二极管(LED)芯片制造及其应用产业化项目募集资金的使用，全面推动公司在</w:t>
      </w:r>
      <w:r>
        <w:rPr>
          <w:spacing w:val="-51"/>
        </w:rPr>
        <w:t> </w:t>
      </w:r>
      <w:r>
        <w:rPr/>
        <w:t>LED</w:t>
      </w:r>
      <w:r>
        <w:rPr>
          <w:spacing w:val="-51"/>
        </w:rPr>
        <w:t> </w:t>
      </w:r>
      <w:r>
        <w:rPr/>
        <w:t>产业的</w:t>
      </w:r>
      <w:r>
        <w:rPr>
          <w:spacing w:val="-112"/>
        </w:rPr>
        <w:t> </w:t>
      </w:r>
      <w:r>
        <w:rPr>
          <w:spacing w:val="-112"/>
        </w:rPr>
      </w:r>
      <w:r>
        <w:rPr>
          <w:spacing w:val="-2"/>
        </w:rPr>
        <w:t>发展，公司增加江苏南通作为“高亮度发光二极管(LED)芯片制造及其应用产业化”配股</w:t>
      </w:r>
    </w:p>
    <w:p>
      <w:pPr>
        <w:spacing w:after="0" w:line="237" w:lineRule="auto"/>
        <w:jc w:val="both"/>
        <w:sectPr>
          <w:pgSz w:w="11910" w:h="16840"/>
          <w:pgMar w:header="610" w:footer="764" w:top="1080" w:bottom="980" w:left="1180" w:right="4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140"/>
        <w:jc w:val="both"/>
      </w:pPr>
      <w:r>
        <w:rPr/>
        <w:t>项目的实施地点，因江苏南通为异地实施，故将设备采购尚余</w:t>
      </w:r>
      <w:r>
        <w:rPr>
          <w:spacing w:val="-79"/>
        </w:rPr>
        <w:t> </w:t>
      </w:r>
      <w:r>
        <w:rPr/>
        <w:t>17,200</w:t>
      </w:r>
      <w:r>
        <w:rPr>
          <w:spacing w:val="-79"/>
        </w:rPr>
        <w:t> </w:t>
      </w:r>
      <w:r>
        <w:rPr/>
        <w:t>万元以资本金投入</w:t>
      </w:r>
      <w:r>
        <w:rPr/>
        <w:t> 到全资子公司－南通同方半导体有限公司的方式进行使用，只用于采购设备。实施主体</w:t>
      </w:r>
      <w:r>
        <w:rPr>
          <w:spacing w:val="-47"/>
        </w:rPr>
        <w:t> </w:t>
      </w:r>
      <w:r>
        <w:rPr>
          <w:spacing w:val="-47"/>
        </w:rPr>
      </w:r>
      <w:r>
        <w:rPr>
          <w:spacing w:val="-3"/>
        </w:rPr>
        <w:t>增加南通同方半导体有限公司。上述事项已经于</w:t>
      </w:r>
      <w:r>
        <w:rPr>
          <w:spacing w:val="-60"/>
        </w:rPr>
        <w:t> </w:t>
      </w:r>
      <w:r>
        <w:rPr>
          <w:spacing w:val="25"/>
        </w:rPr>
        <w:t>2011年1月</w:t>
      </w:r>
      <w:r>
        <w:rPr>
          <w:spacing w:val="-59"/>
        </w:rPr>
        <w:t> </w:t>
      </w:r>
      <w:r>
        <w:rPr/>
        <w:t>24</w:t>
      </w:r>
      <w:r>
        <w:rPr>
          <w:spacing w:val="-59"/>
        </w:rPr>
        <w:t> </w:t>
      </w:r>
      <w:r>
        <w:rPr/>
        <w:t>日召开的公司</w:t>
      </w:r>
      <w:r>
        <w:rPr>
          <w:spacing w:val="-59"/>
        </w:rPr>
        <w:t> </w:t>
      </w:r>
      <w:r>
        <w:rPr/>
        <w:t>2011</w:t>
      </w:r>
      <w:r>
        <w:rPr>
          <w:spacing w:val="-59"/>
        </w:rPr>
        <w:t> </w:t>
      </w:r>
      <w:r>
        <w:rPr/>
        <w:t>年第</w:t>
      </w:r>
      <w:r>
        <w:rPr/>
        <w:t> 一次临时股东大会审议批准。截至本报告披露日，上述增资南通同方半导体有限公司事</w:t>
      </w:r>
      <w:r>
        <w:rPr>
          <w:spacing w:val="-47"/>
        </w:rPr>
        <w:t> </w:t>
      </w:r>
      <w:r>
        <w:rPr>
          <w:spacing w:val="-47"/>
        </w:rPr>
      </w:r>
      <w:r>
        <w:rPr/>
        <w:t>项已经完成。</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t>(2)投资</w:t>
      </w:r>
      <w:r>
        <w:rPr>
          <w:spacing w:val="-61"/>
        </w:rPr>
        <w:t> </w:t>
      </w:r>
      <w:r>
        <w:rPr/>
        <w:t>6</w:t>
      </w:r>
      <w:r>
        <w:rPr>
          <w:spacing w:val="-63"/>
        </w:rPr>
        <w:t> </w:t>
      </w:r>
      <w:r>
        <w:rPr/>
        <w:t>亿元用于基于国家标准的数字电视网络系统的技术开发、应用产业化项目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0"/>
        <w:jc w:val="both"/>
      </w:pPr>
      <w:r>
        <w:rPr/>
        <w:t>本项目计划投资 6</w:t>
      </w:r>
      <w:r>
        <w:rPr>
          <w:spacing w:val="-42"/>
        </w:rPr>
        <w:t> </w:t>
      </w:r>
      <w:r>
        <w:rPr/>
        <w:t>亿元，用于开发基于国家标准的、以数字电视网建设、应用为核心的</w:t>
      </w:r>
      <w:r>
        <w:rPr/>
        <w:t> 数字电视网络系统及其软硬件产品。项目通过研制广播电视数字化技术，开发生产具有</w:t>
      </w:r>
      <w:r>
        <w:rPr>
          <w:spacing w:val="-47"/>
        </w:rPr>
        <w:t> </w:t>
      </w:r>
      <w:r>
        <w:rPr>
          <w:spacing w:val="-47"/>
        </w:rPr>
      </w:r>
      <w:r>
        <w:rPr/>
        <w:t>用户认证、授权、计费、组网、视频媒体资产管理和分发、组播等功能的数字电视网络</w:t>
      </w:r>
      <w:r>
        <w:rPr>
          <w:spacing w:val="-47"/>
        </w:rPr>
        <w:t> </w:t>
      </w:r>
      <w:r>
        <w:rPr>
          <w:spacing w:val="-47"/>
        </w:rPr>
      </w:r>
      <w:r>
        <w:rPr/>
        <w:t>系统和硬件设备，以适应基于国标的有线数字电视、地面数字电视、卫星和</w:t>
      </w:r>
      <w:r>
        <w:rPr>
          <w:spacing w:val="-79"/>
        </w:rPr>
        <w:t> </w:t>
      </w:r>
      <w:r>
        <w:rPr/>
        <w:t>IPTV</w:t>
      </w:r>
      <w:r>
        <w:rPr>
          <w:spacing w:val="-79"/>
        </w:rPr>
        <w:t> </w:t>
      </w:r>
      <w:r>
        <w:rPr/>
        <w:t>等网络</w:t>
      </w:r>
      <w:r>
        <w:rPr/>
        <w:t> 环境，支持电视、广播、数据、视频点播、数字电影、电子商务等数字媒体综合业务的</w:t>
      </w:r>
      <w:r>
        <w:rPr>
          <w:spacing w:val="-47"/>
        </w:rPr>
        <w:t> </w:t>
      </w:r>
      <w:r>
        <w:rPr>
          <w:spacing w:val="-47"/>
        </w:rPr>
      </w:r>
      <w:r>
        <w:rPr/>
        <w:t>增值服务，提供成本低、高可靠性、便于运营管理的数字电视全面解决方案。</w:t>
      </w:r>
    </w:p>
    <w:p>
      <w:pPr>
        <w:spacing w:line="240" w:lineRule="auto" w:before="13"/>
        <w:rPr>
          <w:rFonts w:ascii="宋体" w:hAnsi="宋体" w:cs="宋体" w:eastAsia="宋体" w:hint="default"/>
          <w:sz w:val="25"/>
          <w:szCs w:val="25"/>
        </w:rPr>
      </w:pPr>
    </w:p>
    <w:p>
      <w:pPr>
        <w:pStyle w:val="BodyText"/>
        <w:spacing w:line="312" w:lineRule="exact"/>
        <w:ind w:right="140"/>
        <w:jc w:val="both"/>
      </w:pPr>
      <w:r>
        <w:rPr/>
        <w:t>本报告期内，该项目固定资产投资部分主体部分施工完成，开始内部装修，但因工程结</w:t>
      </w:r>
      <w:r>
        <w:rPr>
          <w:spacing w:val="-47"/>
        </w:rPr>
        <w:t> </w:t>
      </w:r>
      <w:r>
        <w:rPr>
          <w:spacing w:val="-47"/>
        </w:rPr>
      </w:r>
      <w:r>
        <w:rPr/>
        <w:t>算支付方式问题，尚未实际支付，因此实际投入落后于计划投入进度。本报告期内，该</w:t>
      </w:r>
      <w:r>
        <w:rPr>
          <w:spacing w:val="-47"/>
        </w:rPr>
        <w:t> </w:t>
      </w:r>
      <w:r>
        <w:rPr>
          <w:spacing w:val="-47"/>
        </w:rPr>
      </w:r>
      <w:r>
        <w:rPr/>
        <w:t>项目共投资</w:t>
      </w:r>
      <w:r>
        <w:rPr>
          <w:spacing w:val="-60"/>
        </w:rPr>
        <w:t> </w:t>
      </w:r>
      <w:r>
        <w:rPr/>
        <w:t>11,465.43</w:t>
      </w:r>
      <w:r>
        <w:rPr>
          <w:spacing w:val="-60"/>
        </w:rPr>
        <w:t> </w:t>
      </w:r>
      <w:r>
        <w:rPr/>
        <w:t>万元，实现项目收益</w:t>
      </w:r>
      <w:r>
        <w:rPr>
          <w:spacing w:val="-60"/>
        </w:rPr>
        <w:t> </w:t>
      </w:r>
      <w:r>
        <w:rPr/>
        <w:t>31,286.16</w:t>
      </w:r>
      <w:r>
        <w:rPr>
          <w:spacing w:val="-60"/>
        </w:rPr>
        <w:t> </w:t>
      </w:r>
      <w:r>
        <w:rPr/>
        <w:t>万元。</w:t>
      </w:r>
    </w:p>
    <w:p>
      <w:pPr>
        <w:spacing w:line="240" w:lineRule="auto" w:before="5"/>
        <w:rPr>
          <w:rFonts w:ascii="宋体" w:hAnsi="宋体" w:cs="宋体" w:eastAsia="宋体" w:hint="default"/>
          <w:sz w:val="21"/>
          <w:szCs w:val="21"/>
        </w:rPr>
      </w:pPr>
    </w:p>
    <w:p>
      <w:pPr>
        <w:pStyle w:val="Heading3"/>
        <w:spacing w:line="475" w:lineRule="auto"/>
        <w:ind w:right="6555"/>
        <w:jc w:val="left"/>
        <w:rPr>
          <w:b w:val="0"/>
          <w:bCs w:val="0"/>
        </w:rPr>
      </w:pPr>
      <w:r>
        <w:rPr/>
        <w:t>2、报告期内其他投资情况</w:t>
      </w:r>
      <w:r>
        <w:rPr>
          <w:spacing w:val="1"/>
          <w:w w:val="99"/>
        </w:rPr>
        <w:t> </w:t>
      </w:r>
      <w:r>
        <w:rPr/>
        <w:t>A.公司对外投资</w:t>
      </w:r>
      <w:r>
        <w:rPr>
          <w:b w:val="0"/>
          <w:bCs w:val="0"/>
        </w:rPr>
      </w:r>
    </w:p>
    <w:p>
      <w:pPr>
        <w:pStyle w:val="BodyText"/>
        <w:spacing w:line="312" w:lineRule="exact" w:before="74"/>
        <w:ind w:right="0"/>
        <w:jc w:val="both"/>
      </w:pPr>
      <w:r>
        <w:rPr/>
        <w:t>本报告期内，公司长期股权投资(母公司)增加</w:t>
      </w:r>
      <w:r>
        <w:rPr>
          <w:spacing w:val="-80"/>
        </w:rPr>
        <w:t> </w:t>
      </w:r>
      <w:r>
        <w:rPr/>
        <w:t>1,162,572,017.11</w:t>
      </w:r>
      <w:r>
        <w:rPr>
          <w:spacing w:val="-80"/>
        </w:rPr>
        <w:t> </w:t>
      </w:r>
      <w:r>
        <w:rPr/>
        <w:t>元，其中本期权益减少</w:t>
      </w:r>
    </w:p>
    <w:p>
      <w:pPr>
        <w:pStyle w:val="BodyText"/>
        <w:spacing w:line="312" w:lineRule="exact"/>
        <w:ind w:right="0"/>
        <w:jc w:val="both"/>
      </w:pPr>
      <w:r>
        <w:rPr/>
        <w:t>185,847,182.89</w:t>
      </w:r>
      <w:r>
        <w:rPr>
          <w:spacing w:val="-60"/>
        </w:rPr>
        <w:t> </w:t>
      </w:r>
      <w:r>
        <w:rPr/>
        <w:t>元，新增对外投资</w:t>
      </w:r>
      <w:r>
        <w:rPr>
          <w:spacing w:val="-60"/>
        </w:rPr>
        <w:t> </w:t>
      </w:r>
      <w:r>
        <w:rPr/>
        <w:t>1,348,419,200.00</w:t>
      </w:r>
      <w:r>
        <w:rPr>
          <w:spacing w:val="-60"/>
        </w:rPr>
        <w:t> </w:t>
      </w:r>
      <w:r>
        <w:rPr/>
        <w:t>元。</w:t>
      </w:r>
    </w:p>
    <w:p>
      <w:pPr>
        <w:spacing w:line="240" w:lineRule="auto" w:before="11"/>
        <w:rPr>
          <w:rFonts w:ascii="宋体" w:hAnsi="宋体" w:cs="宋体" w:eastAsia="宋体" w:hint="default"/>
          <w:sz w:val="23"/>
          <w:szCs w:val="23"/>
        </w:rPr>
      </w:pPr>
    </w:p>
    <w:p>
      <w:pPr>
        <w:pStyle w:val="BodyText"/>
        <w:spacing w:line="237" w:lineRule="auto"/>
        <w:ind w:right="142"/>
        <w:jc w:val="both"/>
      </w:pPr>
      <w:r>
        <w:rPr/>
        <w:t>2010</w:t>
      </w:r>
      <w:r>
        <w:rPr>
          <w:spacing w:val="-53"/>
        </w:rPr>
        <w:t> </w:t>
      </w:r>
      <w:r>
        <w:rPr/>
        <w:t>年</w:t>
      </w:r>
      <w:r>
        <w:rPr>
          <w:spacing w:val="-53"/>
        </w:rPr>
        <w:t> </w:t>
      </w:r>
      <w:r>
        <w:rPr/>
        <w:t>6</w:t>
      </w:r>
      <w:r>
        <w:rPr>
          <w:spacing w:val="-54"/>
        </w:rPr>
        <w:t> </w:t>
      </w:r>
      <w:r>
        <w:rPr/>
        <w:t>月，公司出资收购沈阳多媒体科技有限公司持有的深圳市同方多媒体科技有限</w:t>
      </w:r>
      <w:r>
        <w:rPr/>
        <w:t> 公司</w:t>
      </w:r>
      <w:r>
        <w:rPr>
          <w:spacing w:val="-53"/>
        </w:rPr>
        <w:t> </w:t>
      </w:r>
      <w:r>
        <w:rPr/>
        <w:t>95%股权(6175</w:t>
      </w:r>
      <w:r>
        <w:rPr>
          <w:spacing w:val="-53"/>
        </w:rPr>
        <w:t> </w:t>
      </w:r>
      <w:r>
        <w:rPr/>
        <w:t>万元出资额)；收购北京同方创新投资有限公司持有的该公司</w:t>
      </w:r>
      <w:r>
        <w:rPr>
          <w:spacing w:val="-53"/>
        </w:rPr>
        <w:t> </w:t>
      </w:r>
      <w:r>
        <w:rPr/>
        <w:t>5%股权</w:t>
      </w:r>
      <w:r>
        <w:rPr/>
        <w:t> (325</w:t>
      </w:r>
      <w:r>
        <w:rPr>
          <w:spacing w:val="-70"/>
        </w:rPr>
        <w:t> </w:t>
      </w:r>
      <w:r>
        <w:rPr/>
        <w:t>万元出资额)。收购完成后公司货币方式出资</w:t>
      </w:r>
      <w:r>
        <w:rPr>
          <w:spacing w:val="-70"/>
        </w:rPr>
        <w:t> </w:t>
      </w:r>
      <w:r>
        <w:rPr/>
        <w:t>6500</w:t>
      </w:r>
      <w:r>
        <w:rPr>
          <w:spacing w:val="-70"/>
        </w:rPr>
        <w:t> </w:t>
      </w:r>
      <w:r>
        <w:rPr/>
        <w:t>万元出资额，持有该公司</w:t>
      </w:r>
      <w:r>
        <w:rPr>
          <w:spacing w:val="-70"/>
        </w:rPr>
        <w:t> </w:t>
      </w:r>
      <w:r>
        <w:rPr/>
        <w:t>100%股</w:t>
      </w:r>
      <w:r>
        <w:rPr/>
        <w:t> 权。2010</w:t>
      </w:r>
      <w:r>
        <w:rPr>
          <w:spacing w:val="-53"/>
        </w:rPr>
        <w:t> </w:t>
      </w:r>
      <w:r>
        <w:rPr/>
        <w:t>年</w:t>
      </w:r>
      <w:r>
        <w:rPr>
          <w:spacing w:val="-53"/>
        </w:rPr>
        <w:t> </w:t>
      </w:r>
      <w:r>
        <w:rPr/>
        <w:t>8</w:t>
      </w:r>
      <w:r>
        <w:rPr>
          <w:spacing w:val="-53"/>
        </w:rPr>
        <w:t> </w:t>
      </w:r>
      <w:r>
        <w:rPr/>
        <w:t>月，根据公司董事会四届三十八次会议决议，公司向深圳市同方多媒体科</w:t>
      </w:r>
      <w:r>
        <w:rPr/>
        <w:t> 技有限公司增资</w:t>
      </w:r>
      <w:r>
        <w:rPr>
          <w:spacing w:val="-40"/>
        </w:rPr>
        <w:t> </w:t>
      </w:r>
      <w:r>
        <w:rPr/>
        <w:t>23500</w:t>
      </w:r>
      <w:r>
        <w:rPr>
          <w:spacing w:val="-40"/>
        </w:rPr>
        <w:t> </w:t>
      </w:r>
      <w:r>
        <w:rPr/>
        <w:t>万元，完成增资后深圳多媒体注册资本为</w:t>
      </w:r>
      <w:r>
        <w:rPr>
          <w:spacing w:val="-40"/>
        </w:rPr>
        <w:t> </w:t>
      </w:r>
      <w:r>
        <w:rPr/>
        <w:t>3</w:t>
      </w:r>
      <w:r>
        <w:rPr>
          <w:spacing w:val="-40"/>
        </w:rPr>
        <w:t> </w:t>
      </w:r>
      <w:r>
        <w:rPr/>
        <w:t>亿元，公司仍持有其</w:t>
      </w:r>
      <w:r>
        <w:rPr/>
        <w:t> 100%股权。</w:t>
      </w:r>
    </w:p>
    <w:p>
      <w:pPr>
        <w:spacing w:line="240" w:lineRule="auto" w:before="7"/>
        <w:rPr>
          <w:rFonts w:ascii="宋体" w:hAnsi="宋体" w:cs="宋体" w:eastAsia="宋体" w:hint="default"/>
          <w:sz w:val="23"/>
          <w:szCs w:val="23"/>
        </w:rPr>
      </w:pPr>
    </w:p>
    <w:p>
      <w:pPr>
        <w:pStyle w:val="BodyText"/>
        <w:spacing w:line="313" w:lineRule="exact"/>
        <w:ind w:right="0"/>
        <w:jc w:val="both"/>
      </w:pPr>
      <w:r>
        <w:rPr/>
        <w:t>2010</w:t>
      </w:r>
      <w:r>
        <w:rPr>
          <w:spacing w:val="-53"/>
        </w:rPr>
        <w:t> </w:t>
      </w:r>
      <w:r>
        <w:rPr/>
        <w:t>年</w:t>
      </w:r>
      <w:r>
        <w:rPr>
          <w:spacing w:val="-53"/>
        </w:rPr>
        <w:t> </w:t>
      </w:r>
      <w:r>
        <w:rPr/>
        <w:t>6</w:t>
      </w:r>
      <w:r>
        <w:rPr>
          <w:spacing w:val="-54"/>
        </w:rPr>
        <w:t> </w:t>
      </w:r>
      <w:r>
        <w:rPr/>
        <w:t>月，公司联合北京同方创新有限公司出资设立南通同方半导体有限公司，注册</w:t>
      </w:r>
    </w:p>
    <w:p>
      <w:pPr>
        <w:pStyle w:val="BodyText"/>
        <w:spacing w:line="311" w:lineRule="exact"/>
        <w:ind w:right="0"/>
        <w:jc w:val="both"/>
      </w:pPr>
      <w:r>
        <w:rPr/>
        <w:t>资本</w:t>
      </w:r>
      <w:r>
        <w:rPr>
          <w:spacing w:val="-63"/>
        </w:rPr>
        <w:t> </w:t>
      </w:r>
      <w:r>
        <w:rPr/>
        <w:t>5</w:t>
      </w:r>
      <w:r>
        <w:rPr>
          <w:spacing w:val="-63"/>
        </w:rPr>
        <w:t> </w:t>
      </w:r>
      <w:r>
        <w:rPr/>
        <w:t>亿元人民币，住所在南通经济技术开发区广州路</w:t>
      </w:r>
      <w:r>
        <w:rPr>
          <w:spacing w:val="-63"/>
        </w:rPr>
        <w:t> </w:t>
      </w:r>
      <w:r>
        <w:rPr/>
        <w:t>42</w:t>
      </w:r>
      <w:r>
        <w:rPr>
          <w:spacing w:val="-63"/>
        </w:rPr>
        <w:t> </w:t>
      </w:r>
      <w:r>
        <w:rPr/>
        <w:t>号</w:t>
      </w:r>
      <w:r>
        <w:rPr>
          <w:spacing w:val="-63"/>
        </w:rPr>
        <w:t> </w:t>
      </w:r>
      <w:r>
        <w:rPr/>
        <w:t>116-120</w:t>
      </w:r>
      <w:r>
        <w:rPr>
          <w:spacing w:val="-63"/>
        </w:rPr>
        <w:t> </w:t>
      </w:r>
      <w:r>
        <w:rPr>
          <w:spacing w:val="-3"/>
        </w:rPr>
        <w:t>室，主要从事高亮</w:t>
      </w:r>
    </w:p>
    <w:p>
      <w:pPr>
        <w:pStyle w:val="BodyText"/>
        <w:spacing w:line="310" w:lineRule="exact" w:before="30"/>
        <w:ind w:right="143"/>
        <w:jc w:val="both"/>
      </w:pPr>
      <w:r>
        <w:rPr/>
        <w:t>度发光二极管(LED)外延芯片的开发、生产和销售。其中，公司认缴出资 4.95</w:t>
      </w:r>
      <w:r>
        <w:rPr>
          <w:spacing w:val="-41"/>
        </w:rPr>
        <w:t> </w:t>
      </w:r>
      <w:r>
        <w:rPr/>
        <w:t>亿元，占</w:t>
      </w:r>
      <w:r>
        <w:rPr/>
        <w:t> 注册资本的</w:t>
      </w:r>
      <w:r>
        <w:rPr>
          <w:spacing w:val="-60"/>
        </w:rPr>
        <w:t> </w:t>
      </w:r>
      <w:r>
        <w:rPr/>
        <w:t>99%；同方创新认缴出资</w:t>
      </w:r>
      <w:r>
        <w:rPr>
          <w:spacing w:val="-60"/>
        </w:rPr>
        <w:t> </w:t>
      </w:r>
      <w:r>
        <w:rPr/>
        <w:t>500</w:t>
      </w:r>
      <w:r>
        <w:rPr>
          <w:spacing w:val="-60"/>
        </w:rPr>
        <w:t> </w:t>
      </w:r>
      <w:r>
        <w:rPr/>
        <w:t>万元，占</w:t>
      </w:r>
      <w:r>
        <w:rPr>
          <w:spacing w:val="-60"/>
        </w:rPr>
        <w:t> </w:t>
      </w:r>
      <w:r>
        <w:rPr/>
        <w:t>1%。</w:t>
      </w:r>
    </w:p>
    <w:p>
      <w:pPr>
        <w:spacing w:line="240" w:lineRule="auto" w:before="6"/>
        <w:rPr>
          <w:rFonts w:ascii="宋体" w:hAnsi="宋体" w:cs="宋体" w:eastAsia="宋体" w:hint="default"/>
          <w:sz w:val="21"/>
          <w:szCs w:val="21"/>
        </w:rPr>
      </w:pPr>
    </w:p>
    <w:p>
      <w:pPr>
        <w:pStyle w:val="BodyText"/>
        <w:spacing w:line="313" w:lineRule="exact"/>
        <w:ind w:right="0"/>
        <w:jc w:val="both"/>
      </w:pPr>
      <w:r>
        <w:rPr/>
        <w:t>2010</w:t>
      </w:r>
      <w:r>
        <w:rPr>
          <w:spacing w:val="-53"/>
        </w:rPr>
        <w:t> </w:t>
      </w:r>
      <w:r>
        <w:rPr/>
        <w:t>年</w:t>
      </w:r>
      <w:r>
        <w:rPr>
          <w:spacing w:val="-53"/>
        </w:rPr>
        <w:t> </w:t>
      </w:r>
      <w:r>
        <w:rPr/>
        <w:t>6</w:t>
      </w:r>
      <w:r>
        <w:rPr>
          <w:spacing w:val="-54"/>
        </w:rPr>
        <w:t> </w:t>
      </w:r>
      <w:r>
        <w:rPr/>
        <w:t>月，公司联合北京同方创新有限公司出资设立南通同方科技园有限公司，注册</w:t>
      </w:r>
    </w:p>
    <w:p>
      <w:pPr>
        <w:pStyle w:val="BodyText"/>
        <w:spacing w:line="311" w:lineRule="exact"/>
        <w:ind w:right="0"/>
        <w:jc w:val="both"/>
      </w:pPr>
      <w:r>
        <w:rPr/>
        <w:t>资本</w:t>
      </w:r>
      <w:r>
        <w:rPr>
          <w:spacing w:val="-63"/>
        </w:rPr>
        <w:t> </w:t>
      </w:r>
      <w:r>
        <w:rPr/>
        <w:t>2</w:t>
      </w:r>
      <w:r>
        <w:rPr>
          <w:spacing w:val="-63"/>
        </w:rPr>
        <w:t> </w:t>
      </w:r>
      <w:r>
        <w:rPr/>
        <w:t>亿元人民币，住所在南通经济技术开发区广州路</w:t>
      </w:r>
      <w:r>
        <w:rPr>
          <w:spacing w:val="-63"/>
        </w:rPr>
        <w:t> </w:t>
      </w:r>
      <w:r>
        <w:rPr/>
        <w:t>42</w:t>
      </w:r>
      <w:r>
        <w:rPr>
          <w:spacing w:val="-63"/>
        </w:rPr>
        <w:t> </w:t>
      </w:r>
      <w:r>
        <w:rPr/>
        <w:t>号</w:t>
      </w:r>
      <w:r>
        <w:rPr>
          <w:spacing w:val="-63"/>
        </w:rPr>
        <w:t> </w:t>
      </w:r>
      <w:r>
        <w:rPr/>
        <w:t>111-115</w:t>
      </w:r>
      <w:r>
        <w:rPr>
          <w:spacing w:val="-63"/>
        </w:rPr>
        <w:t> </w:t>
      </w:r>
      <w:r>
        <w:rPr>
          <w:spacing w:val="-3"/>
        </w:rPr>
        <w:t>室，主要从事科技</w:t>
      </w:r>
    </w:p>
    <w:p>
      <w:pPr>
        <w:pStyle w:val="BodyText"/>
        <w:spacing w:line="310" w:lineRule="exact" w:before="30"/>
        <w:ind w:right="142"/>
        <w:jc w:val="both"/>
      </w:pPr>
      <w:r>
        <w:rPr>
          <w:spacing w:val="-6"/>
        </w:rPr>
        <w:t>园开发建设。其中，公司认缴出资</w:t>
      </w:r>
      <w:r>
        <w:rPr>
          <w:spacing w:val="-55"/>
        </w:rPr>
        <w:t> </w:t>
      </w:r>
      <w:r>
        <w:rPr/>
        <w:t>1.98</w:t>
      </w:r>
      <w:r>
        <w:rPr>
          <w:spacing w:val="-55"/>
        </w:rPr>
        <w:t> </w:t>
      </w:r>
      <w:r>
        <w:rPr>
          <w:spacing w:val="-5"/>
        </w:rPr>
        <w:t>亿元，占注册资本的</w:t>
      </w:r>
      <w:r>
        <w:rPr>
          <w:spacing w:val="-55"/>
        </w:rPr>
        <w:t> </w:t>
      </w:r>
      <w:r>
        <w:rPr>
          <w:spacing w:val="-4"/>
        </w:rPr>
        <w:t>99%；同方创新认缴出资</w:t>
      </w:r>
      <w:r>
        <w:rPr>
          <w:spacing w:val="-55"/>
        </w:rPr>
        <w:t> </w:t>
      </w:r>
      <w:r>
        <w:rPr/>
        <w:t>200</w:t>
      </w:r>
      <w:r>
        <w:rPr/>
        <w:t> 万元，占</w:t>
      </w:r>
      <w:r>
        <w:rPr>
          <w:spacing w:val="-60"/>
        </w:rPr>
        <w:t> </w:t>
      </w:r>
      <w:r>
        <w:rPr/>
        <w:t>1%。</w:t>
      </w:r>
    </w:p>
    <w:p>
      <w:pPr>
        <w:spacing w:line="240" w:lineRule="auto" w:before="6"/>
        <w:rPr>
          <w:rFonts w:ascii="宋体" w:hAnsi="宋体" w:cs="宋体" w:eastAsia="宋体" w:hint="default"/>
          <w:sz w:val="21"/>
          <w:szCs w:val="21"/>
        </w:rPr>
      </w:pPr>
    </w:p>
    <w:p>
      <w:pPr>
        <w:pStyle w:val="BodyText"/>
        <w:spacing w:line="240" w:lineRule="auto"/>
        <w:ind w:right="0"/>
        <w:jc w:val="both"/>
      </w:pPr>
      <w:r>
        <w:rPr/>
        <w:t>2010</w:t>
      </w:r>
      <w:r>
        <w:rPr>
          <w:spacing w:val="-33"/>
        </w:rPr>
        <w:t> </w:t>
      </w:r>
      <w:r>
        <w:rPr/>
        <w:t>年</w:t>
      </w:r>
      <w:r>
        <w:rPr>
          <w:spacing w:val="-33"/>
        </w:rPr>
        <w:t> </w:t>
      </w:r>
      <w:r>
        <w:rPr/>
        <w:t>7</w:t>
      </w:r>
      <w:r>
        <w:rPr>
          <w:spacing w:val="-32"/>
        </w:rPr>
        <w:t> </w:t>
      </w:r>
      <w:r>
        <w:rPr/>
        <w:t>月，公司将持有北京同方电子商务有限公司</w:t>
      </w:r>
      <w:r>
        <w:rPr>
          <w:spacing w:val="-33"/>
        </w:rPr>
        <w:t> </w:t>
      </w:r>
      <w:r>
        <w:rPr/>
        <w:t>84%股权的转让给</w:t>
      </w:r>
      <w:r>
        <w:rPr>
          <w:spacing w:val="-33"/>
        </w:rPr>
        <w:t> </w:t>
      </w:r>
      <w:r>
        <w:rPr/>
        <w:t>SBCVC Company</w:t>
      </w:r>
    </w:p>
    <w:p>
      <w:pPr>
        <w:spacing w:after="0" w:line="240" w:lineRule="auto"/>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1"/>
        <w:jc w:val="both"/>
      </w:pPr>
      <w:r>
        <w:rPr/>
        <w:t>Limited、CTC</w:t>
      </w:r>
      <w:r>
        <w:rPr>
          <w:spacing w:val="-21"/>
        </w:rPr>
        <w:t> </w:t>
      </w:r>
      <w:r>
        <w:rPr/>
        <w:t>Capital</w:t>
      </w:r>
      <w:r>
        <w:rPr>
          <w:spacing w:val="-21"/>
        </w:rPr>
        <w:t> </w:t>
      </w:r>
      <w:r>
        <w:rPr/>
        <w:t>Partners</w:t>
      </w:r>
      <w:r>
        <w:rPr>
          <w:spacing w:val="-22"/>
        </w:rPr>
        <w:t> </w:t>
      </w:r>
      <w:r>
        <w:rPr/>
        <w:t>I</w:t>
      </w:r>
      <w:r>
        <w:rPr>
          <w:spacing w:val="-21"/>
        </w:rPr>
        <w:t> </w:t>
      </w:r>
      <w:r>
        <w:rPr/>
        <w:t>L</w:t>
      </w:r>
      <w:r>
        <w:rPr>
          <w:spacing w:val="-21"/>
        </w:rPr>
        <w:t> </w:t>
      </w:r>
      <w:r>
        <w:rPr/>
        <w:t>P、China</w:t>
      </w:r>
      <w:r>
        <w:rPr>
          <w:spacing w:val="-21"/>
        </w:rPr>
        <w:t> </w:t>
      </w:r>
      <w:r>
        <w:rPr/>
        <w:t>Media</w:t>
      </w:r>
      <w:r>
        <w:rPr>
          <w:spacing w:val="-21"/>
        </w:rPr>
        <w:t> </w:t>
      </w:r>
      <w:r>
        <w:rPr/>
        <w:t>Online</w:t>
      </w:r>
      <w:r>
        <w:rPr>
          <w:spacing w:val="-21"/>
        </w:rPr>
        <w:t> </w:t>
      </w:r>
      <w:r>
        <w:rPr/>
        <w:t>Hong</w:t>
      </w:r>
      <w:r>
        <w:rPr>
          <w:spacing w:val="-21"/>
        </w:rPr>
        <w:t> </w:t>
      </w:r>
      <w:r>
        <w:rPr/>
        <w:t>Kong</w:t>
      </w:r>
      <w:r>
        <w:rPr>
          <w:spacing w:val="-21"/>
        </w:rPr>
        <w:t> </w:t>
      </w:r>
      <w:r>
        <w:rPr/>
        <w:t>Limited、Tai</w:t>
      </w:r>
      <w:r>
        <w:rPr/>
        <w:t> Shan Capital I Ltd 和 Tai Shan Capital II</w:t>
      </w:r>
      <w:r>
        <w:rPr>
          <w:spacing w:val="-40"/>
        </w:rPr>
        <w:t> </w:t>
      </w:r>
      <w:r>
        <w:rPr/>
        <w:t>Ltd，转让完成后，公司对同方电子商务</w:t>
      </w:r>
      <w:r>
        <w:rPr/>
        <w:t> 公司的持股比例由</w:t>
      </w:r>
      <w:r>
        <w:rPr>
          <w:spacing w:val="-60"/>
        </w:rPr>
        <w:t> </w:t>
      </w:r>
      <w:r>
        <w:rPr/>
        <w:t>100%变更为</w:t>
      </w:r>
      <w:r>
        <w:rPr>
          <w:spacing w:val="-60"/>
        </w:rPr>
        <w:t> </w:t>
      </w:r>
      <w:r>
        <w:rPr/>
        <w:t>16%。</w:t>
      </w:r>
    </w:p>
    <w:p>
      <w:pPr>
        <w:spacing w:line="240" w:lineRule="auto" w:before="8"/>
        <w:rPr>
          <w:rFonts w:ascii="宋体" w:hAnsi="宋体" w:cs="宋体" w:eastAsia="宋体" w:hint="default"/>
          <w:sz w:val="21"/>
          <w:szCs w:val="21"/>
        </w:rPr>
      </w:pPr>
    </w:p>
    <w:p>
      <w:pPr>
        <w:pStyle w:val="BodyText"/>
        <w:spacing w:line="237" w:lineRule="auto"/>
        <w:ind w:right="222"/>
        <w:jc w:val="both"/>
      </w:pPr>
      <w:r>
        <w:rPr/>
        <w:t>2010</w:t>
      </w:r>
      <w:r>
        <w:rPr>
          <w:spacing w:val="-40"/>
        </w:rPr>
        <w:t> </w:t>
      </w:r>
      <w:r>
        <w:rPr/>
        <w:t>年</w:t>
      </w:r>
      <w:r>
        <w:rPr>
          <w:spacing w:val="-40"/>
        </w:rPr>
        <w:t> </w:t>
      </w:r>
      <w:r>
        <w:rPr/>
        <w:t>7</w:t>
      </w:r>
      <w:r>
        <w:rPr>
          <w:spacing w:val="-40"/>
        </w:rPr>
        <w:t> </w:t>
      </w:r>
      <w:r>
        <w:rPr/>
        <w:t>月，公司以所持下属北京同方信息安全技术股份有限公司的</w:t>
      </w:r>
      <w:r>
        <w:rPr>
          <w:spacing w:val="-40"/>
        </w:rPr>
        <w:t> </w:t>
      </w:r>
      <w:r>
        <w:rPr/>
        <w:t>51.79%股权(1748</w:t>
      </w:r>
      <w:r>
        <w:rPr/>
        <w:t> </w:t>
      </w:r>
      <w:r>
        <w:rPr>
          <w:spacing w:val="-2"/>
        </w:rPr>
        <w:t>万元注册资本)出资参股江苏同方云帆信息科技股份有限公司。出资完成后，公司退出信</w:t>
      </w:r>
      <w:r>
        <w:rPr>
          <w:spacing w:val="-82"/>
        </w:rPr>
        <w:t> </w:t>
      </w:r>
      <w:r>
        <w:rPr>
          <w:spacing w:val="-82"/>
        </w:rPr>
      </w:r>
      <w:r>
        <w:rPr/>
        <w:t>息安全公司，持有江苏云帆公司</w:t>
      </w:r>
      <w:r>
        <w:rPr>
          <w:spacing w:val="-60"/>
        </w:rPr>
        <w:t> </w:t>
      </w:r>
      <w:r>
        <w:rPr/>
        <w:t>16.93%的股权。</w:t>
      </w:r>
    </w:p>
    <w:p>
      <w:pPr>
        <w:spacing w:line="240" w:lineRule="auto" w:before="8"/>
        <w:rPr>
          <w:rFonts w:ascii="宋体" w:hAnsi="宋体" w:cs="宋体" w:eastAsia="宋体" w:hint="default"/>
          <w:sz w:val="23"/>
          <w:szCs w:val="23"/>
        </w:rPr>
      </w:pPr>
    </w:p>
    <w:p>
      <w:pPr>
        <w:pStyle w:val="BodyText"/>
        <w:spacing w:line="312" w:lineRule="exact"/>
        <w:ind w:right="0"/>
        <w:jc w:val="both"/>
      </w:pPr>
      <w:r>
        <w:rPr/>
        <w:t>201</w:t>
      </w:r>
      <w:r>
        <w:rPr>
          <w:spacing w:val="60"/>
        </w:rPr>
        <w:t>0年</w:t>
      </w:r>
      <w:r>
        <w:rPr/>
        <w:t>8</w:t>
      </w:r>
      <w:r>
        <w:rPr>
          <w:spacing w:val="-60"/>
        </w:rPr>
        <w:t> </w:t>
      </w:r>
      <w:r>
        <w:rPr/>
        <w:t>月</w:t>
      </w:r>
      <w:r>
        <w:rPr>
          <w:spacing w:val="-99"/>
        </w:rPr>
        <w:t>，</w:t>
      </w:r>
      <w:r>
        <w:rPr>
          <w:spacing w:val="-1"/>
        </w:rPr>
        <w:t>公司下属同方威视技术股份有限公</w:t>
      </w:r>
      <w:r>
        <w:rPr/>
        <w:t>司</w:t>
      </w:r>
      <w:r>
        <w:rPr>
          <w:spacing w:val="-61"/>
        </w:rPr>
        <w:t> </w:t>
      </w:r>
      <w:r>
        <w:rPr>
          <w:spacing w:val="-1"/>
        </w:rPr>
        <w:t>200</w:t>
      </w:r>
      <w:r>
        <w:rPr/>
        <w:t>9</w:t>
      </w:r>
      <w:r>
        <w:rPr>
          <w:spacing w:val="-61"/>
        </w:rPr>
        <w:t> </w:t>
      </w:r>
      <w:r>
        <w:rPr>
          <w:spacing w:val="-1"/>
        </w:rPr>
        <w:t>年度股东大会通过利润分配及转</w:t>
      </w:r>
      <w:r>
        <w:rPr/>
      </w:r>
    </w:p>
    <w:p>
      <w:pPr>
        <w:pStyle w:val="BodyText"/>
        <w:spacing w:line="311" w:lineRule="exact"/>
        <w:ind w:right="0"/>
        <w:jc w:val="both"/>
      </w:pPr>
      <w:r>
        <w:rPr>
          <w:spacing w:val="-3"/>
        </w:rPr>
        <w:t>增股本方案，决定以</w:t>
      </w:r>
      <w:r>
        <w:rPr>
          <w:spacing w:val="-62"/>
        </w:rPr>
        <w:t> </w:t>
      </w:r>
      <w:r>
        <w:rPr/>
        <w:t>2009</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日总股数</w:t>
      </w:r>
      <w:r>
        <w:rPr>
          <w:spacing w:val="-62"/>
        </w:rPr>
        <w:t> </w:t>
      </w:r>
      <w:r>
        <w:rPr/>
        <w:t>7500</w:t>
      </w:r>
      <w:r>
        <w:rPr>
          <w:spacing w:val="-62"/>
        </w:rPr>
        <w:t> </w:t>
      </w:r>
      <w:r>
        <w:rPr/>
        <w:t>万股为基数，以未分配利润</w:t>
      </w:r>
      <w:r>
        <w:rPr>
          <w:spacing w:val="-62"/>
        </w:rPr>
        <w:t> </w:t>
      </w:r>
      <w:r>
        <w:rPr/>
        <w:t>7500</w:t>
      </w:r>
      <w:r>
        <w:rPr>
          <w:spacing w:val="-62"/>
        </w:rPr>
        <w:t> </w:t>
      </w:r>
      <w:r>
        <w:rPr/>
        <w:t>万</w:t>
      </w:r>
    </w:p>
    <w:p>
      <w:pPr>
        <w:pStyle w:val="BodyText"/>
        <w:spacing w:line="311" w:lineRule="exact"/>
        <w:ind w:right="0"/>
        <w:jc w:val="both"/>
      </w:pPr>
      <w:r>
        <w:rPr/>
        <w:t>元向全体股东每</w:t>
      </w:r>
      <w:r>
        <w:rPr>
          <w:spacing w:val="-63"/>
        </w:rPr>
        <w:t> </w:t>
      </w:r>
      <w:r>
        <w:rPr/>
        <w:t>10</w:t>
      </w:r>
      <w:r>
        <w:rPr>
          <w:spacing w:val="-63"/>
        </w:rPr>
        <w:t> </w:t>
      </w:r>
      <w:r>
        <w:rPr/>
        <w:t>股送</w:t>
      </w:r>
      <w:r>
        <w:rPr>
          <w:spacing w:val="-63"/>
        </w:rPr>
        <w:t> </w:t>
      </w:r>
      <w:r>
        <w:rPr/>
        <w:t>10</w:t>
      </w:r>
      <w:r>
        <w:rPr>
          <w:spacing w:val="-63"/>
        </w:rPr>
        <w:t> </w:t>
      </w:r>
      <w:r>
        <w:rPr/>
        <w:t>股。转增后同方威视注册资本由</w:t>
      </w:r>
      <w:r>
        <w:rPr>
          <w:spacing w:val="-63"/>
        </w:rPr>
        <w:t> </w:t>
      </w:r>
      <w:r>
        <w:rPr/>
        <w:t>7500</w:t>
      </w:r>
      <w:r>
        <w:rPr>
          <w:spacing w:val="-63"/>
        </w:rPr>
        <w:t> </w:t>
      </w:r>
      <w:r>
        <w:rPr/>
        <w:t>万元增至</w:t>
      </w:r>
      <w:r>
        <w:rPr>
          <w:spacing w:val="-63"/>
        </w:rPr>
        <w:t> </w:t>
      </w:r>
      <w:r>
        <w:rPr/>
        <w:t>1.5</w:t>
      </w:r>
      <w:r>
        <w:rPr>
          <w:spacing w:val="-63"/>
        </w:rPr>
        <w:t> </w:t>
      </w:r>
      <w:r>
        <w:rPr>
          <w:spacing w:val="-5"/>
        </w:rPr>
        <w:t>亿元；普</w:t>
      </w:r>
    </w:p>
    <w:p>
      <w:pPr>
        <w:pStyle w:val="BodyText"/>
        <w:spacing w:line="313" w:lineRule="exact"/>
        <w:ind w:right="0"/>
        <w:jc w:val="both"/>
      </w:pPr>
      <w:r>
        <w:rPr/>
        <w:t>通股总数为</w:t>
      </w:r>
      <w:r>
        <w:rPr>
          <w:spacing w:val="-60"/>
        </w:rPr>
        <w:t> </w:t>
      </w:r>
      <w:r>
        <w:rPr/>
        <w:t>1.5</w:t>
      </w:r>
      <w:r>
        <w:rPr>
          <w:spacing w:val="-60"/>
        </w:rPr>
        <w:t> </w:t>
      </w:r>
      <w:r>
        <w:rPr/>
        <w:t>亿股；各股东持股比例不变。公司持</w:t>
      </w:r>
      <w:r>
        <w:rPr>
          <w:spacing w:val="-60"/>
        </w:rPr>
        <w:t> </w:t>
      </w:r>
      <w:r>
        <w:rPr/>
        <w:t>1.14</w:t>
      </w:r>
      <w:r>
        <w:rPr>
          <w:spacing w:val="-60"/>
        </w:rPr>
        <w:t> </w:t>
      </w:r>
      <w:r>
        <w:rPr/>
        <w:t>亿股，股权比例</w:t>
      </w:r>
      <w:r>
        <w:rPr>
          <w:spacing w:val="-60"/>
        </w:rPr>
        <w:t> </w:t>
      </w:r>
      <w:r>
        <w:rPr/>
        <w:t>76%。</w:t>
      </w:r>
    </w:p>
    <w:p>
      <w:pPr>
        <w:spacing w:line="240" w:lineRule="auto" w:before="7"/>
        <w:rPr>
          <w:rFonts w:ascii="宋体" w:hAnsi="宋体" w:cs="宋体" w:eastAsia="宋体" w:hint="default"/>
          <w:sz w:val="23"/>
          <w:szCs w:val="23"/>
        </w:rPr>
      </w:pPr>
    </w:p>
    <w:p>
      <w:pPr>
        <w:pStyle w:val="BodyText"/>
        <w:spacing w:line="240" w:lineRule="auto"/>
        <w:ind w:right="0"/>
        <w:jc w:val="both"/>
      </w:pPr>
      <w:r>
        <w:rPr/>
        <w:t>201</w:t>
      </w:r>
      <w:r>
        <w:rPr>
          <w:spacing w:val="60"/>
        </w:rPr>
        <w:t>0年</w:t>
      </w:r>
      <w:r>
        <w:rPr/>
        <w:t>8</w:t>
      </w:r>
      <w:r>
        <w:rPr>
          <w:spacing w:val="-60"/>
        </w:rPr>
        <w:t> </w:t>
      </w:r>
      <w:r>
        <w:rPr/>
        <w:t>月</w:t>
      </w:r>
      <w:r>
        <w:rPr>
          <w:spacing w:val="-99"/>
        </w:rPr>
        <w:t>，</w:t>
      </w:r>
      <w:r>
        <w:rPr>
          <w:spacing w:val="-1"/>
        </w:rPr>
        <w:t>公司下属中体同方体育科技有限公司更名为同方健康科技(北京)有限公司。</w:t>
      </w:r>
      <w:r>
        <w:rPr/>
      </w:r>
    </w:p>
    <w:p>
      <w:pPr>
        <w:spacing w:line="240" w:lineRule="auto" w:before="8"/>
        <w:rPr>
          <w:rFonts w:ascii="宋体" w:hAnsi="宋体" w:cs="宋体" w:eastAsia="宋体" w:hint="default"/>
          <w:sz w:val="23"/>
          <w:szCs w:val="23"/>
        </w:rPr>
      </w:pPr>
    </w:p>
    <w:p>
      <w:pPr>
        <w:pStyle w:val="BodyText"/>
        <w:spacing w:line="313" w:lineRule="exact"/>
        <w:ind w:right="0"/>
        <w:jc w:val="both"/>
      </w:pPr>
      <w:r>
        <w:rPr>
          <w:spacing w:val="20"/>
        </w:rPr>
        <w:t>2010年9</w:t>
      </w:r>
      <w:r>
        <w:rPr>
          <w:spacing w:val="-51"/>
        </w:rPr>
        <w:t> </w:t>
      </w:r>
      <w:r>
        <w:rPr>
          <w:spacing w:val="-3"/>
        </w:rPr>
        <w:t>月，公司下属北京同方易豪科技有限公司增加注册资本</w:t>
      </w:r>
      <w:r>
        <w:rPr>
          <w:spacing w:val="-51"/>
        </w:rPr>
        <w:t> </w:t>
      </w:r>
      <w:r>
        <w:rPr/>
        <w:t>2126.8</w:t>
      </w:r>
      <w:r>
        <w:rPr>
          <w:spacing w:val="-51"/>
        </w:rPr>
        <w:t> </w:t>
      </w:r>
      <w:r>
        <w:rPr>
          <w:spacing w:val="-8"/>
        </w:rPr>
        <w:t>万元，新增注册</w:t>
      </w:r>
    </w:p>
    <w:p>
      <w:pPr>
        <w:pStyle w:val="BodyText"/>
        <w:spacing w:line="310" w:lineRule="exact" w:before="31"/>
        <w:ind w:right="223"/>
        <w:jc w:val="both"/>
      </w:pPr>
      <w:r>
        <w:rPr>
          <w:spacing w:val="-3"/>
        </w:rPr>
        <w:t>资本全部由新股东中信信托有限责任公司认缴。增资后该公司的注册资本由</w:t>
      </w:r>
      <w:r>
        <w:rPr>
          <w:spacing w:val="-54"/>
        </w:rPr>
        <w:t> </w:t>
      </w:r>
      <w:r>
        <w:rPr/>
        <w:t>4253.2</w:t>
      </w:r>
      <w:r>
        <w:rPr>
          <w:spacing w:val="-54"/>
        </w:rPr>
        <w:t> </w:t>
      </w:r>
      <w:r>
        <w:rPr/>
        <w:t>万元</w:t>
      </w:r>
      <w:r>
        <w:rPr>
          <w:spacing w:val="-114"/>
        </w:rPr>
        <w:t> </w:t>
      </w:r>
      <w:r>
        <w:rPr>
          <w:spacing w:val="-114"/>
        </w:rPr>
      </w:r>
      <w:r>
        <w:rPr/>
        <w:t>变更为</w:t>
      </w:r>
      <w:r>
        <w:rPr>
          <w:spacing w:val="-60"/>
        </w:rPr>
        <w:t> </w:t>
      </w:r>
      <w:r>
        <w:rPr/>
        <w:t>6380</w:t>
      </w:r>
      <w:r>
        <w:rPr>
          <w:spacing w:val="-60"/>
        </w:rPr>
        <w:t> </w:t>
      </w:r>
      <w:r>
        <w:rPr/>
        <w:t>万元，公司的出资不变，股权比例由</w:t>
      </w:r>
      <w:r>
        <w:rPr>
          <w:spacing w:val="-60"/>
        </w:rPr>
        <w:t> </w:t>
      </w:r>
      <w:r>
        <w:rPr/>
        <w:t>48.37%稀释为</w:t>
      </w:r>
      <w:r>
        <w:rPr>
          <w:spacing w:val="-60"/>
        </w:rPr>
        <w:t> </w:t>
      </w:r>
      <w:r>
        <w:rPr/>
        <w:t>32.25%。</w:t>
      </w:r>
    </w:p>
    <w:p>
      <w:pPr>
        <w:spacing w:line="240" w:lineRule="auto" w:before="8"/>
        <w:rPr>
          <w:rFonts w:ascii="宋体" w:hAnsi="宋体" w:cs="宋体" w:eastAsia="宋体" w:hint="default"/>
          <w:sz w:val="21"/>
          <w:szCs w:val="21"/>
        </w:rPr>
      </w:pPr>
    </w:p>
    <w:p>
      <w:pPr>
        <w:pStyle w:val="BodyText"/>
        <w:spacing w:line="237" w:lineRule="auto"/>
        <w:ind w:right="220"/>
        <w:jc w:val="both"/>
      </w:pPr>
      <w:r>
        <w:rPr>
          <w:spacing w:val="20"/>
        </w:rPr>
        <w:t>2010年9</w:t>
      </w:r>
      <w:r>
        <w:rPr>
          <w:spacing w:val="-36"/>
        </w:rPr>
        <w:t> </w:t>
      </w:r>
      <w:r>
        <w:rPr>
          <w:spacing w:val="-7"/>
        </w:rPr>
        <w:t>月，公司下属同方(哈尔滨)水务有限公司改制为股份有限公司，名称变更为“龙</w:t>
      </w:r>
      <w:r>
        <w:rPr>
          <w:spacing w:val="-115"/>
        </w:rPr>
        <w:t> </w:t>
      </w:r>
      <w:r>
        <w:rPr>
          <w:spacing w:val="-115"/>
        </w:rPr>
      </w:r>
      <w:r>
        <w:rPr>
          <w:spacing w:val="-5"/>
        </w:rPr>
        <w:t>江环保集团股份有限公司”。原哈尔滨水务公司全部股东作为股份公司发起人，以其拥有</w:t>
      </w:r>
      <w:r>
        <w:rPr>
          <w:spacing w:val="-85"/>
        </w:rPr>
        <w:t> </w:t>
      </w:r>
      <w:r>
        <w:rPr>
          <w:spacing w:val="-85"/>
        </w:rPr>
      </w:r>
      <w:r>
        <w:rPr/>
        <w:t>的哈尔滨水务公司的股权出资，以发起设立方式将哈尔滨水务公司整体变更为股份有限</w:t>
      </w:r>
      <w:r>
        <w:rPr>
          <w:spacing w:val="-47"/>
        </w:rPr>
        <w:t> </w:t>
      </w:r>
      <w:r>
        <w:rPr>
          <w:spacing w:val="-47"/>
        </w:rPr>
      </w:r>
      <w:r>
        <w:rPr>
          <w:spacing w:val="-4"/>
        </w:rPr>
        <w:t>公司。改制后公司注册资本</w:t>
      </w:r>
      <w:r>
        <w:rPr>
          <w:spacing w:val="-59"/>
        </w:rPr>
        <w:t> </w:t>
      </w:r>
      <w:r>
        <w:rPr/>
        <w:t>3.2</w:t>
      </w:r>
      <w:r>
        <w:rPr>
          <w:spacing w:val="-59"/>
        </w:rPr>
        <w:t> </w:t>
      </w:r>
      <w:r>
        <w:rPr>
          <w:spacing w:val="-4"/>
        </w:rPr>
        <w:t>亿元不变，公司注册资本划分为等额普通股股份，每股</w:t>
      </w:r>
      <w:r>
        <w:rPr>
          <w:spacing w:val="-56"/>
        </w:rPr>
        <w:t> </w:t>
      </w:r>
      <w:r>
        <w:rPr/>
        <w:t>1</w:t>
      </w:r>
      <w:r>
        <w:rPr>
          <w:spacing w:val="-118"/>
        </w:rPr>
        <w:t> </w:t>
      </w:r>
      <w:r>
        <w:rPr>
          <w:spacing w:val="-118"/>
        </w:rPr>
      </w:r>
      <w:r>
        <w:rPr/>
        <w:t>元。各股东持股比例不变，公司对其的持股比例仍为</w:t>
      </w:r>
      <w:r>
        <w:rPr>
          <w:spacing w:val="-60"/>
        </w:rPr>
        <w:t> </w:t>
      </w:r>
      <w:r>
        <w:rPr/>
        <w:t>10.1562%。</w:t>
      </w:r>
    </w:p>
    <w:p>
      <w:pPr>
        <w:spacing w:line="240" w:lineRule="auto" w:before="8"/>
        <w:rPr>
          <w:rFonts w:ascii="宋体" w:hAnsi="宋体" w:cs="宋体" w:eastAsia="宋体" w:hint="default"/>
          <w:sz w:val="23"/>
          <w:szCs w:val="23"/>
        </w:rPr>
      </w:pPr>
    </w:p>
    <w:p>
      <w:pPr>
        <w:pStyle w:val="BodyText"/>
        <w:spacing w:line="312" w:lineRule="exact"/>
        <w:ind w:right="0"/>
        <w:jc w:val="both"/>
      </w:pPr>
      <w:r>
        <w:rPr/>
        <w:t>201</w:t>
      </w:r>
      <w:r>
        <w:rPr>
          <w:spacing w:val="60"/>
        </w:rPr>
        <w:t>0</w:t>
      </w:r>
      <w:r>
        <w:rPr/>
        <w:t>年</w:t>
      </w:r>
      <w:r>
        <w:rPr>
          <w:spacing w:val="-60"/>
        </w:rPr>
        <w:t> </w:t>
      </w:r>
      <w:r>
        <w:rPr/>
        <w:t>10</w:t>
      </w:r>
      <w:r>
        <w:rPr>
          <w:spacing w:val="-60"/>
        </w:rPr>
        <w:t> </w:t>
      </w:r>
      <w:r>
        <w:rPr/>
        <w:t>月</w:t>
      </w:r>
      <w:r>
        <w:rPr>
          <w:spacing w:val="-99"/>
        </w:rPr>
        <w:t>，</w:t>
      </w:r>
      <w:r>
        <w:rPr>
          <w:spacing w:val="-1"/>
        </w:rPr>
        <w:t>公司收购同方健康科技(北京)有限公司持有的同方鼎欣信息技术有限公司</w:t>
      </w:r>
      <w:r>
        <w:rPr/>
      </w:r>
    </w:p>
    <w:p>
      <w:pPr>
        <w:pStyle w:val="BodyText"/>
        <w:spacing w:line="311" w:lineRule="exact"/>
        <w:ind w:right="0"/>
        <w:jc w:val="both"/>
      </w:pPr>
      <w:r>
        <w:rPr/>
        <w:t>32.58%股权，该公司同时增加注册资本</w:t>
      </w:r>
      <w:r>
        <w:rPr>
          <w:spacing w:val="-80"/>
        </w:rPr>
        <w:t> </w:t>
      </w:r>
      <w:r>
        <w:rPr/>
        <w:t>1250</w:t>
      </w:r>
      <w:r>
        <w:rPr>
          <w:spacing w:val="-80"/>
        </w:rPr>
        <w:t> </w:t>
      </w:r>
      <w:r>
        <w:rPr/>
        <w:t>万元，新增注册资本由新股东北京欣合盈达</w:t>
      </w:r>
    </w:p>
    <w:p>
      <w:pPr>
        <w:pStyle w:val="BodyText"/>
        <w:spacing w:line="310" w:lineRule="exact" w:before="31"/>
        <w:ind w:right="223"/>
        <w:jc w:val="both"/>
      </w:pPr>
      <w:r>
        <w:rPr/>
        <w:t>科技有限公司和其他自然人认缴。完成增资后，该公司注册资本由 5000 万元增至</w:t>
      </w:r>
      <w:r>
        <w:rPr>
          <w:spacing w:val="-42"/>
        </w:rPr>
        <w:t> </w:t>
      </w:r>
      <w:r>
        <w:rPr/>
        <w:t>6250</w:t>
      </w:r>
      <w:r>
        <w:rPr/>
        <w:t> 万元，公司出资增至</w:t>
      </w:r>
      <w:r>
        <w:rPr>
          <w:spacing w:val="-60"/>
        </w:rPr>
        <w:t> </w:t>
      </w:r>
      <w:r>
        <w:rPr/>
        <w:t>5000</w:t>
      </w:r>
      <w:r>
        <w:rPr>
          <w:spacing w:val="-60"/>
        </w:rPr>
        <w:t> </w:t>
      </w:r>
      <w:r>
        <w:rPr/>
        <w:t>万，股权比例由</w:t>
      </w:r>
      <w:r>
        <w:rPr>
          <w:spacing w:val="-60"/>
        </w:rPr>
        <w:t> </w:t>
      </w:r>
      <w:r>
        <w:rPr/>
        <w:t>67.42%增至</w:t>
      </w:r>
      <w:r>
        <w:rPr>
          <w:spacing w:val="-60"/>
        </w:rPr>
        <w:t> </w:t>
      </w:r>
      <w:r>
        <w:rPr/>
        <w:t>80%。</w:t>
      </w:r>
    </w:p>
    <w:p>
      <w:pPr>
        <w:spacing w:line="240" w:lineRule="auto" w:before="6"/>
        <w:rPr>
          <w:rFonts w:ascii="宋体" w:hAnsi="宋体" w:cs="宋体" w:eastAsia="宋体" w:hint="default"/>
          <w:sz w:val="21"/>
          <w:szCs w:val="21"/>
        </w:rPr>
      </w:pPr>
    </w:p>
    <w:p>
      <w:pPr>
        <w:pStyle w:val="BodyText"/>
        <w:spacing w:line="312" w:lineRule="exact"/>
        <w:ind w:right="0"/>
        <w:jc w:val="both"/>
      </w:pPr>
      <w:r>
        <w:rPr/>
        <w:t>201</w:t>
      </w:r>
      <w:r>
        <w:rPr>
          <w:spacing w:val="39"/>
        </w:rPr>
        <w:t>0年</w:t>
      </w:r>
      <w:r>
        <w:rPr/>
        <w:t>6</w:t>
      </w:r>
      <w:r>
        <w:rPr>
          <w:spacing w:val="-81"/>
        </w:rPr>
        <w:t> </w:t>
      </w:r>
      <w:r>
        <w:rPr>
          <w:spacing w:val="1"/>
        </w:rPr>
        <w:t>月</w:t>
      </w:r>
      <w:r>
        <w:rPr>
          <w:spacing w:val="-120"/>
        </w:rPr>
        <w:t>，</w:t>
      </w:r>
      <w:r>
        <w:rPr/>
        <w:t>公司将持有的百视通网络电视技术发展有限责任公司</w:t>
      </w:r>
      <w:r>
        <w:rPr>
          <w:spacing w:val="-81"/>
        </w:rPr>
        <w:t> </w:t>
      </w:r>
      <w:r>
        <w:rPr/>
        <w:t>916</w:t>
      </w:r>
      <w:r>
        <w:rPr>
          <w:spacing w:val="-81"/>
        </w:rPr>
        <w:t> </w:t>
      </w:r>
      <w:r>
        <w:rPr/>
        <w:t>万股(4.629%股权)</w:t>
      </w:r>
    </w:p>
    <w:p>
      <w:pPr>
        <w:pStyle w:val="BodyText"/>
        <w:spacing w:line="312" w:lineRule="exact" w:before="29"/>
        <w:ind w:right="222"/>
        <w:jc w:val="both"/>
      </w:pPr>
      <w:r>
        <w:rPr/>
        <w:t>转让给成都元泓创新投资有限公司，转让完成后，公司对百视通技术的持股比例由</w:t>
      </w:r>
      <w:r>
        <w:rPr>
          <w:spacing w:val="52"/>
        </w:rPr>
        <w:t> </w:t>
      </w:r>
      <w:r>
        <w:rPr/>
        <w:t>40%</w:t>
      </w:r>
      <w:r>
        <w:rPr>
          <w:spacing w:val="-110"/>
        </w:rPr>
        <w:t> </w:t>
      </w:r>
      <w:r>
        <w:rPr>
          <w:spacing w:val="-110"/>
        </w:rPr>
      </w:r>
      <w:r>
        <w:rPr/>
        <w:t>降至</w:t>
      </w:r>
      <w:r>
        <w:rPr>
          <w:spacing w:val="-60"/>
        </w:rPr>
        <w:t> </w:t>
      </w:r>
      <w:r>
        <w:rPr/>
        <w:t>35.371%。</w:t>
      </w:r>
    </w:p>
    <w:p>
      <w:pPr>
        <w:spacing w:line="240" w:lineRule="auto" w:before="7"/>
        <w:rPr>
          <w:rFonts w:ascii="宋体" w:hAnsi="宋体" w:cs="宋体" w:eastAsia="宋体" w:hint="default"/>
          <w:sz w:val="21"/>
          <w:szCs w:val="21"/>
        </w:rPr>
      </w:pPr>
    </w:p>
    <w:p>
      <w:pPr>
        <w:pStyle w:val="BodyText"/>
        <w:spacing w:line="237" w:lineRule="auto"/>
        <w:ind w:right="214"/>
        <w:jc w:val="both"/>
      </w:pPr>
      <w:r>
        <w:rPr/>
        <w:t>2010</w:t>
      </w:r>
      <w:r>
        <w:rPr>
          <w:spacing w:val="-33"/>
        </w:rPr>
        <w:t> </w:t>
      </w:r>
      <w:r>
        <w:rPr/>
        <w:t>年</w:t>
      </w:r>
      <w:r>
        <w:rPr>
          <w:spacing w:val="-33"/>
        </w:rPr>
        <w:t> </w:t>
      </w:r>
      <w:r>
        <w:rPr/>
        <w:t>9</w:t>
      </w:r>
      <w:r>
        <w:rPr>
          <w:spacing w:val="-32"/>
        </w:rPr>
        <w:t> </w:t>
      </w:r>
      <w:r>
        <w:rPr/>
        <w:t>月，公司将持有的百视通网络电视技术发展有限责任公司</w:t>
      </w:r>
      <w:r>
        <w:rPr>
          <w:spacing w:val="-33"/>
        </w:rPr>
        <w:t> </w:t>
      </w:r>
      <w:r>
        <w:rPr/>
        <w:t>2910</w:t>
      </w:r>
      <w:r>
        <w:rPr>
          <w:spacing w:val="-33"/>
        </w:rPr>
        <w:t> </w:t>
      </w:r>
      <w:r>
        <w:rPr/>
        <w:t>万股(14.704%</w:t>
      </w:r>
      <w:r>
        <w:rPr/>
        <w:t> </w:t>
      </w:r>
      <w:r>
        <w:rPr>
          <w:spacing w:val="4"/>
        </w:rPr>
        <w:t>股权)转让给上海东方传媒集团有限公司，转让完成后，公司持有的百视通技术股权由</w:t>
      </w:r>
      <w:r>
        <w:rPr>
          <w:spacing w:val="-85"/>
        </w:rPr>
        <w:t> </w:t>
      </w:r>
      <w:r>
        <w:rPr>
          <w:spacing w:val="-85"/>
        </w:rPr>
      </w:r>
      <w:r>
        <w:rPr/>
        <w:t>35.371%降至</w:t>
      </w:r>
      <w:r>
        <w:rPr>
          <w:spacing w:val="-60"/>
        </w:rPr>
        <w:t> </w:t>
      </w:r>
      <w:r>
        <w:rPr/>
        <w:t>20.667%。</w:t>
      </w:r>
    </w:p>
    <w:p>
      <w:pPr>
        <w:spacing w:line="240" w:lineRule="auto" w:before="11"/>
        <w:rPr>
          <w:rFonts w:ascii="宋体" w:hAnsi="宋体" w:cs="宋体" w:eastAsia="宋体" w:hint="default"/>
          <w:sz w:val="23"/>
          <w:szCs w:val="23"/>
        </w:rPr>
      </w:pPr>
    </w:p>
    <w:p>
      <w:pPr>
        <w:pStyle w:val="BodyText"/>
        <w:spacing w:line="237" w:lineRule="auto"/>
        <w:ind w:right="218"/>
        <w:jc w:val="both"/>
      </w:pPr>
      <w:r>
        <w:rPr/>
        <w:t>2010 年 11</w:t>
      </w:r>
      <w:r>
        <w:rPr>
          <w:spacing w:val="-42"/>
        </w:rPr>
        <w:t> </w:t>
      </w:r>
      <w:r>
        <w:rPr/>
        <w:t>月，公司下属百视通网络电视技术发展有限责任公司股东会通过决议同意与</w:t>
      </w:r>
      <w:r>
        <w:rPr/>
        <w:t> SMG</w:t>
      </w:r>
      <w:r>
        <w:rPr>
          <w:spacing w:val="-52"/>
        </w:rPr>
        <w:t> </w:t>
      </w:r>
      <w:r>
        <w:rPr>
          <w:spacing w:val="-3"/>
        </w:rPr>
        <w:t>旗下新媒体业务公司重组。根据并购重组方案，百视通技术公司以新增股本为对价收</w:t>
      </w:r>
      <w:r>
        <w:rPr>
          <w:spacing w:val="-118"/>
        </w:rPr>
        <w:t> </w:t>
      </w:r>
      <w:r>
        <w:rPr>
          <w:spacing w:val="-118"/>
        </w:rPr>
      </w:r>
      <w:r>
        <w:rPr/>
        <w:t>购欢腾宽频、东方龙和东方宽频。上海东方传媒集团有限公司、上海诚贝投资咨询有限</w:t>
      </w:r>
      <w:r>
        <w:rPr>
          <w:spacing w:val="-47"/>
        </w:rPr>
        <w:t> </w:t>
      </w:r>
      <w:r>
        <w:rPr>
          <w:spacing w:val="-47"/>
        </w:rPr>
      </w:r>
      <w:r>
        <w:rPr/>
        <w:t>公司、上海联和投资有限公司以所持有的欢腾宽频、东方龙和东方宽频的股权(经评估)</w:t>
      </w:r>
      <w:r>
        <w:rPr>
          <w:spacing w:val="-45"/>
        </w:rPr>
        <w:t> </w:t>
      </w:r>
      <w:r>
        <w:rPr>
          <w:spacing w:val="-45"/>
        </w:rPr>
      </w:r>
      <w:r>
        <w:rPr/>
        <w:t>认购百视通新增注册资本 6655.96</w:t>
      </w:r>
      <w:r>
        <w:rPr>
          <w:spacing w:val="-40"/>
        </w:rPr>
        <w:t> </w:t>
      </w:r>
      <w:r>
        <w:rPr/>
        <w:t>万元，评估值超出新增注册资本部分列入资本公积。</w:t>
      </w:r>
    </w:p>
    <w:p>
      <w:pPr>
        <w:pStyle w:val="BodyText"/>
        <w:spacing w:line="312" w:lineRule="exact"/>
        <w:ind w:right="0"/>
        <w:jc w:val="both"/>
      </w:pPr>
      <w:r>
        <w:rPr/>
        <w:t>增资后，百视通注册资本由</w:t>
      </w:r>
      <w:r>
        <w:rPr>
          <w:spacing w:val="-70"/>
        </w:rPr>
        <w:t> </w:t>
      </w:r>
      <w:r>
        <w:rPr/>
        <w:t>19790</w:t>
      </w:r>
      <w:r>
        <w:rPr>
          <w:spacing w:val="-70"/>
        </w:rPr>
        <w:t> </w:t>
      </w:r>
      <w:r>
        <w:rPr/>
        <w:t>万元增加到</w:t>
      </w:r>
      <w:r>
        <w:rPr>
          <w:spacing w:val="-70"/>
        </w:rPr>
        <w:t> </w:t>
      </w:r>
      <w:r>
        <w:rPr/>
        <w:t>26445.96</w:t>
      </w:r>
      <w:r>
        <w:rPr>
          <w:spacing w:val="-70"/>
        </w:rPr>
        <w:t> </w:t>
      </w:r>
      <w:r>
        <w:rPr/>
        <w:t>万元。东方传媒集团持股比例增</w:t>
      </w:r>
    </w:p>
    <w:p>
      <w:pPr>
        <w:spacing w:after="0" w:line="312" w:lineRule="exact"/>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至</w:t>
      </w:r>
      <w:r>
        <w:rPr>
          <w:spacing w:val="-60"/>
        </w:rPr>
        <w:t> </w:t>
      </w:r>
      <w:r>
        <w:rPr/>
        <w:t>51.77%；公司出资</w:t>
      </w:r>
      <w:r>
        <w:rPr>
          <w:spacing w:val="-60"/>
        </w:rPr>
        <w:t> </w:t>
      </w:r>
      <w:r>
        <w:rPr/>
        <w:t>4090</w:t>
      </w:r>
      <w:r>
        <w:rPr>
          <w:spacing w:val="-60"/>
        </w:rPr>
        <w:t> </w:t>
      </w:r>
      <w:r>
        <w:rPr/>
        <w:t>万元不变，持股比例由</w:t>
      </w:r>
      <w:r>
        <w:rPr>
          <w:spacing w:val="-60"/>
        </w:rPr>
        <w:t> </w:t>
      </w:r>
      <w:r>
        <w:rPr/>
        <w:t>20.667%稀释为</w:t>
      </w:r>
      <w:r>
        <w:rPr>
          <w:spacing w:val="-60"/>
        </w:rPr>
        <w:t> </w:t>
      </w:r>
      <w:r>
        <w:rPr/>
        <w:t>15.466%。</w:t>
      </w:r>
    </w:p>
    <w:p>
      <w:pPr>
        <w:spacing w:line="240" w:lineRule="auto" w:before="9"/>
        <w:rPr>
          <w:rFonts w:ascii="宋体" w:hAnsi="宋体" w:cs="宋体" w:eastAsia="宋体" w:hint="default"/>
          <w:sz w:val="23"/>
          <w:szCs w:val="23"/>
        </w:rPr>
      </w:pPr>
    </w:p>
    <w:p>
      <w:pPr>
        <w:pStyle w:val="BodyText"/>
        <w:spacing w:line="237" w:lineRule="auto"/>
        <w:ind w:right="200"/>
        <w:jc w:val="both"/>
      </w:pPr>
      <w:r>
        <w:rPr>
          <w:spacing w:val="12"/>
        </w:rPr>
        <w:t>2010年</w:t>
      </w:r>
      <w:r>
        <w:rPr>
          <w:spacing w:val="-60"/>
        </w:rPr>
        <w:t> </w:t>
      </w:r>
      <w:r>
        <w:rPr/>
        <w:t>11</w:t>
      </w:r>
      <w:r>
        <w:rPr>
          <w:spacing w:val="-60"/>
        </w:rPr>
        <w:t> </w:t>
      </w:r>
      <w:r>
        <w:rPr>
          <w:spacing w:val="-7"/>
        </w:rPr>
        <w:t>月，公司出资参股北京辰安伟业科技有限公司，投资</w:t>
      </w:r>
      <w:r>
        <w:rPr>
          <w:spacing w:val="-60"/>
        </w:rPr>
        <w:t> </w:t>
      </w:r>
      <w:r>
        <w:rPr/>
        <w:t>2520</w:t>
      </w:r>
      <w:r>
        <w:rPr>
          <w:spacing w:val="-60"/>
        </w:rPr>
        <w:t> </w:t>
      </w:r>
      <w:r>
        <w:rPr/>
        <w:t>万元认缴该公司</w:t>
      </w:r>
      <w:r>
        <w:rPr>
          <w:spacing w:val="-60"/>
        </w:rPr>
        <w:t> </w:t>
      </w:r>
      <w:r>
        <w:rPr/>
        <w:t>450</w:t>
      </w:r>
      <w:r>
        <w:rPr/>
        <w:t> 万元新增注册资本。该公司主要从事应急系统开发建设，增资扩股后该公司的注册资本</w:t>
      </w:r>
      <w:r>
        <w:rPr>
          <w:spacing w:val="-47"/>
        </w:rPr>
        <w:t> </w:t>
      </w:r>
      <w:r>
        <w:rPr>
          <w:spacing w:val="-47"/>
        </w:rPr>
      </w:r>
      <w:r>
        <w:rPr/>
        <w:t>为</w:t>
      </w:r>
      <w:r>
        <w:rPr>
          <w:spacing w:val="-60"/>
        </w:rPr>
        <w:t> </w:t>
      </w:r>
      <w:r>
        <w:rPr/>
        <w:t>4000</w:t>
      </w:r>
      <w:r>
        <w:rPr>
          <w:spacing w:val="-60"/>
        </w:rPr>
        <w:t> </w:t>
      </w:r>
      <w:r>
        <w:rPr/>
        <w:t>万元，公司出资</w:t>
      </w:r>
      <w:r>
        <w:rPr>
          <w:spacing w:val="-60"/>
        </w:rPr>
        <w:t> </w:t>
      </w:r>
      <w:r>
        <w:rPr/>
        <w:t>450</w:t>
      </w:r>
      <w:r>
        <w:rPr>
          <w:spacing w:val="-60"/>
        </w:rPr>
        <w:t> </w:t>
      </w:r>
      <w:r>
        <w:rPr/>
        <w:t>万元，股权比例为</w:t>
      </w:r>
      <w:r>
        <w:rPr>
          <w:spacing w:val="-60"/>
        </w:rPr>
        <w:t> </w:t>
      </w:r>
      <w:r>
        <w:rPr/>
        <w:t>11.25%。</w:t>
      </w:r>
    </w:p>
    <w:p>
      <w:pPr>
        <w:spacing w:line="240" w:lineRule="auto" w:before="11"/>
        <w:rPr>
          <w:rFonts w:ascii="宋体" w:hAnsi="宋体" w:cs="宋体" w:eastAsia="宋体" w:hint="default"/>
          <w:sz w:val="23"/>
          <w:szCs w:val="23"/>
        </w:rPr>
      </w:pPr>
    </w:p>
    <w:p>
      <w:pPr>
        <w:pStyle w:val="BodyText"/>
        <w:spacing w:line="237" w:lineRule="auto"/>
        <w:ind w:right="200"/>
        <w:jc w:val="both"/>
      </w:pPr>
      <w:r>
        <w:rPr>
          <w:spacing w:val="12"/>
        </w:rPr>
        <w:t>2010年</w:t>
      </w:r>
      <w:r>
        <w:rPr>
          <w:spacing w:val="-59"/>
        </w:rPr>
        <w:t> </w:t>
      </w:r>
      <w:r>
        <w:rPr/>
        <w:t>12</w:t>
      </w:r>
      <w:r>
        <w:rPr>
          <w:spacing w:val="-59"/>
        </w:rPr>
        <w:t> </w:t>
      </w:r>
      <w:r>
        <w:rPr>
          <w:spacing w:val="-4"/>
        </w:rPr>
        <w:t>月，公司将其所持有的上海百视通电视传媒有限公司股权全部转让给上海东方</w:t>
      </w:r>
      <w:r>
        <w:rPr>
          <w:spacing w:val="-1"/>
        </w:rPr>
        <w:t> </w:t>
      </w:r>
      <w:r>
        <w:rPr/>
        <w:t>传媒集团有限公司。完成转让后，百视通传媒成为东方传媒的法人独资公司，公司退出</w:t>
      </w:r>
      <w:r>
        <w:rPr>
          <w:spacing w:val="-47"/>
        </w:rPr>
        <w:t> </w:t>
      </w:r>
      <w:r>
        <w:rPr>
          <w:spacing w:val="-47"/>
        </w:rPr>
      </w:r>
      <w:r>
        <w:rPr/>
        <w:t>百视通传媒公司。</w:t>
      </w:r>
    </w:p>
    <w:p>
      <w:pPr>
        <w:spacing w:line="240" w:lineRule="auto" w:before="7"/>
        <w:rPr>
          <w:rFonts w:ascii="宋体" w:hAnsi="宋体" w:cs="宋体" w:eastAsia="宋体" w:hint="default"/>
          <w:sz w:val="23"/>
          <w:szCs w:val="23"/>
        </w:rPr>
      </w:pPr>
    </w:p>
    <w:p>
      <w:pPr>
        <w:pStyle w:val="BodyText"/>
        <w:spacing w:line="313" w:lineRule="exact"/>
        <w:ind w:right="0"/>
        <w:jc w:val="both"/>
      </w:pPr>
      <w:r>
        <w:rPr/>
        <w:t>2010</w:t>
      </w:r>
      <w:r>
        <w:rPr>
          <w:spacing w:val="-58"/>
        </w:rPr>
        <w:t> </w:t>
      </w:r>
      <w:r>
        <w:rPr/>
        <w:t>年</w:t>
      </w:r>
      <w:r>
        <w:rPr>
          <w:spacing w:val="-58"/>
        </w:rPr>
        <w:t> </w:t>
      </w:r>
      <w:r>
        <w:rPr/>
        <w:t>12</w:t>
      </w:r>
      <w:r>
        <w:rPr>
          <w:spacing w:val="-57"/>
        </w:rPr>
        <w:t> </w:t>
      </w:r>
      <w:r>
        <w:rPr/>
        <w:t>月，泰豪科技股份有限公司实施资本公积金转增股本(每</w:t>
      </w:r>
      <w:r>
        <w:rPr>
          <w:spacing w:val="-58"/>
        </w:rPr>
        <w:t> </w:t>
      </w:r>
      <w:r>
        <w:rPr/>
        <w:t>10</w:t>
      </w:r>
      <w:r>
        <w:rPr>
          <w:spacing w:val="-57"/>
        </w:rPr>
        <w:t> </w:t>
      </w:r>
      <w:r>
        <w:rPr/>
        <w:t>股转增</w:t>
      </w:r>
      <w:r>
        <w:rPr>
          <w:spacing w:val="-58"/>
        </w:rPr>
        <w:t> </w:t>
      </w:r>
      <w:r>
        <w:rPr/>
        <w:t>2</w:t>
      </w:r>
      <w:r>
        <w:rPr>
          <w:spacing w:val="-57"/>
        </w:rPr>
        <w:t> </w:t>
      </w:r>
      <w:r>
        <w:rPr/>
        <w:t>股)，注</w:t>
      </w:r>
    </w:p>
    <w:p>
      <w:pPr>
        <w:pStyle w:val="BodyText"/>
        <w:spacing w:line="310" w:lineRule="exact" w:before="31"/>
        <w:ind w:right="202"/>
        <w:jc w:val="both"/>
      </w:pPr>
      <w:r>
        <w:rPr/>
        <w:t>册资本由</w:t>
      </w:r>
      <w:r>
        <w:rPr>
          <w:spacing w:val="-40"/>
        </w:rPr>
        <w:t> </w:t>
      </w:r>
      <w:r>
        <w:rPr/>
        <w:t>379,438,093</w:t>
      </w:r>
      <w:r>
        <w:rPr>
          <w:spacing w:val="-40"/>
        </w:rPr>
        <w:t> </w:t>
      </w:r>
      <w:r>
        <w:rPr/>
        <w:t>元增至</w:t>
      </w:r>
      <w:r>
        <w:rPr>
          <w:spacing w:val="-40"/>
        </w:rPr>
        <w:t> </w:t>
      </w:r>
      <w:r>
        <w:rPr/>
        <w:t>455,325,712</w:t>
      </w:r>
      <w:r>
        <w:rPr>
          <w:spacing w:val="-40"/>
        </w:rPr>
        <w:t> </w:t>
      </w:r>
      <w:r>
        <w:rPr/>
        <w:t>元。通过资本公积金转增和二级市场买卖，</w:t>
      </w:r>
      <w:r>
        <w:rPr/>
        <w:t> 公司持有泰豪科技</w:t>
      </w:r>
      <w:r>
        <w:rPr>
          <w:spacing w:val="-60"/>
        </w:rPr>
        <w:t> </w:t>
      </w:r>
      <w:r>
        <w:rPr/>
        <w:t>103,424,845</w:t>
      </w:r>
      <w:r>
        <w:rPr>
          <w:spacing w:val="-60"/>
        </w:rPr>
        <w:t> </w:t>
      </w:r>
      <w:r>
        <w:rPr/>
        <w:t>股，股权比例由</w:t>
      </w:r>
      <w:r>
        <w:rPr>
          <w:spacing w:val="-60"/>
        </w:rPr>
        <w:t> </w:t>
      </w:r>
      <w:r>
        <w:rPr/>
        <w:t>23.59%调整为</w:t>
      </w:r>
      <w:r>
        <w:rPr>
          <w:spacing w:val="-60"/>
        </w:rPr>
        <w:t> </w:t>
      </w:r>
      <w:r>
        <w:rPr/>
        <w:t>22.71%。</w:t>
      </w:r>
    </w:p>
    <w:p>
      <w:pPr>
        <w:spacing w:line="240" w:lineRule="auto" w:before="6"/>
        <w:rPr>
          <w:rFonts w:ascii="宋体" w:hAnsi="宋体" w:cs="宋体" w:eastAsia="宋体" w:hint="default"/>
          <w:sz w:val="21"/>
          <w:szCs w:val="21"/>
        </w:rPr>
      </w:pPr>
    </w:p>
    <w:p>
      <w:pPr>
        <w:spacing w:line="475" w:lineRule="auto" w:before="0"/>
        <w:ind w:left="138" w:right="2906" w:firstLine="0"/>
        <w:jc w:val="left"/>
        <w:rPr>
          <w:rFonts w:ascii="宋体" w:hAnsi="宋体" w:cs="宋体" w:eastAsia="宋体" w:hint="default"/>
          <w:sz w:val="24"/>
          <w:szCs w:val="24"/>
        </w:rPr>
      </w:pPr>
      <w:r>
        <w:rPr>
          <w:rFonts w:ascii="宋体" w:hAnsi="宋体" w:cs="宋体" w:eastAsia="宋体" w:hint="default"/>
          <w:b/>
          <w:bCs/>
          <w:sz w:val="24"/>
          <w:szCs w:val="24"/>
        </w:rPr>
        <w:t>B．公司对内投资</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报告期内，公司除募集资金投入项目外无其他重大对内投资。 </w:t>
      </w:r>
      <w:r>
        <w:rPr>
          <w:rFonts w:ascii="宋体" w:hAnsi="宋体" w:cs="宋体" w:eastAsia="宋体" w:hint="default"/>
          <w:b/>
          <w:bCs/>
          <w:sz w:val="24"/>
          <w:szCs w:val="24"/>
        </w:rPr>
        <w:t>C.截至本报告期，公司控股、参股公司基本状况</w:t>
      </w:r>
      <w:r>
        <w:rPr>
          <w:rFonts w:ascii="宋体" w:hAnsi="宋体" w:cs="宋体" w:eastAsia="宋体" w:hint="default"/>
          <w:sz w:val="24"/>
          <w:szCs w:val="24"/>
        </w:rPr>
      </w:r>
    </w:p>
    <w:p>
      <w:pPr>
        <w:spacing w:line="240" w:lineRule="auto" w:before="10"/>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8"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泰豪科技股份有限公司 </w:t>
            </w:r>
            <w:r>
              <w:rPr>
                <w:rFonts w:ascii="宋体" w:hAnsi="宋体" w:cs="宋体" w:eastAsia="宋体" w:hint="default"/>
                <w:sz w:val="18"/>
                <w:szCs w:val="18"/>
              </w:rPr>
              <w:t>(股票代码</w:t>
            </w:r>
            <w:r>
              <w:rPr>
                <w:rFonts w:ascii="宋体" w:hAnsi="宋体" w:cs="宋体" w:eastAsia="宋体" w:hint="default"/>
                <w:spacing w:val="-46"/>
                <w:sz w:val="18"/>
                <w:szCs w:val="18"/>
              </w:rPr>
              <w:t> </w:t>
            </w:r>
            <w:r>
              <w:rPr>
                <w:rFonts w:ascii="宋体" w:hAnsi="宋体" w:cs="宋体" w:eastAsia="宋体" w:hint="default"/>
                <w:sz w:val="18"/>
                <w:szCs w:val="18"/>
              </w:rPr>
              <w:t>600590)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36" w:right="0"/>
              <w:jc w:val="left"/>
              <w:rPr>
                <w:rFonts w:ascii="宋体" w:hAnsi="宋体" w:cs="宋体" w:eastAsia="宋体" w:hint="default"/>
                <w:sz w:val="18"/>
                <w:szCs w:val="18"/>
              </w:rPr>
            </w:pPr>
            <w:r>
              <w:rPr>
                <w:rFonts w:ascii="宋体" w:hAnsi="宋体" w:cs="宋体" w:eastAsia="宋体" w:hint="default"/>
                <w:sz w:val="18"/>
                <w:szCs w:val="18"/>
              </w:rPr>
              <w:t>96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毛  勇</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7"/>
              <w:ind w:left="172" w:right="171"/>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7"/>
              <w:ind w:left="100" w:right="99"/>
              <w:jc w:val="left"/>
              <w:rPr>
                <w:rFonts w:ascii="宋体" w:hAnsi="宋体" w:cs="宋体" w:eastAsia="宋体" w:hint="default"/>
                <w:sz w:val="18"/>
                <w:szCs w:val="18"/>
              </w:rPr>
            </w:pPr>
            <w:r>
              <w:rPr>
                <w:rFonts w:ascii="宋体" w:hAnsi="宋体" w:cs="宋体" w:eastAsia="宋体" w:hint="default"/>
                <w:spacing w:val="-3"/>
                <w:sz w:val="18"/>
                <w:szCs w:val="18"/>
              </w:rPr>
              <w:t>楼宇电气集成制造、军工电</w:t>
            </w:r>
            <w:r>
              <w:rPr>
                <w:rFonts w:ascii="宋体" w:hAnsi="宋体" w:cs="宋体" w:eastAsia="宋体" w:hint="default"/>
                <w:sz w:val="18"/>
                <w:szCs w:val="18"/>
              </w:rPr>
              <w:t> 源和中小型电机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45,532.57</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sz w:val="18"/>
              </w:rPr>
              <w:t>22.71%</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同方威视技术股份有限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荣泳霖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基于辐射成像技术的安全</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检查产品和应用系统</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76.00%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知识资源数据库的开发、研</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制</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98.98%</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8"/>
                <w:szCs w:val="18"/>
              </w:rPr>
            </w:pPr>
            <w:r>
              <w:rPr>
                <w:rFonts w:ascii="宋体"/>
                <w:sz w:val="18"/>
              </w:rPr>
              <w:t>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基于热泵技术的节能产品</w:t>
            </w:r>
            <w:r>
              <w:rPr>
                <w:rFonts w:ascii="宋体" w:hAnsi="宋体" w:cs="宋体" w:eastAsia="宋体" w:hint="default"/>
                <w:sz w:val="18"/>
                <w:szCs w:val="18"/>
              </w:rPr>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生产和低品位热能转换利 </w:t>
            </w:r>
            <w:r>
              <w:rPr>
                <w:rFonts w:ascii="宋体" w:hAnsi="宋体" w:cs="宋体" w:eastAsia="宋体" w:hint="default"/>
                <w:sz w:val="18"/>
                <w:szCs w:val="18"/>
              </w:rPr>
              <w:t>用系统的集成</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24,900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40.96%</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北京同方微电子有限公</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半导体集成电路芯片研发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3,160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86.00%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通信设备、电子产品</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40,000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沈阳同方多媒体科技有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数字平板电视机生产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31,800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sz w:val="18"/>
              </w:rPr>
              <w:t>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北京同方凌讯科技有限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1"/>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4"/>
                <w:sz w:val="18"/>
                <w:szCs w:val="18"/>
              </w:rPr>
              <w:t>数字电视信号地面无线传 </w:t>
            </w:r>
            <w:r>
              <w:rPr>
                <w:rFonts w:ascii="宋体" w:hAnsi="宋体" w:cs="宋体" w:eastAsia="宋体" w:hint="default"/>
                <w:sz w:val="18"/>
                <w:szCs w:val="18"/>
              </w:rPr>
              <w:t>输系统建设与运营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93.10%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山东同方鲁颖电子有限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沂南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中高压瓷介电容器、片式电</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子元器件生产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83.07%</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北京同方软件股份有限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计算机应用软件和软件开</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发平台的开发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74.00%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tabs>
                <w:tab w:pos="1774" w:val="left" w:leader="none"/>
              </w:tabs>
              <w:spacing w:line="214" w:lineRule="exact"/>
              <w:ind w:left="100" w:right="0"/>
              <w:jc w:val="left"/>
              <w:rPr>
                <w:rFonts w:ascii="宋体" w:hAnsi="宋体" w:cs="宋体" w:eastAsia="宋体" w:hint="default"/>
                <w:sz w:val="18"/>
                <w:szCs w:val="18"/>
              </w:rPr>
            </w:pPr>
            <w:r>
              <w:rPr>
                <w:rFonts w:ascii="宋体"/>
                <w:sz w:val="18"/>
              </w:rPr>
              <w:t>Technovator</w:t>
              <w:tab/>
              <w:t>Int</w:t>
            </w:r>
          </w:p>
          <w:p>
            <w:pPr>
              <w:pStyle w:val="TableParagraph"/>
              <w:spacing w:line="240" w:lineRule="auto" w:before="4"/>
              <w:ind w:left="100" w:right="0"/>
              <w:jc w:val="left"/>
              <w:rPr>
                <w:rFonts w:ascii="宋体" w:hAnsi="宋体" w:cs="宋体" w:eastAsia="宋体" w:hint="default"/>
                <w:sz w:val="18"/>
                <w:szCs w:val="18"/>
              </w:rPr>
            </w:pPr>
            <w:r>
              <w:rPr>
                <w:rFonts w:ascii="宋体"/>
                <w:sz w:val="18"/>
              </w:rPr>
              <w:t>Private 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赵晓波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楼宇自动控制及安防产品</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的研发、生产和销售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58" w:right="0"/>
              <w:jc w:val="center"/>
              <w:rPr>
                <w:rFonts w:ascii="宋体" w:hAnsi="宋体" w:cs="宋体" w:eastAsia="宋体" w:hint="default"/>
                <w:sz w:val="18"/>
                <w:szCs w:val="18"/>
              </w:rPr>
            </w:pPr>
            <w:r>
              <w:rPr>
                <w:rFonts w:ascii="宋体" w:hAnsi="宋体" w:cs="宋体" w:eastAsia="宋体" w:hint="default"/>
                <w:sz w:val="18"/>
                <w:szCs w:val="18"/>
              </w:rPr>
              <w:t>908</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25.33%</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产品研发、销售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02"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13</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北京亚仕同方科技有限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非接触式纸质电子票卡的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left="25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49.99%</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64" w:top="1080" w:bottom="98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42"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right="5"/>
              <w:jc w:val="center"/>
              <w:rPr>
                <w:rFonts w:ascii="宋体" w:hAnsi="宋体" w:cs="宋体" w:eastAsia="宋体" w:hint="default"/>
                <w:sz w:val="18"/>
                <w:szCs w:val="18"/>
              </w:rPr>
            </w:pPr>
            <w:r>
              <w:rPr>
                <w:rFonts w:ascii="宋体"/>
                <w:sz w:val="18"/>
              </w:rPr>
              <w:t>14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7"/>
              <w:jc w:val="left"/>
              <w:rPr>
                <w:rFonts w:ascii="宋体" w:hAnsi="宋体" w:cs="宋体" w:eastAsia="宋体" w:hint="default"/>
                <w:sz w:val="18"/>
                <w:szCs w:val="18"/>
              </w:rPr>
            </w:pPr>
            <w:r>
              <w:rPr>
                <w:rFonts w:ascii="宋体" w:hAnsi="宋体" w:cs="宋体" w:eastAsia="宋体" w:hint="default"/>
                <w:spacing w:val="-4"/>
                <w:sz w:val="18"/>
                <w:szCs w:val="18"/>
              </w:rPr>
              <w:t>同方健康科技（北京）有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4"/>
                <w:sz w:val="18"/>
                <w:szCs w:val="18"/>
              </w:rPr>
              <w:t>人体体质检查分析产品开 </w:t>
            </w:r>
            <w:r>
              <w:rPr>
                <w:rFonts w:ascii="宋体" w:hAnsi="宋体" w:cs="宋体" w:eastAsia="宋体" w:hint="default"/>
                <w:sz w:val="18"/>
                <w:szCs w:val="18"/>
              </w:rPr>
              <w:t>发生产销售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4,144</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42.23%</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云南云电同方科技有限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吴波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云南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电力自动控制系统开发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2,400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37.50%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郑州同方神火科技有限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李志经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河南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电力仿真系统开发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50.00%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北京同方电子商务有限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电子商务领域产业投资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13,500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16.00%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18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林荣强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脱硫、脱销、城市生活垃圾</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及危险废弃物无害化处理 </w:t>
            </w:r>
            <w:r>
              <w:rPr>
                <w:rFonts w:ascii="宋体" w:hAnsi="宋体" w:cs="宋体" w:eastAsia="宋体" w:hint="default"/>
                <w:sz w:val="18"/>
                <w:szCs w:val="18"/>
              </w:rPr>
              <w:t>等环保产品和工程承揽</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11,120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31.50%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竹基活性炭制备及相关产</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品生产、销售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94.00%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郑燕康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河北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发光二级管外延片、芯片生</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55.00%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北京同方房地产开发有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自用办公楼、科技园开发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无锡同方创新科技园有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同方鞍山科技园有限公</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3,000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Resuccess</w:t>
            </w:r>
            <w:r>
              <w:rPr>
                <w:rFonts w:ascii="宋体"/>
                <w:spacing w:val="52"/>
                <w:sz w:val="18"/>
              </w:rPr>
              <w:t> </w:t>
            </w:r>
            <w:r>
              <w:rPr>
                <w:rFonts w:ascii="宋体"/>
                <w:sz w:val="18"/>
              </w:rPr>
              <w:t>Investments</w:t>
            </w:r>
          </w:p>
          <w:p>
            <w:pPr>
              <w:pStyle w:val="TableParagraph"/>
              <w:spacing w:line="240" w:lineRule="auto" w:before="4"/>
              <w:ind w:left="100" w:right="0"/>
              <w:jc w:val="left"/>
              <w:rPr>
                <w:rFonts w:ascii="宋体" w:hAnsi="宋体" w:cs="宋体" w:eastAsia="宋体" w:hint="default"/>
                <w:sz w:val="18"/>
                <w:szCs w:val="18"/>
              </w:rPr>
            </w:pPr>
            <w:r>
              <w:rPr>
                <w:rFonts w:ascii="宋体"/>
                <w:sz w:val="18"/>
              </w:rPr>
              <w:t>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英属</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维京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8"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25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北京同方创新投资有限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7"/>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hAnsi="宋体" w:cs="宋体" w:eastAsia="宋体" w:hint="default"/>
                <w:sz w:val="18"/>
                <w:szCs w:val="18"/>
              </w:rPr>
              <w:t>高新技术项目投资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18,000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实业投资、创业投资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54000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25.00%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36.36%</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北京高新技术创业投资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徐京付</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31,000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3.23%</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中投信用担保有限公司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李军阳</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朝阳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企业贷款、投融资担保</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100,000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吉林同方科贸有限责任</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计算机及信息产品、机电设</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20.00%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sz w:val="18"/>
              </w:rPr>
              <w:t>THTF USA,INC.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技术研发，产品开发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5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32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龙江环保集团股份有限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周立业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哈尔 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10.16%</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3"/>
                <w:sz w:val="18"/>
                <w:szCs w:val="18"/>
              </w:rPr>
              <w:t>中国学术期刊(光盘版)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电子杂志社</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97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潘龙法</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编辑、出版、发行《中国学</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术期刊(光盘版)》、互联网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出版</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34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北京市同方教育培训学 </w:t>
            </w:r>
            <w:r>
              <w:rPr>
                <w:rFonts w:ascii="宋体" w:hAnsi="宋体" w:cs="宋体" w:eastAsia="宋体" w:hint="default"/>
                <w:sz w:val="18"/>
                <w:szCs w:val="18"/>
              </w:rPr>
              <w:t>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开办各类面授培训</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北京同方物业管理有限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陈兆祥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自用办公楼物业管理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950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北京同方易豪科技有限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石振毅</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酒店互动数字电视系统解</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决方案及系统运营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6,380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32.25%</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北京中录同方文化传播</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王笑然</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昌平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数字影音光盘复制</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50.00%</w:t>
            </w:r>
          </w:p>
        </w:tc>
      </w:tr>
      <w:tr>
        <w:trPr>
          <w:trHeight w:val="503"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38</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美国凌讯科技有限公司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董  弘</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芯片研发设计</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198" w:lineRule="exact" w:before="29"/>
              <w:ind w:left="224" w:right="0"/>
              <w:jc w:val="left"/>
              <w:rPr>
                <w:rFonts w:ascii="Times New Roman" w:hAnsi="Times New Roman" w:cs="Times New Roman" w:eastAsia="Times New Roman" w:hint="default"/>
                <w:sz w:val="18"/>
                <w:szCs w:val="18"/>
              </w:rPr>
            </w:pPr>
            <w:r>
              <w:rPr>
                <w:rFonts w:ascii="Times New Roman"/>
                <w:sz w:val="18"/>
              </w:rPr>
              <w:t>3,685.51</w:t>
            </w:r>
          </w:p>
          <w:p>
            <w:pPr>
              <w:pStyle w:val="TableParagraph"/>
              <w:spacing w:line="226" w:lineRule="exact"/>
              <w:ind w:left="314"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21"/>
          <w:pgSz w:w="11910" w:h="16840"/>
          <w:pgMar w:header="610" w:footer="764" w:top="1080" w:bottom="96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81"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9"/>
              <w:ind w:right="5"/>
              <w:jc w:val="center"/>
              <w:rPr>
                <w:rFonts w:ascii="宋体" w:hAnsi="宋体" w:cs="宋体" w:eastAsia="宋体" w:hint="default"/>
                <w:sz w:val="18"/>
                <w:szCs w:val="18"/>
              </w:rPr>
            </w:pPr>
            <w:r>
              <w:rPr>
                <w:rFonts w:ascii="宋体"/>
                <w:sz w:val="18"/>
              </w:rPr>
              <w:t>39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9"/>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同方鼎欣信息技术有限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36" w:right="0"/>
              <w:jc w:val="lef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18"/>
                <w:szCs w:val="18"/>
              </w:rPr>
            </w:pPr>
            <w:r>
              <w:rPr>
                <w:rFonts w:ascii="宋体" w:hAnsi="宋体" w:cs="宋体" w:eastAsia="宋体" w:hint="default"/>
                <w:sz w:val="18"/>
                <w:szCs w:val="18"/>
              </w:rPr>
              <w:t>软件开发，软件外包服务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6,250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80.00%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北京首开亿信置业股份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刘  安</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西城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武汉国际会展中心股份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张宪华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湖北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大型会议、展览及展销场馆</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z w:val="18"/>
              </w:rPr>
              <w:t>22,600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航天科工卫星技术有限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奚全生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卫星、航天飞行器、空间探</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测器的开发、制造、服务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7,499</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13.74%</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40"/>
              <w:jc w:val="center"/>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梅  萌</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清华科技园开发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z w:val="18"/>
              </w:rPr>
              <w:t>54,432</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北京同方吉兆科技有限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数字电视发射机、调频广播</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发射机、机顶盒研发生产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7,000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85.46%</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TongFang Asia</w:t>
            </w:r>
            <w:r>
              <w:rPr>
                <w:rFonts w:ascii="宋体"/>
                <w:spacing w:val="52"/>
                <w:sz w:val="18"/>
              </w:rPr>
              <w:t> </w:t>
            </w:r>
            <w:r>
              <w:rPr>
                <w:rFonts w:ascii="宋体"/>
                <w:sz w:val="18"/>
              </w:rPr>
              <w:t>Pacific</w:t>
            </w:r>
          </w:p>
          <w:p>
            <w:pPr>
              <w:pStyle w:val="TableParagraph"/>
              <w:spacing w:line="240" w:lineRule="auto" w:before="4"/>
              <w:ind w:left="100" w:right="0"/>
              <w:jc w:val="left"/>
              <w:rPr>
                <w:rFonts w:ascii="宋体" w:hAnsi="宋体" w:cs="宋体" w:eastAsia="宋体" w:hint="default"/>
                <w:sz w:val="18"/>
                <w:szCs w:val="18"/>
              </w:rPr>
            </w:pPr>
            <w:r>
              <w:rPr>
                <w:rFonts w:ascii="宋体"/>
                <w:sz w:val="18"/>
              </w:rPr>
              <w:t>(R&amp;D Center) Pte.</w:t>
            </w:r>
            <w:r>
              <w:rPr>
                <w:rFonts w:ascii="宋体"/>
                <w:spacing w:val="-40"/>
                <w:sz w:val="18"/>
              </w:rPr>
              <w:t> </w:t>
            </w:r>
            <w:r>
              <w:rPr>
                <w:rFonts w:ascii="宋体"/>
                <w:sz w:val="18"/>
              </w:rPr>
              <w:t>Ltd.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新技术研发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5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46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百视通网络电视技术发 </w:t>
            </w:r>
            <w:r>
              <w:rPr>
                <w:rFonts w:ascii="宋体" w:hAnsi="宋体" w:cs="宋体" w:eastAsia="宋体" w:hint="default"/>
                <w:sz w:val="18"/>
                <w:szCs w:val="18"/>
              </w:rPr>
              <w:t>展有限责任公司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黎瑞刚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上海 长宁</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2"/>
              <w:jc w:val="left"/>
              <w:rPr>
                <w:rFonts w:ascii="宋体" w:hAnsi="宋体" w:cs="宋体" w:eastAsia="宋体" w:hint="default"/>
                <w:sz w:val="18"/>
                <w:szCs w:val="18"/>
              </w:rPr>
            </w:pPr>
            <w:r>
              <w:rPr>
                <w:rFonts w:ascii="宋体" w:hAnsi="宋体" w:cs="宋体" w:eastAsia="宋体" w:hint="default"/>
                <w:sz w:val="18"/>
                <w:szCs w:val="18"/>
              </w:rPr>
              <w:t>IPTV</w:t>
            </w:r>
            <w:r>
              <w:rPr>
                <w:rFonts w:ascii="宋体" w:hAnsi="宋体" w:cs="宋体" w:eastAsia="宋体" w:hint="default"/>
                <w:spacing w:val="4"/>
                <w:sz w:val="18"/>
                <w:szCs w:val="18"/>
              </w:rPr>
              <w:t> </w:t>
            </w:r>
            <w:r>
              <w:rPr>
                <w:rFonts w:ascii="宋体" w:hAnsi="宋体" w:cs="宋体" w:eastAsia="宋体" w:hint="default"/>
                <w:spacing w:val="6"/>
                <w:sz w:val="18"/>
                <w:szCs w:val="18"/>
              </w:rPr>
              <w:t>及其他新媒体技术服</w:t>
            </w:r>
            <w:r>
              <w:rPr>
                <w:rFonts w:ascii="宋体" w:hAnsi="宋体" w:cs="宋体" w:eastAsia="宋体" w:hint="default"/>
                <w:spacing w:val="6"/>
                <w:sz w:val="18"/>
                <w:szCs w:val="18"/>
              </w:rPr>
              <w:t> </w:t>
            </w:r>
            <w:r>
              <w:rPr>
                <w:rFonts w:ascii="宋体" w:hAnsi="宋体" w:cs="宋体" w:eastAsia="宋体" w:hint="default"/>
                <w:sz w:val="18"/>
                <w:szCs w:val="18"/>
              </w:rPr>
              <w:t>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26,445.96</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15.47%</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47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40"/>
              <w:jc w:val="center"/>
              <w:rPr>
                <w:rFonts w:ascii="宋体" w:hAnsi="宋体" w:cs="宋体" w:eastAsia="宋体" w:hint="default"/>
                <w:sz w:val="18"/>
                <w:szCs w:val="18"/>
              </w:rPr>
            </w:pPr>
            <w:r>
              <w:rPr>
                <w:rFonts w:ascii="宋体" w:hAnsi="宋体" w:cs="宋体" w:eastAsia="宋体" w:hint="default"/>
                <w:sz w:val="18"/>
                <w:szCs w:val="18"/>
              </w:rPr>
              <w:t>同方光电科技有限公司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顺义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高亮度发光二极管外延芯</w:t>
            </w:r>
            <w:r>
              <w:rPr>
                <w:rFonts w:ascii="宋体" w:hAnsi="宋体" w:cs="宋体" w:eastAsia="宋体" w:hint="default"/>
                <w:sz w:val="18"/>
                <w:szCs w:val="18"/>
              </w:rPr>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片的开发、芯片的生产和销</w:t>
            </w:r>
            <w:r>
              <w:rPr>
                <w:rFonts w:ascii="宋体" w:hAnsi="宋体" w:cs="宋体" w:eastAsia="宋体" w:hint="default"/>
                <w:sz w:val="18"/>
                <w:szCs w:val="18"/>
              </w:rPr>
              <w:t> 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48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沈阳同方科技园有限公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辽宁 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13,000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49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0"/>
              <w:jc w:val="center"/>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淮安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49.55%</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惠州市同方水务有限公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广东 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3,600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同方恩欧凯(无锡)膜技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用于水处理的有机膜及膜 </w:t>
            </w:r>
            <w:r>
              <w:rPr>
                <w:rFonts w:ascii="宋体" w:hAnsi="宋体" w:cs="宋体" w:eastAsia="宋体" w:hint="default"/>
                <w:sz w:val="18"/>
                <w:szCs w:val="18"/>
              </w:rPr>
              <w:t>组件生产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50.00%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北京同方光盘股份有限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98"/>
              <w:jc w:val="left"/>
              <w:rPr>
                <w:rFonts w:ascii="宋体" w:hAnsi="宋体" w:cs="宋体" w:eastAsia="宋体" w:hint="default"/>
                <w:sz w:val="18"/>
                <w:szCs w:val="18"/>
              </w:rPr>
            </w:pPr>
            <w:r>
              <w:rPr>
                <w:rFonts w:ascii="宋体" w:hAnsi="宋体" w:cs="宋体" w:eastAsia="宋体" w:hint="default"/>
                <w:spacing w:val="-3"/>
                <w:sz w:val="18"/>
                <w:szCs w:val="18"/>
              </w:rPr>
              <w:t>光存储技术研发，光盘存储</w:t>
            </w:r>
            <w:r>
              <w:rPr>
                <w:rFonts w:ascii="宋体" w:hAnsi="宋体" w:cs="宋体" w:eastAsia="宋体" w:hint="default"/>
                <w:sz w:val="18"/>
                <w:szCs w:val="18"/>
              </w:rPr>
              <w:t> 设备开发生产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98.98%</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同方泰豪动漫产业投资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李  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98"/>
              <w:jc w:val="left"/>
              <w:rPr>
                <w:rFonts w:ascii="宋体" w:hAnsi="宋体" w:cs="宋体" w:eastAsia="宋体" w:hint="default"/>
                <w:sz w:val="18"/>
                <w:szCs w:val="18"/>
              </w:rPr>
            </w:pPr>
            <w:r>
              <w:rPr>
                <w:rFonts w:ascii="宋体" w:hAnsi="宋体" w:cs="宋体" w:eastAsia="宋体" w:hint="default"/>
                <w:spacing w:val="-3"/>
                <w:sz w:val="18"/>
                <w:szCs w:val="18"/>
              </w:rPr>
              <w:t>动漫产业投资，园区开发管</w:t>
            </w:r>
            <w:r>
              <w:rPr>
                <w:rFonts w:ascii="宋体" w:hAnsi="宋体" w:cs="宋体" w:eastAsia="宋体" w:hint="default"/>
                <w:sz w:val="18"/>
                <w:szCs w:val="18"/>
              </w:rPr>
              <w:t> 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40.00%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重庆同方合志科技有限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物联网领域专业运营服务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40.00%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江苏同方云帆信息科技 </w:t>
            </w: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薛斌</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江阴</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网络安全软硬件产品和技 </w:t>
            </w:r>
            <w:r>
              <w:rPr>
                <w:rFonts w:ascii="宋体" w:hAnsi="宋体" w:cs="宋体" w:eastAsia="宋体" w:hint="default"/>
                <w:sz w:val="18"/>
                <w:szCs w:val="18"/>
              </w:rPr>
              <w:t>术服务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5,200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16.93%</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北京辰安伟业科技有限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王忠</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城市应急系统管理及系统 </w:t>
            </w:r>
            <w:r>
              <w:rPr>
                <w:rFonts w:ascii="宋体" w:hAnsi="宋体" w:cs="宋体" w:eastAsia="宋体" w:hint="default"/>
                <w:sz w:val="18"/>
                <w:szCs w:val="18"/>
              </w:rPr>
              <w:t>集成</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11.25%</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深圳市同方多媒体科技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广东 深圳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多媒体数字音视频技术及 </w:t>
            </w:r>
            <w:r>
              <w:rPr>
                <w:rFonts w:ascii="宋体" w:hAnsi="宋体" w:cs="宋体" w:eastAsia="宋体" w:hint="default"/>
                <w:sz w:val="18"/>
                <w:szCs w:val="18"/>
              </w:rPr>
              <w:t>产品开发、销售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30,000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同方光电(香港)有限公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背光模组的开发和销售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45.00%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南通同方半导体有限公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62"/>
              <w:jc w:val="left"/>
              <w:rPr>
                <w:rFonts w:ascii="宋体" w:hAnsi="宋体" w:cs="宋体" w:eastAsia="宋体" w:hint="default"/>
                <w:sz w:val="18"/>
                <w:szCs w:val="18"/>
              </w:rPr>
            </w:pPr>
            <w:r>
              <w:rPr>
                <w:rFonts w:ascii="宋体" w:hAnsi="宋体" w:cs="宋体" w:eastAsia="宋体" w:hint="default"/>
                <w:sz w:val="18"/>
                <w:szCs w:val="18"/>
              </w:rPr>
              <w:t>高亮度发光二极管外延片、 芯片的生产和销售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50,000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99.00%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60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南通同方科技园有限公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99.00%</w:t>
            </w:r>
          </w:p>
        </w:tc>
      </w:tr>
      <w:tr>
        <w:trPr>
          <w:trHeight w:val="518"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61</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唐山晶源裕丰电子股份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阎永江</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河北 唐山</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压电石英晶体元器件的开 </w:t>
            </w:r>
            <w:r>
              <w:rPr>
                <w:rFonts w:ascii="宋体" w:hAnsi="宋体" w:cs="宋体" w:eastAsia="宋体" w:hint="default"/>
                <w:sz w:val="18"/>
                <w:szCs w:val="18"/>
              </w:rPr>
              <w:t>发、生产和销售</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13,500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25.00%</w:t>
            </w:r>
          </w:p>
        </w:tc>
      </w:tr>
    </w:tbl>
    <w:p>
      <w:pPr>
        <w:spacing w:line="240" w:lineRule="auto" w:before="0"/>
        <w:rPr>
          <w:rFonts w:ascii="Times New Roman" w:hAnsi="Times New Roman" w:cs="Times New Roman" w:eastAsia="Times New Roman" w:hint="default"/>
          <w:sz w:val="20"/>
          <w:szCs w:val="20"/>
        </w:rPr>
      </w:pPr>
    </w:p>
    <w:p>
      <w:pPr>
        <w:pStyle w:val="Heading2"/>
        <w:spacing w:line="240" w:lineRule="auto" w:before="190"/>
        <w:ind w:right="2906"/>
        <w:jc w:val="left"/>
        <w:rPr>
          <w:b w:val="0"/>
          <w:bCs w:val="0"/>
        </w:rPr>
      </w:pPr>
      <w:r>
        <w:rPr/>
        <w:t>(五)公司在技术创新和科研成果孵化方面的情况</w:t>
      </w:r>
      <w:r>
        <w:rPr>
          <w:b w:val="0"/>
          <w:bCs w:val="0"/>
        </w:rPr>
      </w:r>
    </w:p>
    <w:p>
      <w:pPr>
        <w:spacing w:after="0" w:line="240" w:lineRule="auto"/>
        <w:jc w:val="left"/>
        <w:sectPr>
          <w:pgSz w:w="11910" w:h="16840"/>
          <w:pgMar w:header="610" w:footer="764" w:top="1080" w:bottom="960" w:left="128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313" w:lineRule="exact" w:before="26"/>
        <w:ind w:right="86"/>
        <w:jc w:val="left"/>
      </w:pPr>
      <w:r>
        <w:rPr/>
        <w:t>2010</w:t>
      </w:r>
      <w:r>
        <w:rPr>
          <w:spacing w:val="-40"/>
        </w:rPr>
        <w:t> </w:t>
      </w:r>
      <w:r>
        <w:rPr/>
        <w:t>年，公司根据产业布局和长期发展规划，围绕核心业务领域继续开展了卓有成效的</w:t>
      </w:r>
    </w:p>
    <w:p>
      <w:pPr>
        <w:pStyle w:val="BodyText"/>
        <w:spacing w:line="311" w:lineRule="exact"/>
        <w:ind w:right="213"/>
        <w:jc w:val="left"/>
      </w:pPr>
      <w:r>
        <w:rPr/>
        <w:t>技术研发工作。报告期内，公司共有 100</w:t>
      </w:r>
      <w:r>
        <w:rPr>
          <w:spacing w:val="-77"/>
        </w:rPr>
        <w:t> </w:t>
      </w:r>
      <w:r>
        <w:rPr/>
        <w:t>多项大型研发项目在进行中，其中新列入国家</w:t>
      </w:r>
    </w:p>
    <w:p>
      <w:pPr>
        <w:pStyle w:val="BodyText"/>
        <w:spacing w:line="312" w:lineRule="exact"/>
        <w:ind w:right="213"/>
        <w:jc w:val="left"/>
      </w:pPr>
      <w:r>
        <w:rPr/>
        <w:t>级和省部级的科技计划项目</w:t>
      </w:r>
      <w:r>
        <w:rPr>
          <w:spacing w:val="-60"/>
        </w:rPr>
        <w:t> </w:t>
      </w:r>
      <w:r>
        <w:rPr/>
        <w:t>27</w:t>
      </w:r>
      <w:r>
        <w:rPr>
          <w:spacing w:val="-60"/>
        </w:rPr>
        <w:t> </w:t>
      </w:r>
      <w:r>
        <w:rPr/>
        <w:t>项。</w:t>
      </w:r>
    </w:p>
    <w:p>
      <w:pPr>
        <w:spacing w:line="240" w:lineRule="auto" w:before="11"/>
        <w:rPr>
          <w:rFonts w:ascii="宋体" w:hAnsi="宋体" w:cs="宋体" w:eastAsia="宋体" w:hint="default"/>
          <w:sz w:val="23"/>
          <w:szCs w:val="23"/>
        </w:rPr>
      </w:pPr>
    </w:p>
    <w:p>
      <w:pPr>
        <w:pStyle w:val="BodyText"/>
        <w:spacing w:line="237" w:lineRule="auto"/>
        <w:ind w:right="218"/>
        <w:jc w:val="both"/>
      </w:pPr>
      <w:r>
        <w:rPr>
          <w:spacing w:val="-6"/>
        </w:rPr>
        <w:t>目前正在执行的重大项目主要有：(1)国家重大科技专项“核高基”项目</w:t>
      </w:r>
      <w:r>
        <w:rPr>
          <w:spacing w:val="-49"/>
        </w:rPr>
        <w:t> </w:t>
      </w:r>
      <w:r>
        <w:rPr/>
        <w:t>4</w:t>
      </w:r>
      <w:r>
        <w:rPr>
          <w:spacing w:val="-49"/>
        </w:rPr>
        <w:t> </w:t>
      </w:r>
      <w:r>
        <w:rPr>
          <w:spacing w:val="-12"/>
        </w:rPr>
        <w:t>项：大容量</w:t>
      </w:r>
      <w:r>
        <w:rPr>
          <w:spacing w:val="-49"/>
        </w:rPr>
        <w:t> </w:t>
      </w:r>
      <w:r>
        <w:rPr/>
        <w:t>SIM</w:t>
      </w:r>
      <w:r>
        <w:rPr>
          <w:spacing w:val="-118"/>
        </w:rPr>
        <w:t> </w:t>
      </w:r>
      <w:r>
        <w:rPr>
          <w:spacing w:val="-118"/>
        </w:rPr>
      </w:r>
      <w:r>
        <w:rPr/>
        <w:t>卡芯片、数字电视 SOC</w:t>
      </w:r>
      <w:r>
        <w:rPr>
          <w:spacing w:val="-40"/>
        </w:rPr>
        <w:t> </w:t>
      </w:r>
      <w:r>
        <w:rPr/>
        <w:t>芯片设计与产业化、面向互动信息的龙芯安全适用计算机研制及</w:t>
      </w:r>
      <w:r>
        <w:rPr/>
        <w:t> 推广、支持国产计算机的固件软件；(2)国家发改委专项</w:t>
      </w:r>
      <w:r>
        <w:rPr>
          <w:spacing w:val="-79"/>
        </w:rPr>
        <w:t> </w:t>
      </w:r>
      <w:r>
        <w:rPr/>
        <w:t>5</w:t>
      </w:r>
      <w:r>
        <w:rPr>
          <w:spacing w:val="-79"/>
        </w:rPr>
        <w:t> </w:t>
      </w:r>
      <w:r>
        <w:rPr/>
        <w:t>项：基于自主可信密码模块的</w:t>
      </w:r>
      <w:r>
        <w:rPr/>
        <w:t> </w:t>
      </w:r>
      <w:r>
        <w:rPr>
          <w:spacing w:val="-1"/>
        </w:rPr>
        <w:t>可信支付终端产业化、先进特异物质检测技术产业化、高亮度发光二极管(LED)外延片及</w:t>
      </w:r>
      <w:r>
        <w:rPr/>
        <w:t> 芯片产业化、地面数字电视单频网发射机研发及产业化(地面数字电视单频网适配器)、</w:t>
      </w:r>
      <w:r>
        <w:rPr>
          <w:spacing w:val="-45"/>
        </w:rPr>
        <w:t> </w:t>
      </w:r>
      <w:r>
        <w:rPr>
          <w:spacing w:val="-45"/>
        </w:rPr>
      </w:r>
      <w:r>
        <w:rPr/>
        <w:t>年产</w:t>
      </w:r>
      <w:r>
        <w:rPr>
          <w:spacing w:val="-40"/>
        </w:rPr>
        <w:t> </w:t>
      </w:r>
      <w:r>
        <w:rPr/>
        <w:t>90</w:t>
      </w:r>
      <w:r>
        <w:rPr>
          <w:spacing w:val="-40"/>
        </w:rPr>
        <w:t> </w:t>
      </w:r>
      <w:r>
        <w:rPr/>
        <w:t>万千瓦智能高效成套水轮发电设备产业化；(3)工信部电子基金项目</w:t>
      </w:r>
      <w:r>
        <w:rPr>
          <w:spacing w:val="-40"/>
        </w:rPr>
        <w:t> </w:t>
      </w:r>
      <w:r>
        <w:rPr/>
        <w:t>6</w:t>
      </w:r>
      <w:r>
        <w:rPr>
          <w:spacing w:val="-40"/>
        </w:rPr>
        <w:t> </w:t>
      </w:r>
      <w:r>
        <w:rPr/>
        <w:t>项：高性</w:t>
      </w:r>
      <w:r>
        <w:rPr/>
        <w:t> 能网络信息安全综合防御系统研发与产业化</w:t>
      </w:r>
      <w:r>
        <w:rPr>
          <w:spacing w:val="15"/>
        </w:rPr>
        <w:t> </w:t>
      </w:r>
      <w:r>
        <w:rPr>
          <w:spacing w:val="-3"/>
        </w:rPr>
        <w:t>、液体安全检查系统产业化、高清光盘数字</w:t>
      </w:r>
      <w:r>
        <w:rPr/>
        <w:t> 版权保护系统及应用、基于 DTMB 和 DVB-C</w:t>
      </w:r>
      <w:r>
        <w:rPr>
          <w:spacing w:val="-40"/>
        </w:rPr>
        <w:t> </w:t>
      </w:r>
      <w:r>
        <w:rPr/>
        <w:t>标准数字电视信道解调单芯片、软件即服务</w:t>
      </w:r>
      <w:r>
        <w:rPr/>
        <w:t> </w:t>
      </w:r>
      <w:r>
        <w:rPr>
          <w:spacing w:val="-1"/>
        </w:rPr>
        <w:t>(SaaS)流程与规则引擎、基于自主音视频标准的视频监控系统研发及产业化；(4)省市重</w:t>
      </w:r>
      <w:r>
        <w:rPr>
          <w:spacing w:val="-117"/>
        </w:rPr>
        <w:t> </w:t>
      </w:r>
      <w:r>
        <w:rPr>
          <w:spacing w:val="-117"/>
        </w:rPr>
      </w:r>
      <w:r>
        <w:rPr/>
        <w:t>大专项 7</w:t>
      </w:r>
      <w:r>
        <w:rPr>
          <w:spacing w:val="-41"/>
        </w:rPr>
        <w:t> </w:t>
      </w:r>
      <w:r>
        <w:rPr/>
        <w:t>项：中小企业专用安全电脑研发及产业化、货物快速检查技术及应用项目、紧</w:t>
      </w:r>
      <w:r>
        <w:rPr/>
        <w:t> 凑型电袋混合烟尘净化技术成果转化、中小型锅炉 NOx</w:t>
      </w:r>
      <w:r>
        <w:rPr>
          <w:spacing w:val="-41"/>
        </w:rPr>
        <w:t> </w:t>
      </w:r>
      <w:r>
        <w:rPr/>
        <w:t>控制技术与应用示范的研究、面</w:t>
      </w:r>
      <w:r>
        <w:rPr/>
        <w:t> 向国家信息化的重点领域应用的</w:t>
      </w:r>
      <w:r>
        <w:rPr>
          <w:spacing w:val="-40"/>
        </w:rPr>
        <w:t> </w:t>
      </w:r>
      <w:r>
        <w:rPr/>
        <w:t>ezONE</w:t>
      </w:r>
      <w:r>
        <w:rPr>
          <w:spacing w:val="-40"/>
        </w:rPr>
        <w:t> </w:t>
      </w:r>
      <w:r>
        <w:rPr/>
        <w:t>业务基础平台的研发、基于</w:t>
      </w:r>
      <w:r>
        <w:rPr>
          <w:spacing w:val="-40"/>
        </w:rPr>
        <w:t> </w:t>
      </w:r>
      <w:r>
        <w:rPr/>
        <w:t>SOA</w:t>
      </w:r>
      <w:r>
        <w:rPr>
          <w:spacing w:val="-40"/>
        </w:rPr>
        <w:t> </w:t>
      </w:r>
      <w:r>
        <w:rPr/>
        <w:t>的集成制造“管</w:t>
      </w:r>
      <w:r>
        <w:rPr/>
        <w:t> 控一体化”ezIMS</w:t>
      </w:r>
      <w:r>
        <w:rPr>
          <w:spacing w:val="-60"/>
        </w:rPr>
        <w:t> </w:t>
      </w:r>
      <w:r>
        <w:rPr/>
        <w:t>系统的开发、非接触式人体安检探测技术与样机研制。</w:t>
      </w:r>
    </w:p>
    <w:p>
      <w:pPr>
        <w:spacing w:line="240" w:lineRule="auto" w:before="8"/>
        <w:rPr>
          <w:rFonts w:ascii="宋体" w:hAnsi="宋体" w:cs="宋体" w:eastAsia="宋体" w:hint="default"/>
          <w:sz w:val="23"/>
          <w:szCs w:val="23"/>
        </w:rPr>
      </w:pPr>
    </w:p>
    <w:p>
      <w:pPr>
        <w:pStyle w:val="BodyText"/>
        <w:spacing w:line="313" w:lineRule="exact"/>
        <w:ind w:right="86"/>
        <w:jc w:val="left"/>
      </w:pPr>
      <w:r>
        <w:rPr>
          <w:spacing w:val="-7"/>
        </w:rPr>
        <w:t>在知识产权方面，2010</w:t>
      </w:r>
      <w:r>
        <w:rPr>
          <w:spacing w:val="-58"/>
        </w:rPr>
        <w:t> </w:t>
      </w:r>
      <w:r>
        <w:rPr/>
        <w:t>年度公司新申请中国专利和计算机软件登记</w:t>
      </w:r>
      <w:r>
        <w:rPr>
          <w:spacing w:val="-58"/>
        </w:rPr>
        <w:t> </w:t>
      </w:r>
      <w:r>
        <w:rPr/>
        <w:t>169</w:t>
      </w:r>
      <w:r>
        <w:rPr>
          <w:spacing w:val="-58"/>
        </w:rPr>
        <w:t> </w:t>
      </w:r>
      <w:r>
        <w:rPr>
          <w:spacing w:val="-14"/>
        </w:rPr>
        <w:t>项，其中发明</w:t>
      </w:r>
      <w:r>
        <w:rPr>
          <w:spacing w:val="-58"/>
        </w:rPr>
        <w:t> </w:t>
      </w:r>
      <w:r>
        <w:rPr/>
        <w:t>105</w:t>
      </w:r>
    </w:p>
    <w:p>
      <w:pPr>
        <w:pStyle w:val="BodyText"/>
        <w:spacing w:line="311" w:lineRule="exact"/>
        <w:ind w:right="86"/>
        <w:jc w:val="left"/>
      </w:pPr>
      <w:r>
        <w:rPr/>
        <w:t>项、实用新型</w:t>
      </w:r>
      <w:r>
        <w:rPr>
          <w:spacing w:val="-51"/>
        </w:rPr>
        <w:t> </w:t>
      </w:r>
      <w:r>
        <w:rPr/>
        <w:t>53</w:t>
      </w:r>
      <w:r>
        <w:rPr>
          <w:spacing w:val="-51"/>
        </w:rPr>
        <w:t> </w:t>
      </w:r>
      <w:r>
        <w:rPr/>
        <w:t>项、外观设计</w:t>
      </w:r>
      <w:r>
        <w:rPr>
          <w:spacing w:val="-51"/>
        </w:rPr>
        <w:t> </w:t>
      </w:r>
      <w:r>
        <w:rPr/>
        <w:t>6</w:t>
      </w:r>
      <w:r>
        <w:rPr>
          <w:spacing w:val="-50"/>
        </w:rPr>
        <w:t> </w:t>
      </w:r>
      <w:r>
        <w:rPr/>
        <w:t>项、计算机软件登记</w:t>
      </w:r>
      <w:r>
        <w:rPr>
          <w:spacing w:val="-51"/>
        </w:rPr>
        <w:t> </w:t>
      </w:r>
      <w:r>
        <w:rPr/>
        <w:t>5</w:t>
      </w:r>
      <w:r>
        <w:rPr>
          <w:spacing w:val="-50"/>
        </w:rPr>
        <w:t> </w:t>
      </w:r>
      <w:r>
        <w:rPr/>
        <w:t>项。截止</w:t>
      </w:r>
      <w:r>
        <w:rPr>
          <w:spacing w:val="-51"/>
        </w:rPr>
        <w:t> </w:t>
      </w:r>
      <w:r>
        <w:rPr/>
        <w:t>2010</w:t>
      </w:r>
      <w:r>
        <w:rPr>
          <w:spacing w:val="-51"/>
        </w:rPr>
        <w:t> </w:t>
      </w:r>
      <w:r>
        <w:rPr/>
        <w:t>年底，公司共申</w:t>
      </w:r>
    </w:p>
    <w:p>
      <w:pPr>
        <w:pStyle w:val="BodyText"/>
        <w:spacing w:line="311" w:lineRule="exact"/>
        <w:ind w:right="86"/>
        <w:jc w:val="left"/>
      </w:pPr>
      <w:r>
        <w:rPr/>
        <w:t>请中国专利</w:t>
      </w:r>
      <w:r>
        <w:rPr>
          <w:spacing w:val="-64"/>
        </w:rPr>
        <w:t> </w:t>
      </w:r>
      <w:r>
        <w:rPr/>
        <w:t>1505</w:t>
      </w:r>
      <w:r>
        <w:rPr>
          <w:spacing w:val="-64"/>
        </w:rPr>
        <w:t> </w:t>
      </w:r>
      <w:r>
        <w:rPr/>
        <w:t>项，获得中国专利权</w:t>
      </w:r>
      <w:r>
        <w:rPr>
          <w:spacing w:val="-64"/>
        </w:rPr>
        <w:t> </w:t>
      </w:r>
      <w:r>
        <w:rPr/>
        <w:t>823</w:t>
      </w:r>
      <w:r>
        <w:rPr>
          <w:spacing w:val="-64"/>
        </w:rPr>
        <w:t> </w:t>
      </w:r>
      <w:r>
        <w:rPr/>
        <w:t>项，其中发明</w:t>
      </w:r>
      <w:r>
        <w:rPr>
          <w:spacing w:val="-64"/>
        </w:rPr>
        <w:t> </w:t>
      </w:r>
      <w:r>
        <w:rPr/>
        <w:t>288</w:t>
      </w:r>
      <w:r>
        <w:rPr>
          <w:spacing w:val="-64"/>
        </w:rPr>
        <w:t> </w:t>
      </w:r>
      <w:r>
        <w:rPr/>
        <w:t>项，实用新型</w:t>
      </w:r>
      <w:r>
        <w:rPr>
          <w:spacing w:val="-64"/>
        </w:rPr>
        <w:t> </w:t>
      </w:r>
      <w:r>
        <w:rPr/>
        <w:t>539</w:t>
      </w:r>
      <w:r>
        <w:rPr>
          <w:spacing w:val="-64"/>
        </w:rPr>
        <w:t> </w:t>
      </w:r>
      <w:r>
        <w:rPr>
          <w:spacing w:val="-3"/>
        </w:rPr>
        <w:t>项，外观</w:t>
      </w:r>
    </w:p>
    <w:p>
      <w:pPr>
        <w:pStyle w:val="BodyText"/>
        <w:spacing w:line="311" w:lineRule="exact"/>
        <w:ind w:right="86"/>
        <w:jc w:val="left"/>
      </w:pPr>
      <w:r>
        <w:rPr/>
        <w:t>设计</w:t>
      </w:r>
      <w:r>
        <w:rPr>
          <w:spacing w:val="-65"/>
        </w:rPr>
        <w:t> </w:t>
      </w:r>
      <w:r>
        <w:rPr/>
        <w:t>75</w:t>
      </w:r>
      <w:r>
        <w:rPr>
          <w:spacing w:val="-65"/>
        </w:rPr>
        <w:t> </w:t>
      </w:r>
      <w:r>
        <w:rPr/>
        <w:t>项；申请并获得计算机软件登记著作权</w:t>
      </w:r>
      <w:r>
        <w:rPr>
          <w:spacing w:val="-65"/>
        </w:rPr>
        <w:t> </w:t>
      </w:r>
      <w:r>
        <w:rPr/>
        <w:t>168</w:t>
      </w:r>
      <w:r>
        <w:rPr>
          <w:spacing w:val="-65"/>
        </w:rPr>
        <w:t> </w:t>
      </w:r>
      <w:r>
        <w:rPr/>
        <w:t>项。共申请涉外专利</w:t>
      </w:r>
      <w:r>
        <w:rPr>
          <w:spacing w:val="-65"/>
        </w:rPr>
        <w:t> </w:t>
      </w:r>
      <w:r>
        <w:rPr/>
        <w:t>489</w:t>
      </w:r>
      <w:r>
        <w:rPr>
          <w:spacing w:val="-65"/>
        </w:rPr>
        <w:t> </w:t>
      </w:r>
      <w:r>
        <w:rPr>
          <w:spacing w:val="-3"/>
        </w:rPr>
        <w:t>项，已获得</w:t>
      </w:r>
    </w:p>
    <w:p>
      <w:pPr>
        <w:pStyle w:val="BodyText"/>
        <w:spacing w:line="313" w:lineRule="exact"/>
        <w:ind w:right="213"/>
        <w:jc w:val="left"/>
      </w:pPr>
      <w:r>
        <w:rPr/>
        <w:t>外国发明专利权</w:t>
      </w:r>
      <w:r>
        <w:rPr>
          <w:spacing w:val="-60"/>
        </w:rPr>
        <w:t> </w:t>
      </w:r>
      <w:r>
        <w:rPr/>
        <w:t>181</w:t>
      </w:r>
      <w:r>
        <w:rPr>
          <w:spacing w:val="-60"/>
        </w:rPr>
        <w:t> </w:t>
      </w:r>
      <w:r>
        <w:rPr/>
        <w:t>项。</w:t>
      </w:r>
    </w:p>
    <w:p>
      <w:pPr>
        <w:spacing w:line="240" w:lineRule="auto" w:before="13"/>
        <w:rPr>
          <w:rFonts w:ascii="宋体" w:hAnsi="宋体" w:cs="宋体" w:eastAsia="宋体" w:hint="default"/>
          <w:sz w:val="22"/>
          <w:szCs w:val="22"/>
        </w:rPr>
      </w:pPr>
    </w:p>
    <w:p>
      <w:pPr>
        <w:pStyle w:val="Heading2"/>
        <w:spacing w:line="240" w:lineRule="auto"/>
        <w:ind w:right="213"/>
        <w:jc w:val="left"/>
        <w:rPr>
          <w:b w:val="0"/>
          <w:bCs w:val="0"/>
        </w:rPr>
      </w:pPr>
      <w:r>
        <w:rPr/>
        <w:t>(六)公司</w:t>
      </w:r>
      <w:r>
        <w:rPr>
          <w:spacing w:val="-75"/>
        </w:rPr>
        <w:t> </w:t>
      </w:r>
      <w:r>
        <w:rPr/>
        <w:t>2011</w:t>
      </w:r>
      <w:r>
        <w:rPr>
          <w:spacing w:val="-73"/>
        </w:rPr>
        <w:t> </w:t>
      </w:r>
      <w:r>
        <w:rPr/>
        <w:t>年业务展望</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right="213"/>
        <w:jc w:val="left"/>
        <w:rPr>
          <w:b w:val="0"/>
          <w:bCs w:val="0"/>
        </w:rPr>
      </w:pPr>
      <w:r>
        <w:rPr/>
        <w:t>1、2011</w:t>
      </w:r>
      <w:r>
        <w:rPr>
          <w:spacing w:val="-61"/>
        </w:rPr>
        <w:t> </w:t>
      </w:r>
      <w:r>
        <w:rPr/>
        <w:t>年经营规划</w:t>
      </w:r>
      <w:r>
        <w:rPr>
          <w:b w:val="0"/>
          <w:bCs w:val="0"/>
        </w:rPr>
      </w:r>
    </w:p>
    <w:p>
      <w:pPr>
        <w:spacing w:line="240" w:lineRule="auto" w:before="12"/>
        <w:rPr>
          <w:rFonts w:ascii="宋体" w:hAnsi="宋体" w:cs="宋体" w:eastAsia="宋体" w:hint="default"/>
          <w:b/>
          <w:bCs/>
          <w:sz w:val="25"/>
          <w:szCs w:val="25"/>
        </w:rPr>
      </w:pPr>
    </w:p>
    <w:p>
      <w:pPr>
        <w:pStyle w:val="BodyText"/>
        <w:spacing w:line="312" w:lineRule="exact"/>
        <w:ind w:right="211"/>
        <w:jc w:val="left"/>
      </w:pPr>
      <w:r>
        <w:rPr/>
        <w:t>公司在</w:t>
      </w:r>
      <w:r>
        <w:rPr>
          <w:spacing w:val="-57"/>
        </w:rPr>
        <w:t> </w:t>
      </w:r>
      <w:r>
        <w:rPr/>
        <w:t>2011</w:t>
      </w:r>
      <w:r>
        <w:rPr>
          <w:spacing w:val="-57"/>
        </w:rPr>
        <w:t> </w:t>
      </w:r>
      <w:r>
        <w:rPr>
          <w:spacing w:val="-5"/>
        </w:rPr>
        <w:t>年总体经营目标确定为：在</w:t>
      </w:r>
      <w:r>
        <w:rPr>
          <w:spacing w:val="-57"/>
        </w:rPr>
        <w:t> </w:t>
      </w:r>
      <w:r>
        <w:rPr/>
        <w:t>2010</w:t>
      </w:r>
      <w:r>
        <w:rPr>
          <w:spacing w:val="-57"/>
        </w:rPr>
        <w:t> </w:t>
      </w:r>
      <w:r>
        <w:rPr>
          <w:spacing w:val="-4"/>
        </w:rPr>
        <w:t>年销售收入基础上，保持销售收入</w:t>
      </w:r>
      <w:r>
        <w:rPr>
          <w:spacing w:val="-57"/>
        </w:rPr>
        <w:t> </w:t>
      </w:r>
      <w:r>
        <w:rPr/>
        <w:t>20～30%</w:t>
      </w:r>
      <w:r>
        <w:rPr/>
        <w:t> 的增长速度。</w:t>
      </w:r>
    </w:p>
    <w:p>
      <w:pPr>
        <w:spacing w:line="240" w:lineRule="auto" w:before="4"/>
        <w:rPr>
          <w:rFonts w:ascii="宋体" w:hAnsi="宋体" w:cs="宋体" w:eastAsia="宋体" w:hint="default"/>
          <w:sz w:val="21"/>
          <w:szCs w:val="21"/>
        </w:rPr>
      </w:pPr>
    </w:p>
    <w:p>
      <w:pPr>
        <w:pStyle w:val="Heading3"/>
        <w:spacing w:line="240" w:lineRule="auto"/>
        <w:ind w:right="213"/>
        <w:jc w:val="left"/>
        <w:rPr>
          <w:b w:val="0"/>
          <w:bCs w:val="0"/>
        </w:rPr>
      </w:pPr>
      <w:r>
        <w:rPr/>
        <w:t>2、实施的策略</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right="213"/>
        <w:jc w:val="left"/>
      </w:pPr>
      <w:r>
        <w:rPr/>
        <w:t>2011</w:t>
      </w:r>
      <w:r>
        <w:rPr>
          <w:spacing w:val="-60"/>
        </w:rPr>
        <w:t> </w:t>
      </w:r>
      <w:r>
        <w:rPr/>
        <w:t>年，将是公司把握机遇、快速发展的一年。</w:t>
      </w:r>
    </w:p>
    <w:p>
      <w:pPr>
        <w:spacing w:line="240" w:lineRule="auto" w:before="11"/>
        <w:rPr>
          <w:rFonts w:ascii="宋体" w:hAnsi="宋体" w:cs="宋体" w:eastAsia="宋体" w:hint="default"/>
          <w:sz w:val="23"/>
          <w:szCs w:val="23"/>
        </w:rPr>
      </w:pPr>
    </w:p>
    <w:p>
      <w:pPr>
        <w:pStyle w:val="BodyText"/>
        <w:spacing w:line="237" w:lineRule="auto"/>
        <w:ind w:right="86"/>
        <w:jc w:val="left"/>
      </w:pPr>
      <w:r>
        <w:rPr/>
        <w:t>2011</w:t>
      </w:r>
      <w:r>
        <w:rPr>
          <w:spacing w:val="-40"/>
        </w:rPr>
        <w:t> </w:t>
      </w:r>
      <w:r>
        <w:rPr/>
        <w:t>年是我国十二五规划实施的第一年。在十二五规划纲要中，七大战略性新兴产业再</w:t>
      </w:r>
      <w:r>
        <w:rPr/>
        <w:t> 度成为突出重点，三网融合、物联网、云计算、集成电路、高效节能关键技术装备等被</w:t>
      </w:r>
      <w:r>
        <w:rPr>
          <w:spacing w:val="-47"/>
        </w:rPr>
        <w:t> </w:t>
      </w:r>
      <w:r>
        <w:rPr>
          <w:spacing w:val="-47"/>
        </w:rPr>
      </w:r>
      <w:r>
        <w:rPr/>
        <w:t>进一步明确为新兴产业的发展重点，纲要还罗列了设立战略性新兴产业发展专项资金和</w:t>
      </w:r>
      <w:r>
        <w:rPr>
          <w:spacing w:val="-47"/>
        </w:rPr>
        <w:t> </w:t>
      </w:r>
      <w:r>
        <w:rPr>
          <w:spacing w:val="-47"/>
        </w:rPr>
      </w:r>
      <w:r>
        <w:rPr/>
        <w:t>产业投资基金、扩大政府新兴产业创业投资规模、发挥多层次资本市场融资功能等诸多</w:t>
      </w:r>
      <w:r>
        <w:rPr>
          <w:spacing w:val="-47"/>
        </w:rPr>
        <w:t> </w:t>
      </w:r>
      <w:r>
        <w:rPr>
          <w:spacing w:val="-47"/>
        </w:rPr>
      </w:r>
      <w:r>
        <w:rPr/>
        <w:t>支持新兴产业发展的举措。这都为公司业务的发展提供了良好的产业环境和巨大的市场</w:t>
      </w:r>
      <w:r>
        <w:rPr>
          <w:spacing w:val="-47"/>
        </w:rPr>
        <w:t> </w:t>
      </w:r>
      <w:r>
        <w:rPr>
          <w:spacing w:val="-47"/>
        </w:rPr>
      </w:r>
      <w:r>
        <w:rPr>
          <w:spacing w:val="-2"/>
        </w:rPr>
        <w:t>机遇。而另一方面，通胀压力持续存在，宏观调控节奏加快，经济下行的风险继续存在，</w:t>
      </w:r>
      <w:r>
        <w:rPr>
          <w:spacing w:val="-82"/>
        </w:rPr>
        <w:t> </w:t>
      </w:r>
      <w:r>
        <w:rPr>
          <w:spacing w:val="-82"/>
        </w:rPr>
      </w:r>
      <w:r>
        <w:rPr/>
        <w:t>而在国际市场，金融危机的影响尚未消除，国际局势动荡不安，这都为公司经营增添了</w:t>
      </w:r>
      <w:r>
        <w:rPr>
          <w:spacing w:val="-47"/>
        </w:rPr>
        <w:t> </w:t>
      </w:r>
      <w:r>
        <w:rPr>
          <w:spacing w:val="-47"/>
        </w:rPr>
      </w:r>
      <w:r>
        <w:rPr/>
        <w:t>不稳定因素和风险。为此，公司将继续围绕符合国家产业政策和经济发展方向的主干产</w:t>
      </w:r>
    </w:p>
    <w:p>
      <w:pPr>
        <w:spacing w:after="0" w:line="237" w:lineRule="auto"/>
        <w:jc w:val="left"/>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0"/>
        <w:jc w:val="both"/>
      </w:pPr>
      <w:r>
        <w:rPr/>
        <w:t>业实施布局，在优化升级核心产业的同时，充分利用资本市场平台，加快科技成果产业</w:t>
      </w:r>
      <w:r>
        <w:rPr>
          <w:spacing w:val="-47"/>
        </w:rPr>
        <w:t> </w:t>
      </w:r>
      <w:r>
        <w:rPr>
          <w:spacing w:val="-47"/>
        </w:rPr>
      </w:r>
      <w:r>
        <w:rPr/>
        <w:t>化步伐，实现公司健康持续的发展。</w:t>
      </w:r>
    </w:p>
    <w:p>
      <w:pPr>
        <w:spacing w:line="240" w:lineRule="auto" w:before="6"/>
        <w:rPr>
          <w:rFonts w:ascii="宋体" w:hAnsi="宋体" w:cs="宋体" w:eastAsia="宋体" w:hint="default"/>
          <w:sz w:val="21"/>
          <w:szCs w:val="21"/>
        </w:rPr>
      </w:pPr>
    </w:p>
    <w:p>
      <w:pPr>
        <w:pStyle w:val="BodyText"/>
        <w:spacing w:line="240" w:lineRule="auto"/>
        <w:ind w:right="0"/>
        <w:jc w:val="both"/>
      </w:pPr>
      <w:r>
        <w:rPr/>
        <w:t>2011</w:t>
      </w:r>
      <w:r>
        <w:rPr>
          <w:spacing w:val="-60"/>
        </w:rPr>
        <w:t> </w:t>
      </w:r>
      <w:r>
        <w:rPr/>
        <w:t>年，公司将从整体上侧重以下几个方面的工作：</w:t>
      </w:r>
    </w:p>
    <w:p>
      <w:pPr>
        <w:spacing w:line="240" w:lineRule="auto" w:before="9"/>
        <w:rPr>
          <w:rFonts w:ascii="宋体" w:hAnsi="宋体" w:cs="宋体" w:eastAsia="宋体" w:hint="default"/>
          <w:sz w:val="23"/>
          <w:szCs w:val="23"/>
        </w:rPr>
      </w:pPr>
    </w:p>
    <w:p>
      <w:pPr>
        <w:pStyle w:val="BodyText"/>
        <w:spacing w:line="237" w:lineRule="auto"/>
        <w:ind w:right="140"/>
        <w:jc w:val="both"/>
      </w:pPr>
      <w:r>
        <w:rPr/>
        <w:t>一是全面提升经营能力。目前，公司围绕核心产业的结构调整已经完成，形成了“产业</w:t>
      </w:r>
      <w:r>
        <w:rPr>
          <w:spacing w:val="-47"/>
        </w:rPr>
        <w:t> </w:t>
      </w:r>
      <w:r>
        <w:rPr>
          <w:spacing w:val="-47"/>
        </w:rPr>
      </w:r>
      <w:r>
        <w:rPr/>
        <w:t>本部+核心子公司+产业基地“的布局。2011</w:t>
      </w:r>
      <w:r>
        <w:rPr>
          <w:spacing w:val="-40"/>
        </w:rPr>
        <w:t> </w:t>
      </w:r>
      <w:r>
        <w:rPr/>
        <w:t>年，公司将进一步明晰各个产业本部的发展</w:t>
      </w:r>
      <w:r>
        <w:rPr/>
        <w:t> 方向，理顺管理、加大投入，形成以本部为单位的全面运作能力，保证其行业市场做强</w:t>
      </w:r>
      <w:r>
        <w:rPr>
          <w:spacing w:val="-47"/>
        </w:rPr>
        <w:t> </w:t>
      </w:r>
      <w:r>
        <w:rPr>
          <w:spacing w:val="-47"/>
        </w:rPr>
      </w:r>
      <w:r>
        <w:rPr/>
        <w:t>做大做精，形成核心竞争力。</w:t>
      </w:r>
    </w:p>
    <w:p>
      <w:pPr>
        <w:spacing w:line="240" w:lineRule="auto" w:before="10"/>
        <w:rPr>
          <w:rFonts w:ascii="宋体" w:hAnsi="宋体" w:cs="宋体" w:eastAsia="宋体" w:hint="default"/>
          <w:sz w:val="23"/>
          <w:szCs w:val="23"/>
        </w:rPr>
      </w:pPr>
    </w:p>
    <w:p>
      <w:pPr>
        <w:pStyle w:val="BodyText"/>
        <w:spacing w:line="237" w:lineRule="auto"/>
        <w:ind w:right="140"/>
        <w:jc w:val="both"/>
      </w:pPr>
      <w:r>
        <w:rPr/>
        <w:t>二是强化创新发展模式。公司将继续做好技术创新与企业孵化，建立健全投资机制，不</w:t>
      </w:r>
      <w:r>
        <w:rPr>
          <w:spacing w:val="-47"/>
        </w:rPr>
        <w:t> </w:t>
      </w:r>
      <w:r>
        <w:rPr>
          <w:spacing w:val="-47"/>
        </w:rPr>
      </w:r>
      <w:r>
        <w:rPr/>
        <w:t>断探索科技成果产业化新模式，并在技术研发投资合作、销售模式、国内外营销网络、</w:t>
      </w:r>
      <w:r>
        <w:rPr>
          <w:spacing w:val="-47"/>
        </w:rPr>
        <w:t> </w:t>
      </w:r>
      <w:r>
        <w:rPr>
          <w:spacing w:val="-47"/>
        </w:rPr>
      </w:r>
      <w:r>
        <w:rPr/>
        <w:t>产业链整合等方面，积极寻找适应新时期的创新发展方式，以持续的变革精神和国际化</w:t>
      </w:r>
      <w:r>
        <w:rPr>
          <w:spacing w:val="-47"/>
        </w:rPr>
        <w:t> </w:t>
      </w:r>
      <w:r>
        <w:rPr>
          <w:spacing w:val="-47"/>
        </w:rPr>
      </w:r>
      <w:r>
        <w:rPr/>
        <w:t>视角，推动产业形成技术创新和商业模式创新的多路径创新发展体系。</w:t>
      </w:r>
    </w:p>
    <w:p>
      <w:pPr>
        <w:spacing w:line="240" w:lineRule="auto" w:before="11"/>
        <w:rPr>
          <w:rFonts w:ascii="宋体" w:hAnsi="宋体" w:cs="宋体" w:eastAsia="宋体" w:hint="default"/>
          <w:sz w:val="23"/>
          <w:szCs w:val="23"/>
        </w:rPr>
      </w:pPr>
    </w:p>
    <w:p>
      <w:pPr>
        <w:pStyle w:val="BodyText"/>
        <w:spacing w:line="237" w:lineRule="auto"/>
        <w:ind w:right="140"/>
        <w:jc w:val="both"/>
      </w:pPr>
      <w:r>
        <w:rPr/>
        <w:t>三是健全集团化管理体系。目前，公司已经建立了以各产业本部经营纵深管理为主导，</w:t>
      </w:r>
      <w:r>
        <w:rPr>
          <w:spacing w:val="-47"/>
        </w:rPr>
        <w:t> </w:t>
      </w:r>
      <w:r>
        <w:rPr>
          <w:spacing w:val="-47"/>
        </w:rPr>
      </w:r>
      <w:r>
        <w:rPr/>
        <w:t>总部财务、人力资源、运营等横向管理为辅助的矩阵式管理架构。2011</w:t>
      </w:r>
      <w:r>
        <w:rPr>
          <w:spacing w:val="-40"/>
        </w:rPr>
        <w:t> </w:t>
      </w:r>
      <w:r>
        <w:rPr/>
        <w:t>年，公司将继续</w:t>
      </w:r>
      <w:r>
        <w:rPr/>
        <w:t> 优化健全这一管理模式，并通过内部管理规则和规章制度的完善，建立健全集团化管理</w:t>
      </w:r>
      <w:r>
        <w:rPr>
          <w:spacing w:val="-47"/>
        </w:rPr>
        <w:t> </w:t>
      </w:r>
      <w:r>
        <w:rPr>
          <w:spacing w:val="-47"/>
        </w:rPr>
      </w:r>
      <w:r>
        <w:rPr/>
        <w:t>体系，保证各个产业本部既独立运营，又统一调度，发挥集团整体优势，形成公司可持</w:t>
      </w:r>
      <w:r>
        <w:rPr>
          <w:spacing w:val="-47"/>
        </w:rPr>
        <w:t> </w:t>
      </w:r>
      <w:r>
        <w:rPr>
          <w:spacing w:val="-47"/>
        </w:rPr>
      </w:r>
      <w:r>
        <w:rPr/>
        <w:t>续发展的重要管理文化。</w:t>
      </w:r>
    </w:p>
    <w:p>
      <w:pPr>
        <w:spacing w:line="240" w:lineRule="auto" w:before="10"/>
        <w:rPr>
          <w:rFonts w:ascii="宋体" w:hAnsi="宋体" w:cs="宋体" w:eastAsia="宋体" w:hint="default"/>
          <w:sz w:val="23"/>
          <w:szCs w:val="23"/>
        </w:rPr>
      </w:pPr>
    </w:p>
    <w:p>
      <w:pPr>
        <w:pStyle w:val="BodyText"/>
        <w:spacing w:line="237" w:lineRule="auto"/>
        <w:ind w:right="140"/>
        <w:jc w:val="both"/>
      </w:pPr>
      <w:r>
        <w:rPr/>
        <w:t>四是加大人才储备和培养。2011</w:t>
      </w:r>
      <w:r>
        <w:rPr>
          <w:spacing w:val="-40"/>
        </w:rPr>
        <w:t> </w:t>
      </w:r>
      <w:r>
        <w:rPr/>
        <w:t>年，公司将继续坚持“以人为本“的发展策略，通过建</w:t>
      </w:r>
      <w:r>
        <w:rPr/>
        <w:t> 立人才库、干部库的方式和人才选拔机制的完善，储备人才，优化队伍；通过职能培训</w:t>
      </w:r>
      <w:r>
        <w:rPr>
          <w:spacing w:val="-47"/>
        </w:rPr>
        <w:t> </w:t>
      </w:r>
      <w:r>
        <w:rPr>
          <w:spacing w:val="-47"/>
        </w:rPr>
      </w:r>
      <w:r>
        <w:rPr/>
        <w:t>制度的建立，在各产业本部内不断培养投资、财务、运营管理等职能体系方面的专门人</w:t>
      </w:r>
      <w:r>
        <w:rPr>
          <w:spacing w:val="-47"/>
        </w:rPr>
        <w:t> </w:t>
      </w:r>
      <w:r>
        <w:rPr>
          <w:spacing w:val="-47"/>
        </w:rPr>
      </w:r>
      <w:r>
        <w:rPr/>
        <w:t>才，提高人力资源综合水平；公司还将进一步加强企业文化建设，并通过激励机制的完</w:t>
      </w:r>
      <w:r>
        <w:rPr>
          <w:spacing w:val="-47"/>
        </w:rPr>
        <w:t> </w:t>
      </w:r>
      <w:r>
        <w:rPr>
          <w:spacing w:val="-47"/>
        </w:rPr>
      </w:r>
      <w:r>
        <w:rPr/>
        <w:t>善，强化员工的归属感与责任感，形成企业凝聚力与向心力。</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t>3、主营业务展望</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40"/>
        <w:jc w:val="both"/>
      </w:pPr>
      <w:r>
        <w:rPr/>
        <w:t>2011</w:t>
      </w:r>
      <w:r>
        <w:rPr>
          <w:spacing w:val="-40"/>
        </w:rPr>
        <w:t> </w:t>
      </w:r>
      <w:r>
        <w:rPr/>
        <w:t>年，公司将把握十二五规划中支持战略性新兴产业带来的巨大市场机遇，加大产业</w:t>
      </w:r>
      <w:r>
        <w:rPr/>
        <w:t> 结构优化力度，推动关联产业之间的协同合作，沿着核心产业链不断打通上下游业务，</w:t>
      </w:r>
      <w:r>
        <w:rPr>
          <w:spacing w:val="-47"/>
        </w:rPr>
        <w:t> </w:t>
      </w:r>
      <w:r>
        <w:rPr>
          <w:spacing w:val="-47"/>
        </w:rPr>
      </w:r>
      <w:r>
        <w:rPr/>
        <w:t>拓展和深化经营，实现快速发展。未来，公司将在以下几个方面重点投入：</w:t>
      </w:r>
    </w:p>
    <w:p>
      <w:pPr>
        <w:spacing w:line="240" w:lineRule="auto" w:before="8"/>
        <w:rPr>
          <w:rFonts w:ascii="宋体" w:hAnsi="宋体" w:cs="宋体" w:eastAsia="宋体" w:hint="default"/>
          <w:sz w:val="23"/>
          <w:szCs w:val="23"/>
        </w:rPr>
      </w:pPr>
    </w:p>
    <w:p>
      <w:pPr>
        <w:pStyle w:val="BodyText"/>
        <w:spacing w:line="240" w:lineRule="auto"/>
        <w:ind w:right="0"/>
        <w:jc w:val="both"/>
      </w:pPr>
      <w:r>
        <w:rPr/>
        <w:t>(1)立足高端</w:t>
      </w:r>
      <w:r>
        <w:rPr>
          <w:spacing w:val="-60"/>
        </w:rPr>
        <w:t> </w:t>
      </w:r>
      <w:r>
        <w:rPr/>
        <w:t>LED</w:t>
      </w:r>
      <w:r>
        <w:rPr>
          <w:spacing w:val="-60"/>
        </w:rPr>
        <w:t> </w:t>
      </w:r>
      <w:r>
        <w:rPr/>
        <w:t>芯片，确保产能如期释放</w:t>
      </w:r>
    </w:p>
    <w:p>
      <w:pPr>
        <w:spacing w:line="240" w:lineRule="auto" w:before="11"/>
        <w:rPr>
          <w:rFonts w:ascii="宋体" w:hAnsi="宋体" w:cs="宋体" w:eastAsia="宋体" w:hint="default"/>
          <w:sz w:val="23"/>
          <w:szCs w:val="23"/>
        </w:rPr>
      </w:pPr>
    </w:p>
    <w:p>
      <w:pPr>
        <w:pStyle w:val="BodyText"/>
        <w:spacing w:line="237" w:lineRule="auto"/>
        <w:ind w:right="140"/>
        <w:jc w:val="both"/>
      </w:pPr>
      <w:r>
        <w:rPr/>
        <w:t>2011</w:t>
      </w:r>
      <w:r>
        <w:rPr>
          <w:spacing w:val="-40"/>
        </w:rPr>
        <w:t> </w:t>
      </w:r>
      <w:r>
        <w:rPr/>
        <w:t>年，公司将加大研发投入力度，实施新技术和新工艺引进改造，提高芯片良品率和</w:t>
      </w:r>
      <w:r>
        <w:rPr/>
        <w:t> 发光效率，力争高端</w:t>
      </w:r>
      <w:r>
        <w:rPr>
          <w:spacing w:val="-40"/>
        </w:rPr>
        <w:t> </w:t>
      </w:r>
      <w:r>
        <w:rPr/>
        <w:t>LED</w:t>
      </w:r>
      <w:r>
        <w:rPr>
          <w:spacing w:val="-40"/>
        </w:rPr>
        <w:t> </w:t>
      </w:r>
      <w:r>
        <w:rPr/>
        <w:t>芯片达到国际先进水平，同时加大对垂直结构工艺</w:t>
      </w:r>
      <w:r>
        <w:rPr>
          <w:spacing w:val="-40"/>
        </w:rPr>
        <w:t> </w:t>
      </w:r>
      <w:r>
        <w:rPr/>
        <w:t>LED</w:t>
      </w:r>
      <w:r>
        <w:rPr>
          <w:spacing w:val="-40"/>
        </w:rPr>
        <w:t> </w:t>
      </w:r>
      <w:r>
        <w:rPr/>
        <w:t>芯片的</w:t>
      </w:r>
      <w:r>
        <w:rPr/>
        <w:t> 量产工艺和生产线建设的投入，在此基础上，加快南通半导体产业基地的建设，确保产</w:t>
      </w:r>
      <w:r>
        <w:rPr>
          <w:spacing w:val="-47"/>
        </w:rPr>
        <w:t> </w:t>
      </w:r>
      <w:r>
        <w:rPr>
          <w:spacing w:val="-47"/>
        </w:rPr>
      </w:r>
      <w:r>
        <w:rPr/>
        <w:t>能如期释放。</w:t>
      </w:r>
    </w:p>
    <w:p>
      <w:pPr>
        <w:spacing w:line="240" w:lineRule="auto" w:before="8"/>
        <w:rPr>
          <w:rFonts w:ascii="宋体" w:hAnsi="宋体" w:cs="宋体" w:eastAsia="宋体" w:hint="default"/>
          <w:sz w:val="23"/>
          <w:szCs w:val="23"/>
        </w:rPr>
      </w:pPr>
    </w:p>
    <w:p>
      <w:pPr>
        <w:pStyle w:val="BodyText"/>
        <w:spacing w:line="240" w:lineRule="auto"/>
        <w:ind w:right="0"/>
        <w:jc w:val="both"/>
      </w:pPr>
      <w:r>
        <w:rPr/>
        <w:t>(2)顺应国家节能战略，大力发展节能业务</w:t>
      </w:r>
    </w:p>
    <w:p>
      <w:pPr>
        <w:spacing w:line="240" w:lineRule="auto" w:before="11"/>
        <w:rPr>
          <w:rFonts w:ascii="宋体" w:hAnsi="宋体" w:cs="宋体" w:eastAsia="宋体" w:hint="default"/>
          <w:sz w:val="25"/>
          <w:szCs w:val="25"/>
        </w:rPr>
      </w:pPr>
    </w:p>
    <w:p>
      <w:pPr>
        <w:pStyle w:val="BodyText"/>
        <w:spacing w:line="312" w:lineRule="exact"/>
        <w:ind w:right="143"/>
        <w:jc w:val="both"/>
      </w:pPr>
      <w:r>
        <w:rPr/>
        <w:t>2011</w:t>
      </w:r>
      <w:r>
        <w:rPr>
          <w:spacing w:val="-40"/>
        </w:rPr>
        <w:t> </w:t>
      </w:r>
      <w:r>
        <w:rPr/>
        <w:t>年，公司将积极把握“节能低碳”带来的市场机遇，充分利用公司在楼宇、城市热</w:t>
      </w:r>
      <w:r>
        <w:rPr/>
        <w:t> </w:t>
      </w:r>
      <w:r>
        <w:rPr>
          <w:spacing w:val="-5"/>
        </w:rPr>
        <w:t>网、LED</w:t>
      </w:r>
      <w:r>
        <w:rPr>
          <w:spacing w:val="-32"/>
        </w:rPr>
        <w:t> </w:t>
      </w:r>
      <w:r>
        <w:rPr>
          <w:spacing w:val="-4"/>
        </w:rPr>
        <w:t>照明、热泵、余热回用等方面的技术领先优势，通过合同能源管理、能源托管服</w:t>
      </w:r>
      <w:r>
        <w:rPr/>
      </w:r>
    </w:p>
    <w:p>
      <w:pPr>
        <w:spacing w:after="0" w:line="312" w:lineRule="exact"/>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0"/>
        <w:jc w:val="left"/>
      </w:pPr>
      <w:r>
        <w:rPr>
          <w:spacing w:val="-2"/>
        </w:rPr>
        <w:t>务、节能总包等多种新兴商业模式的应用，将业务领域从建筑物节能拓展到“城市节能”</w:t>
      </w:r>
      <w:r>
        <w:rPr>
          <w:spacing w:val="-84"/>
        </w:rPr>
        <w:t> </w:t>
      </w:r>
      <w:r>
        <w:rPr>
          <w:spacing w:val="-84"/>
        </w:rPr>
      </w:r>
      <w:r>
        <w:rPr/>
        <w:t>层面，并积极参与各级城镇的能源规划与环境规划，全面参与城市的各项节能工程实施</w:t>
      </w:r>
      <w:r>
        <w:rPr>
          <w:spacing w:val="-47"/>
        </w:rPr>
        <w:t> </w:t>
      </w:r>
      <w:r>
        <w:rPr>
          <w:spacing w:val="-47"/>
        </w:rPr>
      </w:r>
      <w:r>
        <w:rPr/>
        <w:t>与改造，实现业务规模的迅速提升。</w:t>
      </w:r>
    </w:p>
    <w:p>
      <w:pPr>
        <w:spacing w:line="240" w:lineRule="auto" w:before="6"/>
        <w:rPr>
          <w:rFonts w:ascii="宋体" w:hAnsi="宋体" w:cs="宋体" w:eastAsia="宋体" w:hint="default"/>
          <w:sz w:val="21"/>
          <w:szCs w:val="21"/>
        </w:rPr>
      </w:pPr>
    </w:p>
    <w:p>
      <w:pPr>
        <w:pStyle w:val="BodyText"/>
        <w:spacing w:line="240" w:lineRule="auto"/>
        <w:ind w:left="238" w:right="247"/>
        <w:jc w:val="left"/>
      </w:pPr>
      <w:r>
        <w:rPr/>
        <w:t>(3)把握银行卡“换芯”机遇，实现在金融支付领域的扩张</w:t>
      </w:r>
    </w:p>
    <w:p>
      <w:pPr>
        <w:spacing w:line="240" w:lineRule="auto" w:before="11"/>
        <w:rPr>
          <w:rFonts w:ascii="宋体" w:hAnsi="宋体" w:cs="宋体" w:eastAsia="宋体" w:hint="default"/>
          <w:sz w:val="23"/>
          <w:szCs w:val="23"/>
        </w:rPr>
      </w:pPr>
    </w:p>
    <w:p>
      <w:pPr>
        <w:pStyle w:val="BodyText"/>
        <w:spacing w:line="237" w:lineRule="auto"/>
        <w:ind w:left="238" w:right="280"/>
        <w:jc w:val="both"/>
      </w:pPr>
      <w:r>
        <w:rPr>
          <w:spacing w:val="20"/>
        </w:rPr>
        <w:t>2011年3</w:t>
      </w:r>
      <w:r>
        <w:rPr>
          <w:spacing w:val="-58"/>
        </w:rPr>
        <w:t> </w:t>
      </w:r>
      <w:r>
        <w:rPr>
          <w:spacing w:val="-6"/>
        </w:rPr>
        <w:t>月，央行发布了《关于推进金融</w:t>
      </w:r>
      <w:r>
        <w:rPr>
          <w:spacing w:val="-59"/>
        </w:rPr>
        <w:t> </w:t>
      </w:r>
      <w:r>
        <w:rPr>
          <w:spacing w:val="-1"/>
        </w:rPr>
        <w:t>IC</w:t>
      </w:r>
      <w:r>
        <w:rPr>
          <w:spacing w:val="-59"/>
        </w:rPr>
        <w:t> </w:t>
      </w:r>
      <w:r>
        <w:rPr>
          <w:spacing w:val="-13"/>
        </w:rPr>
        <w:t>卡应用工作的意见》，要求在</w:t>
      </w:r>
      <w:r>
        <w:rPr>
          <w:spacing w:val="-58"/>
        </w:rPr>
        <w:t> </w:t>
      </w:r>
      <w:r>
        <w:rPr/>
        <w:t>2015</w:t>
      </w:r>
      <w:r>
        <w:rPr>
          <w:spacing w:val="-58"/>
        </w:rPr>
        <w:t> </w:t>
      </w:r>
      <w:r>
        <w:rPr/>
        <w:t>年之前所</w:t>
      </w:r>
      <w:r>
        <w:rPr/>
        <w:t> 有银行卡均更换为芯片卡。为此，公司将把握这一市场机遇，加大对金融支付类芯片的</w:t>
      </w:r>
      <w:r>
        <w:rPr>
          <w:spacing w:val="-47"/>
        </w:rPr>
        <w:t> </w:t>
      </w:r>
      <w:r>
        <w:rPr>
          <w:spacing w:val="-47"/>
        </w:rPr>
      </w:r>
      <w:r>
        <w:rPr/>
        <w:t>的研发和推广力度，进一步完善包括银行卡芯片、社会保障卡芯片、移动支付芯片、金</w:t>
      </w:r>
      <w:r>
        <w:rPr>
          <w:spacing w:val="-47"/>
        </w:rPr>
        <w:t> </w:t>
      </w:r>
      <w:r>
        <w:rPr>
          <w:spacing w:val="-47"/>
        </w:rPr>
      </w:r>
      <w:r>
        <w:rPr/>
        <w:t>融</w:t>
      </w:r>
      <w:r>
        <w:rPr>
          <w:spacing w:val="-50"/>
        </w:rPr>
        <w:t> </w:t>
      </w:r>
      <w:r>
        <w:rPr/>
        <w:t>IC</w:t>
      </w:r>
      <w:r>
        <w:rPr>
          <w:spacing w:val="-50"/>
        </w:rPr>
        <w:t> </w:t>
      </w:r>
      <w:r>
        <w:rPr>
          <w:spacing w:val="-3"/>
        </w:rPr>
        <w:t>卡读写机具芯片等在内的金融支付芯片的产品系列，实现在金融支付领域的市场份</w:t>
      </w:r>
      <w:r>
        <w:rPr>
          <w:spacing w:val="-111"/>
        </w:rPr>
        <w:t> </w:t>
      </w:r>
      <w:r>
        <w:rPr>
          <w:spacing w:val="-111"/>
        </w:rPr>
      </w:r>
      <w:r>
        <w:rPr/>
        <w:t>额提升。</w:t>
      </w:r>
    </w:p>
    <w:p>
      <w:pPr>
        <w:spacing w:line="240" w:lineRule="auto" w:before="8"/>
        <w:rPr>
          <w:rFonts w:ascii="宋体" w:hAnsi="宋体" w:cs="宋体" w:eastAsia="宋体" w:hint="default"/>
          <w:sz w:val="23"/>
          <w:szCs w:val="23"/>
        </w:rPr>
      </w:pPr>
    </w:p>
    <w:p>
      <w:pPr>
        <w:pStyle w:val="BodyText"/>
        <w:spacing w:line="240" w:lineRule="auto"/>
        <w:ind w:left="238" w:right="247"/>
        <w:jc w:val="left"/>
      </w:pPr>
      <w:r>
        <w:rPr/>
        <w:t>(4)面向城市运行体征管理，物联网业务实现从概念到运营</w:t>
      </w:r>
    </w:p>
    <w:p>
      <w:pPr>
        <w:spacing w:line="240" w:lineRule="auto" w:before="11"/>
        <w:rPr>
          <w:rFonts w:ascii="宋体" w:hAnsi="宋体" w:cs="宋体" w:eastAsia="宋体" w:hint="default"/>
          <w:sz w:val="23"/>
          <w:szCs w:val="23"/>
        </w:rPr>
      </w:pPr>
    </w:p>
    <w:p>
      <w:pPr>
        <w:pStyle w:val="BodyText"/>
        <w:spacing w:line="237" w:lineRule="auto"/>
        <w:ind w:left="238" w:right="280"/>
        <w:jc w:val="both"/>
      </w:pPr>
      <w:r>
        <w:rPr/>
        <w:t>目前，公司在物联网产业领域推出了以“城市运行体征”应用为概念的发展方向，依托</w:t>
      </w:r>
      <w:r>
        <w:rPr>
          <w:spacing w:val="-47"/>
        </w:rPr>
        <w:t> </w:t>
      </w:r>
      <w:r>
        <w:rPr>
          <w:spacing w:val="-47"/>
        </w:rPr>
      </w:r>
      <w:r>
        <w:rPr/>
        <w:t>M2M</w:t>
      </w:r>
      <w:r>
        <w:rPr>
          <w:spacing w:val="-63"/>
        </w:rPr>
        <w:t> </w:t>
      </w:r>
      <w:r>
        <w:rPr/>
        <w:t>和</w:t>
      </w:r>
      <w:r>
        <w:rPr>
          <w:spacing w:val="-63"/>
        </w:rPr>
        <w:t> </w:t>
      </w:r>
      <w:r>
        <w:rPr/>
        <w:t>ezONE</w:t>
      </w:r>
      <w:r>
        <w:rPr>
          <w:spacing w:val="-63"/>
        </w:rPr>
        <w:t> </w:t>
      </w:r>
      <w:r>
        <w:rPr>
          <w:spacing w:val="-4"/>
        </w:rPr>
        <w:t>业务平台，对安监、环保、水利、交通、民政、农业、城管、应急等城市运</w:t>
      </w:r>
      <w:r>
        <w:rPr>
          <w:spacing w:val="-1"/>
        </w:rPr>
        <w:t> </w:t>
      </w:r>
      <w:r>
        <w:rPr/>
        <w:t>行状况进行的综合监控、监测、数据分析进行城市管理和应急指导，此概念得到了市场</w:t>
      </w:r>
      <w:r>
        <w:rPr>
          <w:spacing w:val="-47"/>
        </w:rPr>
        <w:t> </w:t>
      </w:r>
      <w:r>
        <w:rPr>
          <w:spacing w:val="-47"/>
        </w:rPr>
      </w:r>
      <w:r>
        <w:rPr/>
        <w:t>的认同。随着国家物联网产业政策持续支持和推动，2011</w:t>
      </w:r>
      <w:r>
        <w:rPr>
          <w:spacing w:val="-40"/>
        </w:rPr>
        <w:t> </w:t>
      </w:r>
      <w:r>
        <w:rPr/>
        <w:t>年公司将集中精力在优势领域</w:t>
      </w:r>
      <w:r>
        <w:rPr/>
        <w:t> 深入挖掘，建立健全行之有效的销售渠道体系，实现产业从概念到运营的跨越性发展。</w:t>
      </w:r>
    </w:p>
    <w:p>
      <w:pPr>
        <w:spacing w:line="240" w:lineRule="auto" w:before="1"/>
        <w:rPr>
          <w:rFonts w:ascii="宋体" w:hAnsi="宋体" w:cs="宋体" w:eastAsia="宋体" w:hint="default"/>
          <w:sz w:val="23"/>
          <w:szCs w:val="23"/>
        </w:rPr>
      </w:pPr>
    </w:p>
    <w:p>
      <w:pPr>
        <w:spacing w:line="460" w:lineRule="auto" w:before="0"/>
        <w:ind w:left="238" w:right="4426" w:firstLine="0"/>
        <w:jc w:val="left"/>
        <w:rPr>
          <w:rFonts w:ascii="宋体" w:hAnsi="宋体" w:cs="宋体" w:eastAsia="宋体" w:hint="default"/>
          <w:sz w:val="24"/>
          <w:szCs w:val="24"/>
        </w:rPr>
      </w:pPr>
      <w:r>
        <w:rPr>
          <w:rFonts w:ascii="宋体" w:hAnsi="宋体" w:cs="宋体" w:eastAsia="宋体" w:hint="default"/>
          <w:b/>
          <w:bCs/>
          <w:sz w:val="28"/>
          <w:szCs w:val="28"/>
        </w:rPr>
        <w:t>(七)董事会日常工作情况</w:t>
      </w:r>
      <w:r>
        <w:rPr>
          <w:rFonts w:ascii="宋体" w:hAnsi="宋体" w:cs="宋体" w:eastAsia="宋体" w:hint="default"/>
          <w:b/>
          <w:bCs/>
          <w:spacing w:val="1"/>
          <w:w w:val="99"/>
          <w:sz w:val="28"/>
          <w:szCs w:val="28"/>
        </w:rPr>
        <w:t> </w:t>
      </w:r>
      <w:r>
        <w:rPr>
          <w:rFonts w:ascii="宋体" w:hAnsi="宋体" w:cs="宋体" w:eastAsia="宋体" w:hint="default"/>
          <w:b/>
          <w:bCs/>
          <w:sz w:val="24"/>
          <w:szCs w:val="24"/>
        </w:rPr>
        <w:t>1、董事会会议简述</w:t>
      </w:r>
      <w:r>
        <w:rPr>
          <w:rFonts w:ascii="宋体" w:hAnsi="宋体" w:cs="宋体" w:eastAsia="宋体" w:hint="default"/>
          <w:b/>
          <w:bCs/>
          <w:spacing w:val="1"/>
          <w:w w:val="99"/>
          <w:sz w:val="24"/>
          <w:szCs w:val="24"/>
        </w:rPr>
        <w:t> </w:t>
      </w:r>
      <w:r>
        <w:rPr>
          <w:rFonts w:ascii="宋体" w:hAnsi="宋体" w:cs="宋体" w:eastAsia="宋体" w:hint="default"/>
          <w:sz w:val="24"/>
          <w:szCs w:val="24"/>
        </w:rPr>
        <w:t>本报告年度共召开董事会十四次，主要情况为：</w:t>
      </w:r>
    </w:p>
    <w:p>
      <w:pPr>
        <w:spacing w:line="240" w:lineRule="auto" w:before="8"/>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989"/>
        <w:gridCol w:w="1980"/>
        <w:gridCol w:w="2520"/>
        <w:gridCol w:w="1965"/>
      </w:tblGrid>
      <w:tr>
        <w:trPr>
          <w:trHeight w:val="295" w:hRule="exact"/>
        </w:trPr>
        <w:tc>
          <w:tcPr>
            <w:tcW w:w="298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董事会会议届次</w:t>
            </w:r>
            <w:r>
              <w:rPr>
                <w:rFonts w:ascii="宋体" w:hAnsi="宋体" w:cs="宋体" w:eastAsia="宋体" w:hint="default"/>
                <w:sz w:val="21"/>
                <w:szCs w:val="21"/>
              </w:rPr>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信息披露报纸</w:t>
            </w:r>
            <w:r>
              <w:rPr>
                <w:rFonts w:ascii="宋体" w:hAnsi="宋体" w:cs="宋体" w:eastAsia="宋体" w:hint="default"/>
                <w:sz w:val="21"/>
                <w:szCs w:val="21"/>
              </w:rPr>
            </w:r>
          </w:p>
        </w:tc>
        <w:tc>
          <w:tcPr>
            <w:tcW w:w="196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28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第四届董事会第三十五次会议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第四届董事会第三十六次会议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第四届董事会第三十七次会议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第四届董事会第三十八次会议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第五届董事会第一次会议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第五届董事会第二次会议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第五届董事会第三次会议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第五届董事会第四次会议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第五届董事会第五次会议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第五届董事会第六次会议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第五届董事会第七次会议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第五届董事会第八次会议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34" w:hRule="exact"/>
        </w:trPr>
        <w:tc>
          <w:tcPr>
            <w:tcW w:w="29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第五届董事会第十次会议</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18"/>
          <w:szCs w:val="18"/>
        </w:rPr>
      </w:pPr>
    </w:p>
    <w:p>
      <w:pPr>
        <w:pStyle w:val="Heading3"/>
        <w:spacing w:line="240" w:lineRule="auto" w:before="26"/>
        <w:ind w:left="238" w:right="247"/>
        <w:jc w:val="left"/>
        <w:rPr>
          <w:b w:val="0"/>
          <w:bCs w:val="0"/>
        </w:rPr>
      </w:pPr>
      <w:r>
        <w:rPr/>
        <w:t>2、董事会履行股东大会决议、执行股东大会授权情况说明</w:t>
      </w:r>
      <w:r>
        <w:rPr>
          <w:b w:val="0"/>
          <w:bCs w:val="0"/>
        </w:rPr>
      </w:r>
    </w:p>
    <w:p>
      <w:pPr>
        <w:spacing w:after="0" w:line="240" w:lineRule="auto"/>
        <w:jc w:val="left"/>
        <w:sectPr>
          <w:pgSz w:w="11910" w:h="16840"/>
          <w:pgMar w:header="610" w:footer="764" w:top="1080" w:bottom="960" w:left="1180" w:right="10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312" w:lineRule="exact" w:before="26"/>
        <w:ind w:right="0"/>
        <w:jc w:val="both"/>
      </w:pPr>
      <w:r>
        <w:rPr/>
        <w:t>(1)</w:t>
      </w:r>
      <w:r>
        <w:rPr>
          <w:spacing w:val="1"/>
        </w:rPr>
        <w:t> </w:t>
      </w:r>
      <w:r>
        <w:rPr/>
        <w:t>根据</w:t>
      </w:r>
      <w:r>
        <w:rPr>
          <w:spacing w:val="-65"/>
        </w:rPr>
        <w:t> </w:t>
      </w:r>
      <w:r>
        <w:rPr>
          <w:spacing w:val="23"/>
        </w:rPr>
        <w:t>2009年8月</w:t>
      </w:r>
      <w:r>
        <w:rPr>
          <w:spacing w:val="-65"/>
        </w:rPr>
        <w:t> </w:t>
      </w:r>
      <w:r>
        <w:rPr/>
        <w:t>31</w:t>
      </w:r>
      <w:r>
        <w:rPr>
          <w:spacing w:val="-65"/>
        </w:rPr>
        <w:t> </w:t>
      </w:r>
      <w:r>
        <w:rPr/>
        <w:t>日召开的</w:t>
      </w:r>
      <w:r>
        <w:rPr>
          <w:spacing w:val="-65"/>
        </w:rPr>
        <w:t> </w:t>
      </w:r>
      <w:r>
        <w:rPr/>
        <w:t>2009</w:t>
      </w:r>
      <w:r>
        <w:rPr>
          <w:spacing w:val="-65"/>
        </w:rPr>
        <w:t> </w:t>
      </w:r>
      <w:r>
        <w:rPr/>
        <w:t>年第一次临时股东大会审议通过的发行股份购买</w:t>
      </w:r>
    </w:p>
    <w:p>
      <w:pPr>
        <w:pStyle w:val="BodyText"/>
        <w:spacing w:line="311" w:lineRule="exact"/>
        <w:ind w:right="0"/>
        <w:jc w:val="both"/>
      </w:pPr>
      <w:r>
        <w:rPr/>
        <w:t>资产方案，公司向中国证监会报送了发行股份购买资产申请文件，并于</w:t>
      </w:r>
      <w:r>
        <w:rPr>
          <w:spacing w:val="-57"/>
        </w:rPr>
        <w:t> </w:t>
      </w:r>
      <w:r>
        <w:rPr/>
        <w:t>2009</w:t>
      </w:r>
      <w:r>
        <w:rPr>
          <w:spacing w:val="-57"/>
        </w:rPr>
        <w:t> </w:t>
      </w:r>
      <w:r>
        <w:rPr/>
        <w:t>年</w:t>
      </w:r>
      <w:r>
        <w:rPr>
          <w:spacing w:val="-56"/>
        </w:rPr>
        <w:t> </w:t>
      </w:r>
      <w:r>
        <w:rPr/>
        <w:t>12</w:t>
      </w:r>
      <w:r>
        <w:rPr>
          <w:spacing w:val="-57"/>
        </w:rPr>
        <w:t> </w:t>
      </w:r>
      <w:r>
        <w:rPr/>
        <w:t>月</w:t>
      </w:r>
      <w:r>
        <w:rPr>
          <w:spacing w:val="-56"/>
        </w:rPr>
        <w:t> </w:t>
      </w:r>
      <w:r>
        <w:rPr/>
        <w:t>31</w:t>
      </w:r>
    </w:p>
    <w:p>
      <w:pPr>
        <w:pStyle w:val="BodyText"/>
        <w:spacing w:line="237" w:lineRule="auto" w:before="1"/>
        <w:ind w:right="222"/>
        <w:jc w:val="both"/>
      </w:pPr>
      <w:r>
        <w:rPr/>
        <w:t>日通过中国证监会上市公司并购重组审核委员会</w:t>
      </w:r>
      <w:r>
        <w:rPr>
          <w:spacing w:val="-40"/>
        </w:rPr>
        <w:t> </w:t>
      </w:r>
      <w:r>
        <w:rPr/>
        <w:t>2009</w:t>
      </w:r>
      <w:r>
        <w:rPr>
          <w:spacing w:val="-40"/>
        </w:rPr>
        <w:t> </w:t>
      </w:r>
      <w:r>
        <w:rPr/>
        <w:t>年第</w:t>
      </w:r>
      <w:r>
        <w:rPr>
          <w:spacing w:val="-40"/>
        </w:rPr>
        <w:t> </w:t>
      </w:r>
      <w:r>
        <w:rPr/>
        <w:t>43</w:t>
      </w:r>
      <w:r>
        <w:rPr>
          <w:spacing w:val="-40"/>
        </w:rPr>
        <w:t> </w:t>
      </w:r>
      <w:r>
        <w:rPr/>
        <w:t>次工作会议审核并获得有</w:t>
      </w:r>
      <w:r>
        <w:rPr/>
        <w:t> </w:t>
      </w:r>
      <w:r>
        <w:rPr>
          <w:spacing w:val="12"/>
        </w:rPr>
        <w:t>条件通过。2010年3月</w:t>
      </w:r>
      <w:r>
        <w:rPr>
          <w:spacing w:val="-53"/>
        </w:rPr>
        <w:t> </w:t>
      </w:r>
      <w:r>
        <w:rPr/>
        <w:t>29</w:t>
      </w:r>
      <w:r>
        <w:rPr>
          <w:spacing w:val="-53"/>
        </w:rPr>
        <w:t> </w:t>
      </w:r>
      <w:r>
        <w:rPr>
          <w:spacing w:val="-3"/>
        </w:rPr>
        <w:t>日，公司已经获得中国证监会《关于核准同方股份有限公司向</w:t>
      </w:r>
      <w:r>
        <w:rPr/>
        <w:t> </w:t>
      </w:r>
      <w:r>
        <w:rPr>
          <w:spacing w:val="-3"/>
        </w:rPr>
        <w:t>唐山晶源科技有限公司发行股份购买资产的批复》(证监许可〔2010〕320</w:t>
      </w:r>
      <w:r>
        <w:rPr>
          <w:spacing w:val="-50"/>
        </w:rPr>
        <w:t> </w:t>
      </w:r>
      <w:r>
        <w:rPr>
          <w:spacing w:val="-4"/>
        </w:rPr>
        <w:t>号)。2010</w:t>
      </w:r>
      <w:r>
        <w:rPr>
          <w:spacing w:val="-50"/>
        </w:rPr>
        <w:t> </w:t>
      </w:r>
      <w:r>
        <w:rPr/>
        <w:t>年</w:t>
      </w:r>
      <w:r>
        <w:rPr>
          <w:spacing w:val="-50"/>
        </w:rPr>
        <w:t> </w:t>
      </w:r>
      <w:r>
        <w:rPr/>
        <w:t>6</w:t>
      </w:r>
      <w:r>
        <w:rPr>
          <w:spacing w:val="-118"/>
        </w:rPr>
        <w:t> </w:t>
      </w:r>
      <w:r>
        <w:rPr>
          <w:spacing w:val="-118"/>
        </w:rPr>
      </w:r>
      <w:r>
        <w:rPr/>
        <w:t>月 28</w:t>
      </w:r>
      <w:r>
        <w:rPr>
          <w:spacing w:val="-77"/>
        </w:rPr>
        <w:t> </w:t>
      </w:r>
      <w:r>
        <w:rPr/>
        <w:t>日，公司受让唐山晶源科技有限公司持有的唐山晶源裕丰电子股份有限公司(公司</w:t>
      </w:r>
    </w:p>
    <w:p>
      <w:pPr>
        <w:pStyle w:val="BodyText"/>
        <w:spacing w:line="310" w:lineRule="exact"/>
        <w:ind w:right="0"/>
        <w:jc w:val="both"/>
      </w:pPr>
      <w:r>
        <w:rPr/>
        <w:t>简称晶源电子，股票代码</w:t>
      </w:r>
      <w:r>
        <w:rPr>
          <w:spacing w:val="-58"/>
        </w:rPr>
        <w:t> </w:t>
      </w:r>
      <w:r>
        <w:rPr/>
        <w:t>002049)3,375</w:t>
      </w:r>
      <w:r>
        <w:rPr>
          <w:spacing w:val="-58"/>
        </w:rPr>
        <w:t> </w:t>
      </w:r>
      <w:r>
        <w:rPr/>
        <w:t>万股完成过户登记手续。2010</w:t>
      </w:r>
      <w:r>
        <w:rPr>
          <w:spacing w:val="-58"/>
        </w:rPr>
        <w:t> </w:t>
      </w:r>
      <w:r>
        <w:rPr/>
        <w:t>年</w:t>
      </w:r>
      <w:r>
        <w:rPr>
          <w:spacing w:val="-58"/>
        </w:rPr>
        <w:t> </w:t>
      </w:r>
      <w:r>
        <w:rPr/>
        <w:t>7</w:t>
      </w:r>
      <w:r>
        <w:rPr>
          <w:spacing w:val="-57"/>
        </w:rPr>
        <w:t> </w:t>
      </w:r>
      <w:r>
        <w:rPr/>
        <w:t>月</w:t>
      </w:r>
      <w:r>
        <w:rPr>
          <w:spacing w:val="-57"/>
        </w:rPr>
        <w:t> </w:t>
      </w:r>
      <w:r>
        <w:rPr/>
        <w:t>21</w:t>
      </w:r>
      <w:r>
        <w:rPr>
          <w:spacing w:val="-57"/>
        </w:rPr>
        <w:t> </w:t>
      </w:r>
      <w:r>
        <w:rPr/>
        <w:t>日，公</w:t>
      </w:r>
    </w:p>
    <w:p>
      <w:pPr>
        <w:pStyle w:val="BodyText"/>
        <w:spacing w:line="313" w:lineRule="exact"/>
        <w:ind w:right="0"/>
        <w:jc w:val="both"/>
      </w:pPr>
      <w:r>
        <w:rPr/>
        <w:t>司向晶源科技发行的</w:t>
      </w:r>
      <w:r>
        <w:rPr>
          <w:spacing w:val="-60"/>
        </w:rPr>
        <w:t> </w:t>
      </w:r>
      <w:r>
        <w:rPr/>
        <w:t>1,688</w:t>
      </w:r>
      <w:r>
        <w:rPr>
          <w:spacing w:val="-60"/>
        </w:rPr>
        <w:t> </w:t>
      </w:r>
      <w:r>
        <w:rPr/>
        <w:t>万股完成相关的证券登记手续。</w:t>
      </w:r>
    </w:p>
    <w:p>
      <w:pPr>
        <w:spacing w:line="240" w:lineRule="auto" w:before="7"/>
        <w:rPr>
          <w:rFonts w:ascii="宋体" w:hAnsi="宋体" w:cs="宋体" w:eastAsia="宋体" w:hint="default"/>
          <w:sz w:val="23"/>
          <w:szCs w:val="23"/>
        </w:rPr>
      </w:pPr>
    </w:p>
    <w:p>
      <w:pPr>
        <w:pStyle w:val="BodyText"/>
        <w:spacing w:line="313" w:lineRule="exact"/>
        <w:ind w:right="0"/>
        <w:jc w:val="both"/>
      </w:pPr>
      <w:r>
        <w:rPr/>
        <w:t>(2)</w:t>
      </w:r>
      <w:r>
        <w:rPr>
          <w:spacing w:val="-10"/>
        </w:rPr>
        <w:t> </w:t>
      </w:r>
      <w:r>
        <w:rPr/>
        <w:t>根据</w:t>
      </w:r>
      <w:r>
        <w:rPr>
          <w:spacing w:val="-65"/>
        </w:rPr>
        <w:t> </w:t>
      </w:r>
      <w:r>
        <w:rPr>
          <w:spacing w:val="25"/>
        </w:rPr>
        <w:t>2010年5月</w:t>
      </w:r>
      <w:r>
        <w:rPr>
          <w:spacing w:val="-65"/>
        </w:rPr>
        <w:t> </w:t>
      </w:r>
      <w:r>
        <w:rPr/>
        <w:t>12</w:t>
      </w:r>
      <w:r>
        <w:rPr>
          <w:spacing w:val="-65"/>
        </w:rPr>
        <w:t> </w:t>
      </w:r>
      <w:r>
        <w:rPr/>
        <w:t>日召开的</w:t>
      </w:r>
      <w:r>
        <w:rPr>
          <w:spacing w:val="-65"/>
        </w:rPr>
        <w:t> </w:t>
      </w:r>
      <w:r>
        <w:rPr/>
        <w:t>2009</w:t>
      </w:r>
      <w:r>
        <w:rPr>
          <w:spacing w:val="-65"/>
        </w:rPr>
        <w:t> </w:t>
      </w:r>
      <w:r>
        <w:rPr/>
        <w:t>年年度股东大会审议通过的利润分配方案，公司</w:t>
      </w:r>
    </w:p>
    <w:p>
      <w:pPr>
        <w:pStyle w:val="BodyText"/>
        <w:spacing w:line="311" w:lineRule="exact"/>
        <w:ind w:right="0"/>
        <w:jc w:val="both"/>
      </w:pPr>
      <w:r>
        <w:rPr/>
        <w:t>于</w:t>
      </w:r>
      <w:r>
        <w:rPr>
          <w:spacing w:val="-85"/>
        </w:rPr>
        <w:t> </w:t>
      </w:r>
      <w:r>
        <w:rPr>
          <w:spacing w:val="-1"/>
        </w:rPr>
        <w:t>201</w:t>
      </w:r>
      <w:r>
        <w:rPr/>
        <w:t>0</w:t>
      </w:r>
      <w:r>
        <w:rPr>
          <w:spacing w:val="-85"/>
        </w:rPr>
        <w:t> </w:t>
      </w:r>
      <w:r>
        <w:rPr/>
        <w:t>年</w:t>
      </w:r>
      <w:r>
        <w:rPr>
          <w:spacing w:val="-85"/>
        </w:rPr>
        <w:t> </w:t>
      </w:r>
      <w:r>
        <w:rPr/>
        <w:t>6</w:t>
      </w:r>
      <w:r>
        <w:rPr>
          <w:spacing w:val="-86"/>
        </w:rPr>
        <w:t> </w:t>
      </w:r>
      <w:r>
        <w:rPr/>
        <w:t>月</w:t>
      </w:r>
      <w:r>
        <w:rPr>
          <w:spacing w:val="-85"/>
        </w:rPr>
        <w:t> </w:t>
      </w:r>
      <w:r>
        <w:rPr>
          <w:spacing w:val="-1"/>
        </w:rPr>
        <w:t>2</w:t>
      </w:r>
      <w:r>
        <w:rPr/>
        <w:t>9</w:t>
      </w:r>
      <w:r>
        <w:rPr>
          <w:spacing w:val="-85"/>
        </w:rPr>
        <w:t> </w:t>
      </w:r>
      <w:r>
        <w:rPr>
          <w:spacing w:val="-1"/>
        </w:rPr>
        <w:t>日在中国证券报和上海证券报刊登</w:t>
      </w:r>
      <w:r>
        <w:rPr/>
        <w:t>了</w:t>
      </w:r>
      <w:r>
        <w:rPr>
          <w:spacing w:val="-85"/>
        </w:rPr>
        <w:t> </w:t>
      </w:r>
      <w:r>
        <w:rPr>
          <w:spacing w:val="-1"/>
        </w:rPr>
        <w:t>200</w:t>
      </w:r>
      <w:r>
        <w:rPr/>
        <w:t>9</w:t>
      </w:r>
      <w:r>
        <w:rPr>
          <w:spacing w:val="-85"/>
        </w:rPr>
        <w:t> </w:t>
      </w:r>
      <w:r>
        <w:rPr>
          <w:spacing w:val="-1"/>
        </w:rPr>
        <w:t>年利润分配实施公告</w:t>
      </w:r>
      <w:r>
        <w:rPr>
          <w:spacing w:val="-120"/>
        </w:rPr>
        <w:t>。</w:t>
      </w:r>
      <w:r>
        <w:rPr/>
        <w:t>以</w:t>
      </w:r>
      <w:r>
        <w:rPr>
          <w:spacing w:val="-84"/>
        </w:rPr>
        <w:t> </w:t>
      </w:r>
      <w:r>
        <w:rPr/>
        <w:t>2009</w:t>
      </w:r>
    </w:p>
    <w:p>
      <w:pPr>
        <w:pStyle w:val="BodyText"/>
        <w:spacing w:line="311" w:lineRule="exact"/>
        <w:ind w:right="0"/>
        <w:jc w:val="both"/>
      </w:pPr>
      <w:r>
        <w:rPr/>
        <w:t>年</w:t>
      </w:r>
      <w:r>
        <w:rPr>
          <w:spacing w:val="-64"/>
        </w:rPr>
        <w:t> </w:t>
      </w:r>
      <w:r>
        <w:rPr/>
        <w:t>12</w:t>
      </w:r>
      <w:r>
        <w:rPr>
          <w:spacing w:val="-64"/>
        </w:rPr>
        <w:t> </w:t>
      </w:r>
      <w:r>
        <w:rPr/>
        <w:t>月</w:t>
      </w:r>
      <w:r>
        <w:rPr>
          <w:spacing w:val="-64"/>
        </w:rPr>
        <w:t> </w:t>
      </w:r>
      <w:r>
        <w:rPr/>
        <w:t>31</w:t>
      </w:r>
      <w:r>
        <w:rPr>
          <w:spacing w:val="-65"/>
        </w:rPr>
        <w:t> </w:t>
      </w:r>
      <w:r>
        <w:rPr/>
        <w:t>日总股本</w:t>
      </w:r>
      <w:r>
        <w:rPr>
          <w:spacing w:val="-64"/>
        </w:rPr>
        <w:t> </w:t>
      </w:r>
      <w:r>
        <w:rPr/>
        <w:t>976,970,554</w:t>
      </w:r>
      <w:r>
        <w:rPr>
          <w:spacing w:val="-64"/>
        </w:rPr>
        <w:t> </w:t>
      </w:r>
      <w:r>
        <w:rPr/>
        <w:t>股为基准</w:t>
      </w:r>
      <w:r>
        <w:rPr>
          <w:spacing w:val="-120"/>
        </w:rPr>
        <w:t>，</w:t>
      </w:r>
      <w:r>
        <w:rPr>
          <w:spacing w:val="-1"/>
        </w:rPr>
        <w:t>向全体股东以</w:t>
      </w:r>
      <w:r>
        <w:rPr/>
        <w:t>每</w:t>
      </w:r>
      <w:r>
        <w:rPr>
          <w:spacing w:val="-64"/>
        </w:rPr>
        <w:t> </w:t>
      </w:r>
      <w:r>
        <w:rPr>
          <w:spacing w:val="-1"/>
        </w:rPr>
        <w:t>1</w:t>
      </w:r>
      <w:r>
        <w:rPr/>
        <w:t>0</w:t>
      </w:r>
      <w:r>
        <w:rPr>
          <w:spacing w:val="-65"/>
        </w:rPr>
        <w:t> </w:t>
      </w:r>
      <w:r>
        <w:rPr>
          <w:spacing w:val="-1"/>
        </w:rPr>
        <w:t>股派送现金红</w:t>
      </w:r>
      <w:r>
        <w:rPr/>
        <w:t>利</w:t>
      </w:r>
      <w:r>
        <w:rPr>
          <w:spacing w:val="-64"/>
        </w:rPr>
        <w:t> </w:t>
      </w:r>
      <w:r>
        <w:rPr/>
        <w:t>1</w:t>
      </w:r>
      <w:r>
        <w:rPr>
          <w:spacing w:val="-64"/>
        </w:rPr>
        <w:t> </w:t>
      </w:r>
      <w:r>
        <w:rPr/>
        <w:t>元</w:t>
      </w:r>
      <w:r>
        <w:rPr>
          <w:spacing w:val="-1"/>
        </w:rPr>
        <w:t>(含</w:t>
      </w:r>
      <w:r>
        <w:rPr/>
      </w:r>
    </w:p>
    <w:p>
      <w:pPr>
        <w:pStyle w:val="BodyText"/>
        <w:spacing w:line="311" w:lineRule="exact"/>
        <w:ind w:right="0"/>
        <w:jc w:val="both"/>
      </w:pPr>
      <w:r>
        <w:rPr/>
        <w:t>税)，共计</w:t>
      </w:r>
      <w:r>
        <w:rPr>
          <w:spacing w:val="-40"/>
        </w:rPr>
        <w:t> </w:t>
      </w:r>
      <w:r>
        <w:rPr/>
        <w:t>97,697,055.40</w:t>
      </w:r>
      <w:r>
        <w:rPr>
          <w:spacing w:val="-40"/>
        </w:rPr>
        <w:t> </w:t>
      </w:r>
      <w:r>
        <w:rPr/>
        <w:t>元，尚余可供分配的利润</w:t>
      </w:r>
      <w:r>
        <w:rPr>
          <w:spacing w:val="-40"/>
        </w:rPr>
        <w:t> </w:t>
      </w:r>
      <w:r>
        <w:rPr/>
        <w:t>1,314,374,672.71</w:t>
      </w:r>
      <w:r>
        <w:rPr>
          <w:spacing w:val="-40"/>
        </w:rPr>
        <w:t> </w:t>
      </w:r>
      <w:r>
        <w:rPr/>
        <w:t>元留待以后年度</w:t>
      </w:r>
    </w:p>
    <w:p>
      <w:pPr>
        <w:pStyle w:val="BodyText"/>
        <w:spacing w:line="311" w:lineRule="exact"/>
        <w:ind w:right="0"/>
        <w:jc w:val="both"/>
      </w:pPr>
      <w:r>
        <w:rPr/>
        <w:t>分配。资本公积不转增。本次分红派息股权登记日为</w:t>
      </w:r>
      <w:r>
        <w:rPr>
          <w:spacing w:val="-40"/>
        </w:rPr>
        <w:t> </w:t>
      </w:r>
      <w:r>
        <w:rPr>
          <w:spacing w:val="40"/>
        </w:rPr>
        <w:t>2010年7月5</w:t>
      </w:r>
      <w:r>
        <w:rPr>
          <w:spacing w:val="-40"/>
        </w:rPr>
        <w:t> </w:t>
      </w:r>
      <w:r>
        <w:rPr/>
        <w:t>日，除息日为</w:t>
      </w:r>
      <w:r>
        <w:rPr>
          <w:spacing w:val="-40"/>
        </w:rPr>
        <w:t> </w:t>
      </w:r>
      <w:r>
        <w:rPr/>
        <w:t>2010</w:t>
      </w:r>
    </w:p>
    <w:p>
      <w:pPr>
        <w:pStyle w:val="BodyText"/>
        <w:spacing w:line="312" w:lineRule="exact"/>
        <w:ind w:right="0"/>
        <w:jc w:val="both"/>
      </w:pPr>
      <w:r>
        <w:rPr>
          <w:spacing w:val="45"/>
        </w:rPr>
        <w:t>年7月6</w:t>
      </w:r>
      <w:r>
        <w:rPr>
          <w:spacing w:val="-60"/>
        </w:rPr>
        <w:t> </w:t>
      </w:r>
      <w:r>
        <w:rPr/>
        <w:t>日，现金红利发放日为</w:t>
      </w:r>
      <w:r>
        <w:rPr>
          <w:spacing w:val="-60"/>
        </w:rPr>
        <w:t> </w:t>
      </w:r>
      <w:r>
        <w:rPr>
          <w:spacing w:val="30"/>
        </w:rPr>
        <w:t>2010年7月9</w:t>
      </w:r>
      <w:r>
        <w:rPr>
          <w:spacing w:val="-60"/>
        </w:rPr>
        <w:t> </w:t>
      </w:r>
      <w:r>
        <w:rPr/>
        <w:t>日。</w:t>
      </w:r>
    </w:p>
    <w:p>
      <w:pPr>
        <w:spacing w:line="240" w:lineRule="auto" w:before="8"/>
        <w:rPr>
          <w:rFonts w:ascii="宋体" w:hAnsi="宋体" w:cs="宋体" w:eastAsia="宋体" w:hint="default"/>
          <w:sz w:val="23"/>
          <w:szCs w:val="23"/>
        </w:rPr>
      </w:pPr>
    </w:p>
    <w:p>
      <w:pPr>
        <w:pStyle w:val="BodyText"/>
        <w:spacing w:line="312" w:lineRule="exact"/>
        <w:ind w:right="0"/>
        <w:jc w:val="both"/>
      </w:pPr>
      <w:r>
        <w:rPr/>
        <w:t>(3)</w:t>
      </w:r>
      <w:r>
        <w:rPr>
          <w:spacing w:val="-6"/>
        </w:rPr>
        <w:t> </w:t>
      </w:r>
      <w:r>
        <w:rPr/>
        <w:t>根据</w:t>
      </w:r>
      <w:r>
        <w:rPr>
          <w:spacing w:val="-55"/>
        </w:rPr>
        <w:t> </w:t>
      </w:r>
      <w:r>
        <w:rPr/>
        <w:t>2010</w:t>
      </w:r>
      <w:r>
        <w:rPr>
          <w:spacing w:val="-55"/>
        </w:rPr>
        <w:t> </w:t>
      </w:r>
      <w:r>
        <w:rPr/>
        <w:t>年</w:t>
      </w:r>
      <w:r>
        <w:rPr>
          <w:spacing w:val="-55"/>
        </w:rPr>
        <w:t> </w:t>
      </w:r>
      <w:r>
        <w:rPr/>
        <w:t>7</w:t>
      </w:r>
      <w:r>
        <w:rPr>
          <w:spacing w:val="-56"/>
        </w:rPr>
        <w:t> </w:t>
      </w:r>
      <w:r>
        <w:rPr/>
        <w:t>月</w:t>
      </w:r>
      <w:r>
        <w:rPr>
          <w:spacing w:val="-55"/>
        </w:rPr>
        <w:t> </w:t>
      </w:r>
      <w:r>
        <w:rPr/>
        <w:t>9</w:t>
      </w:r>
      <w:r>
        <w:rPr>
          <w:spacing w:val="-55"/>
        </w:rPr>
        <w:t> </w:t>
      </w:r>
      <w:r>
        <w:rPr/>
        <w:t>日召开的</w:t>
      </w:r>
      <w:r>
        <w:rPr>
          <w:spacing w:val="-55"/>
        </w:rPr>
        <w:t> </w:t>
      </w:r>
      <w:r>
        <w:rPr/>
        <w:t>2010</w:t>
      </w:r>
      <w:r>
        <w:rPr>
          <w:spacing w:val="-55"/>
        </w:rPr>
        <w:t> </w:t>
      </w:r>
      <w:r>
        <w:rPr/>
        <w:t>年第一次股东大会审议通过的关于申请发行</w:t>
      </w:r>
      <w:r>
        <w:rPr>
          <w:spacing w:val="-55"/>
        </w:rPr>
        <w:t> </w:t>
      </w:r>
      <w:r>
        <w:rPr/>
        <w:t>8</w:t>
      </w:r>
      <w:r>
        <w:rPr>
          <w:spacing w:val="-54"/>
        </w:rPr>
        <w:t> </w:t>
      </w:r>
      <w:r>
        <w:rPr/>
        <w:t>亿</w:t>
      </w:r>
    </w:p>
    <w:p>
      <w:pPr>
        <w:pStyle w:val="BodyText"/>
        <w:spacing w:line="311" w:lineRule="exact"/>
        <w:ind w:right="0"/>
        <w:jc w:val="both"/>
      </w:pPr>
      <w:r>
        <w:rPr/>
        <w:t>元短期融资券的议案</w:t>
      </w:r>
      <w:r>
        <w:rPr>
          <w:spacing w:val="-120"/>
        </w:rPr>
        <w:t>，</w:t>
      </w:r>
      <w:r>
        <w:rPr/>
        <w:t>2010 年</w:t>
      </w:r>
      <w:r>
        <w:rPr>
          <w:spacing w:val="-80"/>
        </w:rPr>
        <w:t> </w:t>
      </w:r>
      <w:r>
        <w:rPr/>
        <w:t>9 月</w:t>
      </w:r>
      <w:r>
        <w:rPr>
          <w:spacing w:val="-80"/>
        </w:rPr>
        <w:t> </w:t>
      </w:r>
      <w:r>
        <w:rPr/>
        <w:t>3 日</w:t>
      </w:r>
      <w:r>
        <w:rPr>
          <w:spacing w:val="-120"/>
        </w:rPr>
        <w:t>，</w:t>
      </w:r>
      <w:r>
        <w:rPr/>
        <w:t>公司接到中国银行间市场交易商协会发出的(中</w:t>
      </w:r>
    </w:p>
    <w:p>
      <w:pPr>
        <w:pStyle w:val="BodyText"/>
        <w:spacing w:line="311" w:lineRule="exact"/>
        <w:ind w:right="0"/>
        <w:jc w:val="both"/>
      </w:pPr>
      <w:r>
        <w:rPr/>
        <w:t>市协</w:t>
      </w:r>
      <w:r>
        <w:rPr>
          <w:spacing w:val="-26"/>
        </w:rPr>
        <w:t>注</w:t>
      </w:r>
      <w:r>
        <w:rPr/>
        <w:t>［2010</w:t>
      </w:r>
      <w:r>
        <w:rPr>
          <w:spacing w:val="-26"/>
        </w:rPr>
        <w:t>］</w:t>
      </w:r>
      <w:r>
        <w:rPr/>
        <w:t>CP125 号</w:t>
      </w:r>
      <w:r>
        <w:rPr>
          <w:spacing w:val="-26"/>
        </w:rPr>
        <w:t>)</w:t>
      </w:r>
      <w:r>
        <w:rPr/>
        <w:t>《接受注册通知书</w:t>
      </w:r>
      <w:r>
        <w:rPr>
          <w:spacing w:val="-120"/>
        </w:rPr>
        <w:t>》</w:t>
      </w:r>
      <w:r>
        <w:rPr>
          <w:spacing w:val="-26"/>
        </w:rPr>
        <w:t>，</w:t>
      </w:r>
      <w:r>
        <w:rPr/>
        <w:t>核定本公司发行短期融资券注册金额为</w:t>
      </w:r>
      <w:r>
        <w:rPr>
          <w:spacing w:val="-59"/>
        </w:rPr>
        <w:t> </w:t>
      </w:r>
      <w:r>
        <w:rPr/>
        <w:t>8</w:t>
      </w:r>
    </w:p>
    <w:p>
      <w:pPr>
        <w:pStyle w:val="BodyText"/>
        <w:spacing w:line="311" w:lineRule="exact"/>
        <w:ind w:right="0"/>
        <w:jc w:val="both"/>
      </w:pPr>
      <w:r>
        <w:rPr/>
        <w:t>亿元</w:t>
      </w:r>
      <w:r>
        <w:rPr>
          <w:spacing w:val="-120"/>
        </w:rPr>
        <w:t>。</w:t>
      </w:r>
      <w:r>
        <w:rPr/>
        <w:t>公司已于</w:t>
      </w:r>
      <w:r>
        <w:rPr>
          <w:spacing w:val="-75"/>
        </w:rPr>
        <w:t> </w:t>
      </w:r>
      <w:r>
        <w:rPr/>
        <w:t>201</w:t>
      </w:r>
      <w:r>
        <w:rPr>
          <w:spacing w:val="45"/>
        </w:rPr>
        <w:t>0年9</w:t>
      </w:r>
      <w:r>
        <w:rPr/>
        <w:t>月</w:t>
      </w:r>
      <w:r>
        <w:rPr>
          <w:spacing w:val="-75"/>
        </w:rPr>
        <w:t> </w:t>
      </w:r>
      <w:r>
        <w:rPr>
          <w:spacing w:val="-1"/>
        </w:rPr>
        <w:t>1</w:t>
      </w:r>
      <w:r>
        <w:rPr/>
        <w:t>5</w:t>
      </w:r>
      <w:r>
        <w:rPr>
          <w:spacing w:val="-74"/>
        </w:rPr>
        <w:t> </w:t>
      </w:r>
      <w:r>
        <w:rPr/>
        <w:t>日发行了同方股份有限公司</w:t>
      </w:r>
      <w:r>
        <w:rPr>
          <w:spacing w:val="-75"/>
        </w:rPr>
        <w:t> </w:t>
      </w:r>
      <w:r>
        <w:rPr/>
        <w:t>2010 年度第一期短期融资券，</w:t>
      </w:r>
    </w:p>
    <w:p>
      <w:pPr>
        <w:pStyle w:val="BodyText"/>
        <w:spacing w:line="475" w:lineRule="auto"/>
        <w:ind w:right="213"/>
        <w:jc w:val="left"/>
      </w:pPr>
      <w:r>
        <w:rPr/>
        <w:t>总金额为</w:t>
      </w:r>
      <w:r>
        <w:rPr>
          <w:spacing w:val="-60"/>
        </w:rPr>
        <w:t> </w:t>
      </w:r>
      <w:r>
        <w:rPr/>
        <w:t>8</w:t>
      </w:r>
      <w:r>
        <w:rPr>
          <w:spacing w:val="-60"/>
        </w:rPr>
        <w:t> </w:t>
      </w:r>
      <w:r>
        <w:rPr/>
        <w:t>亿元，融资期限为</w:t>
      </w:r>
      <w:r>
        <w:rPr>
          <w:spacing w:val="-60"/>
        </w:rPr>
        <w:t> </w:t>
      </w:r>
      <w:r>
        <w:rPr>
          <w:spacing w:val="25"/>
        </w:rPr>
        <w:t>2010年9月</w:t>
      </w:r>
      <w:r>
        <w:rPr>
          <w:spacing w:val="-60"/>
        </w:rPr>
        <w:t> </w:t>
      </w:r>
      <w:r>
        <w:rPr/>
        <w:t>17</w:t>
      </w:r>
      <w:r>
        <w:rPr>
          <w:spacing w:val="-60"/>
        </w:rPr>
        <w:t> </w:t>
      </w:r>
      <w:r>
        <w:rPr/>
        <w:t>日至</w:t>
      </w:r>
      <w:r>
        <w:rPr>
          <w:spacing w:val="-60"/>
        </w:rPr>
        <w:t> </w:t>
      </w:r>
      <w:r>
        <w:rPr>
          <w:spacing w:val="25"/>
        </w:rPr>
        <w:t>2011年9月</w:t>
      </w:r>
      <w:r>
        <w:rPr>
          <w:spacing w:val="-60"/>
        </w:rPr>
        <w:t> </w:t>
      </w:r>
      <w:r>
        <w:rPr/>
        <w:t>17</w:t>
      </w:r>
      <w:r>
        <w:rPr>
          <w:spacing w:val="-60"/>
        </w:rPr>
        <w:t> </w:t>
      </w:r>
      <w:r>
        <w:rPr/>
        <w:t>日。</w:t>
      </w:r>
      <w:r>
        <w:rPr>
          <w:spacing w:val="-113"/>
        </w:rPr>
        <w:t> </w:t>
      </w:r>
      <w:r>
        <w:rPr>
          <w:spacing w:val="-113"/>
        </w:rPr>
      </w:r>
      <w:r>
        <w:rPr>
          <w:rFonts w:ascii="宋体" w:hAnsi="宋体" w:cs="宋体" w:eastAsia="宋体" w:hint="default"/>
          <w:b/>
          <w:bCs/>
        </w:rPr>
        <w:t>3、董事会审计委员会履职情况报告</w:t>
      </w:r>
      <w:r>
        <w:rPr>
          <w:rFonts w:ascii="宋体" w:hAnsi="宋体" w:cs="宋体" w:eastAsia="宋体" w:hint="default"/>
          <w:b/>
          <w:bCs/>
          <w:spacing w:val="1"/>
          <w:w w:val="99"/>
        </w:rPr>
        <w:t> </w:t>
      </w:r>
      <w:r>
        <w:rPr/>
        <w:t>(1)召开了公司董事会审计委员会第五届第一次会议，讨论通过了如下决议：</w:t>
      </w:r>
    </w:p>
    <w:p>
      <w:pPr>
        <w:pStyle w:val="BodyText"/>
        <w:spacing w:line="310" w:lineRule="exact" w:before="106"/>
        <w:ind w:right="220"/>
        <w:jc w:val="both"/>
      </w:pPr>
      <w:r>
        <w:rPr/>
        <w:t>选举程凤朝先生任公司第五届董事会审计委员会主任；审议并一致通过了同方微电子的</w:t>
      </w:r>
      <w:r>
        <w:rPr>
          <w:spacing w:val="-47"/>
        </w:rPr>
        <w:t> </w:t>
      </w:r>
      <w:r>
        <w:rPr>
          <w:spacing w:val="-47"/>
        </w:rPr>
      </w:r>
      <w:r>
        <w:rPr/>
        <w:t>评估报告。</w:t>
      </w:r>
    </w:p>
    <w:p>
      <w:pPr>
        <w:spacing w:line="240" w:lineRule="auto" w:before="6"/>
        <w:rPr>
          <w:rFonts w:ascii="宋体" w:hAnsi="宋体" w:cs="宋体" w:eastAsia="宋体" w:hint="default"/>
          <w:sz w:val="21"/>
          <w:szCs w:val="21"/>
        </w:rPr>
      </w:pPr>
    </w:p>
    <w:p>
      <w:pPr>
        <w:pStyle w:val="BodyText"/>
        <w:spacing w:line="240" w:lineRule="auto"/>
        <w:ind w:right="0"/>
        <w:jc w:val="both"/>
      </w:pPr>
      <w:r>
        <w:rPr/>
        <w:t>(2)召开了公司董事会审计委员会第五届第二次会议，讨论通过了如下决议：</w:t>
      </w:r>
    </w:p>
    <w:p>
      <w:pPr>
        <w:spacing w:line="240" w:lineRule="auto" w:before="1"/>
        <w:rPr>
          <w:rFonts w:ascii="宋体" w:hAnsi="宋体" w:cs="宋体" w:eastAsia="宋体" w:hint="default"/>
          <w:sz w:val="26"/>
          <w:szCs w:val="26"/>
        </w:rPr>
      </w:pPr>
    </w:p>
    <w:p>
      <w:pPr>
        <w:pStyle w:val="BodyText"/>
        <w:spacing w:line="310" w:lineRule="exact"/>
        <w:ind w:right="220"/>
        <w:jc w:val="both"/>
      </w:pPr>
      <w:r>
        <w:rPr/>
        <w:t>同方股份有限公司编制的财务会计报表已经按照企业会计准则和《企业会计制度》的规</w:t>
      </w:r>
      <w:r>
        <w:rPr>
          <w:spacing w:val="-47"/>
        </w:rPr>
        <w:t> </w:t>
      </w:r>
      <w:r>
        <w:rPr>
          <w:spacing w:val="-47"/>
        </w:rPr>
      </w:r>
      <w:r>
        <w:rPr/>
        <w:t>定编制，在所有重大方面公允反映了公司</w:t>
      </w:r>
      <w:r>
        <w:rPr>
          <w:spacing w:val="-51"/>
        </w:rPr>
        <w:t> </w:t>
      </w:r>
      <w:r>
        <w:rPr/>
        <w:t>2010</w:t>
      </w:r>
      <w:r>
        <w:rPr>
          <w:spacing w:val="-51"/>
        </w:rPr>
        <w:t> </w:t>
      </w:r>
      <w:r>
        <w:rPr/>
        <w:t>年</w:t>
      </w:r>
      <w:r>
        <w:rPr>
          <w:spacing w:val="-51"/>
        </w:rPr>
        <w:t> </w:t>
      </w:r>
      <w:r>
        <w:rPr/>
        <w:t>12</w:t>
      </w:r>
      <w:r>
        <w:rPr>
          <w:spacing w:val="-50"/>
        </w:rPr>
        <w:t> </w:t>
      </w:r>
      <w:r>
        <w:rPr/>
        <w:t>月</w:t>
      </w:r>
      <w:r>
        <w:rPr>
          <w:spacing w:val="-50"/>
        </w:rPr>
        <w:t> </w:t>
      </w:r>
      <w:r>
        <w:rPr/>
        <w:t>31</w:t>
      </w:r>
      <w:r>
        <w:rPr>
          <w:spacing w:val="-51"/>
        </w:rPr>
        <w:t> </w:t>
      </w:r>
      <w:r>
        <w:rPr/>
        <w:t>日的财务状况以及</w:t>
      </w:r>
      <w:r>
        <w:rPr>
          <w:spacing w:val="-51"/>
        </w:rPr>
        <w:t> </w:t>
      </w:r>
      <w:r>
        <w:rPr/>
        <w:t>2010</w:t>
      </w:r>
      <w:r>
        <w:rPr>
          <w:spacing w:val="-51"/>
        </w:rPr>
        <w:t> </w:t>
      </w:r>
      <w:r>
        <w:rPr/>
        <w:t>年度</w:t>
      </w:r>
      <w:r>
        <w:rPr/>
        <w:t> 的经营成果和现金流量。该财务会计报表尚未完成审计。</w:t>
      </w:r>
    </w:p>
    <w:p>
      <w:pPr>
        <w:spacing w:line="240" w:lineRule="auto" w:before="8"/>
        <w:rPr>
          <w:rFonts w:ascii="宋体" w:hAnsi="宋体" w:cs="宋体" w:eastAsia="宋体" w:hint="default"/>
          <w:sz w:val="21"/>
          <w:szCs w:val="21"/>
        </w:rPr>
      </w:pPr>
    </w:p>
    <w:p>
      <w:pPr>
        <w:pStyle w:val="BodyText"/>
        <w:spacing w:line="237" w:lineRule="auto"/>
        <w:ind w:right="220"/>
        <w:jc w:val="both"/>
      </w:pPr>
      <w:r>
        <w:rPr>
          <w:spacing w:val="-1"/>
        </w:rPr>
        <w:t>(3)公司年审注册会计师进场后，董事会审计委员会与公司年审注册会计师就审计过程中</w:t>
      </w:r>
      <w:r>
        <w:rPr/>
        <w:t> 发现的问题以及审计报告提交的时间进行了沟通和交流，先后发送了三次审计报告督促</w:t>
      </w:r>
      <w:r>
        <w:rPr>
          <w:spacing w:val="-47"/>
        </w:rPr>
        <w:t> </w:t>
      </w:r>
      <w:r>
        <w:rPr>
          <w:spacing w:val="-47"/>
        </w:rPr>
      </w:r>
      <w:r>
        <w:rPr/>
        <w:t>函，督促会计师事务所按照拟定的审计工作计划安排，在约定的时间内提交审计报告。</w:t>
      </w:r>
    </w:p>
    <w:p>
      <w:pPr>
        <w:spacing w:line="240" w:lineRule="auto" w:before="8"/>
        <w:rPr>
          <w:rFonts w:ascii="宋体" w:hAnsi="宋体" w:cs="宋体" w:eastAsia="宋体" w:hint="default"/>
          <w:sz w:val="23"/>
          <w:szCs w:val="23"/>
        </w:rPr>
      </w:pPr>
    </w:p>
    <w:p>
      <w:pPr>
        <w:pStyle w:val="BodyText"/>
        <w:spacing w:line="240" w:lineRule="auto"/>
        <w:ind w:right="0"/>
        <w:jc w:val="both"/>
      </w:pPr>
      <w:r>
        <w:rPr/>
        <w:t>(4)召开了公司董事会审计委员会第五届第三次会议，讨论通过了如下决议：</w:t>
      </w:r>
    </w:p>
    <w:p>
      <w:pPr>
        <w:spacing w:line="240" w:lineRule="auto" w:before="11"/>
        <w:rPr>
          <w:rFonts w:ascii="宋体" w:hAnsi="宋体" w:cs="宋体" w:eastAsia="宋体" w:hint="default"/>
          <w:sz w:val="25"/>
          <w:szCs w:val="25"/>
        </w:rPr>
      </w:pPr>
    </w:p>
    <w:p>
      <w:pPr>
        <w:pStyle w:val="BodyText"/>
        <w:spacing w:line="312" w:lineRule="exact"/>
        <w:ind w:right="223"/>
        <w:jc w:val="both"/>
      </w:pPr>
      <w:r>
        <w:rPr/>
        <w:t>审阅了信永中和会计师事务所审计的</w:t>
      </w:r>
      <w:r>
        <w:rPr>
          <w:spacing w:val="-79"/>
        </w:rPr>
        <w:t> </w:t>
      </w:r>
      <w:r>
        <w:rPr/>
        <w:t>2010</w:t>
      </w:r>
      <w:r>
        <w:rPr>
          <w:spacing w:val="-79"/>
        </w:rPr>
        <w:t> </w:t>
      </w:r>
      <w:r>
        <w:rPr/>
        <w:t>年同方股份有限公司财务会计报表，并形成如</w:t>
      </w:r>
      <w:r>
        <w:rPr/>
        <w:t> 下意见：</w:t>
      </w:r>
    </w:p>
    <w:p>
      <w:pPr>
        <w:spacing w:after="0" w:line="312" w:lineRule="exact"/>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right="220"/>
        <w:jc w:val="both"/>
      </w:pPr>
      <w:r>
        <w:rPr/>
        <w:t>同方股份有限公司编制的财务会计报表已经按照企业会计准则和《企业会计制度》的规</w:t>
      </w:r>
      <w:r>
        <w:rPr>
          <w:spacing w:val="-47"/>
        </w:rPr>
        <w:t> </w:t>
      </w:r>
      <w:r>
        <w:rPr>
          <w:spacing w:val="-47"/>
        </w:rPr>
      </w:r>
      <w:r>
        <w:rPr/>
        <w:t>定编制，在所有重大方面公允反映了公司</w:t>
      </w:r>
      <w:r>
        <w:rPr>
          <w:spacing w:val="-51"/>
        </w:rPr>
        <w:t> </w:t>
      </w:r>
      <w:r>
        <w:rPr/>
        <w:t>2010</w:t>
      </w:r>
      <w:r>
        <w:rPr>
          <w:spacing w:val="-51"/>
        </w:rPr>
        <w:t> </w:t>
      </w:r>
      <w:r>
        <w:rPr/>
        <w:t>年</w:t>
      </w:r>
      <w:r>
        <w:rPr>
          <w:spacing w:val="-51"/>
        </w:rPr>
        <w:t> </w:t>
      </w:r>
      <w:r>
        <w:rPr/>
        <w:t>12</w:t>
      </w:r>
      <w:r>
        <w:rPr>
          <w:spacing w:val="-50"/>
        </w:rPr>
        <w:t> </w:t>
      </w:r>
      <w:r>
        <w:rPr/>
        <w:t>月</w:t>
      </w:r>
      <w:r>
        <w:rPr>
          <w:spacing w:val="-50"/>
        </w:rPr>
        <w:t> </w:t>
      </w:r>
      <w:r>
        <w:rPr/>
        <w:t>31</w:t>
      </w:r>
      <w:r>
        <w:rPr>
          <w:spacing w:val="-51"/>
        </w:rPr>
        <w:t> </w:t>
      </w:r>
      <w:r>
        <w:rPr/>
        <w:t>日的财务状况以及</w:t>
      </w:r>
      <w:r>
        <w:rPr>
          <w:spacing w:val="-51"/>
        </w:rPr>
        <w:t> </w:t>
      </w:r>
      <w:r>
        <w:rPr/>
        <w:t>2010</w:t>
      </w:r>
      <w:r>
        <w:rPr>
          <w:spacing w:val="-51"/>
        </w:rPr>
        <w:t> </w:t>
      </w:r>
      <w:r>
        <w:rPr/>
        <w:t>年度</w:t>
      </w:r>
      <w:r>
        <w:rPr/>
        <w:t> 的经营成果和现金流量。该财务会计报表已经信永中和会计师事务所审计并出具了标准</w:t>
      </w:r>
      <w:r>
        <w:rPr>
          <w:spacing w:val="-47"/>
        </w:rPr>
        <w:t> </w:t>
      </w:r>
      <w:r>
        <w:rPr>
          <w:spacing w:val="-47"/>
        </w:rPr>
      </w:r>
      <w:r>
        <w:rPr/>
        <w:t>无保留意见的审计报告，同意将该财务会计报表及审计报告提交董事会审核。</w:t>
      </w:r>
    </w:p>
    <w:p>
      <w:pPr>
        <w:spacing w:line="240" w:lineRule="auto" w:before="8"/>
        <w:rPr>
          <w:rFonts w:ascii="宋体" w:hAnsi="宋体" w:cs="宋体" w:eastAsia="宋体" w:hint="default"/>
          <w:sz w:val="23"/>
          <w:szCs w:val="23"/>
        </w:rPr>
      </w:pPr>
    </w:p>
    <w:p>
      <w:pPr>
        <w:pStyle w:val="BodyText"/>
        <w:spacing w:line="312" w:lineRule="exact"/>
        <w:ind w:right="0"/>
        <w:jc w:val="both"/>
      </w:pPr>
      <w:r>
        <w:rPr/>
        <w:t>此外，委员会还审阅了信永中和会计师事务所的</w:t>
      </w:r>
      <w:r>
        <w:rPr>
          <w:spacing w:val="-80"/>
        </w:rPr>
        <w:t> </w:t>
      </w:r>
      <w:r>
        <w:rPr/>
        <w:t>2010</w:t>
      </w:r>
      <w:r>
        <w:rPr>
          <w:spacing w:val="-80"/>
        </w:rPr>
        <w:t> </w:t>
      </w:r>
      <w:r>
        <w:rPr/>
        <w:t>年度公司审计工作总结报告，同意</w:t>
      </w:r>
    </w:p>
    <w:p>
      <w:pPr>
        <w:pStyle w:val="BodyText"/>
        <w:spacing w:line="311" w:lineRule="exact"/>
        <w:ind w:right="0"/>
        <w:jc w:val="both"/>
      </w:pPr>
      <w:r>
        <w:rPr/>
        <w:t>将该审计工作总结报告提交董事会审核</w:t>
      </w:r>
      <w:r>
        <w:rPr>
          <w:spacing w:val="-110"/>
        </w:rPr>
        <w:t>；</w:t>
      </w:r>
      <w:r>
        <w:rPr/>
        <w:t>通过</w:t>
      </w:r>
      <w:r>
        <w:rPr>
          <w:spacing w:val="-110"/>
        </w:rPr>
        <w:t>了</w:t>
      </w:r>
      <w:r>
        <w:rPr/>
        <w:t>《续聘信永中和会计师事务所任公司</w:t>
      </w:r>
      <w:r>
        <w:rPr>
          <w:spacing w:val="-60"/>
        </w:rPr>
        <w:t> </w:t>
      </w:r>
      <w:r>
        <w:rPr/>
        <w:t>2011</w:t>
      </w:r>
    </w:p>
    <w:p>
      <w:pPr>
        <w:pStyle w:val="BodyText"/>
        <w:spacing w:line="311" w:lineRule="exact"/>
        <w:ind w:right="0"/>
        <w:jc w:val="both"/>
      </w:pPr>
      <w:r>
        <w:rPr/>
        <w:t>年审计服务机构的议案</w:t>
      </w:r>
      <w:r>
        <w:rPr>
          <w:spacing w:val="-120"/>
        </w:rPr>
        <w:t>》</w:t>
      </w:r>
      <w:r>
        <w:rPr/>
        <w:t>，同意将该议案提交董事会审核；通过了《关于</w:t>
      </w:r>
      <w:r>
        <w:rPr>
          <w:spacing w:val="-20"/>
        </w:rPr>
        <w:t> </w:t>
      </w:r>
      <w:r>
        <w:rPr/>
        <w:t>2010</w:t>
      </w:r>
      <w:r>
        <w:rPr>
          <w:spacing w:val="-21"/>
        </w:rPr>
        <w:t> </w:t>
      </w:r>
      <w:r>
        <w:rPr/>
        <w:t>年度日常</w:t>
      </w:r>
    </w:p>
    <w:p>
      <w:pPr>
        <w:pStyle w:val="BodyText"/>
        <w:spacing w:line="310" w:lineRule="exact" w:before="30"/>
        <w:ind w:right="223"/>
        <w:jc w:val="both"/>
      </w:pPr>
      <w:r>
        <w:rPr/>
        <w:t>关联交易执行情况以及</w:t>
      </w:r>
      <w:r>
        <w:rPr>
          <w:spacing w:val="-61"/>
        </w:rPr>
        <w:t> </w:t>
      </w:r>
      <w:r>
        <w:rPr/>
        <w:t>2011</w:t>
      </w:r>
      <w:r>
        <w:rPr>
          <w:spacing w:val="-61"/>
        </w:rPr>
        <w:t> </w:t>
      </w:r>
      <w:r>
        <w:rPr>
          <w:spacing w:val="-3"/>
        </w:rPr>
        <w:t>年度日常关联交易预计的议案》并同意将该议案提交董事会</w:t>
      </w:r>
      <w:r>
        <w:rPr>
          <w:spacing w:val="-1"/>
        </w:rPr>
        <w:t> </w:t>
      </w:r>
      <w:r>
        <w:rPr/>
        <w:t>审核。</w:t>
      </w:r>
    </w:p>
    <w:p>
      <w:pPr>
        <w:spacing w:line="240" w:lineRule="auto" w:before="6"/>
        <w:rPr>
          <w:rFonts w:ascii="宋体" w:hAnsi="宋体" w:cs="宋体" w:eastAsia="宋体" w:hint="default"/>
          <w:sz w:val="21"/>
          <w:szCs w:val="21"/>
        </w:rPr>
      </w:pPr>
    </w:p>
    <w:p>
      <w:pPr>
        <w:spacing w:line="475" w:lineRule="auto" w:before="0"/>
        <w:ind w:left="138" w:right="220" w:firstLine="0"/>
        <w:jc w:val="both"/>
        <w:rPr>
          <w:rFonts w:ascii="宋体" w:hAnsi="宋体" w:cs="宋体" w:eastAsia="宋体" w:hint="default"/>
          <w:sz w:val="24"/>
          <w:szCs w:val="24"/>
        </w:rPr>
      </w:pPr>
      <w:r>
        <w:rPr>
          <w:rFonts w:ascii="宋体" w:hAnsi="宋体" w:cs="宋体" w:eastAsia="宋体" w:hint="default"/>
          <w:b/>
          <w:bCs/>
          <w:sz w:val="24"/>
          <w:szCs w:val="24"/>
        </w:rPr>
        <w:t>4、董事会薪酬与考核委员会履职情况报告</w:t>
      </w:r>
      <w:r>
        <w:rPr>
          <w:rFonts w:ascii="宋体" w:hAnsi="宋体" w:cs="宋体" w:eastAsia="宋体" w:hint="default"/>
          <w:b/>
          <w:bCs/>
          <w:spacing w:val="1"/>
          <w:w w:val="99"/>
          <w:sz w:val="24"/>
          <w:szCs w:val="24"/>
        </w:rPr>
        <w:t> </w:t>
      </w:r>
      <w:r>
        <w:rPr>
          <w:rFonts w:ascii="宋体" w:hAnsi="宋体" w:cs="宋体" w:eastAsia="宋体" w:hint="default"/>
          <w:sz w:val="24"/>
          <w:szCs w:val="24"/>
        </w:rPr>
        <w:t>召开了公司董事会薪酬与考核委员会第五届第一次会议，讨论通过了如下决议：</w:t>
      </w:r>
    </w:p>
    <w:p>
      <w:pPr>
        <w:pStyle w:val="BodyText"/>
        <w:spacing w:line="310" w:lineRule="exact" w:before="106"/>
        <w:ind w:right="220"/>
        <w:jc w:val="both"/>
      </w:pPr>
      <w:r>
        <w:rPr/>
        <w:t>选举陈金占先生为公司第五届薪酬与考核委员会主任；审议通过了《关于对公司董事、</w:t>
      </w:r>
      <w:r>
        <w:rPr>
          <w:spacing w:val="-47"/>
        </w:rPr>
        <w:t> </w:t>
      </w:r>
      <w:r>
        <w:rPr>
          <w:spacing w:val="-47"/>
        </w:rPr>
      </w:r>
      <w:r>
        <w:rPr/>
        <w:t>监事、高级管理人员</w:t>
      </w:r>
      <w:r>
        <w:rPr>
          <w:spacing w:val="-40"/>
        </w:rPr>
        <w:t> </w:t>
      </w:r>
      <w:r>
        <w:rPr/>
        <w:t>2010</w:t>
      </w:r>
      <w:r>
        <w:rPr>
          <w:spacing w:val="-40"/>
        </w:rPr>
        <w:t> </w:t>
      </w:r>
      <w:r>
        <w:rPr/>
        <w:t>年度所披露薪酬的审核意见及</w:t>
      </w:r>
      <w:r>
        <w:rPr>
          <w:spacing w:val="-40"/>
        </w:rPr>
        <w:t> </w:t>
      </w:r>
      <w:r>
        <w:rPr/>
        <w:t>2011</w:t>
      </w:r>
      <w:r>
        <w:rPr>
          <w:spacing w:val="-40"/>
        </w:rPr>
        <w:t> </w:t>
      </w:r>
      <w:r>
        <w:rPr/>
        <w:t>年高管人员年薪的核定方</w:t>
      </w:r>
    </w:p>
    <w:p>
      <w:pPr>
        <w:pStyle w:val="BodyText"/>
        <w:spacing w:line="282" w:lineRule="exact"/>
        <w:ind w:right="0"/>
        <w:jc w:val="both"/>
      </w:pPr>
      <w:r>
        <w:rPr/>
        <w:t>案</w:t>
      </w:r>
      <w:r>
        <w:rPr>
          <w:spacing w:val="-120"/>
        </w:rPr>
        <w:t>》</w:t>
      </w:r>
      <w:r>
        <w:rPr/>
        <w:t>，认为公司</w:t>
      </w:r>
      <w:r>
        <w:rPr>
          <w:spacing w:val="-20"/>
        </w:rPr>
        <w:t> </w:t>
      </w:r>
      <w:r>
        <w:rPr/>
        <w:t>2010</w:t>
      </w:r>
      <w:r>
        <w:rPr>
          <w:spacing w:val="-21"/>
        </w:rPr>
        <w:t> </w:t>
      </w:r>
      <w:r>
        <w:rPr/>
        <w:t>年度能严格按照高管薪酬和有关考核制度执行，制定的考核制度及</w:t>
      </w:r>
    </w:p>
    <w:p>
      <w:pPr>
        <w:pStyle w:val="BodyText"/>
        <w:spacing w:line="311" w:lineRule="exact"/>
        <w:ind w:right="0"/>
        <w:jc w:val="both"/>
      </w:pPr>
      <w:r>
        <w:rPr>
          <w:spacing w:val="-3"/>
        </w:rPr>
        <w:t>薪酬发放的程序符合有关法律法规及公司章程的规定，同意在公司</w:t>
      </w:r>
      <w:r>
        <w:rPr>
          <w:spacing w:val="-56"/>
        </w:rPr>
        <w:t> </w:t>
      </w:r>
      <w:r>
        <w:rPr/>
        <w:t>2010</w:t>
      </w:r>
      <w:r>
        <w:rPr>
          <w:spacing w:val="-56"/>
        </w:rPr>
        <w:t> </w:t>
      </w:r>
      <w:r>
        <w:rPr/>
        <w:t>年年度报告中披</w:t>
      </w:r>
    </w:p>
    <w:p>
      <w:pPr>
        <w:pStyle w:val="BodyText"/>
        <w:spacing w:line="237" w:lineRule="auto" w:before="1"/>
        <w:ind w:right="86"/>
        <w:jc w:val="left"/>
      </w:pPr>
      <w:r>
        <w:rPr/>
        <w:t>露高管从公司领取的税前报酬总额。独立董事的薪酬仅采用津贴方式，同意在公司</w:t>
      </w:r>
      <w:r>
        <w:rPr>
          <w:spacing w:val="-40"/>
        </w:rPr>
        <w:t> </w:t>
      </w:r>
      <w:r>
        <w:rPr/>
        <w:t>2010</w:t>
      </w:r>
      <w:r>
        <w:rPr/>
        <w:t> </w:t>
      </w:r>
      <w:r>
        <w:rPr>
          <w:spacing w:val="-2"/>
        </w:rPr>
        <w:t>年年度报告中披露独立董事从公司领取的税前报酬。并同意将《关于对公司董事、监事、</w:t>
      </w:r>
      <w:r>
        <w:rPr>
          <w:spacing w:val="-84"/>
        </w:rPr>
        <w:t> </w:t>
      </w:r>
      <w:r>
        <w:rPr>
          <w:spacing w:val="-84"/>
        </w:rPr>
      </w:r>
      <w:r>
        <w:rPr/>
        <w:t>高级管理人员</w:t>
      </w:r>
      <w:r>
        <w:rPr>
          <w:spacing w:val="-40"/>
        </w:rPr>
        <w:t> </w:t>
      </w:r>
      <w:r>
        <w:rPr/>
        <w:t>2010</w:t>
      </w:r>
      <w:r>
        <w:rPr>
          <w:spacing w:val="-40"/>
        </w:rPr>
        <w:t> </w:t>
      </w:r>
      <w:r>
        <w:rPr/>
        <w:t>年度所披露薪酬的审核意见及</w:t>
      </w:r>
      <w:r>
        <w:rPr>
          <w:spacing w:val="-40"/>
        </w:rPr>
        <w:t> </w:t>
      </w:r>
      <w:r>
        <w:rPr/>
        <w:t>2011</w:t>
      </w:r>
      <w:r>
        <w:rPr>
          <w:spacing w:val="-40"/>
        </w:rPr>
        <w:t> </w:t>
      </w:r>
      <w:r>
        <w:rPr/>
        <w:t>年高管人员年薪的核定方案》提</w:t>
      </w:r>
      <w:r>
        <w:rPr/>
        <w:t> 交董事会审议。</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t>5、外部信息使用人管理制度建立健全情况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0"/>
        <w:jc w:val="both"/>
      </w:pPr>
      <w:r>
        <w:rPr/>
        <w:t>为进一步完善公司治理结果，规范公司信息披露程序，进一步加强对外部单位报送信息</w:t>
      </w:r>
      <w:r>
        <w:rPr>
          <w:spacing w:val="-47"/>
        </w:rPr>
        <w:t> </w:t>
      </w:r>
      <w:r>
        <w:rPr>
          <w:spacing w:val="-47"/>
        </w:rPr>
      </w:r>
      <w:r>
        <w:rPr/>
        <w:t>的管理、披露，并根据中国证监会、上海证券交易所的相关要求，2009</w:t>
      </w:r>
      <w:r>
        <w:rPr>
          <w:spacing w:val="-57"/>
        </w:rPr>
        <w:t> </w:t>
      </w:r>
      <w:r>
        <w:rPr/>
        <w:t>年</w:t>
      </w:r>
      <w:r>
        <w:rPr>
          <w:spacing w:val="-57"/>
        </w:rPr>
        <w:t> </w:t>
      </w:r>
      <w:r>
        <w:rPr/>
        <w:t>12</w:t>
      </w:r>
      <w:r>
        <w:rPr>
          <w:spacing w:val="-56"/>
        </w:rPr>
        <w:t> </w:t>
      </w:r>
      <w:r>
        <w:rPr/>
        <w:t>月</w:t>
      </w:r>
      <w:r>
        <w:rPr>
          <w:spacing w:val="-56"/>
        </w:rPr>
        <w:t> </w:t>
      </w:r>
      <w:r>
        <w:rPr/>
        <w:t>18</w:t>
      </w:r>
      <w:r>
        <w:rPr>
          <w:spacing w:val="-56"/>
        </w:rPr>
        <w:t> </w:t>
      </w:r>
      <w:r>
        <w:rPr/>
        <w:t>日，</w:t>
      </w:r>
      <w:r>
        <w:rPr/>
        <w:t> 经公司第四届董事会第三十四次会议审议通过，公司制定了《同方股份有限公司内幕信</w:t>
      </w:r>
      <w:r>
        <w:rPr>
          <w:spacing w:val="-47"/>
        </w:rPr>
        <w:t> </w:t>
      </w:r>
      <w:r>
        <w:rPr>
          <w:spacing w:val="-47"/>
        </w:rPr>
      </w:r>
      <w:r>
        <w:rPr>
          <w:spacing w:val="-11"/>
        </w:rPr>
        <w:t>息知情人登记制度》。在</w:t>
      </w:r>
      <w:r>
        <w:rPr/>
        <w:t> </w:t>
      </w:r>
      <w:r>
        <w:rPr>
          <w:spacing w:val="-1"/>
        </w:rPr>
        <w:t>2010</w:t>
      </w:r>
      <w:r>
        <w:rPr>
          <w:spacing w:val="-40"/>
        </w:rPr>
        <w:t> </w:t>
      </w:r>
      <w:r>
        <w:rPr>
          <w:spacing w:val="-1"/>
        </w:rPr>
        <w:t>年年报编制、报送期间，公司未出现向特定外部信息使用</w:t>
      </w:r>
      <w:r>
        <w:rPr>
          <w:spacing w:val="-1"/>
        </w:rPr>
        <w:t> </w:t>
      </w:r>
      <w:r>
        <w:rPr/>
        <w:t>人报送相关信息的情况。</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t>6、董事会对于内部控制责任的声明</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right="220"/>
        <w:jc w:val="both"/>
      </w:pPr>
      <w:r>
        <w:rPr/>
        <w:t>公司董事会对本年度上述所有方面的内部控制进行了自我评估，公司在所有重大方面建</w:t>
      </w:r>
      <w:r>
        <w:rPr>
          <w:spacing w:val="-47"/>
        </w:rPr>
        <w:t> </w:t>
      </w:r>
      <w:r>
        <w:rPr>
          <w:spacing w:val="-47"/>
        </w:rPr>
      </w:r>
      <w:r>
        <w:rPr/>
        <w:t>立了合理的内部控制制度。内部控制制度涵盖了财务核算、生产管理、营销管理、行政</w:t>
      </w:r>
      <w:r>
        <w:rPr>
          <w:spacing w:val="-47"/>
        </w:rPr>
        <w:t> </w:t>
      </w:r>
      <w:r>
        <w:rPr>
          <w:spacing w:val="-47"/>
        </w:rPr>
      </w:r>
      <w:r>
        <w:rPr/>
        <w:t>管理、人力资源管理、募集资金管理、信息披露管理等环节，能够适合公司管理和发展</w:t>
      </w:r>
      <w:r>
        <w:rPr>
          <w:spacing w:val="-47"/>
        </w:rPr>
        <w:t> </w:t>
      </w:r>
      <w:r>
        <w:rPr>
          <w:spacing w:val="-47"/>
        </w:rPr>
      </w:r>
      <w:r>
        <w:rPr/>
        <w:t>的需要，对公司规范运作、加强管理、提高效率、防范经营风险以及公司的长远发展起</w:t>
      </w:r>
      <w:r>
        <w:rPr>
          <w:spacing w:val="-47"/>
        </w:rPr>
        <w:t> </w:t>
      </w:r>
      <w:r>
        <w:rPr>
          <w:spacing w:val="-47"/>
        </w:rPr>
      </w:r>
      <w:r>
        <w:rPr>
          <w:spacing w:val="17"/>
        </w:rPr>
        <w:t>到了积极作用。自本年度1月1</w:t>
      </w:r>
      <w:r>
        <w:rPr>
          <w:spacing w:val="-40"/>
        </w:rPr>
        <w:t> </w:t>
      </w:r>
      <w:r>
        <w:rPr/>
        <w:t>日起至本报告期末止，未发现本公司存在内部控制设计</w:t>
      </w:r>
      <w:r>
        <w:rPr/>
        <w:t> 或执行方面的重大缺陷。</w:t>
      </w:r>
    </w:p>
    <w:p>
      <w:pPr>
        <w:spacing w:line="240" w:lineRule="auto" w:before="11"/>
        <w:rPr>
          <w:rFonts w:ascii="宋体" w:hAnsi="宋体" w:cs="宋体" w:eastAsia="宋体" w:hint="default"/>
          <w:sz w:val="25"/>
          <w:szCs w:val="25"/>
        </w:rPr>
      </w:pPr>
    </w:p>
    <w:p>
      <w:pPr>
        <w:pStyle w:val="BodyText"/>
        <w:spacing w:line="312" w:lineRule="exact"/>
        <w:ind w:right="220"/>
        <w:jc w:val="both"/>
      </w:pPr>
      <w:r>
        <w:rPr/>
        <w:t>董事会已按照《企业内部控制基本规范》要求对财务报告相关内部控制进行了评价，并</w:t>
      </w:r>
      <w:r>
        <w:rPr>
          <w:spacing w:val="-47"/>
        </w:rPr>
        <w:t> </w:t>
      </w:r>
      <w:r>
        <w:rPr>
          <w:spacing w:val="-47"/>
        </w:rPr>
      </w:r>
      <w:r>
        <w:rPr/>
        <w:t>认为其在</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日(基准日)有效。</w:t>
      </w:r>
    </w:p>
    <w:p>
      <w:pPr>
        <w:spacing w:after="0" w:line="312" w:lineRule="exact"/>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26"/>
        <w:ind w:right="213"/>
        <w:jc w:val="left"/>
        <w:rPr>
          <w:b w:val="0"/>
          <w:bCs w:val="0"/>
        </w:rPr>
      </w:pPr>
      <w:r>
        <w:rPr/>
        <w:t>7、内幕信息知情人管理制度的执行情况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86"/>
        <w:jc w:val="left"/>
      </w:pPr>
      <w:r>
        <w:rPr>
          <w:spacing w:val="-2"/>
        </w:rPr>
        <w:t>本年度，北京证监局下发了《关于进一步完善上市公司内幕信息知情人登记制度的通知》</w:t>
      </w:r>
      <w:r>
        <w:rPr>
          <w:spacing w:val="-82"/>
        </w:rPr>
        <w:t> </w:t>
      </w:r>
      <w:r>
        <w:rPr>
          <w:spacing w:val="-82"/>
        </w:rPr>
      </w:r>
      <w:r>
        <w:rPr/>
        <w:t>(京证公司发〔2010〕46</w:t>
      </w:r>
      <w:r>
        <w:rPr>
          <w:spacing w:val="-40"/>
        </w:rPr>
        <w:t> </w:t>
      </w:r>
      <w:r>
        <w:rPr/>
        <w:t>号)文件，根据该文件规定，以及公司制定的《同方股份有限公</w:t>
      </w:r>
      <w:r>
        <w:rPr/>
        <w:t> </w:t>
      </w:r>
      <w:r>
        <w:rPr>
          <w:spacing w:val="-5"/>
        </w:rPr>
        <w:t>司内幕信息知情人登记制度》，公司对唐山晶源电子非公开发行购买资产、上海广电信息</w:t>
      </w:r>
      <w:r>
        <w:rPr>
          <w:spacing w:val="-85"/>
        </w:rPr>
        <w:t> </w:t>
      </w:r>
      <w:r>
        <w:rPr>
          <w:spacing w:val="-85"/>
        </w:rPr>
      </w:r>
      <w:r>
        <w:rPr/>
        <w:t>产业股份有限公司重大资产出售、现金及发行股份购买资产、2010</w:t>
      </w:r>
      <w:r>
        <w:rPr>
          <w:spacing w:val="-40"/>
        </w:rPr>
        <w:t> </w:t>
      </w:r>
      <w:r>
        <w:rPr/>
        <w:t>年年度报告编制等重</w:t>
      </w:r>
      <w:r>
        <w:rPr/>
        <w:t> 大事项的内幕信息知情人及时进行了信息登记和承诺函的签署。</w:t>
      </w:r>
    </w:p>
    <w:p>
      <w:pPr>
        <w:spacing w:line="240" w:lineRule="auto" w:before="13"/>
        <w:rPr>
          <w:rFonts w:ascii="宋体" w:hAnsi="宋体" w:cs="宋体" w:eastAsia="宋体" w:hint="default"/>
          <w:sz w:val="22"/>
          <w:szCs w:val="22"/>
        </w:rPr>
      </w:pPr>
    </w:p>
    <w:p>
      <w:pPr>
        <w:pStyle w:val="Heading2"/>
        <w:spacing w:line="240" w:lineRule="auto"/>
        <w:ind w:right="213"/>
        <w:jc w:val="left"/>
        <w:rPr>
          <w:b w:val="0"/>
          <w:bCs w:val="0"/>
        </w:rPr>
      </w:pPr>
      <w:r>
        <w:rPr/>
        <w:t>(八)本年度利润分配预案</w:t>
      </w:r>
      <w:r>
        <w:rPr>
          <w:b w:val="0"/>
          <w:bCs w:val="0"/>
        </w:rPr>
      </w:r>
    </w:p>
    <w:p>
      <w:pPr>
        <w:spacing w:line="240" w:lineRule="auto" w:before="2"/>
        <w:rPr>
          <w:rFonts w:ascii="宋体" w:hAnsi="宋体" w:cs="宋体" w:eastAsia="宋体" w:hint="default"/>
          <w:b/>
          <w:bCs/>
          <w:sz w:val="21"/>
          <w:szCs w:val="21"/>
        </w:rPr>
      </w:pPr>
    </w:p>
    <w:p>
      <w:pPr>
        <w:pStyle w:val="BodyText"/>
        <w:spacing w:line="312" w:lineRule="exact"/>
        <w:ind w:right="86"/>
        <w:jc w:val="left"/>
      </w:pPr>
      <w:r>
        <w:rPr>
          <w:spacing w:val="6"/>
        </w:rPr>
        <w:t>根据公司 </w:t>
      </w:r>
      <w:r>
        <w:rPr/>
        <w:t>2010 </w:t>
      </w:r>
      <w:r>
        <w:rPr>
          <w:spacing w:val="9"/>
        </w:rPr>
        <w:t>年度财务审计报告，公司在 </w:t>
      </w:r>
      <w:r>
        <w:rPr/>
        <w:t>2010</w:t>
      </w:r>
      <w:r>
        <w:rPr>
          <w:spacing w:val="24"/>
        </w:rPr>
        <w:t> </w:t>
      </w:r>
      <w:r>
        <w:rPr>
          <w:spacing w:val="10"/>
        </w:rPr>
        <w:t>年实现归属于母公司股东的净利润</w:t>
      </w:r>
      <w:r>
        <w:rPr/>
      </w:r>
    </w:p>
    <w:p>
      <w:pPr>
        <w:pStyle w:val="BodyText"/>
        <w:spacing w:line="311" w:lineRule="exact"/>
        <w:ind w:right="86"/>
        <w:jc w:val="left"/>
      </w:pPr>
      <w:r>
        <w:rPr/>
        <w:t>479,555,528.80</w:t>
      </w:r>
      <w:r>
        <w:rPr>
          <w:spacing w:val="-40"/>
        </w:rPr>
        <w:t> </w:t>
      </w:r>
      <w:r>
        <w:rPr/>
        <w:t>元，提取</w:t>
      </w:r>
      <w:r>
        <w:rPr>
          <w:spacing w:val="-40"/>
        </w:rPr>
        <w:t> </w:t>
      </w:r>
      <w:r>
        <w:rPr/>
        <w:t>10%的法定公积金</w:t>
      </w:r>
      <w:r>
        <w:rPr>
          <w:spacing w:val="-40"/>
        </w:rPr>
        <w:t> </w:t>
      </w:r>
      <w:r>
        <w:rPr/>
        <w:t>47,955,552.88</w:t>
      </w:r>
      <w:r>
        <w:rPr>
          <w:spacing w:val="-40"/>
        </w:rPr>
        <w:t> </w:t>
      </w:r>
      <w:r>
        <w:rPr/>
        <w:t>元后，累计未分配利润共计</w:t>
      </w:r>
    </w:p>
    <w:p>
      <w:pPr>
        <w:pStyle w:val="BodyText"/>
        <w:spacing w:line="313" w:lineRule="exact"/>
        <w:ind w:right="213"/>
        <w:jc w:val="left"/>
      </w:pPr>
      <w:r>
        <w:rPr/>
        <w:t>1,745,974,648.63</w:t>
      </w:r>
      <w:r>
        <w:rPr>
          <w:spacing w:val="-60"/>
        </w:rPr>
        <w:t> </w:t>
      </w:r>
      <w:r>
        <w:rPr/>
        <w:t>元。</w:t>
      </w:r>
    </w:p>
    <w:p>
      <w:pPr>
        <w:spacing w:line="240" w:lineRule="auto" w:before="8"/>
        <w:rPr>
          <w:rFonts w:ascii="宋体" w:hAnsi="宋体" w:cs="宋体" w:eastAsia="宋体" w:hint="default"/>
          <w:sz w:val="23"/>
          <w:szCs w:val="23"/>
        </w:rPr>
      </w:pPr>
    </w:p>
    <w:p>
      <w:pPr>
        <w:pStyle w:val="BodyText"/>
        <w:spacing w:line="240" w:lineRule="auto"/>
        <w:ind w:right="213"/>
        <w:jc w:val="left"/>
      </w:pPr>
      <w:r>
        <w:rPr/>
        <w:t>公司拟定的利润分配和资本公积转增股本方案为：</w:t>
      </w:r>
    </w:p>
    <w:p>
      <w:pPr>
        <w:spacing w:line="240" w:lineRule="auto" w:before="7"/>
        <w:rPr>
          <w:rFonts w:ascii="宋体" w:hAnsi="宋体" w:cs="宋体" w:eastAsia="宋体" w:hint="default"/>
          <w:sz w:val="23"/>
          <w:szCs w:val="23"/>
        </w:rPr>
      </w:pPr>
    </w:p>
    <w:p>
      <w:pPr>
        <w:pStyle w:val="BodyText"/>
        <w:spacing w:line="313" w:lineRule="exact"/>
        <w:ind w:right="213"/>
        <w:jc w:val="left"/>
      </w:pPr>
      <w:r>
        <w:rPr/>
        <w:t>以</w:t>
      </w:r>
      <w:r>
        <w:rPr>
          <w:spacing w:val="-56"/>
        </w:rPr>
        <w:t> </w:t>
      </w:r>
      <w:r>
        <w:rPr/>
        <w:t>2010</w:t>
      </w:r>
      <w:r>
        <w:rPr>
          <w:spacing w:val="-56"/>
        </w:rPr>
        <w:t> </w:t>
      </w:r>
      <w:r>
        <w:rPr/>
        <w:t>年</w:t>
      </w:r>
      <w:r>
        <w:rPr>
          <w:spacing w:val="-57"/>
        </w:rPr>
        <w:t> </w:t>
      </w:r>
      <w:r>
        <w:rPr/>
        <w:t>12</w:t>
      </w:r>
      <w:r>
        <w:rPr>
          <w:spacing w:val="-56"/>
        </w:rPr>
        <w:t> </w:t>
      </w:r>
      <w:r>
        <w:rPr/>
        <w:t>月</w:t>
      </w:r>
      <w:r>
        <w:rPr>
          <w:spacing w:val="-56"/>
        </w:rPr>
        <w:t> </w:t>
      </w:r>
      <w:r>
        <w:rPr/>
        <w:t>31</w:t>
      </w:r>
      <w:r>
        <w:rPr>
          <w:spacing w:val="-56"/>
        </w:rPr>
        <w:t> </w:t>
      </w:r>
      <w:r>
        <w:rPr/>
        <w:t>日总股本</w:t>
      </w:r>
      <w:r>
        <w:rPr>
          <w:spacing w:val="-56"/>
        </w:rPr>
        <w:t> </w:t>
      </w:r>
      <w:r>
        <w:rPr/>
        <w:t>993,850,554</w:t>
      </w:r>
      <w:r>
        <w:rPr>
          <w:spacing w:val="-56"/>
        </w:rPr>
        <w:t> </w:t>
      </w:r>
      <w:r>
        <w:rPr/>
        <w:t>股为基准，向全体股东以每</w:t>
      </w:r>
      <w:r>
        <w:rPr>
          <w:spacing w:val="-56"/>
        </w:rPr>
        <w:t> </w:t>
      </w:r>
      <w:r>
        <w:rPr/>
        <w:t>10</w:t>
      </w:r>
      <w:r>
        <w:rPr>
          <w:spacing w:val="-56"/>
        </w:rPr>
        <w:t> </w:t>
      </w:r>
      <w:r>
        <w:rPr/>
        <w:t>股派送现金红</w:t>
      </w:r>
    </w:p>
    <w:p>
      <w:pPr>
        <w:pStyle w:val="BodyText"/>
        <w:spacing w:line="310" w:lineRule="exact" w:before="31"/>
        <w:ind w:right="208"/>
        <w:jc w:val="left"/>
      </w:pPr>
      <w:r>
        <w:rPr/>
        <w:t>利</w:t>
      </w:r>
      <w:r>
        <w:rPr>
          <w:spacing w:val="-63"/>
        </w:rPr>
        <w:t> </w:t>
      </w:r>
      <w:r>
        <w:rPr/>
        <w:t>1</w:t>
      </w:r>
      <w:r>
        <w:rPr>
          <w:spacing w:val="-63"/>
        </w:rPr>
        <w:t> </w:t>
      </w:r>
      <w:r>
        <w:rPr>
          <w:spacing w:val="-3"/>
        </w:rPr>
        <w:t>元(含税)，共计</w:t>
      </w:r>
      <w:r>
        <w:rPr>
          <w:spacing w:val="-63"/>
        </w:rPr>
        <w:t> </w:t>
      </w:r>
      <w:r>
        <w:rPr/>
        <w:t>99,385,055.40</w:t>
      </w:r>
      <w:r>
        <w:rPr>
          <w:spacing w:val="-63"/>
        </w:rPr>
        <w:t> </w:t>
      </w:r>
      <w:r>
        <w:rPr/>
        <w:t>元，尚余可供分配的利润</w:t>
      </w:r>
      <w:r>
        <w:rPr>
          <w:spacing w:val="-63"/>
        </w:rPr>
        <w:t> </w:t>
      </w:r>
      <w:r>
        <w:rPr/>
        <w:t>1,646,589,593.23</w:t>
      </w:r>
      <w:r>
        <w:rPr>
          <w:spacing w:val="-63"/>
        </w:rPr>
        <w:t> </w:t>
      </w:r>
      <w:r>
        <w:rPr/>
        <w:t>元留待</w:t>
      </w:r>
      <w:r>
        <w:rPr/>
        <w:t> 以后年度分配。</w:t>
      </w:r>
    </w:p>
    <w:p>
      <w:pPr>
        <w:spacing w:line="240" w:lineRule="auto" w:before="6"/>
        <w:rPr>
          <w:rFonts w:ascii="宋体" w:hAnsi="宋体" w:cs="宋体" w:eastAsia="宋体" w:hint="default"/>
          <w:sz w:val="21"/>
          <w:szCs w:val="21"/>
        </w:rPr>
      </w:pPr>
    </w:p>
    <w:p>
      <w:pPr>
        <w:pStyle w:val="BodyText"/>
        <w:spacing w:line="312" w:lineRule="exact"/>
        <w:ind w:right="213"/>
        <w:jc w:val="left"/>
      </w:pPr>
      <w:r>
        <w:rPr/>
        <w:t>以公司截至</w:t>
      </w:r>
      <w:r>
        <w:rPr>
          <w:spacing w:val="-56"/>
        </w:rPr>
        <w:t> </w:t>
      </w:r>
      <w:r>
        <w:rPr/>
        <w:t>2010</w:t>
      </w:r>
      <w:r>
        <w:rPr>
          <w:spacing w:val="-56"/>
        </w:rPr>
        <w:t> </w:t>
      </w:r>
      <w:r>
        <w:rPr/>
        <w:t>年</w:t>
      </w:r>
      <w:r>
        <w:rPr>
          <w:spacing w:val="-57"/>
        </w:rPr>
        <w:t> </w:t>
      </w:r>
      <w:r>
        <w:rPr/>
        <w:t>12</w:t>
      </w:r>
      <w:r>
        <w:rPr>
          <w:spacing w:val="-56"/>
        </w:rPr>
        <w:t> </w:t>
      </w:r>
      <w:r>
        <w:rPr/>
        <w:t>月</w:t>
      </w:r>
      <w:r>
        <w:rPr>
          <w:spacing w:val="-56"/>
        </w:rPr>
        <w:t> </w:t>
      </w:r>
      <w:r>
        <w:rPr/>
        <w:t>31</w:t>
      </w:r>
      <w:r>
        <w:rPr>
          <w:spacing w:val="-56"/>
        </w:rPr>
        <w:t> </w:t>
      </w:r>
      <w:r>
        <w:rPr/>
        <w:t>日的总股本</w:t>
      </w:r>
      <w:r>
        <w:rPr>
          <w:spacing w:val="-56"/>
        </w:rPr>
        <w:t> </w:t>
      </w:r>
      <w:r>
        <w:rPr/>
        <w:t>993,850,554</w:t>
      </w:r>
      <w:r>
        <w:rPr>
          <w:spacing w:val="-56"/>
        </w:rPr>
        <w:t> </w:t>
      </w:r>
      <w:r>
        <w:rPr/>
        <w:t>股为基数，每</w:t>
      </w:r>
      <w:r>
        <w:rPr>
          <w:spacing w:val="-56"/>
        </w:rPr>
        <w:t> </w:t>
      </w:r>
      <w:r>
        <w:rPr/>
        <w:t>10</w:t>
      </w:r>
      <w:r>
        <w:rPr>
          <w:spacing w:val="-56"/>
        </w:rPr>
        <w:t> </w:t>
      </w:r>
      <w:r>
        <w:rPr/>
        <w:t>股资本公积转增</w:t>
      </w:r>
    </w:p>
    <w:p>
      <w:pPr>
        <w:pStyle w:val="BodyText"/>
        <w:spacing w:line="475" w:lineRule="auto"/>
        <w:ind w:right="4546"/>
        <w:jc w:val="left"/>
      </w:pPr>
      <w:r>
        <w:rPr/>
        <w:t>10</w:t>
      </w:r>
      <w:r>
        <w:rPr>
          <w:spacing w:val="-60"/>
        </w:rPr>
        <w:t> </w:t>
      </w:r>
      <w:r>
        <w:rPr/>
        <w:t>股，合计向全体股东转增</w:t>
      </w:r>
      <w:r>
        <w:rPr>
          <w:spacing w:val="-60"/>
        </w:rPr>
        <w:t> </w:t>
      </w:r>
      <w:r>
        <w:rPr/>
        <w:t>993,850,554</w:t>
      </w:r>
      <w:r>
        <w:rPr>
          <w:spacing w:val="-60"/>
        </w:rPr>
        <w:t> </w:t>
      </w:r>
      <w:r>
        <w:rPr/>
        <w:t>股。</w:t>
      </w:r>
      <w:r>
        <w:rPr/>
        <w:t> 公司前三年分红情况：</w:t>
      </w:r>
    </w:p>
    <w:p>
      <w:pPr>
        <w:spacing w:line="240" w:lineRule="auto" w:before="8"/>
        <w:rPr>
          <w:rFonts w:ascii="宋体" w:hAnsi="宋体" w:cs="宋体" w:eastAsia="宋体" w:hint="default"/>
          <w:sz w:val="8"/>
          <w:szCs w:val="8"/>
        </w:rPr>
      </w:pPr>
    </w:p>
    <w:tbl>
      <w:tblPr>
        <w:tblW w:w="0" w:type="auto"/>
        <w:jc w:val="left"/>
        <w:tblInd w:w="510" w:type="dxa"/>
        <w:tblLayout w:type="fixed"/>
        <w:tblCellMar>
          <w:top w:w="0" w:type="dxa"/>
          <w:left w:w="0" w:type="dxa"/>
          <w:bottom w:w="0" w:type="dxa"/>
          <w:right w:w="0" w:type="dxa"/>
        </w:tblCellMar>
        <w:tblLook w:val="01E0"/>
      </w:tblPr>
      <w:tblGrid>
        <w:gridCol w:w="1297"/>
        <w:gridCol w:w="2810"/>
        <w:gridCol w:w="2416"/>
        <w:gridCol w:w="1903"/>
      </w:tblGrid>
      <w:tr>
        <w:trPr>
          <w:trHeight w:val="295" w:hRule="exact"/>
        </w:trPr>
        <w:tc>
          <w:tcPr>
            <w:tcW w:w="129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19"/>
              <w:jc w:val="center"/>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81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19"/>
              <w:jc w:val="right"/>
              <w:rPr>
                <w:rFonts w:ascii="宋体" w:hAnsi="宋体" w:cs="宋体" w:eastAsia="宋体" w:hint="default"/>
                <w:sz w:val="21"/>
                <w:szCs w:val="21"/>
              </w:rPr>
            </w:pPr>
            <w:r>
              <w:rPr>
                <w:rFonts w:ascii="宋体" w:hAnsi="宋体" w:cs="宋体" w:eastAsia="宋体" w:hint="default"/>
                <w:b/>
                <w:bCs/>
                <w:w w:val="95"/>
                <w:sz w:val="21"/>
                <w:szCs w:val="21"/>
              </w:rPr>
              <w:t>现金分红的数额(含税)</w:t>
            </w:r>
            <w:r>
              <w:rPr>
                <w:rFonts w:ascii="宋体" w:hAnsi="宋体" w:cs="宋体" w:eastAsia="宋体" w:hint="default"/>
                <w:sz w:val="21"/>
                <w:szCs w:val="21"/>
              </w:rPr>
            </w:r>
          </w:p>
        </w:tc>
        <w:tc>
          <w:tcPr>
            <w:tcW w:w="241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32"/>
              <w:jc w:val="right"/>
              <w:rPr>
                <w:rFonts w:ascii="宋体" w:hAnsi="宋体" w:cs="宋体" w:eastAsia="宋体" w:hint="default"/>
                <w:sz w:val="21"/>
                <w:szCs w:val="21"/>
              </w:rPr>
            </w:pPr>
            <w:r>
              <w:rPr>
                <w:rFonts w:ascii="宋体" w:hAnsi="宋体" w:cs="宋体" w:eastAsia="宋体" w:hint="default"/>
                <w:b/>
                <w:bCs/>
                <w:w w:val="95"/>
                <w:sz w:val="21"/>
                <w:szCs w:val="21"/>
              </w:rPr>
              <w:t>分红年度的净利润</w:t>
            </w:r>
            <w:r>
              <w:rPr>
                <w:rFonts w:ascii="宋体" w:hAnsi="宋体" w:cs="宋体" w:eastAsia="宋体" w:hint="default"/>
                <w:sz w:val="21"/>
                <w:szCs w:val="21"/>
              </w:rPr>
            </w:r>
          </w:p>
        </w:tc>
        <w:tc>
          <w:tcPr>
            <w:tcW w:w="190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454" w:right="0"/>
              <w:jc w:val="center"/>
              <w:rPr>
                <w:rFonts w:ascii="宋体" w:hAnsi="宋体" w:cs="宋体" w:eastAsia="宋体" w:hint="default"/>
                <w:sz w:val="21"/>
                <w:szCs w:val="21"/>
              </w:rPr>
            </w:pPr>
            <w:r>
              <w:rPr>
                <w:rFonts w:ascii="宋体" w:hAnsi="宋体" w:cs="宋体" w:eastAsia="宋体" w:hint="default"/>
                <w:b/>
                <w:bCs/>
                <w:sz w:val="21"/>
                <w:szCs w:val="21"/>
              </w:rPr>
              <w:t>比率</w:t>
            </w:r>
            <w:r>
              <w:rPr>
                <w:rFonts w:ascii="宋体" w:hAnsi="宋体" w:cs="宋体" w:eastAsia="宋体" w:hint="default"/>
                <w:sz w:val="21"/>
                <w:szCs w:val="21"/>
              </w:rPr>
            </w:r>
          </w:p>
        </w:tc>
      </w:tr>
      <w:tr>
        <w:trPr>
          <w:trHeight w:val="287" w:hRule="exact"/>
        </w:trPr>
        <w:tc>
          <w:tcPr>
            <w:tcW w:w="129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60,121,264.88</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6"/>
              <w:jc w:val="right"/>
              <w:rPr>
                <w:rFonts w:ascii="宋体" w:hAnsi="宋体" w:cs="宋体" w:eastAsia="宋体" w:hint="default"/>
                <w:sz w:val="21"/>
                <w:szCs w:val="21"/>
              </w:rPr>
            </w:pPr>
            <w:r>
              <w:rPr>
                <w:rFonts w:ascii="宋体"/>
                <w:spacing w:val="-1"/>
                <w:sz w:val="21"/>
              </w:rPr>
              <w:t>440,062,725.55</w:t>
            </w:r>
            <w:r>
              <w:rPr>
                <w:rFonts w:ascii="宋体"/>
                <w:sz w:val="21"/>
              </w:rPr>
            </w:r>
          </w:p>
        </w:tc>
        <w:tc>
          <w:tcPr>
            <w:tcW w:w="190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46" w:right="0"/>
              <w:jc w:val="center"/>
              <w:rPr>
                <w:rFonts w:ascii="宋体" w:hAnsi="宋体" w:cs="宋体" w:eastAsia="宋体" w:hint="default"/>
                <w:sz w:val="21"/>
                <w:szCs w:val="21"/>
              </w:rPr>
            </w:pPr>
            <w:r>
              <w:rPr>
                <w:rFonts w:ascii="宋体"/>
                <w:sz w:val="21"/>
              </w:rPr>
              <w:t>13.64%</w:t>
            </w:r>
          </w:p>
        </w:tc>
      </w:tr>
      <w:tr>
        <w:trPr>
          <w:trHeight w:val="288" w:hRule="exact"/>
        </w:trPr>
        <w:tc>
          <w:tcPr>
            <w:tcW w:w="129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68,387,938.78</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6"/>
              <w:jc w:val="right"/>
              <w:rPr>
                <w:rFonts w:ascii="宋体" w:hAnsi="宋体" w:cs="宋体" w:eastAsia="宋体" w:hint="default"/>
                <w:sz w:val="21"/>
                <w:szCs w:val="21"/>
              </w:rPr>
            </w:pPr>
            <w:r>
              <w:rPr>
                <w:rFonts w:ascii="宋体"/>
                <w:spacing w:val="-1"/>
                <w:sz w:val="21"/>
              </w:rPr>
              <w:t>251,426,820.71</w:t>
            </w:r>
            <w:r>
              <w:rPr>
                <w:rFonts w:ascii="宋体"/>
                <w:sz w:val="21"/>
              </w:rPr>
            </w:r>
          </w:p>
        </w:tc>
        <w:tc>
          <w:tcPr>
            <w:tcW w:w="190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46" w:right="0"/>
              <w:jc w:val="center"/>
              <w:rPr>
                <w:rFonts w:ascii="宋体" w:hAnsi="宋体" w:cs="宋体" w:eastAsia="宋体" w:hint="default"/>
                <w:sz w:val="21"/>
                <w:szCs w:val="21"/>
              </w:rPr>
            </w:pPr>
            <w:r>
              <w:rPr>
                <w:rFonts w:ascii="宋体"/>
                <w:sz w:val="21"/>
              </w:rPr>
              <w:t>27.20%</w:t>
            </w:r>
          </w:p>
        </w:tc>
      </w:tr>
      <w:tr>
        <w:trPr>
          <w:trHeight w:val="295" w:hRule="exact"/>
        </w:trPr>
        <w:tc>
          <w:tcPr>
            <w:tcW w:w="129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1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97,697,055.40</w:t>
            </w:r>
          </w:p>
        </w:tc>
        <w:tc>
          <w:tcPr>
            <w:tcW w:w="241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46"/>
              <w:jc w:val="right"/>
              <w:rPr>
                <w:rFonts w:ascii="宋体" w:hAnsi="宋体" w:cs="宋体" w:eastAsia="宋体" w:hint="default"/>
                <w:sz w:val="21"/>
                <w:szCs w:val="21"/>
              </w:rPr>
            </w:pPr>
            <w:r>
              <w:rPr>
                <w:rFonts w:ascii="宋体"/>
                <w:spacing w:val="-1"/>
                <w:sz w:val="21"/>
              </w:rPr>
              <w:t>351,370,202.43</w:t>
            </w:r>
            <w:r>
              <w:rPr>
                <w:rFonts w:ascii="宋体"/>
                <w:sz w:val="21"/>
              </w:rPr>
            </w:r>
          </w:p>
        </w:tc>
        <w:tc>
          <w:tcPr>
            <w:tcW w:w="190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446" w:right="0"/>
              <w:jc w:val="center"/>
              <w:rPr>
                <w:rFonts w:ascii="宋体" w:hAnsi="宋体" w:cs="宋体" w:eastAsia="宋体" w:hint="default"/>
                <w:sz w:val="21"/>
                <w:szCs w:val="21"/>
              </w:rPr>
            </w:pPr>
            <w:r>
              <w:rPr>
                <w:rFonts w:ascii="宋体"/>
                <w:sz w:val="21"/>
              </w:rPr>
              <w:t>27.80%</w:t>
            </w:r>
          </w:p>
        </w:tc>
      </w:tr>
    </w:tbl>
    <w:p>
      <w:pPr>
        <w:spacing w:line="240" w:lineRule="auto" w:before="3"/>
        <w:rPr>
          <w:rFonts w:ascii="宋体" w:hAnsi="宋体" w:cs="宋体" w:eastAsia="宋体" w:hint="default"/>
          <w:sz w:val="19"/>
          <w:szCs w:val="19"/>
        </w:rPr>
      </w:pPr>
    </w:p>
    <w:p>
      <w:pPr>
        <w:pStyle w:val="Heading2"/>
        <w:spacing w:line="240" w:lineRule="auto" w:before="13"/>
        <w:ind w:right="0"/>
        <w:jc w:val="both"/>
        <w:rPr>
          <w:b w:val="0"/>
          <w:bCs w:val="0"/>
        </w:rPr>
      </w:pPr>
      <w:r>
        <w:rPr/>
        <w:t>(九)其他报告事项</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right="0"/>
        <w:jc w:val="both"/>
      </w:pPr>
      <w:r>
        <w:rPr/>
        <w:t>1、本年度聘请会计师事务所：信永中和会计师事务所有限公司。</w:t>
      </w:r>
    </w:p>
    <w:p>
      <w:pPr>
        <w:spacing w:line="240" w:lineRule="auto" w:before="8"/>
        <w:rPr>
          <w:rFonts w:ascii="宋体" w:hAnsi="宋体" w:cs="宋体" w:eastAsia="宋体" w:hint="default"/>
          <w:sz w:val="23"/>
          <w:szCs w:val="23"/>
        </w:rPr>
      </w:pPr>
    </w:p>
    <w:p>
      <w:pPr>
        <w:pStyle w:val="BodyText"/>
        <w:spacing w:line="240" w:lineRule="auto"/>
        <w:ind w:right="0"/>
        <w:jc w:val="both"/>
      </w:pPr>
      <w:r>
        <w:rPr/>
        <w:t>2、本年度指定的信息披露报刊：中国证券报、上海证券报。</w:t>
      </w:r>
    </w:p>
    <w:p>
      <w:pPr>
        <w:spacing w:line="240" w:lineRule="auto" w:before="7"/>
        <w:rPr>
          <w:rFonts w:ascii="宋体" w:hAnsi="宋体" w:cs="宋体" w:eastAsia="宋体" w:hint="default"/>
          <w:sz w:val="23"/>
          <w:szCs w:val="23"/>
        </w:rPr>
      </w:pPr>
    </w:p>
    <w:p>
      <w:pPr>
        <w:pStyle w:val="BodyText"/>
        <w:spacing w:line="240" w:lineRule="auto"/>
        <w:ind w:right="0"/>
        <w:jc w:val="both"/>
      </w:pPr>
      <w:r>
        <w:rPr/>
        <w:t>3、独立董事对公司累计和当期对外担保情况的专项说明及独立意见</w:t>
      </w:r>
    </w:p>
    <w:p>
      <w:pPr>
        <w:spacing w:line="240" w:lineRule="auto" w:before="11"/>
        <w:rPr>
          <w:rFonts w:ascii="宋体" w:hAnsi="宋体" w:cs="宋体" w:eastAsia="宋体" w:hint="default"/>
          <w:sz w:val="23"/>
          <w:szCs w:val="23"/>
        </w:rPr>
      </w:pPr>
    </w:p>
    <w:p>
      <w:pPr>
        <w:pStyle w:val="BodyText"/>
        <w:spacing w:line="237" w:lineRule="auto"/>
        <w:ind w:right="220"/>
        <w:jc w:val="both"/>
      </w:pPr>
      <w:r>
        <w:rPr>
          <w:spacing w:val="-2"/>
        </w:rPr>
        <w:t>我们做为同方股份有限公司的独立董事，根据中国证券监督管理委员会证监发[2005]120</w:t>
      </w:r>
      <w:r>
        <w:rPr>
          <w:spacing w:val="-115"/>
        </w:rPr>
        <w:t> </w:t>
      </w:r>
      <w:r>
        <w:rPr>
          <w:spacing w:val="-115"/>
        </w:rPr>
      </w:r>
      <w:r>
        <w:rPr>
          <w:spacing w:val="-6"/>
        </w:rPr>
        <w:t>号文《关于规范上市公司对外担保行为的通知》、证监发[2003]56</w:t>
      </w:r>
      <w:r>
        <w:rPr>
          <w:spacing w:val="-56"/>
        </w:rPr>
        <w:t> </w:t>
      </w:r>
      <w:r>
        <w:rPr>
          <w:spacing w:val="-5"/>
        </w:rPr>
        <w:t>号文《关于规范上市公</w:t>
      </w:r>
      <w:r>
        <w:rPr>
          <w:spacing w:val="-117"/>
        </w:rPr>
        <w:t> </w:t>
      </w:r>
      <w:r>
        <w:rPr>
          <w:spacing w:val="-117"/>
        </w:rPr>
      </w:r>
      <w:r>
        <w:rPr/>
        <w:t>司与关联资金往来及上市公司对外担保若干问题的通知》的有关规定，在审阅了公司提</w:t>
      </w:r>
      <w:r>
        <w:rPr>
          <w:spacing w:val="-47"/>
        </w:rPr>
        <w:t> </w:t>
      </w:r>
      <w:r>
        <w:rPr>
          <w:spacing w:val="-47"/>
        </w:rPr>
      </w:r>
      <w:r>
        <w:rPr/>
        <w:t>供的相关资料并作了必要的询问后，基于个人独立判断，现就公司及其控股子公司累计</w:t>
      </w:r>
      <w:r>
        <w:rPr>
          <w:spacing w:val="-47"/>
        </w:rPr>
        <w:t> </w:t>
      </w:r>
      <w:r>
        <w:rPr>
          <w:spacing w:val="-47"/>
        </w:rPr>
      </w:r>
      <w:r>
        <w:rPr/>
        <w:t>和当其对外担保情况、执行证监发[2005]120 号文和证监发[2003]56</w:t>
      </w:r>
      <w:r>
        <w:rPr>
          <w:spacing w:val="-40"/>
        </w:rPr>
        <w:t> </w:t>
      </w:r>
      <w:r>
        <w:rPr/>
        <w:t>号文规定情况作如</w:t>
      </w:r>
    </w:p>
    <w:p>
      <w:pPr>
        <w:spacing w:after="0" w:line="237"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left"/>
      </w:pPr>
      <w:r>
        <w:rPr/>
        <w:t>下专项说明和独立意见：</w:t>
      </w:r>
    </w:p>
    <w:p>
      <w:pPr>
        <w:spacing w:line="240" w:lineRule="auto" w:before="7"/>
        <w:rPr>
          <w:rFonts w:ascii="宋体" w:hAnsi="宋体" w:cs="宋体" w:eastAsia="宋体" w:hint="default"/>
          <w:sz w:val="23"/>
          <w:szCs w:val="23"/>
        </w:rPr>
      </w:pPr>
    </w:p>
    <w:p>
      <w:pPr>
        <w:pStyle w:val="BodyText"/>
        <w:spacing w:line="240" w:lineRule="auto"/>
        <w:ind w:right="0"/>
        <w:jc w:val="left"/>
      </w:pPr>
      <w:r>
        <w:rPr/>
        <w:t>截止</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日，公司没有为控股股东及任何非法人单位或个人提供担保。</w:t>
      </w:r>
    </w:p>
    <w:p>
      <w:pPr>
        <w:spacing w:line="240" w:lineRule="auto" w:before="12"/>
        <w:rPr>
          <w:rFonts w:ascii="宋体" w:hAnsi="宋体" w:cs="宋体" w:eastAsia="宋体" w:hint="default"/>
          <w:sz w:val="25"/>
          <w:szCs w:val="25"/>
        </w:rPr>
      </w:pPr>
    </w:p>
    <w:p>
      <w:pPr>
        <w:pStyle w:val="BodyText"/>
        <w:spacing w:line="312" w:lineRule="exact"/>
        <w:ind w:right="128"/>
        <w:jc w:val="left"/>
      </w:pPr>
      <w:r>
        <w:rPr>
          <w:spacing w:val="5"/>
        </w:rPr>
        <w:t>本报告期内，经董事会批准，公司累计对外担保余额为 </w:t>
      </w:r>
      <w:r>
        <w:rPr/>
        <w:t>30.43</w:t>
      </w:r>
      <w:r>
        <w:rPr>
          <w:spacing w:val="23"/>
        </w:rPr>
        <w:t> </w:t>
      </w:r>
      <w:r>
        <w:rPr>
          <w:spacing w:val="5"/>
        </w:rPr>
        <w:t>亿元，占公司净资产的</w:t>
      </w:r>
      <w:r>
        <w:rPr>
          <w:spacing w:val="5"/>
        </w:rPr>
        <w:t> </w:t>
      </w:r>
      <w:r>
        <w:rPr/>
        <w:t>38.09%。</w:t>
      </w:r>
    </w:p>
    <w:p>
      <w:pPr>
        <w:spacing w:line="240" w:lineRule="auto" w:before="6"/>
        <w:rPr>
          <w:rFonts w:ascii="宋体" w:hAnsi="宋体" w:cs="宋体" w:eastAsia="宋体" w:hint="default"/>
          <w:sz w:val="21"/>
          <w:szCs w:val="21"/>
        </w:rPr>
      </w:pPr>
    </w:p>
    <w:p>
      <w:pPr>
        <w:pStyle w:val="BodyText"/>
        <w:spacing w:line="240" w:lineRule="auto"/>
        <w:ind w:right="0"/>
        <w:jc w:val="left"/>
      </w:pPr>
      <w:r>
        <w:rPr/>
        <w:t>上述担保均履行了相关审批程序。</w:t>
      </w:r>
    </w:p>
    <w:p>
      <w:pPr>
        <w:spacing w:after="0" w:line="240" w:lineRule="auto"/>
        <w:jc w:val="left"/>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978" w:lineRule="exact"/>
        <w:ind w:left="11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153pt;height:48.9pt;mso-position-horizontal-relative:char;mso-position-vertical-relative:line" coordorigin="0,0" coordsize="3060,978">
            <v:shape style="position:absolute;left:0;top:0;width:3060;height:978" type="#_x0000_t75" stroked="false">
              <v:imagedata r:id="rId22" o:title=""/>
            </v:shape>
            <v:group style="position:absolute;left:226;top:814;width:2633;height:2" coordorigin="226,814" coordsize="2633,2">
              <v:shape style="position:absolute;left:226;top:814;width:2633;height:2" coordorigin="226,814" coordsize="2633,2" path="m226,814l2858,815e" filled="false" stroked="true" strokeweight=".25pt" strokecolor="#000000">
                <v:path arrowok="t"/>
              </v:shape>
            </v:group>
            <v:group style="position:absolute;left:2843;top:289;width:2;height:526" coordorigin="2843,289" coordsize="2,526">
              <v:shape style="position:absolute;left:2843;top:289;width:2;height:526" coordorigin="2843,289" coordsize="2,526" path="m2843,289l2844,815e" filled="false" stroked="true" strokeweight=".25pt" strokecolor="#000000">
                <v:path arrowok="t"/>
              </v:shape>
              <v:shape style="position:absolute;left:0;top:0;width:3060;height:978" type="#_x0000_t202" filled="false" stroked="false">
                <v:textbox inset="0,0,0,0">
                  <w:txbxContent>
                    <w:p>
                      <w:pPr>
                        <w:spacing w:before="162"/>
                        <w:ind w:left="180" w:right="0" w:firstLine="0"/>
                        <w:jc w:val="left"/>
                        <w:rPr>
                          <w:rFonts w:ascii="黑体" w:hAnsi="黑体" w:cs="黑体" w:eastAsia="黑体" w:hint="default"/>
                          <w:sz w:val="30"/>
                          <w:szCs w:val="30"/>
                        </w:rPr>
                      </w:pPr>
                      <w:r>
                        <w:rPr>
                          <w:rFonts w:ascii="黑体" w:hAnsi="黑体" w:cs="黑体" w:eastAsia="黑体" w:hint="default"/>
                          <w:b/>
                          <w:bCs/>
                          <w:sz w:val="30"/>
                          <w:szCs w:val="30"/>
                        </w:rPr>
                        <w:t>八、监事会报告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13"/>
        <w:ind w:left="298" w:right="0"/>
        <w:jc w:val="both"/>
        <w:rPr>
          <w:b w:val="0"/>
          <w:bCs w:val="0"/>
        </w:rPr>
      </w:pPr>
      <w:r>
        <w:rPr/>
        <w:t>1、监事会年度工作简介</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298" w:right="0"/>
        <w:jc w:val="both"/>
      </w:pPr>
      <w:r>
        <w:rPr/>
        <w:t>(1)本报告年度共召开监事会七次，分别是：</w:t>
      </w:r>
    </w:p>
    <w:p>
      <w:pPr>
        <w:spacing w:line="240" w:lineRule="auto" w:before="12"/>
        <w:rPr>
          <w:rFonts w:ascii="宋体" w:hAnsi="宋体" w:cs="宋体" w:eastAsia="宋体" w:hint="default"/>
          <w:sz w:val="25"/>
          <w:szCs w:val="25"/>
        </w:rPr>
      </w:pPr>
    </w:p>
    <w:p>
      <w:pPr>
        <w:pStyle w:val="BodyText"/>
        <w:spacing w:line="312" w:lineRule="exact"/>
        <w:ind w:left="298" w:right="202"/>
        <w:jc w:val="both"/>
      </w:pPr>
      <w:r>
        <w:rPr>
          <w:spacing w:val="30"/>
        </w:rPr>
        <w:t>2010年3月3</w:t>
      </w:r>
      <w:r>
        <w:rPr>
          <w:spacing w:val="-57"/>
        </w:rPr>
        <w:t> </w:t>
      </w:r>
      <w:r>
        <w:rPr>
          <w:spacing w:val="-4"/>
        </w:rPr>
        <w:t>日召开第四届监事会第十七次会议，会议审议通过了《关于运用</w:t>
      </w:r>
      <w:r>
        <w:rPr>
          <w:spacing w:val="-57"/>
        </w:rPr>
        <w:t> </w:t>
      </w:r>
      <w:r>
        <w:rPr/>
        <w:t>2008</w:t>
      </w:r>
      <w:r>
        <w:rPr>
          <w:spacing w:val="-57"/>
        </w:rPr>
        <w:t> </w:t>
      </w:r>
      <w:r>
        <w:rPr/>
        <w:t>年度</w:t>
      </w:r>
      <w:r>
        <w:rPr/>
        <w:t> </w:t>
      </w:r>
      <w:r>
        <w:rPr>
          <w:spacing w:val="-6"/>
        </w:rPr>
        <w:t>配股部分闲置募集资金暂时补充流动资金的议案》；</w:t>
      </w:r>
    </w:p>
    <w:p>
      <w:pPr>
        <w:spacing w:line="240" w:lineRule="auto" w:before="7"/>
        <w:rPr>
          <w:rFonts w:ascii="宋体" w:hAnsi="宋体" w:cs="宋体" w:eastAsia="宋体" w:hint="default"/>
          <w:sz w:val="21"/>
          <w:szCs w:val="21"/>
        </w:rPr>
      </w:pPr>
    </w:p>
    <w:p>
      <w:pPr>
        <w:pStyle w:val="BodyText"/>
        <w:spacing w:line="237" w:lineRule="auto"/>
        <w:ind w:left="298" w:right="202"/>
        <w:jc w:val="both"/>
      </w:pPr>
      <w:r>
        <w:rPr/>
        <w:t>2010</w:t>
      </w:r>
      <w:r>
        <w:rPr>
          <w:spacing w:val="-58"/>
        </w:rPr>
        <w:t> </w:t>
      </w:r>
      <w:r>
        <w:rPr/>
        <w:t>年</w:t>
      </w:r>
      <w:r>
        <w:rPr>
          <w:spacing w:val="-58"/>
        </w:rPr>
        <w:t> </w:t>
      </w:r>
      <w:r>
        <w:rPr/>
        <w:t>4</w:t>
      </w:r>
      <w:r>
        <w:rPr>
          <w:spacing w:val="-57"/>
        </w:rPr>
        <w:t> </w:t>
      </w:r>
      <w:r>
        <w:rPr/>
        <w:t>月</w:t>
      </w:r>
      <w:r>
        <w:rPr>
          <w:spacing w:val="-58"/>
        </w:rPr>
        <w:t> </w:t>
      </w:r>
      <w:r>
        <w:rPr/>
        <w:t>18</w:t>
      </w:r>
      <w:r>
        <w:rPr>
          <w:spacing w:val="-57"/>
        </w:rPr>
        <w:t> </w:t>
      </w:r>
      <w:r>
        <w:rPr/>
        <w:t>日召开第四届监事会第十八次会议，会议审议通过了公司</w:t>
      </w:r>
      <w:r>
        <w:rPr>
          <w:spacing w:val="-57"/>
        </w:rPr>
        <w:t> </w:t>
      </w:r>
      <w:r>
        <w:rPr/>
        <w:t>2009</w:t>
      </w:r>
      <w:r>
        <w:rPr>
          <w:spacing w:val="-57"/>
        </w:rPr>
        <w:t> </w:t>
      </w:r>
      <w:r>
        <w:rPr/>
        <w:t>年年度报</w:t>
      </w:r>
      <w:r>
        <w:rPr/>
        <w:t> 告正文及摘要、2009</w:t>
      </w:r>
      <w:r>
        <w:rPr>
          <w:spacing w:val="-52"/>
        </w:rPr>
        <w:t> </w:t>
      </w:r>
      <w:r>
        <w:rPr/>
        <w:t>年度监事会工作报告、对公司</w:t>
      </w:r>
      <w:r>
        <w:rPr>
          <w:spacing w:val="-52"/>
        </w:rPr>
        <w:t> </w:t>
      </w:r>
      <w:r>
        <w:rPr/>
        <w:t>2009</w:t>
      </w:r>
      <w:r>
        <w:rPr>
          <w:spacing w:val="-52"/>
        </w:rPr>
        <w:t> </w:t>
      </w:r>
      <w:r>
        <w:rPr>
          <w:spacing w:val="-9"/>
        </w:rPr>
        <w:t>年年度报告的审核意见、《关于</w:t>
      </w:r>
      <w:r>
        <w:rPr/>
        <w:t> 因前期会计差错更正对</w:t>
      </w:r>
      <w:r>
        <w:rPr>
          <w:spacing w:val="-57"/>
        </w:rPr>
        <w:t> </w:t>
      </w:r>
      <w:r>
        <w:rPr/>
        <w:t>2009</w:t>
      </w:r>
      <w:r>
        <w:rPr>
          <w:spacing w:val="-57"/>
        </w:rPr>
        <w:t> </w:t>
      </w:r>
      <w:r>
        <w:rPr>
          <w:spacing w:val="-11"/>
        </w:rPr>
        <w:t>年度期初数进行追溯调整的议案》、《关于公司监事会换届选</w:t>
      </w:r>
      <w:r>
        <w:rPr/>
      </w:r>
    </w:p>
    <w:p>
      <w:pPr>
        <w:pStyle w:val="BodyText"/>
        <w:spacing w:line="311" w:lineRule="exact"/>
        <w:ind w:left="298" w:right="0"/>
        <w:jc w:val="both"/>
      </w:pPr>
      <w:r>
        <w:rPr/>
        <w:t>举的议案、以及《公司</w:t>
      </w:r>
      <w:r>
        <w:rPr>
          <w:spacing w:val="-60"/>
        </w:rPr>
        <w:t> </w:t>
      </w:r>
      <w:r>
        <w:rPr/>
        <w:t>2009</w:t>
      </w:r>
      <w:r>
        <w:rPr>
          <w:spacing w:val="-60"/>
        </w:rPr>
        <w:t> </w:t>
      </w:r>
      <w:r>
        <w:rPr/>
        <w:t>年度募集资金存放与使用情况的专项报告</w:t>
      </w:r>
      <w:r>
        <w:rPr>
          <w:spacing w:val="-120"/>
        </w:rPr>
        <w:t>》</w:t>
      </w:r>
      <w:r>
        <w:rPr/>
        <w:t>；</w:t>
      </w:r>
    </w:p>
    <w:p>
      <w:pPr>
        <w:spacing w:line="240" w:lineRule="auto" w:before="8"/>
        <w:rPr>
          <w:rFonts w:ascii="宋体" w:hAnsi="宋体" w:cs="宋体" w:eastAsia="宋体" w:hint="default"/>
          <w:sz w:val="23"/>
          <w:szCs w:val="23"/>
        </w:rPr>
      </w:pPr>
    </w:p>
    <w:p>
      <w:pPr>
        <w:pStyle w:val="BodyText"/>
        <w:spacing w:line="313" w:lineRule="exact"/>
        <w:ind w:left="298" w:right="0"/>
        <w:jc w:val="both"/>
      </w:pPr>
      <w:r>
        <w:rPr/>
        <w:t>2010</w:t>
      </w:r>
      <w:r>
        <w:rPr>
          <w:spacing w:val="-58"/>
        </w:rPr>
        <w:t> </w:t>
      </w:r>
      <w:r>
        <w:rPr/>
        <w:t>年</w:t>
      </w:r>
      <w:r>
        <w:rPr>
          <w:spacing w:val="-58"/>
        </w:rPr>
        <w:t> </w:t>
      </w:r>
      <w:r>
        <w:rPr/>
        <w:t>4</w:t>
      </w:r>
      <w:r>
        <w:rPr>
          <w:spacing w:val="-57"/>
        </w:rPr>
        <w:t> </w:t>
      </w:r>
      <w:r>
        <w:rPr/>
        <w:t>月</w:t>
      </w:r>
      <w:r>
        <w:rPr>
          <w:spacing w:val="-58"/>
        </w:rPr>
        <w:t> </w:t>
      </w:r>
      <w:r>
        <w:rPr/>
        <w:t>27</w:t>
      </w:r>
      <w:r>
        <w:rPr>
          <w:spacing w:val="-57"/>
        </w:rPr>
        <w:t> </w:t>
      </w:r>
      <w:r>
        <w:rPr/>
        <w:t>日召开第四届监事会第十九次会议，会议审议通过了公司</w:t>
      </w:r>
      <w:r>
        <w:rPr>
          <w:spacing w:val="-57"/>
        </w:rPr>
        <w:t> </w:t>
      </w:r>
      <w:r>
        <w:rPr/>
        <w:t>2010</w:t>
      </w:r>
      <w:r>
        <w:rPr>
          <w:spacing w:val="-57"/>
        </w:rPr>
        <w:t> </w:t>
      </w:r>
      <w:r>
        <w:rPr/>
        <w:t>年第一季</w:t>
      </w:r>
    </w:p>
    <w:p>
      <w:pPr>
        <w:pStyle w:val="BodyText"/>
        <w:spacing w:line="313" w:lineRule="exact"/>
        <w:ind w:left="298" w:right="0"/>
        <w:jc w:val="both"/>
      </w:pPr>
      <w:r>
        <w:rPr/>
        <w:t>度报告、对公司</w:t>
      </w:r>
      <w:r>
        <w:rPr>
          <w:spacing w:val="-60"/>
        </w:rPr>
        <w:t> </w:t>
      </w:r>
      <w:r>
        <w:rPr/>
        <w:t>2010</w:t>
      </w:r>
      <w:r>
        <w:rPr>
          <w:spacing w:val="-60"/>
        </w:rPr>
        <w:t> </w:t>
      </w:r>
      <w:r>
        <w:rPr/>
        <w:t>年第一季度报告的审核意见；</w:t>
      </w:r>
    </w:p>
    <w:p>
      <w:pPr>
        <w:spacing w:line="240" w:lineRule="auto" w:before="7"/>
        <w:rPr>
          <w:rFonts w:ascii="宋体" w:hAnsi="宋体" w:cs="宋体" w:eastAsia="宋体" w:hint="default"/>
          <w:sz w:val="23"/>
          <w:szCs w:val="23"/>
        </w:rPr>
      </w:pPr>
    </w:p>
    <w:p>
      <w:pPr>
        <w:pStyle w:val="BodyText"/>
        <w:spacing w:line="240" w:lineRule="auto"/>
        <w:ind w:left="298" w:right="0"/>
        <w:jc w:val="both"/>
      </w:pPr>
      <w:r>
        <w:rPr>
          <w:spacing w:val="25"/>
        </w:rPr>
        <w:t>2010年5月</w:t>
      </w:r>
      <w:r>
        <w:rPr>
          <w:spacing w:val="-58"/>
        </w:rPr>
        <w:t> </w:t>
      </w:r>
      <w:r>
        <w:rPr/>
        <w:t>12</w:t>
      </w:r>
      <w:r>
        <w:rPr>
          <w:spacing w:val="-58"/>
        </w:rPr>
        <w:t> </w:t>
      </w:r>
      <w:r>
        <w:rPr/>
        <w:t>日召开第五届监事会第一次会议，选举夏冬林先生为第五届监事会主席；</w:t>
      </w:r>
    </w:p>
    <w:p>
      <w:pPr>
        <w:spacing w:line="240" w:lineRule="auto" w:before="8"/>
        <w:rPr>
          <w:rFonts w:ascii="宋体" w:hAnsi="宋体" w:cs="宋体" w:eastAsia="宋体" w:hint="default"/>
          <w:sz w:val="23"/>
          <w:szCs w:val="23"/>
        </w:rPr>
      </w:pPr>
    </w:p>
    <w:p>
      <w:pPr>
        <w:pStyle w:val="BodyText"/>
        <w:spacing w:line="312" w:lineRule="exact"/>
        <w:ind w:left="298" w:right="0"/>
        <w:jc w:val="both"/>
      </w:pPr>
      <w:r>
        <w:rPr/>
        <w:t>2010</w:t>
      </w:r>
      <w:r>
        <w:rPr>
          <w:spacing w:val="-58"/>
        </w:rPr>
        <w:t> </w:t>
      </w:r>
      <w:r>
        <w:rPr/>
        <w:t>年</w:t>
      </w:r>
      <w:r>
        <w:rPr>
          <w:spacing w:val="-58"/>
        </w:rPr>
        <w:t> </w:t>
      </w:r>
      <w:r>
        <w:rPr/>
        <w:t>8</w:t>
      </w:r>
      <w:r>
        <w:rPr>
          <w:spacing w:val="-57"/>
        </w:rPr>
        <w:t> </w:t>
      </w:r>
      <w:r>
        <w:rPr/>
        <w:t>月</w:t>
      </w:r>
      <w:r>
        <w:rPr>
          <w:spacing w:val="-58"/>
        </w:rPr>
        <w:t> </w:t>
      </w:r>
      <w:r>
        <w:rPr/>
        <w:t>25</w:t>
      </w:r>
      <w:r>
        <w:rPr>
          <w:spacing w:val="-57"/>
        </w:rPr>
        <w:t> </w:t>
      </w:r>
      <w:r>
        <w:rPr/>
        <w:t>日召开第五届监事会第二次会议，会议审议通过了公司</w:t>
      </w:r>
      <w:r>
        <w:rPr>
          <w:spacing w:val="-57"/>
        </w:rPr>
        <w:t> </w:t>
      </w:r>
      <w:r>
        <w:rPr/>
        <w:t>2010</w:t>
      </w:r>
      <w:r>
        <w:rPr>
          <w:spacing w:val="-58"/>
        </w:rPr>
        <w:t> </w:t>
      </w:r>
      <w:r>
        <w:rPr/>
        <w:t>年半年度报</w:t>
      </w:r>
    </w:p>
    <w:p>
      <w:pPr>
        <w:pStyle w:val="BodyText"/>
        <w:spacing w:line="312" w:lineRule="exact"/>
        <w:ind w:left="298" w:right="0"/>
        <w:jc w:val="both"/>
      </w:pPr>
      <w:r>
        <w:rPr/>
        <w:t>告</w:t>
      </w:r>
      <w:r>
        <w:rPr>
          <w:spacing w:val="-120"/>
        </w:rPr>
        <w:t>、</w:t>
      </w:r>
      <w:r>
        <w:rPr/>
        <w:t>《监事会对公司</w:t>
      </w:r>
      <w:r>
        <w:rPr>
          <w:spacing w:val="-60"/>
        </w:rPr>
        <w:t> </w:t>
      </w:r>
      <w:r>
        <w:rPr/>
        <w:t>2010</w:t>
      </w:r>
      <w:r>
        <w:rPr>
          <w:spacing w:val="-60"/>
        </w:rPr>
        <w:t> </w:t>
      </w:r>
      <w:r>
        <w:rPr/>
        <w:t>年半年度报告的书面审核意见</w:t>
      </w:r>
      <w:r>
        <w:rPr>
          <w:spacing w:val="-120"/>
        </w:rPr>
        <w:t>》</w:t>
      </w:r>
      <w:r>
        <w:rPr/>
        <w:t>；</w:t>
      </w:r>
    </w:p>
    <w:p>
      <w:pPr>
        <w:spacing w:line="240" w:lineRule="auto" w:before="8"/>
        <w:rPr>
          <w:rFonts w:ascii="宋体" w:hAnsi="宋体" w:cs="宋体" w:eastAsia="宋体" w:hint="default"/>
          <w:sz w:val="23"/>
          <w:szCs w:val="23"/>
        </w:rPr>
      </w:pPr>
    </w:p>
    <w:p>
      <w:pPr>
        <w:pStyle w:val="BodyText"/>
        <w:spacing w:line="313" w:lineRule="exact"/>
        <w:ind w:left="298" w:right="0"/>
        <w:jc w:val="both"/>
      </w:pPr>
      <w:r>
        <w:rPr/>
        <w:t>2010</w:t>
      </w:r>
      <w:r>
        <w:rPr>
          <w:spacing w:val="-60"/>
        </w:rPr>
        <w:t> </w:t>
      </w:r>
      <w:r>
        <w:rPr/>
        <w:t>年</w:t>
      </w:r>
      <w:r>
        <w:rPr>
          <w:spacing w:val="-60"/>
        </w:rPr>
        <w:t> </w:t>
      </w:r>
      <w:r>
        <w:rPr/>
        <w:t>10</w:t>
      </w:r>
      <w:r>
        <w:rPr>
          <w:spacing w:val="-60"/>
        </w:rPr>
        <w:t> </w:t>
      </w:r>
      <w:r>
        <w:rPr/>
        <w:t>月</w:t>
      </w:r>
      <w:r>
        <w:rPr>
          <w:spacing w:val="-60"/>
        </w:rPr>
        <w:t> </w:t>
      </w:r>
      <w:r>
        <w:rPr/>
        <w:t>27</w:t>
      </w:r>
      <w:r>
        <w:rPr>
          <w:spacing w:val="-60"/>
        </w:rPr>
        <w:t> </w:t>
      </w:r>
      <w:r>
        <w:rPr/>
        <w:t>日召开第五届监事会第三次会议</w:t>
      </w:r>
      <w:r>
        <w:rPr>
          <w:spacing w:val="-99"/>
        </w:rPr>
        <w:t>，</w:t>
      </w:r>
      <w:r>
        <w:rPr>
          <w:spacing w:val="-1"/>
        </w:rPr>
        <w:t>会议审议通过了公</w:t>
      </w:r>
      <w:r>
        <w:rPr/>
        <w:t>司</w:t>
      </w:r>
      <w:r>
        <w:rPr>
          <w:spacing w:val="-61"/>
        </w:rPr>
        <w:t> </w:t>
      </w:r>
      <w:r>
        <w:rPr>
          <w:spacing w:val="-1"/>
        </w:rPr>
        <w:t>200</w:t>
      </w:r>
      <w:r>
        <w:rPr/>
        <w:t>9</w:t>
      </w:r>
      <w:r>
        <w:rPr>
          <w:spacing w:val="-61"/>
        </w:rPr>
        <w:t> </w:t>
      </w:r>
      <w:r>
        <w:rPr>
          <w:spacing w:val="-1"/>
        </w:rPr>
        <w:t>年第三季度</w:t>
      </w:r>
      <w:r>
        <w:rPr/>
      </w:r>
    </w:p>
    <w:p>
      <w:pPr>
        <w:pStyle w:val="BodyText"/>
        <w:spacing w:line="313" w:lineRule="exact"/>
        <w:ind w:left="298" w:right="0"/>
        <w:jc w:val="both"/>
      </w:pPr>
      <w:r>
        <w:rPr/>
        <w:t>报告、对公司</w:t>
      </w:r>
      <w:r>
        <w:rPr>
          <w:spacing w:val="-60"/>
        </w:rPr>
        <w:t> </w:t>
      </w:r>
      <w:r>
        <w:rPr/>
        <w:t>2009</w:t>
      </w:r>
      <w:r>
        <w:rPr>
          <w:spacing w:val="-60"/>
        </w:rPr>
        <w:t> </w:t>
      </w:r>
      <w:r>
        <w:rPr/>
        <w:t>年第三季度报告的审核意见；</w:t>
      </w:r>
    </w:p>
    <w:p>
      <w:pPr>
        <w:spacing w:line="240" w:lineRule="auto" w:before="9"/>
        <w:rPr>
          <w:rFonts w:ascii="宋体" w:hAnsi="宋体" w:cs="宋体" w:eastAsia="宋体" w:hint="default"/>
          <w:sz w:val="23"/>
          <w:szCs w:val="23"/>
        </w:rPr>
      </w:pPr>
    </w:p>
    <w:p>
      <w:pPr>
        <w:pStyle w:val="BodyText"/>
        <w:spacing w:line="237" w:lineRule="auto"/>
        <w:ind w:left="298" w:right="202"/>
        <w:jc w:val="both"/>
      </w:pPr>
      <w:r>
        <w:rPr/>
        <w:t>2010</w:t>
      </w:r>
      <w:r>
        <w:rPr>
          <w:spacing w:val="-55"/>
        </w:rPr>
        <w:t> </w:t>
      </w:r>
      <w:r>
        <w:rPr/>
        <w:t>年</w:t>
      </w:r>
      <w:r>
        <w:rPr>
          <w:spacing w:val="-55"/>
        </w:rPr>
        <w:t> </w:t>
      </w:r>
      <w:r>
        <w:rPr/>
        <w:t>11</w:t>
      </w:r>
      <w:r>
        <w:rPr>
          <w:spacing w:val="-55"/>
        </w:rPr>
        <w:t> </w:t>
      </w:r>
      <w:r>
        <w:rPr/>
        <w:t>月</w:t>
      </w:r>
      <w:r>
        <w:rPr>
          <w:spacing w:val="-55"/>
        </w:rPr>
        <w:t> </w:t>
      </w:r>
      <w:r>
        <w:rPr/>
        <w:t>7</w:t>
      </w:r>
      <w:r>
        <w:rPr>
          <w:spacing w:val="-55"/>
        </w:rPr>
        <w:t> </w:t>
      </w:r>
      <w:r>
        <w:rPr>
          <w:spacing w:val="-4"/>
        </w:rPr>
        <w:t>日召开第五届监事会第四次会议，会议审议通过了《关于向唐山晶源裕丰</w:t>
      </w:r>
      <w:r>
        <w:rPr/>
        <w:t> </w:t>
      </w:r>
      <w:r>
        <w:rPr>
          <w:spacing w:val="-7"/>
        </w:rPr>
        <w:t>电子股份有限公司出售资产并认购其股份的预案》、《关于增加“高亮度发光二极管(LED)</w:t>
      </w:r>
      <w:r>
        <w:rPr>
          <w:spacing w:val="-106"/>
        </w:rPr>
        <w:t> </w:t>
      </w:r>
      <w:r>
        <w:rPr>
          <w:spacing w:val="-106"/>
        </w:rPr>
      </w:r>
      <w:r>
        <w:rPr>
          <w:spacing w:val="-4"/>
        </w:rPr>
        <w:t>芯片制造及其应用产业化”配股项目实施地点及实施主体的议案》。</w:t>
      </w:r>
    </w:p>
    <w:p>
      <w:pPr>
        <w:spacing w:line="240" w:lineRule="auto" w:before="8"/>
        <w:rPr>
          <w:rFonts w:ascii="宋体" w:hAnsi="宋体" w:cs="宋体" w:eastAsia="宋体" w:hint="default"/>
          <w:sz w:val="23"/>
          <w:szCs w:val="23"/>
        </w:rPr>
      </w:pPr>
    </w:p>
    <w:p>
      <w:pPr>
        <w:pStyle w:val="BodyText"/>
        <w:spacing w:line="240" w:lineRule="auto"/>
        <w:ind w:left="298" w:right="0"/>
        <w:jc w:val="both"/>
      </w:pPr>
      <w:r>
        <w:rPr/>
        <w:t>(2)列席年度内历次董事会和股东大会。</w:t>
      </w:r>
    </w:p>
    <w:p>
      <w:pPr>
        <w:spacing w:line="240" w:lineRule="auto" w:before="11"/>
        <w:rPr>
          <w:rFonts w:ascii="宋体" w:hAnsi="宋体" w:cs="宋体" w:eastAsia="宋体" w:hint="default"/>
          <w:sz w:val="23"/>
          <w:szCs w:val="23"/>
        </w:rPr>
      </w:pPr>
    </w:p>
    <w:p>
      <w:pPr>
        <w:pStyle w:val="BodyText"/>
        <w:spacing w:line="237" w:lineRule="auto"/>
        <w:ind w:left="298" w:right="165"/>
        <w:jc w:val="both"/>
      </w:pPr>
      <w:r>
        <w:rPr>
          <w:spacing w:val="-1"/>
        </w:rPr>
        <w:t>(3)为确保股东的长期投资利益，根据董事会提出的“诚信务实、自律规范”的规范运作</w:t>
      </w:r>
      <w:r>
        <w:rPr/>
        <w:t> 原则，根据公司制定的以“计划预算管理、综合指标考核、公司监督运行”为核心的管</w:t>
      </w:r>
      <w:r>
        <w:rPr>
          <w:spacing w:val="-47"/>
        </w:rPr>
        <w:t> </w:t>
      </w:r>
      <w:r>
        <w:rPr>
          <w:spacing w:val="-47"/>
        </w:rPr>
      </w:r>
      <w:r>
        <w:rPr/>
        <w:t>理模式和“发展＋合作”的发展战略，公司监事会在此基础上对公司依法运作情况进行</w:t>
      </w:r>
      <w:r>
        <w:rPr>
          <w:spacing w:val="-47"/>
        </w:rPr>
        <w:t> </w:t>
      </w:r>
      <w:r>
        <w:rPr>
          <w:spacing w:val="-47"/>
        </w:rPr>
      </w:r>
      <w:r>
        <w:rPr/>
        <w:t>了监督和检查。</w:t>
      </w:r>
    </w:p>
    <w:p>
      <w:pPr>
        <w:spacing w:line="240" w:lineRule="auto" w:before="11"/>
        <w:rPr>
          <w:rFonts w:ascii="宋体" w:hAnsi="宋体" w:cs="宋体" w:eastAsia="宋体" w:hint="default"/>
          <w:sz w:val="25"/>
          <w:szCs w:val="25"/>
        </w:rPr>
      </w:pPr>
    </w:p>
    <w:p>
      <w:pPr>
        <w:pStyle w:val="BodyText"/>
        <w:spacing w:line="312" w:lineRule="exact"/>
        <w:ind w:left="298" w:right="165"/>
        <w:jc w:val="both"/>
      </w:pPr>
      <w:r>
        <w:rPr/>
        <w:t>(4)了解会计师事务所年度审计进程，对公司财务报告和内部控制制度进行监督和评价， 以保证公司会计信息的可靠性、真实性、完整性和合规性。</w:t>
      </w:r>
    </w:p>
    <w:p>
      <w:pPr>
        <w:spacing w:line="240" w:lineRule="auto" w:before="11"/>
        <w:rPr>
          <w:rFonts w:ascii="宋体" w:hAnsi="宋体" w:cs="宋体" w:eastAsia="宋体" w:hint="default"/>
          <w:sz w:val="20"/>
          <w:szCs w:val="20"/>
        </w:rPr>
      </w:pPr>
    </w:p>
    <w:p>
      <w:pPr>
        <w:pStyle w:val="Heading2"/>
        <w:spacing w:line="240" w:lineRule="auto"/>
        <w:ind w:left="298" w:right="0"/>
        <w:jc w:val="both"/>
        <w:rPr>
          <w:b w:val="0"/>
          <w:bCs w:val="0"/>
        </w:rPr>
      </w:pPr>
      <w:r>
        <w:rPr/>
        <w:t>2、监事会独立意见</w:t>
      </w:r>
      <w:r>
        <w:rPr>
          <w:b w:val="0"/>
          <w:bCs w:val="0"/>
        </w:rPr>
      </w:r>
    </w:p>
    <w:p>
      <w:pPr>
        <w:spacing w:after="0" w:line="240" w:lineRule="auto"/>
        <w:jc w:val="both"/>
        <w:sectPr>
          <w:pgSz w:w="11910" w:h="16840"/>
          <w:pgMar w:header="610" w:footer="764" w:top="1080" w:bottom="960" w:left="1120" w:right="10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26"/>
        <w:ind w:right="0"/>
        <w:jc w:val="both"/>
      </w:pPr>
      <w:r>
        <w:rPr/>
        <w:t>(1)关于公司依法运作情况</w:t>
      </w:r>
    </w:p>
    <w:p>
      <w:pPr>
        <w:spacing w:line="240" w:lineRule="auto" w:before="11"/>
        <w:rPr>
          <w:rFonts w:ascii="宋体" w:hAnsi="宋体" w:cs="宋体" w:eastAsia="宋体" w:hint="default"/>
          <w:sz w:val="23"/>
          <w:szCs w:val="23"/>
        </w:rPr>
      </w:pPr>
    </w:p>
    <w:p>
      <w:pPr>
        <w:pStyle w:val="BodyText"/>
        <w:spacing w:line="237" w:lineRule="auto"/>
        <w:ind w:right="220"/>
        <w:jc w:val="both"/>
      </w:pPr>
      <w:r>
        <w:rPr/>
        <w:t>监事会根据国家有关的法律和法规，重点对股东大会和董事会的会议程序、表决方式、</w:t>
      </w:r>
      <w:r>
        <w:rPr>
          <w:spacing w:val="-47"/>
        </w:rPr>
        <w:t> </w:t>
      </w:r>
      <w:r>
        <w:rPr>
          <w:spacing w:val="-47"/>
        </w:rPr>
      </w:r>
      <w:r>
        <w:rPr/>
        <w:t>会议议题、董事会对股东大会决议的执行、公司高级管理人员履行职责、公司内部管理</w:t>
      </w:r>
      <w:r>
        <w:rPr>
          <w:spacing w:val="-47"/>
        </w:rPr>
        <w:t> </w:t>
      </w:r>
      <w:r>
        <w:rPr>
          <w:spacing w:val="-47"/>
        </w:rPr>
      </w:r>
      <w:r>
        <w:rPr/>
        <w:t>制度等情况进行了监督和检查。</w:t>
      </w:r>
    </w:p>
    <w:p>
      <w:pPr>
        <w:spacing w:line="240" w:lineRule="auto" w:before="10"/>
        <w:rPr>
          <w:rFonts w:ascii="宋体" w:hAnsi="宋体" w:cs="宋体" w:eastAsia="宋体" w:hint="default"/>
          <w:sz w:val="23"/>
          <w:szCs w:val="23"/>
        </w:rPr>
      </w:pPr>
    </w:p>
    <w:p>
      <w:pPr>
        <w:pStyle w:val="BodyText"/>
        <w:spacing w:line="237" w:lineRule="auto"/>
        <w:ind w:right="220"/>
        <w:jc w:val="both"/>
      </w:pPr>
      <w:r>
        <w:rPr/>
        <w:t>监事会认为，本年度召开的股东大会和董事会是按照公司法和本公司章程的要求，履行</w:t>
      </w:r>
      <w:r>
        <w:rPr>
          <w:spacing w:val="-47"/>
        </w:rPr>
        <w:t> </w:t>
      </w:r>
      <w:r>
        <w:rPr>
          <w:spacing w:val="-47"/>
        </w:rPr>
      </w:r>
      <w:r>
        <w:rPr/>
        <w:t>了必要的会议程序和表决方式。董事会会议议题在涉及公司重大投资决策、担保、关联</w:t>
      </w:r>
      <w:r>
        <w:rPr>
          <w:spacing w:val="-47"/>
        </w:rPr>
        <w:t> </w:t>
      </w:r>
      <w:r>
        <w:rPr>
          <w:spacing w:val="-47"/>
        </w:rPr>
      </w:r>
      <w:r>
        <w:rPr/>
        <w:t>交易、公司经营管理和资本运作方案等事项方面进行了充分调研与协商，维护了公司股</w:t>
      </w:r>
      <w:r>
        <w:rPr>
          <w:spacing w:val="-47"/>
        </w:rPr>
        <w:t> </w:t>
      </w:r>
      <w:r>
        <w:rPr>
          <w:spacing w:val="-47"/>
        </w:rPr>
      </w:r>
      <w:r>
        <w:rPr/>
        <w:t>东的权益。董事及高级管理人员履行职责勤勉、尽责，无任何违纪违规和损害股东权益</w:t>
      </w:r>
      <w:r>
        <w:rPr>
          <w:spacing w:val="-47"/>
        </w:rPr>
        <w:t> </w:t>
      </w:r>
      <w:r>
        <w:rPr>
          <w:spacing w:val="-47"/>
        </w:rPr>
      </w:r>
      <w:r>
        <w:rPr/>
        <w:t>的行为。公司的各项管理制度行之有效。</w:t>
      </w:r>
    </w:p>
    <w:p>
      <w:pPr>
        <w:spacing w:line="240" w:lineRule="auto" w:before="8"/>
        <w:rPr>
          <w:rFonts w:ascii="宋体" w:hAnsi="宋体" w:cs="宋体" w:eastAsia="宋体" w:hint="default"/>
          <w:sz w:val="23"/>
          <w:szCs w:val="23"/>
        </w:rPr>
      </w:pPr>
    </w:p>
    <w:p>
      <w:pPr>
        <w:pStyle w:val="BodyText"/>
        <w:spacing w:line="240" w:lineRule="auto"/>
        <w:ind w:right="0"/>
        <w:jc w:val="both"/>
      </w:pPr>
      <w:r>
        <w:rPr/>
        <w:t>(2)检查公司财务的情况</w:t>
      </w:r>
    </w:p>
    <w:p>
      <w:pPr>
        <w:spacing w:line="240" w:lineRule="auto" w:before="8"/>
        <w:rPr>
          <w:rFonts w:ascii="宋体" w:hAnsi="宋体" w:cs="宋体" w:eastAsia="宋体" w:hint="default"/>
          <w:sz w:val="23"/>
          <w:szCs w:val="23"/>
        </w:rPr>
      </w:pPr>
    </w:p>
    <w:p>
      <w:pPr>
        <w:pStyle w:val="BodyText"/>
        <w:spacing w:line="312" w:lineRule="exact"/>
        <w:ind w:right="0"/>
        <w:jc w:val="both"/>
      </w:pPr>
      <w:r>
        <w:rPr/>
        <w:t>监事会对公司财务进行了必要的监督和检查</w:t>
      </w:r>
      <w:r>
        <w:rPr>
          <w:spacing w:val="-120"/>
        </w:rPr>
        <w:t>，</w:t>
      </w:r>
      <w:r>
        <w:rPr>
          <w:spacing w:val="-1"/>
        </w:rPr>
        <w:t>审核了公</w:t>
      </w:r>
      <w:r>
        <w:rPr/>
        <w:t>司</w:t>
      </w:r>
      <w:r>
        <w:rPr>
          <w:spacing w:val="-80"/>
        </w:rPr>
        <w:t> </w:t>
      </w:r>
      <w:r>
        <w:rPr>
          <w:spacing w:val="-1"/>
        </w:rPr>
        <w:t>201</w:t>
      </w:r>
      <w:r>
        <w:rPr/>
        <w:t>0</w:t>
      </w:r>
      <w:r>
        <w:rPr>
          <w:spacing w:val="-80"/>
        </w:rPr>
        <w:t> </w:t>
      </w:r>
      <w:r>
        <w:rPr>
          <w:spacing w:val="-1"/>
        </w:rPr>
        <w:t>年度董事会工作报告</w:t>
      </w:r>
      <w:r>
        <w:rPr>
          <w:spacing w:val="-120"/>
        </w:rPr>
        <w:t>、</w:t>
      </w:r>
      <w:r>
        <w:rPr/>
        <w:t>2010</w:t>
      </w:r>
    </w:p>
    <w:p>
      <w:pPr>
        <w:pStyle w:val="BodyText"/>
        <w:spacing w:line="312" w:lineRule="exact" w:before="29"/>
        <w:ind w:right="220"/>
        <w:jc w:val="both"/>
      </w:pPr>
      <w:r>
        <w:rPr/>
        <w:t>年度财务报告和 2010 年度利润分配方案、经信永中和会计师事务所审计，对公司</w:t>
      </w:r>
      <w:r>
        <w:rPr>
          <w:spacing w:val="-42"/>
        </w:rPr>
        <w:t> </w:t>
      </w:r>
      <w:r>
        <w:rPr/>
        <w:t>2010</w:t>
      </w:r>
      <w:r>
        <w:rPr/>
        <w:t> 年年度会计报表确认并出具了无保留意见的审计报告。</w:t>
      </w:r>
    </w:p>
    <w:p>
      <w:pPr>
        <w:spacing w:line="240" w:lineRule="auto" w:before="7"/>
        <w:rPr>
          <w:rFonts w:ascii="宋体" w:hAnsi="宋体" w:cs="宋体" w:eastAsia="宋体" w:hint="default"/>
          <w:sz w:val="21"/>
          <w:szCs w:val="21"/>
        </w:rPr>
      </w:pPr>
    </w:p>
    <w:p>
      <w:pPr>
        <w:pStyle w:val="BodyText"/>
        <w:spacing w:line="237" w:lineRule="auto"/>
        <w:ind w:right="220"/>
        <w:jc w:val="both"/>
      </w:pPr>
      <w:r>
        <w:rPr/>
        <w:t>监事会认为，公司财务部门认真贯彻国家有关企业会计制度及相关准则，建立健全公司</w:t>
      </w:r>
      <w:r>
        <w:rPr>
          <w:spacing w:val="-47"/>
        </w:rPr>
        <w:t> </w:t>
      </w:r>
      <w:r>
        <w:rPr>
          <w:spacing w:val="-47"/>
        </w:rPr>
      </w:r>
      <w:r>
        <w:rPr/>
        <w:t>内部控制管理制度，逐步建立起一套有效的企业财务管理体系，使得公司经营管理与财</w:t>
      </w:r>
      <w:r>
        <w:rPr>
          <w:spacing w:val="-47"/>
        </w:rPr>
        <w:t> </w:t>
      </w:r>
      <w:r>
        <w:rPr>
          <w:spacing w:val="-47"/>
        </w:rPr>
      </w:r>
      <w:r>
        <w:rPr/>
        <w:t>务管理有机地结合起来，保障了广大投资者的利益。公司</w:t>
      </w:r>
      <w:r>
        <w:rPr>
          <w:spacing w:val="-79"/>
        </w:rPr>
        <w:t> </w:t>
      </w:r>
      <w:r>
        <w:rPr/>
        <w:t>2010</w:t>
      </w:r>
      <w:r>
        <w:rPr>
          <w:spacing w:val="-79"/>
        </w:rPr>
        <w:t> </w:t>
      </w:r>
      <w:r>
        <w:rPr/>
        <w:t>年年度会计报表公允地反</w:t>
      </w:r>
      <w:r>
        <w:rPr/>
        <w:t> </w:t>
      </w:r>
      <w:r>
        <w:rPr>
          <w:spacing w:val="-4"/>
        </w:rPr>
        <w:t>映了公司的财务状况、2010</w:t>
      </w:r>
      <w:r>
        <w:rPr>
          <w:spacing w:val="-57"/>
        </w:rPr>
        <w:t> </w:t>
      </w:r>
      <w:r>
        <w:rPr>
          <w:spacing w:val="-3"/>
        </w:rPr>
        <w:t>年度经营成果和现金流量情况。同意公司</w:t>
      </w:r>
      <w:r>
        <w:rPr>
          <w:spacing w:val="-57"/>
        </w:rPr>
        <w:t> </w:t>
      </w:r>
      <w:r>
        <w:rPr/>
        <w:t>2010</w:t>
      </w:r>
      <w:r>
        <w:rPr>
          <w:spacing w:val="-57"/>
        </w:rPr>
        <w:t> </w:t>
      </w:r>
      <w:r>
        <w:rPr/>
        <w:t>年度利润分配</w:t>
      </w:r>
      <w:r>
        <w:rPr/>
        <w:t> 方案。</w:t>
      </w:r>
    </w:p>
    <w:p>
      <w:pPr>
        <w:spacing w:line="240" w:lineRule="auto" w:before="8"/>
        <w:rPr>
          <w:rFonts w:ascii="宋体" w:hAnsi="宋体" w:cs="宋体" w:eastAsia="宋体" w:hint="default"/>
          <w:sz w:val="23"/>
          <w:szCs w:val="23"/>
        </w:rPr>
      </w:pPr>
    </w:p>
    <w:p>
      <w:pPr>
        <w:pStyle w:val="BodyText"/>
        <w:spacing w:line="475" w:lineRule="auto"/>
        <w:ind w:right="3646"/>
        <w:jc w:val="left"/>
      </w:pPr>
      <w:r>
        <w:rPr/>
        <w:t>(3)募集资金使用情况 公司最近一次募集资金实际投入项目与披露情况一致。 (4)收购或出售资产公允情况</w:t>
      </w:r>
    </w:p>
    <w:p>
      <w:pPr>
        <w:pStyle w:val="BodyText"/>
        <w:spacing w:line="237" w:lineRule="auto" w:before="76"/>
        <w:ind w:right="86"/>
        <w:jc w:val="left"/>
      </w:pPr>
      <w:r>
        <w:rPr>
          <w:spacing w:val="-2"/>
        </w:rPr>
        <w:t>本年度内，根据股东大会投资授权权限，公司实施了新设投资南通同方半导体有限公司、</w:t>
      </w:r>
      <w:r>
        <w:rPr>
          <w:spacing w:val="-82"/>
        </w:rPr>
        <w:t> </w:t>
      </w:r>
      <w:r>
        <w:rPr>
          <w:spacing w:val="-82"/>
        </w:rPr>
      </w:r>
      <w:r>
        <w:rPr/>
        <w:t>南通同方科技园有限公司；参股北京辰安伟业科技公司等投资行为。本年度公司还实施</w:t>
      </w:r>
      <w:r>
        <w:rPr>
          <w:spacing w:val="-47"/>
        </w:rPr>
        <w:t> </w:t>
      </w:r>
      <w:r>
        <w:rPr>
          <w:spacing w:val="-47"/>
        </w:rPr>
      </w:r>
      <w:r>
        <w:rPr/>
        <w:t>了向唐山晶源裕丰电子股份有限公司出售资产并认购其股份、以及出让百视通网络电视</w:t>
      </w:r>
      <w:r>
        <w:rPr>
          <w:spacing w:val="-47"/>
        </w:rPr>
        <w:t> </w:t>
      </w:r>
      <w:r>
        <w:rPr>
          <w:spacing w:val="-47"/>
        </w:rPr>
      </w:r>
      <w:r>
        <w:rPr/>
        <w:t>技术发展有限公司部分股权等股权处置方案。</w:t>
      </w:r>
    </w:p>
    <w:p>
      <w:pPr>
        <w:spacing w:line="240" w:lineRule="auto" w:before="11"/>
        <w:rPr>
          <w:rFonts w:ascii="宋体" w:hAnsi="宋体" w:cs="宋体" w:eastAsia="宋体" w:hint="default"/>
          <w:sz w:val="25"/>
          <w:szCs w:val="25"/>
        </w:rPr>
      </w:pPr>
    </w:p>
    <w:p>
      <w:pPr>
        <w:pStyle w:val="BodyText"/>
        <w:spacing w:line="312" w:lineRule="exact"/>
        <w:ind w:right="220"/>
        <w:jc w:val="both"/>
      </w:pPr>
      <w:r>
        <w:rPr/>
        <w:t>经检查，公司监事会确信上述投资和股权处置行为有利于公司长期利益，符合公司发展</w:t>
      </w:r>
      <w:r>
        <w:rPr>
          <w:spacing w:val="-47"/>
        </w:rPr>
        <w:t> </w:t>
      </w:r>
      <w:r>
        <w:rPr>
          <w:spacing w:val="-47"/>
        </w:rPr>
      </w:r>
      <w:r>
        <w:rPr/>
        <w:t>战略，涉及关联交易的事项符合遵循“三公”原则。</w:t>
      </w:r>
    </w:p>
    <w:p>
      <w:pPr>
        <w:spacing w:line="240" w:lineRule="auto" w:before="5"/>
        <w:rPr>
          <w:rFonts w:ascii="宋体" w:hAnsi="宋体" w:cs="宋体" w:eastAsia="宋体" w:hint="default"/>
          <w:sz w:val="21"/>
          <w:szCs w:val="21"/>
        </w:rPr>
      </w:pPr>
    </w:p>
    <w:p>
      <w:pPr>
        <w:pStyle w:val="BodyText"/>
        <w:spacing w:line="240" w:lineRule="auto"/>
        <w:ind w:right="0"/>
        <w:jc w:val="both"/>
      </w:pPr>
      <w:r>
        <w:rPr/>
        <w:t>(5)关联交易情况</w:t>
      </w:r>
    </w:p>
    <w:p>
      <w:pPr>
        <w:spacing w:line="240" w:lineRule="auto" w:before="11"/>
        <w:rPr>
          <w:rFonts w:ascii="宋体" w:hAnsi="宋体" w:cs="宋体" w:eastAsia="宋体" w:hint="default"/>
          <w:sz w:val="25"/>
          <w:szCs w:val="25"/>
        </w:rPr>
      </w:pPr>
    </w:p>
    <w:p>
      <w:pPr>
        <w:pStyle w:val="BodyText"/>
        <w:spacing w:line="312" w:lineRule="exact"/>
        <w:ind w:right="220"/>
        <w:jc w:val="both"/>
      </w:pPr>
      <w:r>
        <w:rPr/>
        <w:t>公司本年度除日常关联交易外，还发生了因与清华控股有限公司共同投资北京辰安伟业</w:t>
      </w:r>
      <w:r>
        <w:rPr>
          <w:spacing w:val="-47"/>
        </w:rPr>
        <w:t> </w:t>
      </w:r>
      <w:r>
        <w:rPr>
          <w:spacing w:val="-47"/>
        </w:rPr>
      </w:r>
      <w:r>
        <w:rPr/>
        <w:t>科技公司形成的关联交易。</w:t>
      </w:r>
    </w:p>
    <w:p>
      <w:pPr>
        <w:spacing w:line="240" w:lineRule="auto" w:before="9"/>
        <w:rPr>
          <w:rFonts w:ascii="宋体" w:hAnsi="宋体" w:cs="宋体" w:eastAsia="宋体" w:hint="default"/>
          <w:sz w:val="18"/>
          <w:szCs w:val="18"/>
        </w:rPr>
      </w:pPr>
    </w:p>
    <w:p>
      <w:pPr>
        <w:pStyle w:val="BodyText"/>
        <w:spacing w:line="240" w:lineRule="auto"/>
        <w:ind w:right="0"/>
        <w:jc w:val="both"/>
      </w:pPr>
      <w:r>
        <w:rPr/>
        <w:t>经检查，公司监事会认为上述关联交易符合公司发展战略，关联交易协议的内容及定价</w:t>
      </w:r>
    </w:p>
    <w:p>
      <w:pPr>
        <w:spacing w:after="0" w:line="240"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0"/>
        <w:jc w:val="both"/>
      </w:pPr>
      <w:r>
        <w:rPr/>
        <w:t>原则符合商业惯例，遵循了公平、公正、公开的原则，交易定价公允合理，充分保证了</w:t>
      </w:r>
      <w:r>
        <w:rPr>
          <w:spacing w:val="-47"/>
        </w:rPr>
        <w:t> </w:t>
      </w:r>
      <w:r>
        <w:rPr>
          <w:spacing w:val="-47"/>
        </w:rPr>
      </w:r>
      <w:r>
        <w:rPr>
          <w:spacing w:val="-5"/>
        </w:rPr>
        <w:t>公司的利益，没有发现损害股东、特别是中小股东和公司利益的情形，决策程序符合《公</w:t>
      </w:r>
      <w:r>
        <w:rPr>
          <w:spacing w:val="-85"/>
        </w:rPr>
        <w:t> </w:t>
      </w:r>
      <w:r>
        <w:rPr>
          <w:spacing w:val="-85"/>
        </w:rPr>
      </w:r>
      <w:r>
        <w:rPr>
          <w:spacing w:val="-10"/>
        </w:rPr>
        <w:t>司法》、《证券法》等相关法律法规和本公司章程的规定。</w:t>
      </w:r>
    </w:p>
    <w:p>
      <w:pPr>
        <w:spacing w:line="240" w:lineRule="auto" w:before="10"/>
        <w:rPr>
          <w:rFonts w:ascii="宋体" w:hAnsi="宋体" w:cs="宋体" w:eastAsia="宋体" w:hint="default"/>
          <w:sz w:val="18"/>
          <w:szCs w:val="18"/>
        </w:rPr>
      </w:pPr>
    </w:p>
    <w:p>
      <w:pPr>
        <w:pStyle w:val="BodyText"/>
        <w:spacing w:line="240" w:lineRule="auto"/>
        <w:ind w:right="0"/>
        <w:jc w:val="both"/>
      </w:pPr>
      <w:r>
        <w:rPr/>
        <w:t>(6)内部控制制度建立健全及执行情况</w:t>
      </w:r>
    </w:p>
    <w:p>
      <w:pPr>
        <w:spacing w:line="240" w:lineRule="auto" w:before="11"/>
        <w:rPr>
          <w:rFonts w:ascii="宋体" w:hAnsi="宋体" w:cs="宋体" w:eastAsia="宋体" w:hint="default"/>
          <w:sz w:val="25"/>
          <w:szCs w:val="25"/>
        </w:rPr>
      </w:pPr>
    </w:p>
    <w:p>
      <w:pPr>
        <w:pStyle w:val="BodyText"/>
        <w:spacing w:line="312" w:lineRule="exact"/>
        <w:ind w:right="143"/>
        <w:jc w:val="both"/>
      </w:pPr>
      <w:r>
        <w:rPr>
          <w:spacing w:val="-5"/>
        </w:rPr>
        <w:t>本年度，监事会审议了公司的《内部控制自我评价报告》，监事会对公司董事会内部控制</w:t>
      </w:r>
      <w:r>
        <w:rPr>
          <w:spacing w:val="-87"/>
        </w:rPr>
        <w:t> </w:t>
      </w:r>
      <w:r>
        <w:rPr>
          <w:spacing w:val="-87"/>
        </w:rPr>
      </w:r>
      <w:r>
        <w:rPr/>
        <w:t>自我评估报告无异议。</w:t>
      </w:r>
    </w:p>
    <w:p>
      <w:pPr>
        <w:spacing w:after="0" w:line="312" w:lineRule="exact"/>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970" w:lineRule="exact"/>
        <w:ind w:left="13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29pt;height:48.55pt;mso-position-horizontal-relative:char;mso-position-vertical-relative:line" coordorigin="0,0" coordsize="2580,971">
            <v:shape style="position:absolute;left:0;top:0;width:2580;height:971" type="#_x0000_t75" stroked="false">
              <v:imagedata r:id="rId23" o:title=""/>
            </v:shape>
            <v:group style="position:absolute;left:83;top:780;width:2332;height:2" coordorigin="83,780" coordsize="2332,2">
              <v:shape style="position:absolute;left:83;top:780;width:2332;height:2" coordorigin="83,780" coordsize="2332,0" path="m83,780l2414,780e" filled="false" stroked="true" strokeweight=".25pt" strokecolor="#000000">
                <v:path arrowok="t"/>
              </v:shape>
            </v:group>
            <v:group style="position:absolute;left:2453;top:156;width:2;height:557" coordorigin="2453,156" coordsize="2,557">
              <v:shape style="position:absolute;left:2453;top:156;width:2;height:557" coordorigin="2453,156" coordsize="2,557" path="m2453,156l2454,713e" filled="false" stroked="true" strokeweight=".25pt" strokecolor="#000000">
                <v:path arrowok="t"/>
              </v:shape>
              <v:shape style="position:absolute;left:0;top:0;width:2580;height:971" type="#_x0000_t202" filled="false" stroked="false">
                <v:textbox inset="0,0,0,0">
                  <w:txbxContent>
                    <w:p>
                      <w:pPr>
                        <w:spacing w:before="147"/>
                        <w:ind w:left="105" w:right="0" w:firstLine="0"/>
                        <w:jc w:val="left"/>
                        <w:rPr>
                          <w:rFonts w:ascii="黑体" w:hAnsi="黑体" w:cs="黑体" w:eastAsia="黑体" w:hint="default"/>
                          <w:sz w:val="30"/>
                          <w:szCs w:val="30"/>
                        </w:rPr>
                      </w:pPr>
                      <w:r>
                        <w:rPr>
                          <w:rFonts w:ascii="黑体" w:hAnsi="黑体" w:cs="黑体" w:eastAsia="黑体" w:hint="default"/>
                          <w:b/>
                          <w:bCs/>
                          <w:sz w:val="30"/>
                          <w:szCs w:val="30"/>
                        </w:rPr>
                        <w:t>九、重大事项</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
        <w:rPr>
          <w:rFonts w:ascii="宋体" w:hAnsi="宋体" w:cs="宋体" w:eastAsia="宋体" w:hint="default"/>
          <w:sz w:val="22"/>
          <w:szCs w:val="22"/>
        </w:rPr>
      </w:pPr>
    </w:p>
    <w:p>
      <w:pPr>
        <w:pStyle w:val="Heading3"/>
        <w:spacing w:line="240" w:lineRule="auto" w:before="26"/>
        <w:ind w:right="0"/>
        <w:jc w:val="both"/>
        <w:rPr>
          <w:b w:val="0"/>
          <w:bCs w:val="0"/>
        </w:rPr>
      </w:pPr>
      <w:r>
        <w:rPr/>
        <w:t>1.本年度公司无重大诉讼、仲裁事项。</w:t>
      </w:r>
      <w:r>
        <w:rPr>
          <w:b w:val="0"/>
          <w:bCs w:val="0"/>
        </w:rPr>
      </w:r>
    </w:p>
    <w:p>
      <w:pPr>
        <w:spacing w:line="240" w:lineRule="auto" w:before="9"/>
        <w:rPr>
          <w:rFonts w:ascii="宋体" w:hAnsi="宋体" w:cs="宋体" w:eastAsia="宋体" w:hint="default"/>
          <w:b/>
          <w:bCs/>
          <w:sz w:val="23"/>
          <w:szCs w:val="23"/>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2、报告期内重大收购及出售资产、吸收合并事项。</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pStyle w:val="BodyText"/>
        <w:spacing w:line="237" w:lineRule="auto"/>
        <w:ind w:right="140"/>
        <w:jc w:val="both"/>
      </w:pPr>
      <w:r>
        <w:rPr/>
        <w:t>本报告期内，公司除发行股份购买唐山晶源裕丰电子股份有限公司</w:t>
      </w:r>
      <w:r>
        <w:rPr>
          <w:spacing w:val="-98"/>
        </w:rPr>
        <w:t> </w:t>
      </w:r>
      <w:r>
        <w:rPr>
          <w:spacing w:val="-5"/>
        </w:rPr>
        <w:t>25%股权、向唐山晶源</w:t>
      </w:r>
      <w:r>
        <w:rPr/>
        <w:t> 裕丰电子股份有限公司出售资产并认购其股份外，未有其他重大收购及出售资产、吸收</w:t>
      </w:r>
      <w:r>
        <w:rPr>
          <w:spacing w:val="-47"/>
        </w:rPr>
        <w:t> </w:t>
      </w:r>
      <w:r>
        <w:rPr>
          <w:spacing w:val="-47"/>
        </w:rPr>
      </w:r>
      <w:r>
        <w:rPr/>
        <w:t>合并事项。</w:t>
      </w:r>
    </w:p>
    <w:p>
      <w:pPr>
        <w:spacing w:line="240" w:lineRule="auto" w:before="8"/>
        <w:rPr>
          <w:rFonts w:ascii="宋体" w:hAnsi="宋体" w:cs="宋体" w:eastAsia="宋体" w:hint="default"/>
          <w:sz w:val="23"/>
          <w:szCs w:val="23"/>
        </w:rPr>
      </w:pPr>
    </w:p>
    <w:p>
      <w:pPr>
        <w:pStyle w:val="BodyText"/>
        <w:spacing w:line="240" w:lineRule="auto"/>
        <w:ind w:right="0"/>
        <w:jc w:val="both"/>
      </w:pPr>
      <w:r>
        <w:rPr/>
        <w:t>(1)  发行股份购买唐山晶源裕丰电子股份有限公司</w:t>
      </w:r>
      <w:r>
        <w:rPr>
          <w:spacing w:val="-60"/>
        </w:rPr>
        <w:t> </w:t>
      </w:r>
      <w:r>
        <w:rPr/>
        <w:t>25%股权事宜</w:t>
      </w:r>
    </w:p>
    <w:p>
      <w:pPr>
        <w:spacing w:line="240" w:lineRule="auto" w:before="1"/>
        <w:rPr>
          <w:rFonts w:ascii="宋体" w:hAnsi="宋体" w:cs="宋体" w:eastAsia="宋体" w:hint="default"/>
          <w:sz w:val="26"/>
          <w:szCs w:val="26"/>
        </w:rPr>
      </w:pPr>
    </w:p>
    <w:p>
      <w:pPr>
        <w:pStyle w:val="BodyText"/>
        <w:spacing w:line="310" w:lineRule="exact"/>
        <w:ind w:right="114"/>
        <w:jc w:val="both"/>
      </w:pPr>
      <w:r>
        <w:rPr>
          <w:spacing w:val="25"/>
        </w:rPr>
        <w:t>2010年3月</w:t>
      </w:r>
      <w:r>
        <w:rPr>
          <w:spacing w:val="-58"/>
        </w:rPr>
        <w:t> </w:t>
      </w:r>
      <w:r>
        <w:rPr/>
        <w:t>29</w:t>
      </w:r>
      <w:r>
        <w:rPr>
          <w:spacing w:val="-58"/>
        </w:rPr>
        <w:t> </w:t>
      </w:r>
      <w:r>
        <w:rPr>
          <w:spacing w:val="-3"/>
        </w:rPr>
        <w:t>日，公司收到中国证券监督管理委员会(简称"中国证监会")《关于核准同</w:t>
      </w:r>
      <w:r>
        <w:rPr/>
        <w:t> </w:t>
      </w:r>
      <w:r>
        <w:rPr>
          <w:spacing w:val="26"/>
        </w:rPr>
        <w:t>方股份有限公司向唐山晶源科技有限公司发行股份购买资产的批复》(证监许可</w:t>
      </w:r>
      <w:r>
        <w:rPr>
          <w:spacing w:val="-114"/>
        </w:rPr>
        <w:t> </w:t>
      </w:r>
      <w:r>
        <w:rPr/>
        <w:t>[2010]320</w:t>
      </w:r>
      <w:r>
        <w:rPr>
          <w:spacing w:val="-53"/>
        </w:rPr>
        <w:t> </w:t>
      </w:r>
      <w:r>
        <w:rPr/>
        <w:t>号)，核准公司向唐山晶源科技有限公司发行</w:t>
      </w:r>
      <w:r>
        <w:rPr>
          <w:spacing w:val="-53"/>
        </w:rPr>
        <w:t> </w:t>
      </w:r>
      <w:r>
        <w:rPr/>
        <w:t>1,688</w:t>
      </w:r>
      <w:r>
        <w:rPr>
          <w:spacing w:val="-53"/>
        </w:rPr>
        <w:t> </w:t>
      </w:r>
      <w:r>
        <w:rPr/>
        <w:t>万股股份购买其持有的唐</w:t>
      </w:r>
    </w:p>
    <w:p>
      <w:pPr>
        <w:pStyle w:val="BodyText"/>
        <w:spacing w:line="284" w:lineRule="exact"/>
        <w:ind w:right="0"/>
        <w:jc w:val="both"/>
      </w:pPr>
      <w:r>
        <w:rPr/>
        <w:t>山晶源裕丰电子股份有限公司</w:t>
      </w:r>
      <w:r>
        <w:rPr>
          <w:spacing w:val="-60"/>
        </w:rPr>
        <w:t> </w:t>
      </w:r>
      <w:r>
        <w:rPr/>
        <w:t>3,375</w:t>
      </w:r>
      <w:r>
        <w:rPr>
          <w:spacing w:val="-60"/>
        </w:rPr>
        <w:t> </w:t>
      </w:r>
      <w:r>
        <w:rPr/>
        <w:t>万股股份。</w:t>
      </w:r>
    </w:p>
    <w:p>
      <w:pPr>
        <w:spacing w:line="240" w:lineRule="auto" w:before="9"/>
        <w:rPr>
          <w:rFonts w:ascii="宋体" w:hAnsi="宋体" w:cs="宋体" w:eastAsia="宋体" w:hint="default"/>
          <w:sz w:val="23"/>
          <w:szCs w:val="23"/>
        </w:rPr>
      </w:pPr>
    </w:p>
    <w:p>
      <w:pPr>
        <w:pStyle w:val="BodyText"/>
        <w:spacing w:line="237" w:lineRule="auto"/>
        <w:ind w:right="142"/>
        <w:jc w:val="both"/>
      </w:pPr>
      <w:r>
        <w:rPr>
          <w:spacing w:val="25"/>
        </w:rPr>
        <w:t>2010年6月</w:t>
      </w:r>
      <w:r>
        <w:rPr>
          <w:spacing w:val="-45"/>
        </w:rPr>
        <w:t> </w:t>
      </w:r>
      <w:r>
        <w:rPr/>
        <w:t>29</w:t>
      </w:r>
      <w:r>
        <w:rPr>
          <w:spacing w:val="-45"/>
        </w:rPr>
        <w:t> </w:t>
      </w:r>
      <w:r>
        <w:rPr>
          <w:spacing w:val="-4"/>
        </w:rPr>
        <w:t>日，公司收到中国证券登记结算有限公司公司深圳分公司出具的《证券过</w:t>
      </w:r>
      <w:r>
        <w:rPr>
          <w:spacing w:val="-118"/>
        </w:rPr>
        <w:t> </w:t>
      </w:r>
      <w:r>
        <w:rPr>
          <w:spacing w:val="-118"/>
        </w:rPr>
      </w:r>
      <w:r>
        <w:rPr>
          <w:spacing w:val="-5"/>
        </w:rPr>
        <w:t>户登记确认书》，公司受让唐山晶源科技有限公司持有的唐山晶源裕丰电子股份有限公司</w:t>
      </w:r>
      <w:r>
        <w:rPr>
          <w:spacing w:val="-115"/>
        </w:rPr>
        <w:t> </w:t>
      </w:r>
      <w:r>
        <w:rPr>
          <w:spacing w:val="-115"/>
        </w:rPr>
      </w:r>
      <w:r>
        <w:rPr/>
        <w:t>(公司简称晶源电子，股票代码</w:t>
      </w:r>
      <w:r>
        <w:rPr>
          <w:spacing w:val="-51"/>
        </w:rPr>
        <w:t> </w:t>
      </w:r>
      <w:r>
        <w:rPr/>
        <w:t>002049)3,375</w:t>
      </w:r>
      <w:r>
        <w:rPr>
          <w:spacing w:val="-51"/>
        </w:rPr>
        <w:t> </w:t>
      </w:r>
      <w:r>
        <w:rPr/>
        <w:t>万股已于</w:t>
      </w:r>
      <w:r>
        <w:rPr>
          <w:spacing w:val="-50"/>
        </w:rPr>
        <w:t> </w:t>
      </w:r>
      <w:r>
        <w:rPr/>
        <w:t>2010</w:t>
      </w:r>
      <w:r>
        <w:rPr>
          <w:spacing w:val="-51"/>
        </w:rPr>
        <w:t> </w:t>
      </w:r>
      <w:r>
        <w:rPr/>
        <w:t>年</w:t>
      </w:r>
      <w:r>
        <w:rPr>
          <w:spacing w:val="-51"/>
        </w:rPr>
        <w:t> </w:t>
      </w:r>
      <w:r>
        <w:rPr/>
        <w:t>6</w:t>
      </w:r>
      <w:r>
        <w:rPr>
          <w:spacing w:val="-50"/>
        </w:rPr>
        <w:t> </w:t>
      </w:r>
      <w:r>
        <w:rPr/>
        <w:t>月</w:t>
      </w:r>
      <w:r>
        <w:rPr>
          <w:spacing w:val="-51"/>
        </w:rPr>
        <w:t> </w:t>
      </w:r>
      <w:r>
        <w:rPr/>
        <w:t>28</w:t>
      </w:r>
      <w:r>
        <w:rPr>
          <w:spacing w:val="-51"/>
        </w:rPr>
        <w:t> </w:t>
      </w:r>
      <w:r>
        <w:rPr/>
        <w:t>日完成过户登记</w:t>
      </w:r>
    </w:p>
    <w:p>
      <w:pPr>
        <w:pStyle w:val="BodyText"/>
        <w:spacing w:line="311" w:lineRule="exact"/>
        <w:ind w:right="0"/>
        <w:jc w:val="both"/>
      </w:pPr>
      <w:r>
        <w:rPr>
          <w:spacing w:val="5"/>
        </w:rPr>
        <w:t>手续。本次公司受让股份过户完成后，公司持有晶源电子 </w:t>
      </w:r>
      <w:r>
        <w:rPr/>
        <w:t>3,375</w:t>
      </w:r>
      <w:r>
        <w:rPr>
          <w:spacing w:val="25"/>
        </w:rPr>
        <w:t> </w:t>
      </w:r>
      <w:r>
        <w:rPr>
          <w:spacing w:val="5"/>
        </w:rPr>
        <w:t>万股股份，占总股本</w:t>
      </w:r>
      <w:r>
        <w:rPr/>
      </w:r>
    </w:p>
    <w:p>
      <w:pPr>
        <w:pStyle w:val="BodyText"/>
        <w:spacing w:line="237" w:lineRule="auto" w:before="1"/>
        <w:ind w:right="142"/>
        <w:jc w:val="both"/>
      </w:pPr>
      <w:r>
        <w:rPr/>
        <w:t>13,500</w:t>
      </w:r>
      <w:r>
        <w:rPr>
          <w:spacing w:val="-70"/>
        </w:rPr>
        <w:t> </w:t>
      </w:r>
      <w:r>
        <w:rPr/>
        <w:t>万股的</w:t>
      </w:r>
      <w:r>
        <w:rPr>
          <w:spacing w:val="-70"/>
        </w:rPr>
        <w:t> </w:t>
      </w:r>
      <w:r>
        <w:rPr/>
        <w:t>25%，为晶源电子第一大股东；唐山晶源科技有限公司持有</w:t>
      </w:r>
      <w:r>
        <w:rPr>
          <w:spacing w:val="-70"/>
        </w:rPr>
        <w:t> </w:t>
      </w:r>
      <w:r>
        <w:rPr/>
        <w:t>1,390.14</w:t>
      </w:r>
      <w:r>
        <w:rPr>
          <w:spacing w:val="-70"/>
        </w:rPr>
        <w:t> </w:t>
      </w:r>
      <w:r>
        <w:rPr/>
        <w:t>万股</w:t>
      </w:r>
      <w:r>
        <w:rPr/>
        <w:t> </w:t>
      </w:r>
      <w:r>
        <w:rPr>
          <w:spacing w:val="-5"/>
        </w:rPr>
        <w:t>股份，持股比例为</w:t>
      </w:r>
      <w:r>
        <w:rPr>
          <w:spacing w:val="-60"/>
        </w:rPr>
        <w:t> </w:t>
      </w:r>
      <w:r>
        <w:rPr>
          <w:spacing w:val="-3"/>
        </w:rPr>
        <w:t>10.3%，为晶源电子的第二大股东。公司承诺自股份完成过户之日起的</w:t>
      </w:r>
      <w:r>
        <w:rPr>
          <w:spacing w:val="-1"/>
        </w:rPr>
        <w:t> </w:t>
      </w:r>
      <w:r>
        <w:rPr/>
        <w:t>36</w:t>
      </w:r>
      <w:r>
        <w:rPr>
          <w:spacing w:val="-60"/>
        </w:rPr>
        <w:t> </w:t>
      </w:r>
      <w:r>
        <w:rPr/>
        <w:t>个月内不得转让。</w:t>
      </w:r>
    </w:p>
    <w:p>
      <w:pPr>
        <w:spacing w:line="240" w:lineRule="auto" w:before="7"/>
        <w:rPr>
          <w:rFonts w:ascii="宋体" w:hAnsi="宋体" w:cs="宋体" w:eastAsia="宋体" w:hint="default"/>
          <w:sz w:val="23"/>
          <w:szCs w:val="23"/>
        </w:rPr>
      </w:pPr>
    </w:p>
    <w:p>
      <w:pPr>
        <w:pStyle w:val="BodyText"/>
        <w:spacing w:line="313" w:lineRule="exact"/>
        <w:ind w:right="0"/>
        <w:jc w:val="both"/>
      </w:pPr>
      <w:r>
        <w:rPr>
          <w:spacing w:val="25"/>
        </w:rPr>
        <w:t>2010年7月</w:t>
      </w:r>
      <w:r>
        <w:rPr>
          <w:spacing w:val="-44"/>
        </w:rPr>
        <w:t> </w:t>
      </w:r>
      <w:r>
        <w:rPr/>
        <w:t>23</w:t>
      </w:r>
      <w:r>
        <w:rPr>
          <w:spacing w:val="-44"/>
        </w:rPr>
        <w:t> </w:t>
      </w:r>
      <w:r>
        <w:rPr>
          <w:spacing w:val="-4"/>
        </w:rPr>
        <w:t>日，公司刊登了非公开发行股票发行结果暨股本变动公告，向唐山晶源科</w:t>
      </w:r>
    </w:p>
    <w:p>
      <w:pPr>
        <w:pStyle w:val="BodyText"/>
        <w:spacing w:line="311" w:lineRule="exact"/>
        <w:ind w:right="0"/>
        <w:jc w:val="both"/>
      </w:pPr>
      <w:r>
        <w:rPr/>
        <w:t>技有限公司发行股票</w:t>
      </w:r>
      <w:r>
        <w:rPr>
          <w:spacing w:val="-65"/>
        </w:rPr>
        <w:t> </w:t>
      </w:r>
      <w:r>
        <w:rPr/>
        <w:t>16,880,000</w:t>
      </w:r>
      <w:r>
        <w:rPr>
          <w:spacing w:val="-65"/>
        </w:rPr>
        <w:t> </w:t>
      </w:r>
      <w:r>
        <w:rPr>
          <w:spacing w:val="-3"/>
        </w:rPr>
        <w:t>股，唐山晶源科技有限公司持有的上述股票限售期限为</w:t>
      </w:r>
      <w:r>
        <w:rPr/>
      </w:r>
    </w:p>
    <w:p>
      <w:pPr>
        <w:pStyle w:val="BodyText"/>
        <w:spacing w:line="312" w:lineRule="exact"/>
        <w:ind w:right="0"/>
        <w:jc w:val="both"/>
      </w:pPr>
      <w:r>
        <w:rPr/>
        <w:t>12</w:t>
      </w:r>
      <w:r>
        <w:rPr>
          <w:spacing w:val="-60"/>
        </w:rPr>
        <w:t> </w:t>
      </w:r>
      <w:r>
        <w:rPr/>
        <w:t>个月。</w:t>
      </w:r>
    </w:p>
    <w:p>
      <w:pPr>
        <w:spacing w:line="240" w:lineRule="auto" w:before="1"/>
        <w:rPr>
          <w:rFonts w:ascii="宋体" w:hAnsi="宋体" w:cs="宋体" w:eastAsia="宋体" w:hint="default"/>
          <w:sz w:val="26"/>
          <w:szCs w:val="26"/>
        </w:rPr>
      </w:pPr>
    </w:p>
    <w:p>
      <w:pPr>
        <w:pStyle w:val="BodyText"/>
        <w:spacing w:line="310" w:lineRule="exact"/>
        <w:ind w:right="143"/>
        <w:jc w:val="both"/>
      </w:pPr>
      <w:r>
        <w:rPr/>
        <w:t>(2) 向唐山晶源裕丰电子股份有限公司出售公司持有的北京同方微电子有限公司</w:t>
      </w:r>
      <w:r>
        <w:rPr>
          <w:spacing w:val="-40"/>
        </w:rPr>
        <w:t> </w:t>
      </w:r>
      <w:r>
        <w:rPr/>
        <w:t>86%的</w:t>
      </w:r>
      <w:r>
        <w:rPr/>
        <w:t> 股权并认购其股份事宜</w:t>
      </w:r>
    </w:p>
    <w:p>
      <w:pPr>
        <w:spacing w:line="240" w:lineRule="auto" w:before="8"/>
        <w:rPr>
          <w:rFonts w:ascii="宋体" w:hAnsi="宋体" w:cs="宋体" w:eastAsia="宋体" w:hint="default"/>
          <w:sz w:val="21"/>
          <w:szCs w:val="21"/>
        </w:rPr>
      </w:pPr>
    </w:p>
    <w:p>
      <w:pPr>
        <w:pStyle w:val="BodyText"/>
        <w:spacing w:line="237" w:lineRule="auto"/>
        <w:ind w:right="140"/>
        <w:jc w:val="both"/>
      </w:pPr>
      <w:r>
        <w:rPr>
          <w:spacing w:val="12"/>
        </w:rPr>
        <w:t>2010年</w:t>
      </w:r>
      <w:r>
        <w:rPr>
          <w:spacing w:val="-48"/>
        </w:rPr>
        <w:t> </w:t>
      </w:r>
      <w:r>
        <w:rPr>
          <w:spacing w:val="30"/>
        </w:rPr>
        <w:t>11月7</w:t>
      </w:r>
      <w:r>
        <w:rPr>
          <w:spacing w:val="-48"/>
        </w:rPr>
        <w:t> </w:t>
      </w:r>
      <w:r>
        <w:rPr>
          <w:spacing w:val="-4"/>
        </w:rPr>
        <w:t>日，经第五届董事会第九次会议审议批准，公司拟将持有的北京同方微电</w:t>
      </w:r>
      <w:r>
        <w:rPr>
          <w:spacing w:val="-118"/>
        </w:rPr>
        <w:t> </w:t>
      </w:r>
      <w:r>
        <w:rPr>
          <w:spacing w:val="-118"/>
        </w:rPr>
      </w:r>
      <w:r>
        <w:rPr>
          <w:spacing w:val="-1"/>
        </w:rPr>
        <w:t>子有限公司(以下简称“同方微电子”)86%的股权出售给唐山晶源裕丰电子股份有限公司</w:t>
      </w:r>
      <w:r>
        <w:rPr/>
        <w:t> (以下简称“晶源电子”)，并以此为对价认购晶源电子向公司非公开发行的</w:t>
      </w:r>
      <w:r>
        <w:rPr>
          <w:spacing w:val="-79"/>
        </w:rPr>
        <w:t> </w:t>
      </w:r>
      <w:r>
        <w:rPr/>
        <w:t>A</w:t>
      </w:r>
      <w:r>
        <w:rPr>
          <w:spacing w:val="-79"/>
        </w:rPr>
        <w:t> </w:t>
      </w:r>
      <w:r>
        <w:rPr/>
        <w:t>股股票(以</w:t>
      </w:r>
      <w:r>
        <w:rPr/>
        <w:t> </w:t>
      </w:r>
      <w:r>
        <w:rPr>
          <w:spacing w:val="-2"/>
        </w:rPr>
        <w:t>下简称“本次交易”)。非公开发行股票的定价基准日为晶源电子审议通过向公司发行股</w:t>
      </w:r>
      <w:r>
        <w:rPr>
          <w:spacing w:val="-84"/>
        </w:rPr>
        <w:t> </w:t>
      </w:r>
      <w:r>
        <w:rPr>
          <w:spacing w:val="-84"/>
        </w:rPr>
      </w:r>
      <w:r>
        <w:rPr/>
        <w:t>份购买标的资产的重大资产重组预案的董事会决议公告日，发行股票的数量以认购标的</w:t>
      </w:r>
      <w:r>
        <w:rPr>
          <w:spacing w:val="-47"/>
        </w:rPr>
        <w:t> </w:t>
      </w:r>
      <w:r>
        <w:rPr>
          <w:spacing w:val="-47"/>
        </w:rPr>
      </w:r>
      <w:r>
        <w:rPr/>
        <w:t>资产的交易价格除以发行价格确定。</w:t>
      </w:r>
    </w:p>
    <w:p>
      <w:pPr>
        <w:spacing w:line="240" w:lineRule="auto" w:before="8"/>
        <w:rPr>
          <w:rFonts w:ascii="宋体" w:hAnsi="宋体" w:cs="宋体" w:eastAsia="宋体" w:hint="default"/>
          <w:sz w:val="23"/>
          <w:szCs w:val="23"/>
        </w:rPr>
      </w:pPr>
    </w:p>
    <w:p>
      <w:pPr>
        <w:pStyle w:val="BodyText"/>
        <w:spacing w:line="312" w:lineRule="exact"/>
        <w:ind w:right="0"/>
        <w:jc w:val="both"/>
      </w:pPr>
      <w:r>
        <w:rPr/>
        <w:t>2011</w:t>
      </w:r>
      <w:r>
        <w:rPr>
          <w:spacing w:val="-57"/>
        </w:rPr>
        <w:t> </w:t>
      </w:r>
      <w:r>
        <w:rPr/>
        <w:t>年</w:t>
      </w:r>
      <w:r>
        <w:rPr>
          <w:spacing w:val="-57"/>
        </w:rPr>
        <w:t> </w:t>
      </w:r>
      <w:r>
        <w:rPr/>
        <w:t>1</w:t>
      </w:r>
      <w:r>
        <w:rPr>
          <w:spacing w:val="-56"/>
        </w:rPr>
        <w:t> </w:t>
      </w:r>
      <w:r>
        <w:rPr/>
        <w:t>月</w:t>
      </w:r>
      <w:r>
        <w:rPr>
          <w:spacing w:val="-57"/>
        </w:rPr>
        <w:t> </w:t>
      </w:r>
      <w:r>
        <w:rPr/>
        <w:t>7</w:t>
      </w:r>
      <w:r>
        <w:rPr>
          <w:spacing w:val="-56"/>
        </w:rPr>
        <w:t> </w:t>
      </w:r>
      <w:r>
        <w:rPr/>
        <w:t>日，经第五届董事会第十一次会议审议批准，公司确定本次交易以同方微</w:t>
      </w:r>
    </w:p>
    <w:p>
      <w:pPr>
        <w:pStyle w:val="BodyText"/>
        <w:spacing w:line="311" w:lineRule="exact"/>
        <w:ind w:right="0"/>
        <w:jc w:val="both"/>
      </w:pPr>
      <w:r>
        <w:rPr/>
        <w:t>电子的评估结论为定价依据，交易价格为</w:t>
      </w:r>
      <w:r>
        <w:rPr>
          <w:spacing w:val="-81"/>
        </w:rPr>
        <w:t> </w:t>
      </w:r>
      <w:r>
        <w:rPr/>
        <w:t>128,255.25</w:t>
      </w:r>
      <w:r>
        <w:rPr>
          <w:spacing w:val="-81"/>
        </w:rPr>
        <w:t> </w:t>
      </w:r>
      <w:r>
        <w:rPr/>
        <w:t>万元。因此，晶源电子以审议本次</w:t>
      </w:r>
    </w:p>
    <w:p>
      <w:pPr>
        <w:pStyle w:val="BodyText"/>
        <w:spacing w:line="312" w:lineRule="exact"/>
        <w:ind w:right="0"/>
        <w:jc w:val="both"/>
      </w:pPr>
      <w:r>
        <w:rPr/>
        <w:t>交易的首次董事会决议公告日前</w:t>
      </w:r>
      <w:r>
        <w:rPr>
          <w:spacing w:val="-70"/>
        </w:rPr>
        <w:t> </w:t>
      </w:r>
      <w:r>
        <w:rPr/>
        <w:t>20</w:t>
      </w:r>
      <w:r>
        <w:rPr>
          <w:spacing w:val="-70"/>
        </w:rPr>
        <w:t> </w:t>
      </w:r>
      <w:r>
        <w:rPr/>
        <w:t>个交易日晶源电子股票交易均价(决议公告日前</w:t>
      </w:r>
      <w:r>
        <w:rPr>
          <w:spacing w:val="-70"/>
        </w:rPr>
        <w:t> </w:t>
      </w:r>
      <w:r>
        <w:rPr/>
        <w:t>20</w:t>
      </w:r>
      <w:r>
        <w:rPr>
          <w:spacing w:val="-70"/>
        </w:rPr>
        <w:t> </w:t>
      </w:r>
      <w:r>
        <w:rPr/>
        <w:t>个</w:t>
      </w:r>
    </w:p>
    <w:p>
      <w:pPr>
        <w:spacing w:after="0" w:line="312" w:lineRule="exact"/>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left="238" w:right="471"/>
        <w:jc w:val="left"/>
      </w:pPr>
      <w:r>
        <w:rPr/>
        <w:t>交易日晶源电子股票交易总额除以决议公告日前 20</w:t>
      </w:r>
      <w:r>
        <w:rPr>
          <w:spacing w:val="-77"/>
        </w:rPr>
        <w:t> </w:t>
      </w:r>
      <w:r>
        <w:rPr/>
        <w:t>个交易日晶源电子股票交易总量)，</w:t>
      </w:r>
    </w:p>
    <w:p>
      <w:pPr>
        <w:pStyle w:val="BodyText"/>
        <w:spacing w:line="310" w:lineRule="exact" w:before="30"/>
        <w:ind w:left="238" w:right="471"/>
        <w:jc w:val="left"/>
      </w:pPr>
      <w:r>
        <w:rPr/>
        <w:t>即每股</w:t>
      </w:r>
      <w:r>
        <w:rPr>
          <w:spacing w:val="-60"/>
        </w:rPr>
        <w:t> </w:t>
      </w:r>
      <w:r>
        <w:rPr/>
        <w:t>14.07</w:t>
      </w:r>
      <w:r>
        <w:rPr>
          <w:spacing w:val="-60"/>
        </w:rPr>
        <w:t> </w:t>
      </w:r>
      <w:r>
        <w:rPr>
          <w:spacing w:val="-6"/>
        </w:rPr>
        <w:t>元/股，向公司发行</w:t>
      </w:r>
      <w:r>
        <w:rPr>
          <w:spacing w:val="-60"/>
        </w:rPr>
        <w:t> </w:t>
      </w:r>
      <w:r>
        <w:rPr/>
        <w:t>91,155,116</w:t>
      </w:r>
      <w:r>
        <w:rPr>
          <w:spacing w:val="-60"/>
        </w:rPr>
        <w:t> </w:t>
      </w:r>
      <w:r>
        <w:rPr>
          <w:spacing w:val="-3"/>
        </w:rPr>
        <w:t>股股份，以换取公司持有的同方微电子</w:t>
      </w:r>
      <w:r>
        <w:rPr>
          <w:spacing w:val="-60"/>
        </w:rPr>
        <w:t> </w:t>
      </w:r>
      <w:r>
        <w:rPr/>
        <w:t>86%</w:t>
      </w:r>
      <w:r>
        <w:rPr/>
        <w:t> 的股权。</w:t>
      </w:r>
    </w:p>
    <w:p>
      <w:pPr>
        <w:spacing w:line="240" w:lineRule="auto" w:before="6"/>
        <w:rPr>
          <w:rFonts w:ascii="宋体" w:hAnsi="宋体" w:cs="宋体" w:eastAsia="宋体" w:hint="default"/>
          <w:sz w:val="21"/>
          <w:szCs w:val="21"/>
        </w:rPr>
      </w:pPr>
    </w:p>
    <w:p>
      <w:pPr>
        <w:spacing w:line="475" w:lineRule="auto" w:before="0"/>
        <w:ind w:left="238" w:right="1026" w:firstLine="0"/>
        <w:jc w:val="left"/>
        <w:rPr>
          <w:rFonts w:ascii="宋体" w:hAnsi="宋体" w:cs="宋体" w:eastAsia="宋体" w:hint="default"/>
          <w:sz w:val="24"/>
          <w:szCs w:val="24"/>
        </w:rPr>
      </w:pPr>
      <w:r>
        <w:rPr>
          <w:rFonts w:ascii="宋体" w:hAnsi="宋体" w:cs="宋体" w:eastAsia="宋体" w:hint="default"/>
          <w:sz w:val="24"/>
          <w:szCs w:val="24"/>
        </w:rPr>
        <w:t>截至本报告披露日，晶源电子上述发行股份购买资产事宜已获得中国证监会受理。 </w:t>
      </w:r>
      <w:r>
        <w:rPr>
          <w:rFonts w:ascii="宋体" w:hAnsi="宋体" w:cs="宋体" w:eastAsia="宋体" w:hint="default"/>
          <w:b/>
          <w:bCs/>
          <w:sz w:val="24"/>
          <w:szCs w:val="24"/>
        </w:rPr>
        <w:t>3、公司持有其他上市公司股权情况</w:t>
      </w:r>
      <w:r>
        <w:rPr>
          <w:rFonts w:ascii="宋体" w:hAnsi="宋体" w:cs="宋体" w:eastAsia="宋体" w:hint="default"/>
          <w:sz w:val="24"/>
          <w:szCs w:val="24"/>
        </w:rPr>
      </w:r>
    </w:p>
    <w:p>
      <w:pPr>
        <w:pStyle w:val="BodyText"/>
        <w:spacing w:line="240" w:lineRule="auto" w:before="73"/>
        <w:ind w:left="238" w:right="471"/>
        <w:jc w:val="left"/>
      </w:pPr>
      <w:r>
        <w:rPr/>
        <w:t>(1)证券投资情况</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60" w:left="1180" w:right="800"/>
        </w:sectPr>
      </w:pPr>
    </w:p>
    <w:p>
      <w:pPr>
        <w:pStyle w:val="BodyText"/>
        <w:spacing w:line="240" w:lineRule="auto" w:before="26"/>
        <w:ind w:left="238" w:right="-20"/>
        <w:jc w:val="left"/>
      </w:pPr>
      <w:r>
        <w:rPr/>
        <w:t>截至报告期末，公司的证券投资情况为：</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单位：元、股</w:t>
      </w:r>
    </w:p>
    <w:p>
      <w:pPr>
        <w:spacing w:after="0"/>
        <w:jc w:val="left"/>
        <w:rPr>
          <w:rFonts w:ascii="宋体" w:hAnsi="宋体" w:cs="宋体" w:eastAsia="宋体" w:hint="default"/>
          <w:sz w:val="21"/>
          <w:szCs w:val="21"/>
        </w:rPr>
        <w:sectPr>
          <w:type w:val="continuous"/>
          <w:pgSz w:w="11910" w:h="16840"/>
          <w:pgMar w:top="1600" w:bottom="280" w:left="1180" w:right="800"/>
          <w:cols w:num="2" w:equalWidth="0">
            <w:col w:w="4559" w:space="3383"/>
            <w:col w:w="198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16"/>
        <w:gridCol w:w="905"/>
        <w:gridCol w:w="1099"/>
        <w:gridCol w:w="1466"/>
        <w:gridCol w:w="1466"/>
        <w:gridCol w:w="1465"/>
        <w:gridCol w:w="934"/>
        <w:gridCol w:w="1466"/>
      </w:tblGrid>
      <w:tr>
        <w:trPr>
          <w:trHeight w:val="956" w:hRule="exact"/>
        </w:trPr>
        <w:tc>
          <w:tcPr>
            <w:tcW w:w="6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54" w:right="170" w:hanging="180"/>
              <w:jc w:val="left"/>
              <w:rPr>
                <w:rFonts w:ascii="宋体" w:hAnsi="宋体" w:cs="宋体" w:eastAsia="宋体" w:hint="default"/>
                <w:sz w:val="18"/>
                <w:szCs w:val="18"/>
              </w:rPr>
            </w:pPr>
            <w:r>
              <w:rPr>
                <w:rFonts w:ascii="宋体" w:hAnsi="宋体" w:cs="宋体" w:eastAsia="宋体" w:hint="default"/>
                <w:b/>
                <w:bCs/>
                <w:sz w:val="18"/>
                <w:szCs w:val="18"/>
              </w:rPr>
              <w:t>证券代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码</w:t>
            </w:r>
            <w:r>
              <w:rPr>
                <w:rFonts w:ascii="宋体" w:hAnsi="宋体" w:cs="宋体" w:eastAsia="宋体" w:hint="default"/>
                <w:sz w:val="18"/>
                <w:szCs w:val="18"/>
              </w:rPr>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b/>
                <w:bCs/>
                <w:sz w:val="18"/>
                <w:szCs w:val="18"/>
              </w:rPr>
              <w:t>初始投资</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b/>
                <w:bCs/>
                <w:sz w:val="18"/>
                <w:szCs w:val="18"/>
              </w:rPr>
              <w:t>期末持有数量</w:t>
            </w:r>
            <w:r>
              <w:rPr>
                <w:rFonts w:ascii="宋体" w:hAnsi="宋体" w:cs="宋体" w:eastAsia="宋体" w:hint="default"/>
                <w:sz w:val="18"/>
                <w:szCs w:val="18"/>
              </w:rPr>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期末账面值</w:t>
            </w:r>
            <w:r>
              <w:rPr>
                <w:rFonts w:ascii="宋体" w:hAnsi="宋体" w:cs="宋体" w:eastAsia="宋体" w:hint="default"/>
                <w:sz w:val="18"/>
                <w:szCs w:val="18"/>
              </w:rPr>
            </w:r>
          </w:p>
        </w:tc>
        <w:tc>
          <w:tcPr>
            <w:tcW w:w="93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占期末</w:t>
            </w:r>
            <w:r>
              <w:rPr>
                <w:rFonts w:ascii="宋体" w:hAnsi="宋体" w:cs="宋体" w:eastAsia="宋体" w:hint="default"/>
                <w:sz w:val="18"/>
                <w:szCs w:val="18"/>
              </w:rPr>
            </w:r>
          </w:p>
          <w:p>
            <w:pPr>
              <w:pStyle w:val="TableParagraph"/>
              <w:spacing w:line="237" w:lineRule="auto"/>
              <w:ind w:left="188" w:right="185"/>
              <w:jc w:val="center"/>
              <w:rPr>
                <w:rFonts w:ascii="宋体" w:hAnsi="宋体" w:cs="宋体" w:eastAsia="宋体" w:hint="default"/>
                <w:sz w:val="18"/>
                <w:szCs w:val="18"/>
              </w:rPr>
            </w:pPr>
            <w:r>
              <w:rPr>
                <w:rFonts w:ascii="宋体" w:hAnsi="宋体" w:cs="宋体" w:eastAsia="宋体" w:hint="default"/>
                <w:b/>
                <w:bCs/>
                <w:sz w:val="18"/>
                <w:szCs w:val="18"/>
              </w:rPr>
              <w:t>证券总</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报告期损益</w:t>
            </w:r>
            <w:r>
              <w:rPr>
                <w:rFonts w:ascii="宋体" w:hAnsi="宋体" w:cs="宋体" w:eastAsia="宋体" w:hint="default"/>
                <w:sz w:val="18"/>
                <w:szCs w:val="18"/>
              </w:rPr>
            </w:r>
          </w:p>
        </w:tc>
      </w:tr>
      <w:tr>
        <w:trPr>
          <w:trHeight w:val="326"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160305</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华夏大盘</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10,000,000.00</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6,128,620.49</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75,247,202.38</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23.85%</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14,680,049.66</w:t>
            </w:r>
            <w:r>
              <w:rPr>
                <w:rFonts w:ascii="Times New Roman"/>
                <w:sz w:val="20"/>
              </w:rPr>
            </w:r>
          </w:p>
        </w:tc>
      </w:tr>
      <w:tr>
        <w:trPr>
          <w:trHeight w:val="328"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2</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002483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润邦股份</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42,000,000.00</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7,500,000.00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164,088,562.50</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52.01%</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122,088,562.50</w:t>
            </w:r>
            <w:r>
              <w:rPr>
                <w:rFonts w:ascii="Times New Roman"/>
                <w:sz w:val="20"/>
              </w:rPr>
            </w:r>
          </w:p>
        </w:tc>
      </w:tr>
      <w:tr>
        <w:trPr>
          <w:trHeight w:val="326"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HK0378</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事安集团</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22,007,189.55</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19,500,000.00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23,773,276.78</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7.53%</w:t>
            </w:r>
            <w:r>
              <w:rPr>
                <w:rFonts w:ascii="Times New Roman"/>
                <w:sz w:val="20"/>
              </w:rPr>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-2,267,298.26</w:t>
            </w:r>
            <w:r>
              <w:rPr>
                <w:rFonts w:ascii="Times New Roman"/>
                <w:sz w:val="20"/>
              </w:rPr>
            </w:r>
          </w:p>
        </w:tc>
      </w:tr>
      <w:tr>
        <w:trPr>
          <w:trHeight w:val="328"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4</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HK8103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泰盛国际</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8,540,620.34</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158,900,000.00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18,720,360.26</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5.93%</w:t>
            </w:r>
            <w:r>
              <w:rPr>
                <w:rFonts w:ascii="Times New Roman"/>
                <w:sz w:val="20"/>
              </w:rPr>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10,179,739.92</w:t>
            </w:r>
            <w:r>
              <w:rPr>
                <w:rFonts w:ascii="Times New Roman"/>
                <w:sz w:val="20"/>
              </w:rPr>
            </w:r>
          </w:p>
        </w:tc>
      </w:tr>
      <w:tr>
        <w:trPr>
          <w:trHeight w:val="326"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5</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000933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神火股份</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8,899,879.17</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350,000.00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8,767,500.00</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pacing w:val="-1"/>
                <w:sz w:val="20"/>
              </w:rPr>
              <w:t>2.78%</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-132,379.17</w:t>
            </w:r>
            <w:r>
              <w:rPr>
                <w:rFonts w:ascii="Times New Roman"/>
                <w:sz w:val="20"/>
              </w:rPr>
            </w:r>
          </w:p>
        </w:tc>
      </w:tr>
      <w:tr>
        <w:trPr>
          <w:trHeight w:val="328"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6</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000937</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冀中能源</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3,858,905.04</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150,000.00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6,007,500.00</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pacing w:val="-1"/>
                <w:sz w:val="20"/>
              </w:rPr>
              <w:t>1.90%</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-157,500.00</w:t>
            </w:r>
            <w:r>
              <w:rPr>
                <w:rFonts w:ascii="Times New Roman"/>
                <w:sz w:val="20"/>
              </w:rPr>
            </w:r>
          </w:p>
        </w:tc>
      </w:tr>
      <w:tr>
        <w:trPr>
          <w:trHeight w:val="326"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7</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000951</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中国重汽</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4,033,250.06</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200,000.00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5,532,000.00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1.75%</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76,000.00</w:t>
            </w:r>
          </w:p>
        </w:tc>
      </w:tr>
      <w:tr>
        <w:trPr>
          <w:trHeight w:val="328"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8</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601699</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潞安环能</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1,857,871.50</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50,000.00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2,982,000.00</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0.95%</w:t>
            </w:r>
            <w:r>
              <w:rPr>
                <w:rFonts w:ascii="Times New Roman"/>
                <w:sz w:val="20"/>
              </w:rPr>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1,124,128.50</w:t>
            </w:r>
            <w:r>
              <w:rPr>
                <w:rFonts w:ascii="Times New Roman"/>
                <w:sz w:val="20"/>
              </w:rPr>
            </w:r>
          </w:p>
        </w:tc>
      </w:tr>
      <w:tr>
        <w:trPr>
          <w:trHeight w:val="326"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w w:val="100"/>
                <w:sz w:val="20"/>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600104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上海汽车</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2,156,511.64</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195,000.00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2,862,600.00</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0.91%</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-1,049,400.00</w:t>
            </w:r>
            <w:r>
              <w:rPr>
                <w:rFonts w:ascii="Times New Roman"/>
                <w:sz w:val="20"/>
              </w:rPr>
            </w:r>
          </w:p>
        </w:tc>
      </w:tr>
      <w:tr>
        <w:trPr>
          <w:trHeight w:val="328" w:hRule="exact"/>
        </w:trPr>
        <w:tc>
          <w:tcPr>
            <w:tcW w:w="6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8"/>
              <w:jc w:val="center"/>
              <w:rPr>
                <w:rFonts w:ascii="Times New Roman" w:hAnsi="Times New Roman" w:cs="Times New Roman" w:eastAsia="Times New Roman" w:hint="default"/>
                <w:sz w:val="20"/>
                <w:szCs w:val="20"/>
              </w:rPr>
            </w:pPr>
            <w:r>
              <w:rPr>
                <w:rFonts w:ascii="Times New Roman"/>
                <w:sz w:val="20"/>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002024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9"/>
              <w:jc w:val="center"/>
              <w:rPr>
                <w:rFonts w:ascii="宋体" w:hAnsi="宋体" w:cs="宋体" w:eastAsia="宋体" w:hint="default"/>
                <w:sz w:val="20"/>
                <w:szCs w:val="20"/>
              </w:rPr>
            </w:pPr>
            <w:r>
              <w:rPr>
                <w:rFonts w:ascii="宋体" w:hAnsi="宋体" w:cs="宋体" w:eastAsia="宋体" w:hint="default"/>
                <w:sz w:val="20"/>
                <w:szCs w:val="20"/>
              </w:rPr>
              <w:t>苏宁电器</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3,067,470.48</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2,620,000.00</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0.83%</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-447,470.48</w:t>
            </w:r>
            <w:r>
              <w:rPr>
                <w:rFonts w:ascii="Times New Roman"/>
                <w:sz w:val="20"/>
              </w:rPr>
            </w:r>
          </w:p>
        </w:tc>
      </w:tr>
      <w:tr>
        <w:trPr>
          <w:trHeight w:val="326" w:hRule="exact"/>
        </w:trPr>
        <w:tc>
          <w:tcPr>
            <w:tcW w:w="262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期末持有的其他证券投资</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4,142,789.28</w:t>
            </w:r>
            <w:r>
              <w:rPr>
                <w:rFonts w:ascii="Times New Roman"/>
                <w:sz w:val="20"/>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557,000.00</w:t>
            </w:r>
            <w:r>
              <w:rPr>
                <w:rFonts w:ascii="Times New Roman"/>
                <w:sz w:val="20"/>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4,906,720.00</w:t>
            </w:r>
            <w:r>
              <w:rPr>
                <w:rFonts w:ascii="Times New Roman"/>
                <w:sz w:val="20"/>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1.56%</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-2,913,211.05</w:t>
            </w:r>
            <w:r>
              <w:rPr>
                <w:rFonts w:ascii="Times New Roman"/>
                <w:sz w:val="20"/>
              </w:rPr>
            </w:r>
          </w:p>
        </w:tc>
      </w:tr>
      <w:tr>
        <w:trPr>
          <w:trHeight w:val="328" w:hRule="exact"/>
        </w:trPr>
        <w:tc>
          <w:tcPr>
            <w:tcW w:w="262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报告期已出售证券投资损益</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7"/>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4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-1,328,469.23</w:t>
            </w:r>
            <w:r>
              <w:rPr>
                <w:rFonts w:ascii="Times New Roman"/>
                <w:sz w:val="20"/>
              </w:rPr>
            </w:r>
          </w:p>
        </w:tc>
      </w:tr>
      <w:tr>
        <w:trPr>
          <w:trHeight w:val="334" w:hRule="exact"/>
        </w:trPr>
        <w:tc>
          <w:tcPr>
            <w:tcW w:w="2620"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110,564,487.06</w:t>
            </w:r>
            <w:r>
              <w:rPr>
                <w:rFonts w:ascii="Times New Roman"/>
                <w:sz w:val="20"/>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315,507,721.92</w:t>
            </w:r>
            <w:r>
              <w:rPr>
                <w:rFonts w:ascii="Times New Roman"/>
                <w:sz w:val="20"/>
              </w:rPr>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100.00%</w:t>
            </w:r>
          </w:p>
        </w:tc>
        <w:tc>
          <w:tcPr>
            <w:tcW w:w="14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139,852,752.39</w:t>
            </w:r>
            <w:r>
              <w:rPr>
                <w:rFonts w:ascii="Times New Roman"/>
                <w:sz w:val="20"/>
              </w:rPr>
            </w:r>
          </w:p>
        </w:tc>
      </w:tr>
    </w:tbl>
    <w:p>
      <w:pPr>
        <w:spacing w:line="238" w:lineRule="exact" w:before="0"/>
        <w:ind w:left="238" w:right="471"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line="272"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1、本表要求按期末账面值占公司期末证券投资总额的比例排序，填列公司期末所持前十只证券情况；</w:t>
      </w:r>
    </w:p>
    <w:p>
      <w:pPr>
        <w:spacing w:line="272" w:lineRule="exact" w:before="26"/>
        <w:ind w:left="238" w:right="471" w:firstLine="0"/>
        <w:jc w:val="left"/>
        <w:rPr>
          <w:rFonts w:ascii="宋体" w:hAnsi="宋体" w:cs="宋体" w:eastAsia="宋体" w:hint="default"/>
          <w:sz w:val="21"/>
          <w:szCs w:val="21"/>
        </w:rPr>
      </w:pPr>
      <w:r>
        <w:rPr>
          <w:rFonts w:ascii="宋体" w:hAnsi="宋体" w:cs="宋体" w:eastAsia="宋体" w:hint="default"/>
          <w:sz w:val="21"/>
          <w:szCs w:val="21"/>
        </w:rPr>
        <w:t>2、本表所述证券投资是指股票、权证、可转换债券等投资。其中，股票投资只需填列公司在交易性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金融资产中核算的部分；</w:t>
      </w:r>
    </w:p>
    <w:p>
      <w:pPr>
        <w:spacing w:line="246" w:lineRule="exact" w:before="0"/>
        <w:ind w:left="238" w:right="471" w:firstLine="0"/>
        <w:jc w:val="left"/>
        <w:rPr>
          <w:rFonts w:ascii="宋体" w:hAnsi="宋体" w:cs="宋体" w:eastAsia="宋体" w:hint="default"/>
          <w:sz w:val="21"/>
          <w:szCs w:val="21"/>
        </w:rPr>
      </w:pPr>
      <w:r>
        <w:rPr>
          <w:rFonts w:ascii="宋体" w:hAnsi="宋体" w:cs="宋体" w:eastAsia="宋体" w:hint="default"/>
          <w:sz w:val="21"/>
          <w:szCs w:val="21"/>
        </w:rPr>
        <w:t>3、其他证券投资指：除前十只证券以外的其他证券投资。</w:t>
      </w:r>
    </w:p>
    <w:p>
      <w:pPr>
        <w:spacing w:line="274" w:lineRule="exact" w:before="0"/>
        <w:ind w:left="238" w:right="471" w:firstLine="0"/>
        <w:jc w:val="left"/>
        <w:rPr>
          <w:rFonts w:ascii="宋体" w:hAnsi="宋体" w:cs="宋体" w:eastAsia="宋体" w:hint="default"/>
          <w:sz w:val="21"/>
          <w:szCs w:val="21"/>
        </w:rPr>
      </w:pPr>
      <w:r>
        <w:rPr>
          <w:rFonts w:ascii="宋体" w:hAnsi="宋体" w:cs="宋体" w:eastAsia="宋体" w:hint="default"/>
          <w:sz w:val="21"/>
          <w:szCs w:val="21"/>
        </w:rPr>
        <w:t>4、报告期损益，包括报告期公司因持有该证券取得的投资收益及公允价值变动损益。</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180" w:right="800"/>
        </w:sectPr>
      </w:pPr>
    </w:p>
    <w:p>
      <w:pPr>
        <w:pStyle w:val="BodyText"/>
        <w:spacing w:line="240" w:lineRule="auto" w:before="26"/>
        <w:ind w:left="238" w:right="-20"/>
        <w:jc w:val="left"/>
      </w:pPr>
      <w:r>
        <w:rPr/>
        <w:t>截至报告期末，公司持有其他上市公司股权情况</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600" w:bottom="280" w:left="1180" w:right="800"/>
          <w:cols w:num="2" w:equalWidth="0">
            <w:col w:w="5279" w:space="2873"/>
            <w:col w:w="177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91"/>
        <w:gridCol w:w="1120"/>
        <w:gridCol w:w="1040"/>
        <w:gridCol w:w="1237"/>
        <w:gridCol w:w="1062"/>
        <w:gridCol w:w="1298"/>
        <w:gridCol w:w="1270"/>
        <w:gridCol w:w="1433"/>
      </w:tblGrid>
      <w:tr>
        <w:trPr>
          <w:trHeight w:val="541" w:hRule="exact"/>
        </w:trPr>
        <w:tc>
          <w:tcPr>
            <w:tcW w:w="1191"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简称</w:t>
            </w:r>
            <w:r>
              <w:rPr>
                <w:rFonts w:ascii="宋体" w:hAnsi="宋体" w:cs="宋体" w:eastAsia="宋体" w:hint="default"/>
                <w:sz w:val="20"/>
                <w:szCs w:val="20"/>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初始投资</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40" w:type="dxa"/>
            <w:tcBorders>
              <w:top w:val="single" w:sz="12" w:space="0" w:color="000000"/>
              <w:left w:val="single" w:sz="6" w:space="0" w:color="000000"/>
              <w:bottom w:val="single" w:sz="6" w:space="0" w:color="000000"/>
              <w:right w:val="single" w:sz="6" w:space="0" w:color="000000"/>
            </w:tcBorders>
          </w:tcPr>
          <w:p>
            <w:pPr>
              <w:pStyle w:val="TableParagraph"/>
              <w:spacing w:line="228" w:lineRule="exact"/>
              <w:ind w:left="110" w:right="0" w:firstLine="1"/>
              <w:jc w:val="left"/>
              <w:rPr>
                <w:rFonts w:ascii="宋体" w:hAnsi="宋体" w:cs="宋体" w:eastAsia="宋体" w:hint="default"/>
                <w:sz w:val="20"/>
                <w:szCs w:val="20"/>
              </w:rPr>
            </w:pPr>
            <w:r>
              <w:rPr>
                <w:rFonts w:ascii="宋体" w:hAnsi="宋体" w:cs="宋体" w:eastAsia="宋体" w:hint="default"/>
                <w:b/>
                <w:bCs/>
                <w:sz w:val="20"/>
                <w:szCs w:val="20"/>
              </w:rPr>
              <w:t>占该公司</w:t>
            </w:r>
            <w:r>
              <w:rPr>
                <w:rFonts w:ascii="宋体" w:hAnsi="宋体" w:cs="宋体" w:eastAsia="宋体" w:hint="default"/>
                <w:sz w:val="20"/>
                <w:szCs w:val="20"/>
              </w:rPr>
            </w:r>
          </w:p>
          <w:p>
            <w:pPr>
              <w:pStyle w:val="TableParagraph"/>
              <w:spacing w:line="260" w:lineRule="exact"/>
              <w:ind w:left="110" w:right="0"/>
              <w:jc w:val="left"/>
              <w:rPr>
                <w:rFonts w:ascii="宋体" w:hAnsi="宋体" w:cs="宋体" w:eastAsia="宋体" w:hint="default"/>
                <w:sz w:val="20"/>
                <w:szCs w:val="20"/>
              </w:rPr>
            </w:pPr>
            <w:r>
              <w:rPr>
                <w:rFonts w:ascii="宋体" w:hAnsi="宋体" w:cs="宋体" w:eastAsia="宋体" w:hint="default"/>
                <w:b/>
                <w:bCs/>
                <w:sz w:val="20"/>
                <w:szCs w:val="20"/>
              </w:rPr>
              <w:t>股权比例</w:t>
            </w:r>
            <w:r>
              <w:rPr>
                <w:rFonts w:ascii="宋体" w:hAnsi="宋体" w:cs="宋体" w:eastAsia="宋体" w:hint="default"/>
                <w:sz w:val="20"/>
                <w:szCs w:val="20"/>
              </w:rPr>
            </w:r>
          </w:p>
        </w:tc>
        <w:tc>
          <w:tcPr>
            <w:tcW w:w="1237"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108"/>
              <w:jc w:val="right"/>
              <w:rPr>
                <w:rFonts w:ascii="宋体" w:hAnsi="宋体" w:cs="宋体" w:eastAsia="宋体" w:hint="default"/>
                <w:sz w:val="20"/>
                <w:szCs w:val="20"/>
              </w:rPr>
            </w:pPr>
            <w:r>
              <w:rPr>
                <w:rFonts w:ascii="宋体" w:hAnsi="宋体" w:cs="宋体" w:eastAsia="宋体" w:hint="default"/>
                <w:b/>
                <w:bCs/>
                <w:sz w:val="20"/>
                <w:szCs w:val="20"/>
              </w:rPr>
              <w:t>期末账面值</w:t>
            </w:r>
            <w:r>
              <w:rPr>
                <w:rFonts w:ascii="宋体" w:hAnsi="宋体" w:cs="宋体" w:eastAsia="宋体" w:hint="default"/>
                <w:sz w:val="20"/>
                <w:szCs w:val="20"/>
              </w:rPr>
            </w:r>
          </w:p>
        </w:tc>
        <w:tc>
          <w:tcPr>
            <w:tcW w:w="1062" w:type="dxa"/>
            <w:tcBorders>
              <w:top w:val="single" w:sz="12"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报告期损</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益</w:t>
            </w:r>
            <w:r>
              <w:rPr>
                <w:rFonts w:ascii="宋体" w:hAnsi="宋体" w:cs="宋体" w:eastAsia="宋体" w:hint="default"/>
                <w:sz w:val="20"/>
                <w:szCs w:val="20"/>
              </w:rPr>
            </w:r>
          </w:p>
        </w:tc>
        <w:tc>
          <w:tcPr>
            <w:tcW w:w="1298" w:type="dxa"/>
            <w:tcBorders>
              <w:top w:val="single" w:sz="12" w:space="0" w:color="000000"/>
              <w:left w:val="single" w:sz="6" w:space="0" w:color="000000"/>
              <w:bottom w:val="single" w:sz="6" w:space="0" w:color="000000"/>
              <w:right w:val="single" w:sz="6" w:space="0" w:color="000000"/>
            </w:tcBorders>
          </w:tcPr>
          <w:p>
            <w:pPr>
              <w:pStyle w:val="TableParagraph"/>
              <w:spacing w:line="228" w:lineRule="exact"/>
              <w:ind w:left="138" w:right="0"/>
              <w:jc w:val="left"/>
              <w:rPr>
                <w:rFonts w:ascii="宋体" w:hAnsi="宋体" w:cs="宋体" w:eastAsia="宋体" w:hint="default"/>
                <w:sz w:val="20"/>
                <w:szCs w:val="20"/>
              </w:rPr>
            </w:pPr>
            <w:r>
              <w:rPr>
                <w:rFonts w:ascii="宋体" w:hAnsi="宋体" w:cs="宋体" w:eastAsia="宋体" w:hint="default"/>
                <w:b/>
                <w:bCs/>
                <w:sz w:val="20"/>
                <w:szCs w:val="20"/>
              </w:rPr>
              <w:t>报告期所有</w:t>
            </w:r>
            <w:r>
              <w:rPr>
                <w:rFonts w:ascii="宋体" w:hAnsi="宋体" w:cs="宋体" w:eastAsia="宋体" w:hint="default"/>
                <w:sz w:val="20"/>
                <w:szCs w:val="20"/>
              </w:rPr>
            </w:r>
          </w:p>
          <w:p>
            <w:pPr>
              <w:pStyle w:val="TableParagraph"/>
              <w:spacing w:line="260" w:lineRule="exact"/>
              <w:ind w:left="138" w:right="0"/>
              <w:jc w:val="left"/>
              <w:rPr>
                <w:rFonts w:ascii="宋体" w:hAnsi="宋体" w:cs="宋体" w:eastAsia="宋体" w:hint="default"/>
                <w:sz w:val="20"/>
                <w:szCs w:val="20"/>
              </w:rPr>
            </w:pPr>
            <w:r>
              <w:rPr>
                <w:rFonts w:ascii="宋体" w:hAnsi="宋体" w:cs="宋体" w:eastAsia="宋体" w:hint="default"/>
                <w:b/>
                <w:bCs/>
                <w:sz w:val="20"/>
                <w:szCs w:val="20"/>
              </w:rPr>
              <w:t>者权益变动</w:t>
            </w:r>
            <w:r>
              <w:rPr>
                <w:rFonts w:ascii="宋体" w:hAnsi="宋体" w:cs="宋体" w:eastAsia="宋体" w:hint="default"/>
                <w:sz w:val="20"/>
                <w:szCs w:val="20"/>
              </w:rPr>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会计核算科</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目</w:t>
            </w:r>
            <w:r>
              <w:rPr>
                <w:rFonts w:ascii="宋体" w:hAnsi="宋体" w:cs="宋体" w:eastAsia="宋体" w:hint="default"/>
                <w:sz w:val="20"/>
                <w:szCs w:val="20"/>
              </w:rPr>
            </w:r>
          </w:p>
        </w:tc>
        <w:tc>
          <w:tcPr>
            <w:tcW w:w="1433"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306" w:right="0"/>
              <w:jc w:val="left"/>
              <w:rPr>
                <w:rFonts w:ascii="宋体" w:hAnsi="宋体" w:cs="宋体" w:eastAsia="宋体" w:hint="default"/>
                <w:sz w:val="20"/>
                <w:szCs w:val="20"/>
              </w:rPr>
            </w:pPr>
            <w:r>
              <w:rPr>
                <w:rFonts w:ascii="宋体" w:hAnsi="宋体" w:cs="宋体" w:eastAsia="宋体" w:hint="default"/>
                <w:b/>
                <w:bCs/>
                <w:sz w:val="20"/>
                <w:szCs w:val="20"/>
              </w:rPr>
              <w:t>股份来源</w:t>
            </w:r>
            <w:r>
              <w:rPr>
                <w:rFonts w:ascii="宋体" w:hAnsi="宋体" w:cs="宋体" w:eastAsia="宋体" w:hint="default"/>
                <w:sz w:val="20"/>
                <w:szCs w:val="20"/>
              </w:rPr>
            </w:r>
          </w:p>
        </w:tc>
      </w:tr>
      <w:tr>
        <w:trPr>
          <w:trHeight w:val="534" w:hRule="exact"/>
        </w:trPr>
        <w:tc>
          <w:tcPr>
            <w:tcW w:w="1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9"/>
              <w:ind w:right="5"/>
              <w:jc w:val="center"/>
              <w:rPr>
                <w:rFonts w:ascii="宋体" w:hAnsi="宋体" w:cs="宋体" w:eastAsia="宋体" w:hint="default"/>
                <w:sz w:val="20"/>
                <w:szCs w:val="20"/>
              </w:rPr>
            </w:pPr>
            <w:r>
              <w:rPr>
                <w:rFonts w:ascii="宋体" w:hAnsi="宋体" w:cs="宋体" w:eastAsia="宋体" w:hint="default"/>
                <w:sz w:val="20"/>
                <w:szCs w:val="20"/>
              </w:rPr>
              <w:t>泰豪科技</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2,804.08</w:t>
            </w:r>
            <w:r>
              <w:rPr>
                <w:rFonts w:ascii="宋体"/>
                <w:sz w:val="20"/>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22.71%</w:t>
            </w:r>
            <w:r>
              <w:rPr>
                <w:rFonts w:ascii="宋体"/>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1"/>
                <w:sz w:val="20"/>
              </w:rPr>
              <w:t>25,423.05</w:t>
            </w:r>
            <w:r>
              <w:rPr>
                <w:rFonts w:ascii="宋体"/>
                <w:sz w:val="20"/>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1"/>
                <w:sz w:val="20"/>
              </w:rPr>
              <w:t>1,246.85</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-1,072.83</w:t>
            </w:r>
            <w:r>
              <w:rPr>
                <w:rFonts w:ascii="宋体"/>
                <w:sz w:val="20"/>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2"/>
                <w:sz w:val="20"/>
                <w:szCs w:val="20"/>
              </w:rPr>
              <w:t>长期股权投</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资</w:t>
            </w:r>
          </w:p>
        </w:tc>
        <w:tc>
          <w:tcPr>
            <w:tcW w:w="1433" w:type="dxa"/>
            <w:tcBorders>
              <w:top w:val="single" w:sz="6" w:space="0" w:color="000000"/>
              <w:left w:val="single" w:sz="6" w:space="0" w:color="000000"/>
              <w:bottom w:val="single" w:sz="6" w:space="0" w:color="000000"/>
              <w:right w:val="single" w:sz="12"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
                <w:sz w:val="20"/>
                <w:szCs w:val="20"/>
              </w:rPr>
              <w:t>发起人股及二</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级市场购入</w:t>
            </w:r>
          </w:p>
        </w:tc>
      </w:tr>
      <w:tr>
        <w:trPr>
          <w:trHeight w:val="533" w:hRule="exact"/>
        </w:trPr>
        <w:tc>
          <w:tcPr>
            <w:tcW w:w="1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9"/>
              <w:ind w:right="5"/>
              <w:jc w:val="center"/>
              <w:rPr>
                <w:rFonts w:ascii="宋体" w:hAnsi="宋体" w:cs="宋体" w:eastAsia="宋体" w:hint="default"/>
                <w:sz w:val="20"/>
                <w:szCs w:val="20"/>
              </w:rPr>
            </w:pPr>
            <w:r>
              <w:rPr>
                <w:rFonts w:ascii="宋体" w:hAnsi="宋体" w:cs="宋体" w:eastAsia="宋体" w:hint="default"/>
                <w:sz w:val="20"/>
                <w:szCs w:val="20"/>
              </w:rPr>
              <w:t>晶源电子</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1"/>
                <w:sz w:val="20"/>
              </w:rPr>
              <w:t>30,257.57</w:t>
            </w:r>
            <w:r>
              <w:rPr>
                <w:rFonts w:ascii="宋体"/>
                <w:sz w:val="20"/>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1"/>
                <w:sz w:val="20"/>
              </w:rPr>
              <w:t>25.00%</w:t>
            </w:r>
            <w:r>
              <w:rPr>
                <w:rFonts w:ascii="宋体"/>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30,257.57</w:t>
            </w:r>
            <w:r>
              <w:rPr>
                <w:rFonts w:ascii="宋体"/>
                <w:sz w:val="20"/>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1"/>
                <w:sz w:val="20"/>
              </w:rPr>
              <w:t>372.31</w:t>
            </w:r>
            <w:r>
              <w:rPr>
                <w:rFonts w:ascii="宋体"/>
                <w:sz w:val="20"/>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372.31</w:t>
            </w:r>
            <w:r>
              <w:rPr>
                <w:rFonts w:ascii="宋体"/>
                <w:sz w:val="20"/>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2"/>
                <w:sz w:val="20"/>
                <w:szCs w:val="20"/>
              </w:rPr>
              <w:t>长期股权投</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资</w:t>
            </w:r>
          </w:p>
        </w:tc>
        <w:tc>
          <w:tcPr>
            <w:tcW w:w="1433" w:type="dxa"/>
            <w:tcBorders>
              <w:top w:val="single" w:sz="6" w:space="0" w:color="000000"/>
              <w:left w:val="single" w:sz="6" w:space="0" w:color="000000"/>
              <w:bottom w:val="single" w:sz="6" w:space="0" w:color="000000"/>
              <w:right w:val="single" w:sz="12"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
                <w:sz w:val="20"/>
                <w:szCs w:val="20"/>
              </w:rPr>
              <w:t>发起人股及二</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级市场购入</w:t>
            </w:r>
          </w:p>
        </w:tc>
      </w:tr>
      <w:tr>
        <w:trPr>
          <w:trHeight w:val="542" w:hRule="exact"/>
        </w:trPr>
        <w:tc>
          <w:tcPr>
            <w:tcW w:w="1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9"/>
              <w:ind w:right="4"/>
              <w:jc w:val="center"/>
              <w:rPr>
                <w:rFonts w:ascii="宋体" w:hAnsi="宋体" w:cs="宋体" w:eastAsia="宋体" w:hint="default"/>
                <w:sz w:val="20"/>
                <w:szCs w:val="20"/>
              </w:rPr>
            </w:pPr>
            <w:r>
              <w:rPr>
                <w:rFonts w:ascii="宋体" w:hAnsi="宋体" w:cs="宋体" w:eastAsia="宋体" w:hint="default"/>
                <w:sz w:val="20"/>
                <w:szCs w:val="20"/>
              </w:rPr>
              <w:t>北京银行</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z w:val="20"/>
              </w:rPr>
              <w:t>55.53</w:t>
            </w:r>
          </w:p>
        </w:tc>
        <w:tc>
          <w:tcPr>
            <w:tcW w:w="10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7"/>
              <w:jc w:val="right"/>
              <w:rPr>
                <w:rFonts w:ascii="宋体" w:hAnsi="宋体" w:cs="宋体" w:eastAsia="宋体" w:hint="default"/>
                <w:sz w:val="20"/>
                <w:szCs w:val="20"/>
              </w:rPr>
            </w:pPr>
            <w:r>
              <w:rPr>
                <w:rFonts w:ascii="宋体"/>
                <w:sz w:val="20"/>
              </w:rPr>
              <w:t>0.01%</w:t>
            </w:r>
          </w:p>
        </w:tc>
        <w:tc>
          <w:tcPr>
            <w:tcW w:w="1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1"/>
                <w:sz w:val="20"/>
              </w:rPr>
              <w:t>700.42</w:t>
            </w:r>
            <w:r>
              <w:rPr>
                <w:rFonts w:ascii="宋体"/>
                <w:sz w:val="20"/>
              </w:rPr>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0.00</w:t>
            </w:r>
            <w:r>
              <w:rPr>
                <w:rFonts w:ascii="宋体"/>
                <w:sz w:val="20"/>
              </w:rPr>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-411.13</w:t>
            </w:r>
            <w:r>
              <w:rPr>
                <w:rFonts w:ascii="宋体"/>
                <w:sz w:val="20"/>
              </w:rPr>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2"/>
                <w:sz w:val="20"/>
                <w:szCs w:val="20"/>
              </w:rPr>
              <w:t>可供出售金</w:t>
            </w:r>
            <w:r>
              <w:rPr>
                <w:rFonts w:ascii="宋体" w:hAnsi="宋体" w:cs="宋体" w:eastAsia="宋体" w:hint="default"/>
                <w:sz w:val="20"/>
                <w:szCs w:val="20"/>
              </w:rPr>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融资产</w:t>
            </w:r>
          </w:p>
        </w:tc>
        <w:tc>
          <w:tcPr>
            <w:tcW w:w="1433" w:type="dxa"/>
            <w:tcBorders>
              <w:top w:val="single" w:sz="6" w:space="0" w:color="000000"/>
              <w:left w:val="single" w:sz="6" w:space="0" w:color="000000"/>
              <w:bottom w:val="single" w:sz="12" w:space="0" w:color="000000"/>
              <w:right w:val="single" w:sz="12"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发起人股</w:t>
            </w:r>
          </w:p>
        </w:tc>
      </w:tr>
    </w:tbl>
    <w:p>
      <w:pPr>
        <w:spacing w:after="0" w:line="231" w:lineRule="exact"/>
        <w:jc w:val="left"/>
        <w:rPr>
          <w:rFonts w:ascii="宋体" w:hAnsi="宋体" w:cs="宋体" w:eastAsia="宋体" w:hint="default"/>
          <w:sz w:val="20"/>
          <w:szCs w:val="20"/>
        </w:rPr>
        <w:sectPr>
          <w:type w:val="continuous"/>
          <w:pgSz w:w="11910" w:h="16840"/>
          <w:pgMar w:top="1600" w:bottom="280" w:left="1180" w:right="8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35"/>
        <w:ind w:left="238" w:right="108" w:firstLine="0"/>
        <w:jc w:val="left"/>
        <w:rPr>
          <w:rFonts w:ascii="宋体" w:hAnsi="宋体" w:cs="宋体" w:eastAsia="宋体" w:hint="default"/>
          <w:sz w:val="21"/>
          <w:szCs w:val="21"/>
        </w:rPr>
      </w:pPr>
      <w:r>
        <w:rPr>
          <w:rFonts w:ascii="宋体" w:hAnsi="宋体" w:cs="宋体" w:eastAsia="宋体" w:hint="default"/>
          <w:sz w:val="21"/>
          <w:szCs w:val="21"/>
        </w:rPr>
        <w:t>注：报告期损益指：该项投资对公司本报告期合并净利润的影响。</w:t>
      </w:r>
    </w:p>
    <w:p>
      <w:pPr>
        <w:spacing w:line="240" w:lineRule="auto" w:before="4"/>
        <w:rPr>
          <w:rFonts w:ascii="宋体" w:hAnsi="宋体" w:cs="宋体" w:eastAsia="宋体" w:hint="default"/>
          <w:sz w:val="23"/>
          <w:szCs w:val="23"/>
        </w:rPr>
      </w:pPr>
    </w:p>
    <w:p>
      <w:pPr>
        <w:spacing w:line="475" w:lineRule="auto" w:before="0"/>
        <w:ind w:left="238" w:right="5932" w:firstLine="0"/>
        <w:jc w:val="left"/>
        <w:rPr>
          <w:rFonts w:ascii="宋体" w:hAnsi="宋体" w:cs="宋体" w:eastAsia="宋体" w:hint="default"/>
          <w:sz w:val="24"/>
          <w:szCs w:val="24"/>
        </w:rPr>
      </w:pPr>
      <w:r>
        <w:rPr>
          <w:rFonts w:ascii="宋体" w:hAnsi="宋体" w:cs="宋体" w:eastAsia="宋体" w:hint="default"/>
          <w:b/>
          <w:bCs/>
          <w:sz w:val="24"/>
          <w:szCs w:val="24"/>
        </w:rPr>
        <w:t>4、关于关联方及关联交易的说明</w:t>
      </w:r>
      <w:r>
        <w:rPr>
          <w:rFonts w:ascii="宋体" w:hAnsi="宋体" w:cs="宋体" w:eastAsia="宋体" w:hint="default"/>
          <w:b/>
          <w:bCs/>
          <w:w w:val="99"/>
          <w:sz w:val="24"/>
          <w:szCs w:val="24"/>
        </w:rPr>
        <w:t> </w:t>
      </w:r>
      <w:r>
        <w:rPr>
          <w:rFonts w:ascii="宋体" w:hAnsi="宋体" w:cs="宋体" w:eastAsia="宋体" w:hint="default"/>
          <w:sz w:val="24"/>
          <w:szCs w:val="24"/>
        </w:rPr>
        <w:t>(1)日常关联交易</w:t>
      </w:r>
    </w:p>
    <w:p>
      <w:pPr>
        <w:pStyle w:val="BodyText"/>
        <w:spacing w:line="313" w:lineRule="exact" w:before="72"/>
        <w:ind w:left="238" w:right="108"/>
        <w:jc w:val="left"/>
      </w:pPr>
      <w:r>
        <w:rPr>
          <w:spacing w:val="-3"/>
        </w:rPr>
        <w:t>公司本年度因实际经营需要与清华大学、清华控股有限公司及其他关联方从</w:t>
      </w:r>
      <w:r>
        <w:rPr>
          <w:spacing w:val="-30"/>
        </w:rPr>
        <w:t> </w:t>
      </w:r>
      <w:r>
        <w:rPr>
          <w:spacing w:val="25"/>
        </w:rPr>
        <w:t>2010年1月</w:t>
      </w:r>
      <w:r>
        <w:rPr>
          <w:spacing w:val="-60"/>
        </w:rPr>
        <w:t> </w:t>
      </w:r>
      <w:r>
        <w:rPr/>
      </w:r>
    </w:p>
    <w:p>
      <w:pPr>
        <w:pStyle w:val="BodyText"/>
        <w:spacing w:line="313" w:lineRule="exact"/>
        <w:ind w:left="238" w:right="108"/>
        <w:jc w:val="left"/>
      </w:pPr>
      <w:r>
        <w:rPr/>
        <w:t>至</w:t>
      </w:r>
      <w:r>
        <w:rPr>
          <w:spacing w:val="-60"/>
        </w:rPr>
        <w:t> </w:t>
      </w:r>
      <w:r>
        <w:rPr/>
        <w:t>2010</w:t>
      </w:r>
      <w:r>
        <w:rPr>
          <w:spacing w:val="-60"/>
        </w:rPr>
        <w:t> </w:t>
      </w:r>
      <w:r>
        <w:rPr/>
        <w:t>年</w:t>
      </w:r>
      <w:r>
        <w:rPr>
          <w:spacing w:val="-60"/>
        </w:rPr>
        <w:t> </w:t>
      </w:r>
      <w:r>
        <w:rPr/>
        <w:t>12</w:t>
      </w:r>
      <w:r>
        <w:rPr>
          <w:spacing w:val="-60"/>
        </w:rPr>
        <w:t> </w:t>
      </w:r>
      <w:r>
        <w:rPr/>
        <w:t>月发生了以下日常关联交易：</w:t>
      </w:r>
    </w:p>
    <w:p>
      <w:pPr>
        <w:spacing w:line="240" w:lineRule="auto" w:before="7"/>
        <w:rPr>
          <w:rFonts w:ascii="宋体" w:hAnsi="宋体" w:cs="宋体" w:eastAsia="宋体" w:hint="default"/>
          <w:sz w:val="23"/>
          <w:szCs w:val="23"/>
        </w:rPr>
      </w:pPr>
    </w:p>
    <w:p>
      <w:pPr>
        <w:pStyle w:val="BodyText"/>
        <w:tabs>
          <w:tab w:pos="658" w:val="left" w:leader="none"/>
        </w:tabs>
        <w:spacing w:line="240" w:lineRule="auto"/>
        <w:ind w:left="238" w:right="10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与清华大学技术成果交易类日常交易</w:t>
      </w:r>
    </w:p>
    <w:p>
      <w:pPr>
        <w:spacing w:line="240" w:lineRule="auto" w:before="4"/>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539"/>
        <w:gridCol w:w="3203"/>
        <w:gridCol w:w="1307"/>
        <w:gridCol w:w="1307"/>
        <w:gridCol w:w="1512"/>
        <w:gridCol w:w="1550"/>
      </w:tblGrid>
      <w:tr>
        <w:trPr>
          <w:trHeight w:val="682" w:hRule="exact"/>
        </w:trPr>
        <w:tc>
          <w:tcPr>
            <w:tcW w:w="539" w:type="dxa"/>
            <w:tcBorders>
              <w:top w:val="single" w:sz="12" w:space="0" w:color="000000"/>
              <w:left w:val="single" w:sz="12" w:space="0" w:color="000000"/>
              <w:bottom w:val="single" w:sz="6" w:space="0" w:color="000000"/>
              <w:right w:val="single" w:sz="6" w:space="0" w:color="000000"/>
            </w:tcBorders>
          </w:tcPr>
          <w:p>
            <w:pPr/>
          </w:p>
        </w:tc>
        <w:tc>
          <w:tcPr>
            <w:tcW w:w="320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0"/>
              <w:ind w:left="959" w:right="960" w:firstLine="211"/>
              <w:jc w:val="left"/>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(单位：万元)</w:t>
            </w:r>
            <w:r>
              <w:rPr>
                <w:rFonts w:ascii="宋体" w:hAnsi="宋体" w:cs="宋体" w:eastAsia="宋体" w:hint="default"/>
                <w:sz w:val="21"/>
                <w:szCs w:val="21"/>
              </w:rPr>
            </w:r>
          </w:p>
        </w:tc>
        <w:tc>
          <w:tcPr>
            <w:tcW w:w="130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75"/>
                <w:sz w:val="21"/>
                <w:szCs w:val="21"/>
              </w:rPr>
              <w:t> </w:t>
            </w:r>
            <w:r>
              <w:rPr>
                <w:rFonts w:ascii="宋体" w:hAnsi="宋体" w:cs="宋体" w:eastAsia="宋体" w:hint="default"/>
                <w:b/>
                <w:bCs/>
                <w:sz w:val="21"/>
                <w:szCs w:val="21"/>
              </w:rPr>
              <w:t>年实际</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30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0"/>
              <w:ind w:left="328" w:right="98" w:hanging="229"/>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73"/>
                <w:sz w:val="21"/>
                <w:szCs w:val="21"/>
              </w:rPr>
              <w:t> </w:t>
            </w:r>
            <w:r>
              <w:rPr>
                <w:rFonts w:ascii="宋体" w:hAnsi="宋体" w:cs="宋体" w:eastAsia="宋体" w:hint="default"/>
                <w:b/>
                <w:bCs/>
                <w:sz w:val="21"/>
                <w:szCs w:val="21"/>
              </w:rPr>
              <w:t>年预计</w:t>
            </w:r>
            <w:r>
              <w:rPr>
                <w:rFonts w:ascii="宋体" w:hAnsi="宋体" w:cs="宋体" w:eastAsia="宋体" w:hint="default"/>
                <w:b/>
                <w:bCs/>
                <w:w w:val="99"/>
                <w:sz w:val="21"/>
                <w:szCs w:val="21"/>
              </w:rPr>
              <w:t> </w:t>
            </w:r>
            <w:r>
              <w:rPr>
                <w:rFonts w:ascii="宋体" w:hAnsi="宋体" w:cs="宋体" w:eastAsia="宋体" w:hint="default"/>
                <w:b/>
                <w:bCs/>
                <w:sz w:val="21"/>
                <w:szCs w:val="21"/>
              </w:rPr>
              <w:t>发生额</w:t>
            </w:r>
            <w:r>
              <w:rPr>
                <w:rFonts w:ascii="宋体" w:hAnsi="宋体" w:cs="宋体" w:eastAsia="宋体" w:hint="default"/>
                <w:sz w:val="21"/>
                <w:szCs w:val="21"/>
              </w:rPr>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326" w:right="0"/>
              <w:jc w:val="lef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c>
          <w:tcPr>
            <w:tcW w:w="15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年发生额</w:t>
            </w:r>
            <w:r>
              <w:rPr>
                <w:rFonts w:ascii="宋体" w:hAnsi="宋体" w:cs="宋体" w:eastAsia="宋体" w:hint="default"/>
                <w:sz w:val="21"/>
                <w:szCs w:val="21"/>
              </w:rPr>
            </w:r>
          </w:p>
        </w:tc>
      </w:tr>
      <w:tr>
        <w:trPr>
          <w:trHeight w:val="328"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06"/>
              <w:jc w:val="right"/>
              <w:rPr>
                <w:rFonts w:ascii="宋体" w:hAnsi="宋体" w:cs="宋体" w:eastAsia="宋体" w:hint="default"/>
                <w:sz w:val="21"/>
                <w:szCs w:val="21"/>
              </w:rPr>
            </w:pPr>
            <w:r>
              <w:rPr>
                <w:rFonts w:ascii="宋体" w:hAnsi="宋体" w:cs="宋体" w:eastAsia="宋体" w:hint="default"/>
                <w:sz w:val="21"/>
                <w:szCs w:val="21"/>
              </w:rPr>
              <w:t>1、</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136.25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900.00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-763.75</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pacing w:val="-1"/>
                <w:sz w:val="21"/>
              </w:rPr>
              <w:t>0.00</w:t>
            </w:r>
          </w:p>
        </w:tc>
      </w:tr>
      <w:tr>
        <w:trPr>
          <w:trHeight w:val="326"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06"/>
              <w:jc w:val="right"/>
              <w:rPr>
                <w:rFonts w:ascii="宋体" w:hAnsi="宋体" w:cs="宋体" w:eastAsia="宋体" w:hint="default"/>
                <w:sz w:val="21"/>
                <w:szCs w:val="21"/>
              </w:rPr>
            </w:pPr>
            <w:r>
              <w:rPr>
                <w:rFonts w:ascii="宋体" w:hAnsi="宋体" w:cs="宋体" w:eastAsia="宋体" w:hint="default"/>
                <w:sz w:val="21"/>
                <w:szCs w:val="21"/>
              </w:rPr>
              <w:t>2、</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422.36</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1,500.00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-1,077.64</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90"/>
              <w:jc w:val="right"/>
              <w:rPr>
                <w:rFonts w:ascii="宋体" w:hAnsi="宋体" w:cs="宋体" w:eastAsia="宋体" w:hint="default"/>
                <w:sz w:val="21"/>
                <w:szCs w:val="21"/>
              </w:rPr>
            </w:pPr>
            <w:r>
              <w:rPr>
                <w:rFonts w:ascii="宋体"/>
                <w:spacing w:val="-1"/>
                <w:sz w:val="21"/>
              </w:rPr>
              <w:t>843.83</w:t>
            </w:r>
          </w:p>
        </w:tc>
      </w:tr>
      <w:tr>
        <w:trPr>
          <w:trHeight w:val="328"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06"/>
              <w:jc w:val="right"/>
              <w:rPr>
                <w:rFonts w:ascii="宋体" w:hAnsi="宋体" w:cs="宋体" w:eastAsia="宋体" w:hint="default"/>
                <w:sz w:val="21"/>
                <w:szCs w:val="21"/>
              </w:rPr>
            </w:pPr>
            <w:r>
              <w:rPr>
                <w:rFonts w:ascii="宋体" w:hAnsi="宋体" w:cs="宋体" w:eastAsia="宋体" w:hint="default"/>
                <w:sz w:val="21"/>
                <w:szCs w:val="21"/>
              </w:rPr>
              <w:t>3、</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提供代理</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-100.00</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pacing w:val="-1"/>
                <w:sz w:val="21"/>
              </w:rPr>
              <w:t>0.00</w:t>
            </w:r>
          </w:p>
        </w:tc>
      </w:tr>
      <w:tr>
        <w:trPr>
          <w:trHeight w:val="326"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06"/>
              <w:jc w:val="right"/>
              <w:rPr>
                <w:rFonts w:ascii="宋体" w:hAnsi="宋体" w:cs="宋体" w:eastAsia="宋体" w:hint="default"/>
                <w:sz w:val="21"/>
                <w:szCs w:val="21"/>
              </w:rPr>
            </w:pPr>
            <w:r>
              <w:rPr>
                <w:rFonts w:ascii="宋体" w:hAnsi="宋体" w:cs="宋体" w:eastAsia="宋体" w:hint="default"/>
                <w:sz w:val="21"/>
                <w:szCs w:val="21"/>
              </w:rPr>
              <w:t>4、</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2,090.27</w:t>
            </w:r>
            <w:r>
              <w:rPr>
                <w:rFonts w:ascii="Times New Roman"/>
                <w:sz w:val="21"/>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1,200.00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890.27</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pacing w:val="-1"/>
                <w:sz w:val="21"/>
              </w:rPr>
              <w:t>170.94</w:t>
            </w:r>
          </w:p>
        </w:tc>
      </w:tr>
      <w:tr>
        <w:trPr>
          <w:trHeight w:val="328"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06"/>
              <w:jc w:val="right"/>
              <w:rPr>
                <w:rFonts w:ascii="宋体" w:hAnsi="宋体" w:cs="宋体" w:eastAsia="宋体" w:hint="default"/>
                <w:sz w:val="21"/>
                <w:szCs w:val="21"/>
              </w:rPr>
            </w:pPr>
            <w:r>
              <w:rPr>
                <w:rFonts w:ascii="宋体" w:hAnsi="宋体" w:cs="宋体" w:eastAsia="宋体" w:hint="default"/>
                <w:sz w:val="21"/>
                <w:szCs w:val="21"/>
              </w:rPr>
              <w:t>5、</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2,273.49</w:t>
            </w:r>
            <w:r>
              <w:rPr>
                <w:rFonts w:ascii="Times New Roman"/>
                <w:sz w:val="21"/>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12,300.00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-10,026.51</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pacing w:val="-1"/>
                <w:sz w:val="21"/>
              </w:rPr>
              <w:t>3,655.22</w:t>
            </w:r>
          </w:p>
        </w:tc>
      </w:tr>
      <w:tr>
        <w:trPr>
          <w:trHeight w:val="326"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06"/>
              <w:jc w:val="right"/>
              <w:rPr>
                <w:rFonts w:ascii="宋体" w:hAnsi="宋体" w:cs="宋体" w:eastAsia="宋体" w:hint="default"/>
                <w:sz w:val="21"/>
                <w:szCs w:val="21"/>
              </w:rPr>
            </w:pPr>
            <w:r>
              <w:rPr>
                <w:rFonts w:ascii="宋体" w:hAnsi="宋体" w:cs="宋体" w:eastAsia="宋体" w:hint="default"/>
                <w:sz w:val="21"/>
                <w:szCs w:val="21"/>
              </w:rPr>
              <w:t>6、</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支付许可授权费</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2,570.00</w:t>
            </w:r>
            <w:r>
              <w:rPr>
                <w:rFonts w:ascii="Times New Roman"/>
                <w:sz w:val="21"/>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4,000.00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-1,430.00</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90"/>
              <w:jc w:val="right"/>
              <w:rPr>
                <w:rFonts w:ascii="宋体" w:hAnsi="宋体" w:cs="宋体" w:eastAsia="宋体" w:hint="default"/>
                <w:sz w:val="21"/>
                <w:szCs w:val="21"/>
              </w:rPr>
            </w:pPr>
            <w:r>
              <w:rPr>
                <w:rFonts w:ascii="宋体"/>
                <w:spacing w:val="-1"/>
                <w:sz w:val="21"/>
              </w:rPr>
              <w:t>350.00</w:t>
            </w:r>
          </w:p>
        </w:tc>
      </w:tr>
      <w:tr>
        <w:trPr>
          <w:trHeight w:val="335" w:hRule="exact"/>
        </w:trPr>
        <w:tc>
          <w:tcPr>
            <w:tcW w:w="3742"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发生额合计</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7,492.37</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-12,507.63</w:t>
            </w:r>
          </w:p>
        </w:tc>
        <w:tc>
          <w:tcPr>
            <w:tcW w:w="155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pacing w:val="-1"/>
                <w:sz w:val="21"/>
              </w:rPr>
              <w:t>5,019.99</w:t>
            </w:r>
          </w:p>
        </w:tc>
      </w:tr>
    </w:tbl>
    <w:p>
      <w:pPr>
        <w:spacing w:line="238" w:lineRule="exact" w:before="0"/>
        <w:ind w:left="238" w:right="108" w:firstLine="0"/>
        <w:jc w:val="left"/>
        <w:rPr>
          <w:rFonts w:ascii="宋体" w:hAnsi="宋体" w:cs="宋体" w:eastAsia="宋体" w:hint="default"/>
          <w:sz w:val="21"/>
          <w:szCs w:val="21"/>
        </w:rPr>
      </w:pPr>
      <w:r>
        <w:rPr>
          <w:rFonts w:ascii="宋体" w:hAnsi="宋体" w:cs="宋体" w:eastAsia="宋体" w:hint="default"/>
          <w:sz w:val="21"/>
          <w:szCs w:val="21"/>
        </w:rPr>
        <w:t>注：(1)提供劳务，系公司及下属子公司向清华大学提供的工程服务及技术开发形成的收入。</w:t>
      </w:r>
    </w:p>
    <w:p>
      <w:pPr>
        <w:spacing w:line="272" w:lineRule="exact" w:before="26"/>
        <w:ind w:left="238" w:right="108" w:firstLine="420"/>
        <w:jc w:val="left"/>
        <w:rPr>
          <w:rFonts w:ascii="宋体" w:hAnsi="宋体" w:cs="宋体" w:eastAsia="宋体" w:hint="default"/>
          <w:sz w:val="21"/>
          <w:szCs w:val="21"/>
        </w:rPr>
      </w:pPr>
      <w:r>
        <w:rPr>
          <w:rFonts w:ascii="宋体" w:hAnsi="宋体" w:cs="宋体" w:eastAsia="宋体" w:hint="default"/>
          <w:sz w:val="21"/>
          <w:szCs w:val="21"/>
        </w:rPr>
        <w:t>(2)接受劳务，系公司及下属子公司委托清华大学实施科研开发费用、向清华大学实施的捐赠及 房租。</w:t>
      </w:r>
    </w:p>
    <w:p>
      <w:pPr>
        <w:spacing w:line="248" w:lineRule="exact" w:before="0"/>
        <w:ind w:left="658" w:right="108" w:firstLine="0"/>
        <w:jc w:val="left"/>
        <w:rPr>
          <w:rFonts w:ascii="宋体" w:hAnsi="宋体" w:cs="宋体" w:eastAsia="宋体" w:hint="default"/>
          <w:sz w:val="21"/>
          <w:szCs w:val="21"/>
        </w:rPr>
      </w:pPr>
      <w:r>
        <w:rPr>
          <w:rFonts w:ascii="宋体" w:hAnsi="宋体" w:cs="宋体" w:eastAsia="宋体" w:hint="default"/>
          <w:sz w:val="21"/>
          <w:szCs w:val="21"/>
        </w:rPr>
        <w:t>(3)支付许可授权费，系公司及下属子公司向清华大学支付的专利等技术成果实施许可使用费。</w:t>
      </w:r>
    </w:p>
    <w:p>
      <w:pPr>
        <w:spacing w:line="240" w:lineRule="auto" w:before="4"/>
        <w:rPr>
          <w:rFonts w:ascii="宋体" w:hAnsi="宋体" w:cs="宋体" w:eastAsia="宋体" w:hint="default"/>
          <w:sz w:val="23"/>
          <w:szCs w:val="23"/>
        </w:rPr>
      </w:pPr>
    </w:p>
    <w:p>
      <w:pPr>
        <w:pStyle w:val="BodyText"/>
        <w:tabs>
          <w:tab w:pos="658" w:val="left" w:leader="none"/>
        </w:tabs>
        <w:spacing w:line="240" w:lineRule="auto"/>
        <w:ind w:left="238" w:right="10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与清华控股因债务性融资形成借款、偿还本金并支付利息、担保等产生的日常交易</w:t>
      </w:r>
    </w:p>
    <w:p>
      <w:pPr>
        <w:spacing w:line="240" w:lineRule="auto" w:before="4"/>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539"/>
        <w:gridCol w:w="4904"/>
        <w:gridCol w:w="1300"/>
        <w:gridCol w:w="1284"/>
        <w:gridCol w:w="1390"/>
      </w:tblGrid>
      <w:tr>
        <w:trPr>
          <w:trHeight w:val="682" w:hRule="exact"/>
        </w:trPr>
        <w:tc>
          <w:tcPr>
            <w:tcW w:w="539" w:type="dxa"/>
            <w:tcBorders>
              <w:top w:val="single" w:sz="12" w:space="0" w:color="000000"/>
              <w:left w:val="single" w:sz="12" w:space="0" w:color="000000"/>
              <w:bottom w:val="single" w:sz="6" w:space="0" w:color="000000"/>
              <w:right w:val="single" w:sz="6" w:space="0" w:color="000000"/>
            </w:tcBorders>
          </w:tcPr>
          <w:p>
            <w:pPr/>
          </w:p>
        </w:tc>
        <w:tc>
          <w:tcPr>
            <w:tcW w:w="490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0"/>
              <w:ind w:left="1810" w:right="1811" w:firstLine="1"/>
              <w:jc w:val="center"/>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(单位：万元)</w:t>
            </w:r>
            <w:r>
              <w:rPr>
                <w:rFonts w:ascii="宋体" w:hAnsi="宋体" w:cs="宋体" w:eastAsia="宋体" w:hint="default"/>
                <w:sz w:val="21"/>
                <w:szCs w:val="21"/>
              </w:rPr>
            </w:r>
          </w:p>
        </w:tc>
        <w:tc>
          <w:tcPr>
            <w:tcW w:w="1300"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82"/>
                <w:sz w:val="21"/>
                <w:szCs w:val="21"/>
              </w:rPr>
              <w:t> </w:t>
            </w:r>
            <w:r>
              <w:rPr>
                <w:rFonts w:ascii="宋体" w:hAnsi="宋体" w:cs="宋体" w:eastAsia="宋体" w:hint="default"/>
                <w:b/>
                <w:bCs/>
                <w:sz w:val="21"/>
                <w:szCs w:val="21"/>
              </w:rPr>
              <w:t>年实际</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28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0"/>
              <w:ind w:left="212" w:right="183" w:hanging="27"/>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6"/>
                <w:sz w:val="21"/>
                <w:szCs w:val="21"/>
              </w:rPr>
              <w:t> </w:t>
            </w:r>
            <w:r>
              <w:rPr>
                <w:rFonts w:ascii="宋体" w:hAnsi="宋体" w:cs="宋体" w:eastAsia="宋体" w:hint="default"/>
                <w:b/>
                <w:bCs/>
                <w:sz w:val="21"/>
                <w:szCs w:val="21"/>
              </w:rPr>
              <w:t>年预</w:t>
            </w:r>
            <w:r>
              <w:rPr>
                <w:rFonts w:ascii="宋体" w:hAnsi="宋体" w:cs="宋体" w:eastAsia="宋体" w:hint="default"/>
                <w:b/>
                <w:bCs/>
                <w:w w:val="99"/>
                <w:sz w:val="21"/>
                <w:szCs w:val="21"/>
              </w:rPr>
              <w:t> </w:t>
            </w:r>
            <w:r>
              <w:rPr>
                <w:rFonts w:ascii="宋体" w:hAnsi="宋体" w:cs="宋体" w:eastAsia="宋体" w:hint="default"/>
                <w:b/>
                <w:bCs/>
                <w:sz w:val="21"/>
                <w:szCs w:val="21"/>
              </w:rPr>
              <w:t>计发生额</w:t>
            </w:r>
            <w:r>
              <w:rPr>
                <w:rFonts w:ascii="宋体" w:hAnsi="宋体" w:cs="宋体" w:eastAsia="宋体" w:hint="default"/>
                <w:sz w:val="21"/>
                <w:szCs w:val="21"/>
              </w:rPr>
            </w:r>
          </w:p>
        </w:tc>
        <w:tc>
          <w:tcPr>
            <w:tcW w:w="139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r>
      <w:tr>
        <w:trPr>
          <w:trHeight w:val="314"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106"/>
              <w:jc w:val="right"/>
              <w:rPr>
                <w:rFonts w:ascii="宋体" w:hAnsi="宋体" w:cs="宋体" w:eastAsia="宋体" w:hint="default"/>
                <w:sz w:val="21"/>
                <w:szCs w:val="21"/>
              </w:rPr>
            </w:pPr>
            <w:r>
              <w:rPr>
                <w:rFonts w:ascii="宋体" w:hAnsi="宋体" w:cs="宋体" w:eastAsia="宋体" w:hint="default"/>
                <w:sz w:val="21"/>
                <w:szCs w:val="21"/>
              </w:rPr>
              <w:t>1、</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收取利息</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sz w:val="21"/>
              </w:rPr>
              <w:t>886.88</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8,000.00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0"/>
              <w:jc w:val="right"/>
              <w:rPr>
                <w:rFonts w:ascii="宋体" w:hAnsi="宋体" w:cs="宋体" w:eastAsia="宋体" w:hint="default"/>
                <w:sz w:val="21"/>
                <w:szCs w:val="21"/>
              </w:rPr>
            </w:pPr>
            <w:r>
              <w:rPr>
                <w:rFonts w:ascii="宋体"/>
                <w:sz w:val="21"/>
              </w:rPr>
              <w:t>-7,113.12</w:t>
            </w:r>
          </w:p>
        </w:tc>
      </w:tr>
      <w:tr>
        <w:trPr>
          <w:trHeight w:val="316"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106"/>
              <w:jc w:val="right"/>
              <w:rPr>
                <w:rFonts w:ascii="宋体" w:hAnsi="宋体" w:cs="宋体" w:eastAsia="宋体" w:hint="default"/>
                <w:sz w:val="21"/>
                <w:szCs w:val="21"/>
              </w:rPr>
            </w:pPr>
            <w:r>
              <w:rPr>
                <w:rFonts w:ascii="宋体" w:hAnsi="宋体" w:cs="宋体" w:eastAsia="宋体" w:hint="default"/>
                <w:sz w:val="21"/>
                <w:szCs w:val="21"/>
              </w:rPr>
              <w:t>2、</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支付利息</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7"/>
              <w:jc w:val="right"/>
              <w:rPr>
                <w:rFonts w:ascii="宋体" w:hAnsi="宋体" w:cs="宋体" w:eastAsia="宋体" w:hint="default"/>
                <w:sz w:val="21"/>
                <w:szCs w:val="21"/>
              </w:rPr>
            </w:pPr>
            <w:r>
              <w:rPr>
                <w:rFonts w:ascii="宋体"/>
                <w:sz w:val="21"/>
              </w:rPr>
              <w:t>5,261.02</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7,000.00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1"/>
              <w:jc w:val="right"/>
              <w:rPr>
                <w:rFonts w:ascii="宋体" w:hAnsi="宋体" w:cs="宋体" w:eastAsia="宋体" w:hint="default"/>
                <w:sz w:val="21"/>
                <w:szCs w:val="21"/>
              </w:rPr>
            </w:pPr>
            <w:r>
              <w:rPr>
                <w:rFonts w:ascii="宋体"/>
                <w:spacing w:val="-1"/>
                <w:sz w:val="21"/>
              </w:rPr>
              <w:t>-1,738.98</w:t>
            </w:r>
          </w:p>
        </w:tc>
      </w:tr>
      <w:tr>
        <w:trPr>
          <w:trHeight w:val="314"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106"/>
              <w:jc w:val="right"/>
              <w:rPr>
                <w:rFonts w:ascii="宋体" w:hAnsi="宋体" w:cs="宋体" w:eastAsia="宋体" w:hint="default"/>
                <w:sz w:val="21"/>
                <w:szCs w:val="21"/>
              </w:rPr>
            </w:pPr>
            <w:r>
              <w:rPr>
                <w:rFonts w:ascii="宋体" w:hAnsi="宋体" w:cs="宋体" w:eastAsia="宋体" w:hint="default"/>
                <w:sz w:val="21"/>
                <w:szCs w:val="21"/>
              </w:rPr>
              <w:t>3、</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提供担保(公司向龙江环保提供担保发生额)</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sz w:val="21"/>
              </w:rPr>
              <w:t>33,080.00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150,000.00</w:t>
            </w:r>
            <w:r>
              <w:rPr>
                <w:rFonts w:ascii="宋体"/>
                <w:sz w:val="21"/>
              </w:rPr>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2"/>
              <w:jc w:val="right"/>
              <w:rPr>
                <w:rFonts w:ascii="宋体" w:hAnsi="宋体" w:cs="宋体" w:eastAsia="宋体" w:hint="default"/>
                <w:sz w:val="21"/>
                <w:szCs w:val="21"/>
              </w:rPr>
            </w:pPr>
            <w:r>
              <w:rPr>
                <w:rFonts w:ascii="宋体"/>
                <w:spacing w:val="-1"/>
                <w:sz w:val="21"/>
              </w:rPr>
              <w:t>-116,920.00</w:t>
            </w:r>
            <w:r>
              <w:rPr>
                <w:rFonts w:ascii="宋体"/>
                <w:sz w:val="21"/>
              </w:rPr>
            </w:r>
          </w:p>
        </w:tc>
      </w:tr>
      <w:tr>
        <w:trPr>
          <w:trHeight w:val="316"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106"/>
              <w:jc w:val="right"/>
              <w:rPr>
                <w:rFonts w:ascii="宋体" w:hAnsi="宋体" w:cs="宋体" w:eastAsia="宋体" w:hint="default"/>
                <w:sz w:val="21"/>
                <w:szCs w:val="21"/>
              </w:rPr>
            </w:pPr>
            <w:r>
              <w:rPr>
                <w:rFonts w:ascii="宋体" w:hAnsi="宋体" w:cs="宋体" w:eastAsia="宋体" w:hint="default"/>
                <w:sz w:val="21"/>
                <w:szCs w:val="21"/>
              </w:rPr>
              <w:t>4、</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接受资金(控股向公司借款发生额累计)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sz w:val="21"/>
              </w:rPr>
              <w:t>100,000.00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spacing w:val="-1"/>
                <w:sz w:val="21"/>
              </w:rPr>
              <w:t>140,000.00</w:t>
            </w:r>
            <w:r>
              <w:rPr>
                <w:rFonts w:ascii="宋体"/>
                <w:sz w:val="21"/>
              </w:rPr>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2"/>
              <w:jc w:val="right"/>
              <w:rPr>
                <w:rFonts w:ascii="宋体" w:hAnsi="宋体" w:cs="宋体" w:eastAsia="宋体" w:hint="default"/>
                <w:sz w:val="21"/>
                <w:szCs w:val="21"/>
              </w:rPr>
            </w:pPr>
            <w:r>
              <w:rPr>
                <w:rFonts w:ascii="宋体"/>
                <w:spacing w:val="-1"/>
                <w:sz w:val="21"/>
              </w:rPr>
              <w:t>-40,000.00</w:t>
            </w:r>
            <w:r>
              <w:rPr>
                <w:rFonts w:ascii="宋体"/>
                <w:sz w:val="21"/>
              </w:rPr>
            </w:r>
          </w:p>
        </w:tc>
      </w:tr>
      <w:tr>
        <w:trPr>
          <w:trHeight w:val="314"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106"/>
              <w:jc w:val="right"/>
              <w:rPr>
                <w:rFonts w:ascii="宋体" w:hAnsi="宋体" w:cs="宋体" w:eastAsia="宋体" w:hint="default"/>
                <w:sz w:val="21"/>
                <w:szCs w:val="21"/>
              </w:rPr>
            </w:pPr>
            <w:r>
              <w:rPr>
                <w:rFonts w:ascii="宋体" w:hAnsi="宋体" w:cs="宋体" w:eastAsia="宋体" w:hint="default"/>
                <w:sz w:val="21"/>
                <w:szCs w:val="21"/>
              </w:rPr>
              <w:t>5、</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提供资金(公司向龙江环保提供借款发生额累计)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sz w:val="21"/>
              </w:rPr>
              <w:t>32,000.00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125,000.00</w:t>
            </w:r>
            <w:r>
              <w:rPr>
                <w:rFonts w:ascii="宋体"/>
                <w:sz w:val="21"/>
              </w:rPr>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2"/>
              <w:jc w:val="right"/>
              <w:rPr>
                <w:rFonts w:ascii="宋体" w:hAnsi="宋体" w:cs="宋体" w:eastAsia="宋体" w:hint="default"/>
                <w:sz w:val="21"/>
                <w:szCs w:val="21"/>
              </w:rPr>
            </w:pPr>
            <w:r>
              <w:rPr>
                <w:rFonts w:ascii="宋体"/>
                <w:spacing w:val="-1"/>
                <w:sz w:val="21"/>
              </w:rPr>
              <w:t>-93,000.00</w:t>
            </w:r>
            <w:r>
              <w:rPr>
                <w:rFonts w:ascii="宋体"/>
                <w:sz w:val="21"/>
              </w:rPr>
            </w:r>
          </w:p>
        </w:tc>
      </w:tr>
      <w:tr>
        <w:trPr>
          <w:trHeight w:val="323" w:hRule="exact"/>
        </w:trPr>
        <w:tc>
          <w:tcPr>
            <w:tcW w:w="5444"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发生额合计</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right="97"/>
              <w:jc w:val="right"/>
              <w:rPr>
                <w:rFonts w:ascii="宋体" w:hAnsi="宋体" w:cs="宋体" w:eastAsia="宋体" w:hint="default"/>
                <w:sz w:val="21"/>
                <w:szCs w:val="21"/>
              </w:rPr>
            </w:pPr>
            <w:r>
              <w:rPr>
                <w:rFonts w:ascii="宋体"/>
                <w:sz w:val="21"/>
              </w:rPr>
              <w:t>171,227.90</w:t>
            </w:r>
          </w:p>
        </w:tc>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430,000.00</w:t>
            </w:r>
            <w:r>
              <w:rPr>
                <w:rFonts w:ascii="宋体"/>
                <w:sz w:val="21"/>
              </w:rPr>
            </w:r>
          </w:p>
        </w:tc>
        <w:tc>
          <w:tcPr>
            <w:tcW w:w="1390" w:type="dxa"/>
            <w:tcBorders>
              <w:top w:val="single" w:sz="6" w:space="0" w:color="000000"/>
              <w:left w:val="single" w:sz="6" w:space="0" w:color="000000"/>
              <w:bottom w:val="single" w:sz="12" w:space="0" w:color="000000"/>
              <w:right w:val="single" w:sz="12" w:space="0" w:color="000000"/>
            </w:tcBorders>
          </w:tcPr>
          <w:p>
            <w:pPr>
              <w:pStyle w:val="TableParagraph"/>
              <w:spacing w:line="254" w:lineRule="exact"/>
              <w:ind w:right="91"/>
              <w:jc w:val="right"/>
              <w:rPr>
                <w:rFonts w:ascii="宋体" w:hAnsi="宋体" w:cs="宋体" w:eastAsia="宋体" w:hint="default"/>
                <w:sz w:val="21"/>
                <w:szCs w:val="21"/>
              </w:rPr>
            </w:pPr>
            <w:r>
              <w:rPr>
                <w:rFonts w:ascii="宋体"/>
                <w:spacing w:val="-1"/>
                <w:sz w:val="21"/>
              </w:rPr>
              <w:t>-258,772.10</w:t>
            </w:r>
            <w:r>
              <w:rPr>
                <w:rFonts w:ascii="宋体"/>
                <w:sz w:val="21"/>
              </w:rPr>
            </w:r>
          </w:p>
        </w:tc>
      </w:tr>
    </w:tbl>
    <w:p>
      <w:pPr>
        <w:spacing w:line="240" w:lineRule="auto" w:before="10"/>
        <w:rPr>
          <w:rFonts w:ascii="宋体" w:hAnsi="宋体" w:cs="宋体" w:eastAsia="宋体" w:hint="default"/>
          <w:sz w:val="18"/>
          <w:szCs w:val="18"/>
        </w:rPr>
      </w:pPr>
    </w:p>
    <w:p>
      <w:pPr>
        <w:pStyle w:val="BodyText"/>
        <w:spacing w:line="237" w:lineRule="auto" w:before="28"/>
        <w:ind w:left="238" w:right="240"/>
        <w:jc w:val="both"/>
      </w:pPr>
      <w:r>
        <w:rPr/>
        <w:t>公司自成立以来一直与清华大学保持了密切的合作关系，并成功的依托清华大学雄厚的</w:t>
      </w:r>
      <w:r>
        <w:rPr>
          <w:spacing w:val="-47"/>
        </w:rPr>
        <w:t> </w:t>
      </w:r>
      <w:r>
        <w:rPr>
          <w:spacing w:val="-47"/>
        </w:rPr>
      </w:r>
      <w:r>
        <w:rPr/>
        <w:t>技术实力实现了技术成果孵化，公司的众多下属子公司也通过与清华大学各个院系的技</w:t>
      </w:r>
      <w:r>
        <w:rPr>
          <w:spacing w:val="-47"/>
        </w:rPr>
        <w:t> </w:t>
      </w:r>
      <w:r>
        <w:rPr>
          <w:spacing w:val="-47"/>
        </w:rPr>
      </w:r>
      <w:r>
        <w:rPr/>
        <w:t>术合作，实现了自有技术实力和核心竞争力的提升。其中，威视股份、微电子等核心下</w:t>
      </w:r>
      <w:r>
        <w:rPr>
          <w:spacing w:val="-47"/>
        </w:rPr>
        <w:t> </w:t>
      </w:r>
      <w:r>
        <w:rPr>
          <w:spacing w:val="-47"/>
        </w:rPr>
      </w:r>
      <w:r>
        <w:rPr/>
        <w:t>属子公司更是是清华大学技术成果成功实现产业化的典范。</w:t>
      </w:r>
    </w:p>
    <w:p>
      <w:pPr>
        <w:spacing w:line="240" w:lineRule="auto" w:before="1"/>
        <w:rPr>
          <w:rFonts w:ascii="宋体" w:hAnsi="宋体" w:cs="宋体" w:eastAsia="宋体" w:hint="default"/>
          <w:sz w:val="26"/>
          <w:szCs w:val="26"/>
        </w:rPr>
      </w:pPr>
    </w:p>
    <w:p>
      <w:pPr>
        <w:pStyle w:val="BodyText"/>
        <w:spacing w:line="310" w:lineRule="exact"/>
        <w:ind w:left="238" w:right="108"/>
        <w:jc w:val="left"/>
      </w:pPr>
      <w:r>
        <w:rPr/>
        <w:t>我们认为，公司及下属控股子公司与清华大学发生的日常交易多系技术服务与技术成果</w:t>
      </w:r>
      <w:r>
        <w:rPr>
          <w:spacing w:val="-47"/>
        </w:rPr>
        <w:t> </w:t>
      </w:r>
      <w:r>
        <w:rPr>
          <w:spacing w:val="-47"/>
        </w:rPr>
      </w:r>
      <w:r>
        <w:rPr>
          <w:spacing w:val="-2"/>
        </w:rPr>
        <w:t>使用，公司众多下属子公司通过与清华大学在技术成果使用和合作开发方面的密切合作，</w:t>
      </w:r>
      <w:r>
        <w:rPr/>
      </w:r>
    </w:p>
    <w:p>
      <w:pPr>
        <w:spacing w:after="0" w:line="310" w:lineRule="exact"/>
        <w:jc w:val="left"/>
        <w:sectPr>
          <w:pgSz w:w="11910" w:h="16840"/>
          <w:pgMar w:header="610" w:footer="764" w:top="1080" w:bottom="96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0"/>
        <w:jc w:val="both"/>
      </w:pPr>
      <w:r>
        <w:rPr/>
        <w:t>提升了技术实力，推进了技术和产品创新力度，为产业的发展提供了有力的支撑。因此</w:t>
      </w:r>
      <w:r>
        <w:rPr>
          <w:spacing w:val="-47"/>
        </w:rPr>
        <w:t> </w:t>
      </w:r>
      <w:r>
        <w:rPr>
          <w:spacing w:val="-47"/>
        </w:rPr>
      </w:r>
      <w:r>
        <w:rPr/>
        <w:t>不存在向大股东或其关联方输送利益事宜，不损害公司股东，特别是中小股东和公司的</w:t>
      </w:r>
      <w:r>
        <w:rPr>
          <w:spacing w:val="-47"/>
        </w:rPr>
        <w:t> </w:t>
      </w:r>
      <w:r>
        <w:rPr>
          <w:spacing w:val="-47"/>
        </w:rPr>
      </w:r>
      <w:r>
        <w:rPr/>
        <w:t>利益。</w:t>
      </w:r>
    </w:p>
    <w:p>
      <w:pPr>
        <w:spacing w:line="240" w:lineRule="auto" w:before="8"/>
        <w:rPr>
          <w:rFonts w:ascii="宋体" w:hAnsi="宋体" w:cs="宋体" w:eastAsia="宋体" w:hint="default"/>
          <w:sz w:val="21"/>
          <w:szCs w:val="21"/>
        </w:rPr>
      </w:pPr>
    </w:p>
    <w:p>
      <w:pPr>
        <w:pStyle w:val="BodyText"/>
        <w:spacing w:line="237" w:lineRule="auto"/>
        <w:ind w:right="140"/>
        <w:jc w:val="both"/>
      </w:pPr>
      <w:r>
        <w:rPr/>
        <w:t>根据公司</w:t>
      </w:r>
      <w:r>
        <w:rPr>
          <w:spacing w:val="-52"/>
        </w:rPr>
        <w:t> </w:t>
      </w:r>
      <w:r>
        <w:rPr/>
        <w:t>2008</w:t>
      </w:r>
      <w:r>
        <w:rPr>
          <w:spacing w:val="-52"/>
        </w:rPr>
        <w:t> </w:t>
      </w:r>
      <w:r>
        <w:rPr>
          <w:spacing w:val="-5"/>
        </w:rPr>
        <w:t>年年度股东大会、2009</w:t>
      </w:r>
      <w:r>
        <w:rPr>
          <w:spacing w:val="-52"/>
        </w:rPr>
        <w:t> </w:t>
      </w:r>
      <w:r>
        <w:rPr>
          <w:spacing w:val="-3"/>
        </w:rPr>
        <w:t>年年度股东大会审议批准，公司及下属控股子公司</w:t>
      </w:r>
      <w:r>
        <w:rPr/>
        <w:t> 淮安同方水务有限公司存在向清华控股申请使用其</w:t>
      </w:r>
      <w:r>
        <w:rPr>
          <w:spacing w:val="-58"/>
        </w:rPr>
        <w:t> </w:t>
      </w:r>
      <w:r>
        <w:rPr/>
        <w:t>12</w:t>
      </w:r>
      <w:r>
        <w:rPr>
          <w:spacing w:val="-58"/>
        </w:rPr>
        <w:t> </w:t>
      </w:r>
      <w:r>
        <w:rPr>
          <w:spacing w:val="-4"/>
        </w:rPr>
        <w:t>亿元企业债券融资额度，未来</w:t>
      </w:r>
      <w:r>
        <w:rPr>
          <w:spacing w:val="-58"/>
        </w:rPr>
        <w:t> </w:t>
      </w:r>
      <w:r>
        <w:rPr/>
        <w:t>5</w:t>
      </w:r>
      <w:r>
        <w:rPr>
          <w:spacing w:val="-58"/>
        </w:rPr>
        <w:t> </w:t>
      </w:r>
      <w:r>
        <w:rPr/>
        <w:t>年</w:t>
      </w:r>
      <w:r>
        <w:rPr/>
        <w:t> 需向清华控股偿还本金并支付利息的情形；存在着清华控股与公司共同投资的龙江环保</w:t>
      </w:r>
      <w:r>
        <w:rPr>
          <w:spacing w:val="-47"/>
        </w:rPr>
        <w:t> </w:t>
      </w:r>
      <w:r>
        <w:rPr>
          <w:spacing w:val="-47"/>
        </w:rPr>
      </w:r>
      <w:r>
        <w:rPr/>
        <w:t>利用公司向国家开发银行申请的中长期项目贷款额度、公司为龙江环保商业贷款提供担</w:t>
      </w:r>
      <w:r>
        <w:rPr>
          <w:spacing w:val="-47"/>
        </w:rPr>
        <w:t> </w:t>
      </w:r>
      <w:r>
        <w:rPr>
          <w:spacing w:val="-47"/>
        </w:rPr>
      </w:r>
      <w:r>
        <w:rPr/>
        <w:t>保的情形。</w:t>
      </w:r>
    </w:p>
    <w:p>
      <w:pPr>
        <w:spacing w:line="240" w:lineRule="auto" w:before="10"/>
        <w:rPr>
          <w:rFonts w:ascii="宋体" w:hAnsi="宋体" w:cs="宋体" w:eastAsia="宋体" w:hint="default"/>
          <w:sz w:val="23"/>
          <w:szCs w:val="23"/>
        </w:rPr>
      </w:pPr>
    </w:p>
    <w:p>
      <w:pPr>
        <w:pStyle w:val="BodyText"/>
        <w:spacing w:line="237" w:lineRule="auto"/>
        <w:ind w:right="140"/>
        <w:jc w:val="both"/>
      </w:pPr>
      <w:r>
        <w:rPr/>
        <w:t>我们认为，公司及下属公司利用清华控股发行的短期融资券、中期票据、企业债券等融</w:t>
      </w:r>
      <w:r>
        <w:rPr>
          <w:spacing w:val="-47"/>
        </w:rPr>
        <w:t> </w:t>
      </w:r>
      <w:r>
        <w:rPr>
          <w:spacing w:val="-47"/>
        </w:rPr>
      </w:r>
      <w:r>
        <w:rPr/>
        <w:t>资工具，贷款时间长，利率较同期银行贷款利率低，能够调节公司信贷期限结构，节省</w:t>
      </w:r>
      <w:r>
        <w:rPr>
          <w:spacing w:val="-47"/>
        </w:rPr>
        <w:t> </w:t>
      </w:r>
      <w:r>
        <w:rPr>
          <w:spacing w:val="-47"/>
        </w:rPr>
      </w:r>
      <w:r>
        <w:rPr/>
        <w:t>公司的财务费用，不存在向大股东或其关联方输送利益事宜，不损害公司股东，特别是</w:t>
      </w:r>
      <w:r>
        <w:rPr>
          <w:spacing w:val="-47"/>
        </w:rPr>
        <w:t> </w:t>
      </w:r>
      <w:r>
        <w:rPr>
          <w:spacing w:val="-47"/>
        </w:rPr>
      </w:r>
      <w:r>
        <w:rPr/>
        <w:t>中小股东和公司的利益。</w:t>
      </w:r>
    </w:p>
    <w:p>
      <w:pPr>
        <w:spacing w:line="240" w:lineRule="auto" w:before="11"/>
        <w:rPr>
          <w:rFonts w:ascii="宋体" w:hAnsi="宋体" w:cs="宋体" w:eastAsia="宋体" w:hint="default"/>
          <w:sz w:val="23"/>
          <w:szCs w:val="23"/>
        </w:rPr>
      </w:pPr>
    </w:p>
    <w:p>
      <w:pPr>
        <w:pStyle w:val="BodyText"/>
        <w:spacing w:line="237" w:lineRule="auto"/>
        <w:ind w:right="140"/>
        <w:jc w:val="both"/>
      </w:pPr>
      <w:r>
        <w:rPr/>
        <w:t>我们认为，公司把环保事业作为承担社会责任的重要组成部分，其中涉及水污染防治和</w:t>
      </w:r>
      <w:r>
        <w:rPr>
          <w:spacing w:val="-47"/>
        </w:rPr>
        <w:t> </w:t>
      </w:r>
      <w:r>
        <w:rPr>
          <w:spacing w:val="-47"/>
        </w:rPr>
      </w:r>
      <w:r>
        <w:rPr/>
        <w:t>治理的水务业务是重中之重，公司有责任和义务加大水务领域的投资力度。由于水务项</w:t>
      </w:r>
      <w:r>
        <w:rPr>
          <w:spacing w:val="-47"/>
        </w:rPr>
        <w:t> </w:t>
      </w:r>
      <w:r>
        <w:rPr>
          <w:spacing w:val="-47"/>
        </w:rPr>
      </w:r>
      <w:r>
        <w:rPr/>
        <w:t>目建设期需要充裕的资金支持，包括股东担保、借款等，一旦投入运营就不再需要大量</w:t>
      </w:r>
      <w:r>
        <w:rPr>
          <w:spacing w:val="-47"/>
        </w:rPr>
        <w:t> </w:t>
      </w:r>
      <w:r>
        <w:rPr>
          <w:spacing w:val="-47"/>
        </w:rPr>
      </w:r>
      <w:r>
        <w:rPr/>
        <w:t>财务资助，呈现先投资后逐年收回投资、前期资产负债率高后逐步降低的财务特征，因</w:t>
      </w:r>
      <w:r>
        <w:rPr>
          <w:spacing w:val="-47"/>
        </w:rPr>
        <w:t> </w:t>
      </w:r>
      <w:r>
        <w:rPr>
          <w:spacing w:val="-47"/>
        </w:rPr>
      </w:r>
      <w:r>
        <w:rPr/>
        <w:t>此，公司对淮安水务、龙江环保的水务项目采取了倾斜政策，力图使得更多的污水厂早</w:t>
      </w:r>
      <w:r>
        <w:rPr>
          <w:spacing w:val="-47"/>
        </w:rPr>
        <w:t> </w:t>
      </w:r>
      <w:r>
        <w:rPr>
          <w:spacing w:val="-47"/>
        </w:rPr>
      </w:r>
      <w:r>
        <w:rPr/>
        <w:t>日投入运营，以减少水污染，保护水环境。公司为龙江环保提供担保以及利用国家开发</w:t>
      </w:r>
      <w:r>
        <w:rPr>
          <w:spacing w:val="-47"/>
        </w:rPr>
        <w:t> </w:t>
      </w:r>
      <w:r>
        <w:rPr>
          <w:spacing w:val="-47"/>
        </w:rPr>
      </w:r>
      <w:r>
        <w:rPr/>
        <w:t>银行申请的中长期项目贷款额度等事宜以往一直存续且均经过公司各年度股东大会审议</w:t>
      </w:r>
      <w:r>
        <w:rPr>
          <w:spacing w:val="-47"/>
        </w:rPr>
        <w:t> </w:t>
      </w:r>
      <w:r>
        <w:rPr>
          <w:spacing w:val="-47"/>
        </w:rPr>
      </w:r>
      <w:r>
        <w:rPr/>
        <w:t>批准，2011</w:t>
      </w:r>
      <w:r>
        <w:rPr>
          <w:spacing w:val="-40"/>
        </w:rPr>
        <w:t> </w:t>
      </w:r>
      <w:r>
        <w:rPr/>
        <w:t>年持续交易是在不大幅增加公司资产负债率且风险可控的情况下进行的，交</w:t>
      </w:r>
      <w:r>
        <w:rPr/>
        <w:t> 易完成后，不仅增加了公司投资收益，而且能够帮助公司更好地承担社会责任。公司向</w:t>
      </w:r>
      <w:r>
        <w:rPr>
          <w:spacing w:val="-47"/>
        </w:rPr>
        <w:t> </w:t>
      </w:r>
      <w:r>
        <w:rPr>
          <w:spacing w:val="-47"/>
        </w:rPr>
      </w:r>
      <w:r>
        <w:rPr/>
        <w:t>龙江环保提供借款及担保均用于龙江环保及其下属水务投资项目的建设，属于正常的商</w:t>
      </w:r>
      <w:r>
        <w:rPr>
          <w:spacing w:val="-47"/>
        </w:rPr>
        <w:t> </w:t>
      </w:r>
      <w:r>
        <w:rPr>
          <w:spacing w:val="-47"/>
        </w:rPr>
      </w:r>
      <w:r>
        <w:rPr/>
        <w:t>业行为，因此不存在向大股东或其关联方输送利益事宜，不损害公司股东，特别是中小</w:t>
      </w:r>
      <w:r>
        <w:rPr>
          <w:spacing w:val="-47"/>
        </w:rPr>
        <w:t> </w:t>
      </w:r>
      <w:r>
        <w:rPr>
          <w:spacing w:val="-47"/>
        </w:rPr>
      </w:r>
      <w:r>
        <w:rPr/>
        <w:t>股东和公司的利益。</w:t>
      </w:r>
    </w:p>
    <w:p>
      <w:pPr>
        <w:spacing w:line="240" w:lineRule="auto" w:before="8"/>
        <w:rPr>
          <w:rFonts w:ascii="宋体" w:hAnsi="宋体" w:cs="宋体" w:eastAsia="宋体" w:hint="default"/>
          <w:sz w:val="23"/>
          <w:szCs w:val="23"/>
        </w:rPr>
      </w:pPr>
    </w:p>
    <w:p>
      <w:pPr>
        <w:pStyle w:val="BodyText"/>
        <w:spacing w:line="240" w:lineRule="auto"/>
        <w:ind w:right="0"/>
        <w:jc w:val="both"/>
      </w:pPr>
      <w:r>
        <w:rPr/>
        <w:t>(2)其他关联交易</w:t>
      </w:r>
    </w:p>
    <w:p>
      <w:pPr>
        <w:spacing w:line="240" w:lineRule="auto" w:before="11"/>
        <w:rPr>
          <w:rFonts w:ascii="宋体" w:hAnsi="宋体" w:cs="宋体" w:eastAsia="宋体" w:hint="default"/>
          <w:sz w:val="23"/>
          <w:szCs w:val="23"/>
        </w:rPr>
      </w:pPr>
    </w:p>
    <w:p>
      <w:pPr>
        <w:pStyle w:val="BodyText"/>
        <w:spacing w:line="237" w:lineRule="auto"/>
        <w:ind w:right="142"/>
        <w:jc w:val="both"/>
      </w:pPr>
      <w:r>
        <w:rPr/>
        <w:t>公司于</w:t>
      </w:r>
      <w:r>
        <w:rPr>
          <w:spacing w:val="-67"/>
        </w:rPr>
        <w:t> </w:t>
      </w:r>
      <w:r>
        <w:rPr>
          <w:spacing w:val="25"/>
        </w:rPr>
        <w:t>2010年6月</w:t>
      </w:r>
      <w:r>
        <w:rPr>
          <w:spacing w:val="-67"/>
        </w:rPr>
        <w:t> </w:t>
      </w:r>
      <w:r>
        <w:rPr/>
        <w:t>11</w:t>
      </w:r>
      <w:r>
        <w:rPr>
          <w:spacing w:val="-67"/>
        </w:rPr>
        <w:t> </w:t>
      </w:r>
      <w:r>
        <w:rPr/>
        <w:t>日召开第五届董事会第二次会议，审议通过了《关于出资</w:t>
      </w:r>
      <w:r>
        <w:rPr>
          <w:spacing w:val="-67"/>
        </w:rPr>
        <w:t> </w:t>
      </w:r>
      <w:r>
        <w:rPr/>
        <w:t>2520</w:t>
      </w:r>
      <w:r>
        <w:rPr>
          <w:spacing w:val="-67"/>
        </w:rPr>
        <w:t> </w:t>
      </w:r>
      <w:r>
        <w:rPr/>
        <w:t>万</w:t>
      </w:r>
      <w:r>
        <w:rPr/>
        <w:t> 元认购北京辰安伟业科技公司 450</w:t>
      </w:r>
      <w:r>
        <w:rPr>
          <w:spacing w:val="-40"/>
        </w:rPr>
        <w:t> </w:t>
      </w:r>
      <w:r>
        <w:rPr/>
        <w:t>万股股权及与公司股东清华控股有限公司共同投资构</w:t>
      </w:r>
      <w:r>
        <w:rPr/>
        <w:t> </w:t>
      </w:r>
      <w:r>
        <w:rPr>
          <w:spacing w:val="-12"/>
        </w:rPr>
        <w:t>成关联交易的议案》。</w:t>
      </w:r>
    </w:p>
    <w:p>
      <w:pPr>
        <w:spacing w:line="240" w:lineRule="auto" w:before="10"/>
        <w:rPr>
          <w:rFonts w:ascii="宋体" w:hAnsi="宋体" w:cs="宋体" w:eastAsia="宋体" w:hint="default"/>
          <w:sz w:val="23"/>
          <w:szCs w:val="23"/>
        </w:rPr>
      </w:pPr>
    </w:p>
    <w:p>
      <w:pPr>
        <w:pStyle w:val="BodyText"/>
        <w:spacing w:line="237" w:lineRule="auto"/>
        <w:ind w:right="127"/>
        <w:jc w:val="both"/>
      </w:pPr>
      <w:r>
        <w:rPr/>
        <w:t>北京辰安伟业科技有限公司成立于</w:t>
      </w:r>
      <w:r>
        <w:rPr>
          <w:spacing w:val="-63"/>
        </w:rPr>
        <w:t> </w:t>
      </w:r>
      <w:r>
        <w:rPr/>
        <w:t>2005</w:t>
      </w:r>
      <w:r>
        <w:rPr>
          <w:spacing w:val="-63"/>
        </w:rPr>
        <w:t> </w:t>
      </w:r>
      <w:r>
        <w:rPr/>
        <w:t>年</w:t>
      </w:r>
      <w:r>
        <w:rPr>
          <w:spacing w:val="-63"/>
        </w:rPr>
        <w:t> </w:t>
      </w:r>
      <w:r>
        <w:rPr/>
        <w:t>11</w:t>
      </w:r>
      <w:r>
        <w:rPr>
          <w:spacing w:val="-63"/>
        </w:rPr>
        <w:t> </w:t>
      </w:r>
      <w:r>
        <w:rPr>
          <w:spacing w:val="-4"/>
        </w:rPr>
        <w:t>月，注册资本</w:t>
      </w:r>
      <w:r>
        <w:rPr>
          <w:spacing w:val="-63"/>
        </w:rPr>
        <w:t> </w:t>
      </w:r>
      <w:r>
        <w:rPr/>
        <w:t>3100</w:t>
      </w:r>
      <w:r>
        <w:rPr>
          <w:spacing w:val="-63"/>
        </w:rPr>
        <w:t> </w:t>
      </w:r>
      <w:r>
        <w:rPr/>
        <w:t>万元，是依托清华大学</w:t>
      </w:r>
      <w:r>
        <w:rPr/>
        <w:t> 公共安全研究中心，从事公共安全应急平台软件、公共安全装备、核与激光检测设备、</w:t>
      </w:r>
      <w:r>
        <w:rPr>
          <w:spacing w:val="-47"/>
        </w:rPr>
        <w:t> </w:t>
      </w:r>
      <w:r>
        <w:rPr>
          <w:spacing w:val="-47"/>
        </w:rPr>
      </w:r>
      <w:r>
        <w:rPr/>
        <w:t>安全咨询与评价四大类业务的高科技公司。为进一步拓展公司业务，同意作为战略投资</w:t>
      </w:r>
      <w:r>
        <w:rPr>
          <w:spacing w:val="-47"/>
        </w:rPr>
        <w:t> </w:t>
      </w:r>
      <w:r>
        <w:rPr>
          <w:spacing w:val="-47"/>
        </w:rPr>
      </w:r>
      <w:r>
        <w:rPr/>
        <w:t>者参与北京辰安伟业科技公司的增资扩股计划，并出资</w:t>
      </w:r>
      <w:r>
        <w:rPr>
          <w:spacing w:val="-60"/>
        </w:rPr>
        <w:t> </w:t>
      </w:r>
      <w:r>
        <w:rPr/>
        <w:t>2520</w:t>
      </w:r>
      <w:r>
        <w:rPr>
          <w:spacing w:val="-60"/>
        </w:rPr>
        <w:t> </w:t>
      </w:r>
      <w:r>
        <w:rPr/>
        <w:t>万元认购</w:t>
      </w:r>
      <w:r>
        <w:rPr>
          <w:spacing w:val="-60"/>
        </w:rPr>
        <w:t> </w:t>
      </w:r>
      <w:r>
        <w:rPr/>
        <w:t>450</w:t>
      </w:r>
      <w:r>
        <w:rPr>
          <w:spacing w:val="-60"/>
        </w:rPr>
        <w:t> </w:t>
      </w:r>
      <w:r>
        <w:rPr/>
        <w:t>万股股权。</w:t>
      </w:r>
    </w:p>
    <w:p>
      <w:pPr>
        <w:spacing w:line="240" w:lineRule="auto" w:before="11"/>
        <w:rPr>
          <w:rFonts w:ascii="宋体" w:hAnsi="宋体" w:cs="宋体" w:eastAsia="宋体" w:hint="default"/>
          <w:sz w:val="23"/>
          <w:szCs w:val="23"/>
        </w:rPr>
      </w:pPr>
    </w:p>
    <w:p>
      <w:pPr>
        <w:pStyle w:val="BodyText"/>
        <w:spacing w:line="237" w:lineRule="auto"/>
        <w:ind w:right="127"/>
        <w:jc w:val="both"/>
      </w:pPr>
      <w:r>
        <w:rPr>
          <w:spacing w:val="15"/>
        </w:rPr>
        <w:t>由于公司控股股东清华控股有限公司在本次增资扩股前持有北京辰安伟业科技公司</w:t>
      </w:r>
      <w:r>
        <w:rPr>
          <w:spacing w:val="-103"/>
        </w:rPr>
        <w:t> </w:t>
      </w:r>
      <w:r>
        <w:rPr>
          <w:spacing w:val="-103"/>
        </w:rPr>
      </w:r>
      <w:r>
        <w:rPr/>
        <w:t>1073.08</w:t>
      </w:r>
      <w:r>
        <w:rPr>
          <w:spacing w:val="-60"/>
        </w:rPr>
        <w:t> </w:t>
      </w:r>
      <w:r>
        <w:rPr>
          <w:spacing w:val="-3"/>
        </w:rPr>
        <w:t>万股，根据上交所上市规则，本次增资属共同投资，构成了关联交易。关联董事</w:t>
      </w:r>
      <w:r>
        <w:rPr/>
        <w:t> 荣泳霖先生、马二恩女士、周立业先生回避表决，独立董事发表了独立意见。</w:t>
      </w:r>
    </w:p>
    <w:p>
      <w:pPr>
        <w:spacing w:after="0" w:line="237"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488"/>
        <w:jc w:val="left"/>
        <w:rPr>
          <w:b w:val="0"/>
          <w:bCs w:val="0"/>
        </w:rPr>
      </w:pPr>
      <w:r>
        <w:rPr/>
        <w:t>5、重大合同及其履行情况。</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488"/>
        <w:jc w:val="left"/>
      </w:pPr>
      <w:r>
        <w:rPr>
          <w:spacing w:val="-2"/>
        </w:rPr>
        <w:t>(1)本报告期，公司未发生托管、承包、租赁其他公司资产或其他公司托管、承包、租赁</w:t>
      </w:r>
      <w:r>
        <w:rPr>
          <w:spacing w:val="-113"/>
        </w:rPr>
        <w:t> </w:t>
      </w:r>
      <w:r>
        <w:rPr>
          <w:spacing w:val="-113"/>
        </w:rPr>
      </w:r>
      <w:r>
        <w:rPr/>
        <w:t>本公司资产的事项。</w:t>
      </w:r>
    </w:p>
    <w:p>
      <w:pPr>
        <w:spacing w:line="240" w:lineRule="auto" w:before="4"/>
        <w:rPr>
          <w:rFonts w:ascii="宋体" w:hAnsi="宋体" w:cs="宋体" w:eastAsia="宋体" w:hint="default"/>
          <w:sz w:val="21"/>
          <w:szCs w:val="21"/>
        </w:rPr>
      </w:pPr>
    </w:p>
    <w:p>
      <w:pPr>
        <w:pStyle w:val="BodyText"/>
        <w:spacing w:line="240" w:lineRule="auto"/>
        <w:ind w:right="488"/>
        <w:jc w:val="left"/>
      </w:pPr>
      <w:r>
        <w:rPr/>
        <w:t>(2)公司担保事项</w:t>
      </w:r>
    </w:p>
    <w:p>
      <w:pPr>
        <w:spacing w:line="240" w:lineRule="auto" w:before="12"/>
        <w:rPr>
          <w:rFonts w:ascii="宋体" w:hAnsi="宋体" w:cs="宋体" w:eastAsia="宋体" w:hint="default"/>
          <w:sz w:val="25"/>
          <w:szCs w:val="25"/>
        </w:rPr>
      </w:pPr>
    </w:p>
    <w:p>
      <w:pPr>
        <w:pStyle w:val="BodyText"/>
        <w:spacing w:line="312" w:lineRule="exact"/>
        <w:ind w:right="488"/>
        <w:jc w:val="left"/>
      </w:pPr>
      <w:r>
        <w:rPr>
          <w:spacing w:val="5"/>
        </w:rPr>
        <w:t>本报告期内，经董事会批准，公司累计对外担保余额为 </w:t>
      </w:r>
      <w:r>
        <w:rPr/>
        <w:t>30.43</w:t>
      </w:r>
      <w:r>
        <w:rPr>
          <w:spacing w:val="23"/>
        </w:rPr>
        <w:t> </w:t>
      </w:r>
      <w:r>
        <w:rPr>
          <w:spacing w:val="5"/>
        </w:rPr>
        <w:t>亿元，占公司净资产的</w:t>
      </w:r>
      <w:r>
        <w:rPr>
          <w:spacing w:val="5"/>
        </w:rPr>
        <w:t> </w:t>
      </w:r>
      <w:r>
        <w:rPr/>
        <w:t>38.09%。本报告期内，公司对外担保具体情况如下：</w:t>
      </w:r>
    </w:p>
    <w:p>
      <w:pPr>
        <w:spacing w:line="247" w:lineRule="exact" w:before="0"/>
        <w:ind w:left="0" w:right="502"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19"/>
        <w:gridCol w:w="1116"/>
        <w:gridCol w:w="1079"/>
        <w:gridCol w:w="1704"/>
        <w:gridCol w:w="1386"/>
        <w:gridCol w:w="953"/>
        <w:gridCol w:w="923"/>
      </w:tblGrid>
      <w:tr>
        <w:trPr>
          <w:trHeight w:val="339" w:hRule="exact"/>
        </w:trPr>
        <w:tc>
          <w:tcPr>
            <w:tcW w:w="9580" w:type="dxa"/>
            <w:gridSpan w:val="7"/>
            <w:tcBorders>
              <w:top w:val="single" w:sz="12" w:space="0" w:color="000000"/>
              <w:left w:val="single" w:sz="12" w:space="0" w:color="000000"/>
              <w:bottom w:val="single" w:sz="8" w:space="0" w:color="000000"/>
              <w:right w:val="single" w:sz="12" w:space="0" w:color="000000"/>
            </w:tcBorders>
          </w:tcPr>
          <w:p>
            <w:pPr>
              <w:pStyle w:val="TableParagraph"/>
              <w:spacing w:line="255"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公司对外担保情况</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不包括对控股子公司的担保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721"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担保对象</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88" w:right="0"/>
              <w:jc w:val="left"/>
              <w:rPr>
                <w:rFonts w:ascii="宋体" w:hAnsi="宋体" w:cs="宋体" w:eastAsia="宋体" w:hint="default"/>
                <w:sz w:val="18"/>
                <w:szCs w:val="18"/>
              </w:rPr>
            </w:pPr>
            <w:r>
              <w:rPr>
                <w:rFonts w:ascii="宋体" w:hAnsi="宋体" w:cs="宋体" w:eastAsia="宋体" w:hint="default"/>
                <w:sz w:val="18"/>
                <w:szCs w:val="18"/>
              </w:rPr>
              <w:t>发生日期</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6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48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06" w:right="0" w:hanging="1"/>
              <w:jc w:val="left"/>
              <w:rPr>
                <w:rFonts w:ascii="宋体" w:hAnsi="宋体" w:cs="宋体" w:eastAsia="宋体" w:hint="default"/>
                <w:sz w:val="18"/>
                <w:szCs w:val="18"/>
              </w:rPr>
            </w:pPr>
            <w:r>
              <w:rPr>
                <w:rFonts w:ascii="宋体" w:hAnsi="宋体" w:cs="宋体" w:eastAsia="宋体" w:hint="default"/>
                <w:sz w:val="18"/>
                <w:szCs w:val="18"/>
              </w:rPr>
              <w:t>担保是否</w:t>
            </w:r>
          </w:p>
          <w:p>
            <w:pPr>
              <w:pStyle w:val="TableParagraph"/>
              <w:spacing w:line="232" w:lineRule="exact" w:before="24"/>
              <w:ind w:left="286" w:right="104" w:hanging="180"/>
              <w:jc w:val="left"/>
              <w:rPr>
                <w:rFonts w:ascii="宋体" w:hAnsi="宋体" w:cs="宋体" w:eastAsia="宋体" w:hint="default"/>
                <w:sz w:val="18"/>
                <w:szCs w:val="18"/>
              </w:rPr>
            </w:pPr>
            <w:r>
              <w:rPr>
                <w:rFonts w:ascii="宋体" w:hAnsi="宋体" w:cs="宋体" w:eastAsia="宋体" w:hint="default"/>
                <w:sz w:val="18"/>
                <w:szCs w:val="18"/>
              </w:rPr>
              <w:t>已经履行 完毕</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2" w:lineRule="exact" w:before="24"/>
              <w:ind w:left="272" w:right="174" w:hanging="90"/>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331"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2009-5-31</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5,498.00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090531-140531</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2009-8-11</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2,667.00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2"/>
              <w:jc w:val="center"/>
              <w:rPr>
                <w:rFonts w:ascii="Times New Roman" w:hAnsi="Times New Roman" w:cs="Times New Roman" w:eastAsia="Times New Roman" w:hint="default"/>
                <w:sz w:val="18"/>
                <w:szCs w:val="18"/>
              </w:rPr>
            </w:pPr>
            <w:r>
              <w:rPr>
                <w:rFonts w:ascii="Times New Roman"/>
                <w:sz w:val="18"/>
              </w:rPr>
              <w:t>090811-140811</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2009-5-31</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14,000.00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090531-140531</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2010-9-21</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100921-130921</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6"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佳木斯龙江环保水务有限公</w:t>
            </w:r>
            <w:r>
              <w:rPr>
                <w:rFonts w:ascii="宋体" w:hAnsi="宋体" w:cs="宋体" w:eastAsia="宋体" w:hint="default"/>
                <w:sz w:val="18"/>
                <w:szCs w:val="18"/>
              </w:rPr>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2009-6-3</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998.00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090603-140603</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6"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牡丹江龙江环保水务有限公</w:t>
            </w:r>
            <w:r>
              <w:rPr>
                <w:rFonts w:ascii="宋体" w:hAnsi="宋体" w:cs="宋体" w:eastAsia="宋体" w:hint="default"/>
                <w:sz w:val="18"/>
                <w:szCs w:val="18"/>
              </w:rPr>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2009-6-3</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1,500.00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090603-140603</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2009-8-10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1,660.00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090810-210809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6"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2009-9-18</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2,700.00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090918-210809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6"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2009-10-19</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2,155.00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091019-210809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2009-11-27</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1,200.00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5"/>
              <w:jc w:val="center"/>
              <w:rPr>
                <w:rFonts w:ascii="Times New Roman" w:hAnsi="Times New Roman" w:cs="Times New Roman" w:eastAsia="Times New Roman" w:hint="default"/>
                <w:sz w:val="18"/>
                <w:szCs w:val="18"/>
              </w:rPr>
            </w:pPr>
            <w:r>
              <w:rPr>
                <w:rFonts w:ascii="Times New Roman"/>
                <w:sz w:val="18"/>
              </w:rPr>
              <w:t>091127-210809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2010-2-3</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100203-210809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6"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2010-4-28</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100428-210809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6"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2010-5-20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100520-210809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2010-6-28</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2,100.00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100628-210809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pacing w:val="3"/>
                <w:sz w:val="18"/>
                <w:szCs w:val="18"/>
              </w:rPr>
              <w:t>哈尔滨平义龙江环保治水有</w:t>
            </w:r>
            <w:r>
              <w:rPr>
                <w:rFonts w:ascii="宋体" w:hAnsi="宋体" w:cs="宋体" w:eastAsia="宋体" w:hint="default"/>
                <w:sz w:val="18"/>
                <w:szCs w:val="18"/>
              </w:rPr>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2010-8-2</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7,980.00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100802-210809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2010-3-12</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250.00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100312-130312</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2010-4-29</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100429-130429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2010-6-13</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250.00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100613-130613</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2010-6-25</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100625-130625</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2010-1-22</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3,800.00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100122-130121</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2010-9-1</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1,200.00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100901-130228</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419"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2010-9-3</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760.00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50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100903-130903</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6317" w:type="dxa"/>
            <w:gridSpan w:val="4"/>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报告期末担保发生额合计</w:t>
            </w:r>
          </w:p>
        </w:tc>
        <w:tc>
          <w:tcPr>
            <w:tcW w:w="3262" w:type="dxa"/>
            <w:gridSpan w:val="3"/>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77" w:right="0"/>
              <w:jc w:val="left"/>
              <w:rPr>
                <w:rFonts w:ascii="宋体" w:hAnsi="宋体" w:cs="宋体" w:eastAsia="宋体" w:hint="default"/>
                <w:sz w:val="18"/>
                <w:szCs w:val="18"/>
              </w:rPr>
            </w:pPr>
            <w:r>
              <w:rPr>
                <w:rFonts w:ascii="宋体"/>
                <w:sz w:val="18"/>
              </w:rPr>
              <w:t>39,840</w:t>
            </w:r>
          </w:p>
        </w:tc>
      </w:tr>
    </w:tbl>
    <w:p>
      <w:pPr>
        <w:spacing w:after="0" w:line="207" w:lineRule="exact"/>
        <w:jc w:val="left"/>
        <w:rPr>
          <w:rFonts w:ascii="宋体" w:hAnsi="宋体" w:cs="宋体" w:eastAsia="宋体" w:hint="default"/>
          <w:sz w:val="18"/>
          <w:szCs w:val="18"/>
        </w:rPr>
        <w:sectPr>
          <w:pgSz w:w="11910" w:h="16840"/>
          <w:pgMar w:header="610" w:footer="764" w:top="1080" w:bottom="960" w:left="12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6297"/>
        <w:gridCol w:w="3283"/>
      </w:tblGrid>
      <w:tr>
        <w:trPr>
          <w:trHeight w:val="319"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72,218</w:t>
            </w:r>
          </w:p>
        </w:tc>
      </w:tr>
      <w:tr>
        <w:trPr>
          <w:trHeight w:val="320" w:hRule="exact"/>
        </w:trPr>
        <w:tc>
          <w:tcPr>
            <w:tcW w:w="9580" w:type="dxa"/>
            <w:gridSpan w:val="2"/>
            <w:tcBorders>
              <w:top w:val="single" w:sz="8" w:space="0" w:color="000000"/>
              <w:left w:val="single" w:sz="12" w:space="0" w:color="000000"/>
              <w:bottom w:val="single" w:sz="8" w:space="0" w:color="000000"/>
              <w:right w:val="single" w:sz="12"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0"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报告期末对控股子公司担保发生额合计</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211,186</w:t>
            </w:r>
          </w:p>
        </w:tc>
      </w:tr>
      <w:tr>
        <w:trPr>
          <w:trHeight w:val="319"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报告期末对控股子公司担保余额合计</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232,034</w:t>
            </w:r>
          </w:p>
        </w:tc>
      </w:tr>
      <w:tr>
        <w:trPr>
          <w:trHeight w:val="320"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c>
          <w:tcPr>
            <w:tcW w:w="3283"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304,252</w:t>
            </w:r>
          </w:p>
        </w:tc>
      </w:tr>
      <w:tr>
        <w:trPr>
          <w:trHeight w:val="319"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38.09%</w:t>
            </w:r>
          </w:p>
        </w:tc>
      </w:tr>
      <w:tr>
        <w:trPr>
          <w:trHeight w:val="320" w:hRule="exact"/>
        </w:trPr>
        <w:tc>
          <w:tcPr>
            <w:tcW w:w="9580" w:type="dxa"/>
            <w:gridSpan w:val="2"/>
            <w:tcBorders>
              <w:top w:val="single" w:sz="8" w:space="0" w:color="000000"/>
              <w:left w:val="single" w:sz="12" w:space="0" w:color="000000"/>
              <w:bottom w:val="single" w:sz="8" w:space="0" w:color="000000"/>
              <w:right w:val="single" w:sz="12"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0"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0</w:t>
            </w:r>
          </w:p>
        </w:tc>
      </w:tr>
      <w:tr>
        <w:trPr>
          <w:trHeight w:val="319"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70%的被担保对象提供的债务担保金额</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70,458</w:t>
            </w:r>
          </w:p>
        </w:tc>
      </w:tr>
      <w:tr>
        <w:trPr>
          <w:trHeight w:val="320" w:hRule="exact"/>
        </w:trPr>
        <w:tc>
          <w:tcPr>
            <w:tcW w:w="6297"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3283" w:type="dxa"/>
            <w:tcBorders>
              <w:top w:val="single" w:sz="8" w:space="0" w:color="000000"/>
              <w:left w:val="single" w:sz="8" w:space="0" w:color="000000"/>
              <w:bottom w:val="single" w:sz="8"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0</w:t>
            </w:r>
          </w:p>
        </w:tc>
      </w:tr>
      <w:tr>
        <w:trPr>
          <w:trHeight w:val="326" w:hRule="exact"/>
        </w:trPr>
        <w:tc>
          <w:tcPr>
            <w:tcW w:w="6297" w:type="dxa"/>
            <w:tcBorders>
              <w:top w:val="single" w:sz="8" w:space="0" w:color="000000"/>
              <w:left w:val="single" w:sz="12" w:space="0" w:color="000000"/>
              <w:bottom w:val="single" w:sz="12"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3283" w:type="dxa"/>
            <w:tcBorders>
              <w:top w:val="single" w:sz="8" w:space="0" w:color="000000"/>
              <w:left w:val="single" w:sz="8" w:space="0" w:color="000000"/>
              <w:bottom w:val="single" w:sz="12" w:space="0" w:color="000000"/>
              <w:right w:val="single" w:sz="12"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z w:val="18"/>
              </w:rPr>
              <w:t>70,458</w:t>
            </w:r>
          </w:p>
        </w:tc>
      </w:tr>
    </w:tbl>
    <w:p>
      <w:pPr>
        <w:spacing w:line="240" w:lineRule="auto" w:before="10"/>
        <w:rPr>
          <w:rFonts w:ascii="宋体" w:hAnsi="宋体" w:cs="宋体" w:eastAsia="宋体" w:hint="default"/>
          <w:sz w:val="18"/>
          <w:szCs w:val="18"/>
        </w:rPr>
      </w:pPr>
    </w:p>
    <w:p>
      <w:pPr>
        <w:pStyle w:val="BodyText"/>
        <w:spacing w:line="237" w:lineRule="auto" w:before="28"/>
        <w:ind w:right="500"/>
        <w:jc w:val="both"/>
      </w:pPr>
      <w:r>
        <w:rPr/>
        <w:t>根据于</w:t>
      </w:r>
      <w:r>
        <w:rPr>
          <w:spacing w:val="-53"/>
        </w:rPr>
        <w:t> </w:t>
      </w:r>
      <w:r>
        <w:rPr>
          <w:spacing w:val="29"/>
        </w:rPr>
        <w:t>2010年5月</w:t>
      </w:r>
      <w:r>
        <w:rPr>
          <w:spacing w:val="-53"/>
        </w:rPr>
        <w:t> </w:t>
      </w:r>
      <w:r>
        <w:rPr/>
        <w:t>12</w:t>
      </w:r>
      <w:r>
        <w:rPr>
          <w:spacing w:val="-53"/>
        </w:rPr>
        <w:t> </w:t>
      </w:r>
      <w:r>
        <w:rPr/>
        <w:t>日召开的公司</w:t>
      </w:r>
      <w:r>
        <w:rPr>
          <w:spacing w:val="-53"/>
        </w:rPr>
        <w:t> </w:t>
      </w:r>
      <w:r>
        <w:rPr/>
        <w:t>2009</w:t>
      </w:r>
      <w:r>
        <w:rPr>
          <w:spacing w:val="-54"/>
        </w:rPr>
        <w:t> </w:t>
      </w:r>
      <w:r>
        <w:rPr/>
        <w:t>年度股东大会审议通过的《关于申请</w:t>
      </w:r>
      <w:r>
        <w:rPr>
          <w:spacing w:val="-53"/>
        </w:rPr>
        <w:t> </w:t>
      </w:r>
      <w:r>
        <w:rPr/>
        <w:t>2010</w:t>
      </w:r>
      <w:r>
        <w:rPr>
          <w:spacing w:val="-53"/>
        </w:rPr>
        <w:t> </w:t>
      </w:r>
      <w:r>
        <w:rPr/>
        <w:t>年</w:t>
      </w:r>
      <w:r>
        <w:rPr/>
        <w:t> </w:t>
      </w:r>
      <w:r>
        <w:rPr>
          <w:spacing w:val="-5"/>
        </w:rPr>
        <w:t>年度综合授信额度及授权下属子公司使用并为其提供担保的议案》，公司在银行综合授信</w:t>
      </w:r>
      <w:r>
        <w:rPr>
          <w:spacing w:val="-85"/>
        </w:rPr>
        <w:t> </w:t>
      </w:r>
      <w:r>
        <w:rPr>
          <w:spacing w:val="-85"/>
        </w:rPr>
      </w:r>
      <w:r>
        <w:rPr/>
        <w:t>额度内，对下属子公司在实际经营中所需资金产生的银行借款进行担保。同时公司对下</w:t>
      </w:r>
      <w:r>
        <w:rPr>
          <w:spacing w:val="-47"/>
        </w:rPr>
        <w:t> </w:t>
      </w:r>
      <w:r>
        <w:rPr>
          <w:spacing w:val="-47"/>
        </w:rPr>
      </w:r>
      <w:r>
        <w:rPr/>
        <w:t>属子公司的资金进行了较为严格的监管措施，目前资金使用正常，有利地保障了子公司</w:t>
      </w:r>
      <w:r>
        <w:rPr>
          <w:spacing w:val="-47"/>
        </w:rPr>
        <w:t> </w:t>
      </w:r>
      <w:r>
        <w:rPr>
          <w:spacing w:val="-47"/>
        </w:rPr>
      </w:r>
      <w:r>
        <w:rPr/>
        <w:t>经营活动的正常开展。</w:t>
      </w:r>
    </w:p>
    <w:p>
      <w:pPr>
        <w:spacing w:line="240" w:lineRule="auto" w:before="11"/>
        <w:rPr>
          <w:rFonts w:ascii="宋体" w:hAnsi="宋体" w:cs="宋体" w:eastAsia="宋体" w:hint="default"/>
          <w:sz w:val="23"/>
          <w:szCs w:val="23"/>
        </w:rPr>
      </w:pPr>
    </w:p>
    <w:p>
      <w:pPr>
        <w:pStyle w:val="BodyText"/>
        <w:spacing w:line="237" w:lineRule="auto"/>
        <w:ind w:right="499"/>
        <w:jc w:val="both"/>
      </w:pPr>
      <w:r>
        <w:rPr/>
        <w:t>本期发生为资产负债率超过</w:t>
      </w:r>
      <w:r>
        <w:rPr>
          <w:spacing w:val="61"/>
        </w:rPr>
        <w:t> </w:t>
      </w:r>
      <w:r>
        <w:rPr/>
        <w:t>70%被担保对象担保事宜为公司为龙江环保集团股份有限公</w:t>
      </w:r>
      <w:r>
        <w:rPr>
          <w:spacing w:val="-110"/>
        </w:rPr>
        <w:t> </w:t>
      </w:r>
      <w:r>
        <w:rPr>
          <w:spacing w:val="-110"/>
        </w:rPr>
      </w:r>
      <w:r>
        <w:rPr/>
        <w:t>司、佳木斯龙江环保水务有限公司、牡丹江龙江环保水务有限公司、哈尔滨龙江环保平</w:t>
      </w:r>
      <w:r>
        <w:rPr>
          <w:spacing w:val="-47"/>
        </w:rPr>
        <w:t> </w:t>
      </w:r>
      <w:r>
        <w:rPr>
          <w:spacing w:val="-47"/>
        </w:rPr>
      </w:r>
      <w:r>
        <w:rPr/>
        <w:t>义治水有限责任公司、惠州同方水务有限公司因哈尔滨太平污水处理厂、佳木斯东区污</w:t>
      </w:r>
      <w:r>
        <w:rPr>
          <w:spacing w:val="-47"/>
        </w:rPr>
        <w:t> </w:t>
      </w:r>
      <w:r>
        <w:rPr>
          <w:spacing w:val="-47"/>
        </w:rPr>
      </w:r>
      <w:r>
        <w:rPr/>
        <w:t>水处理厂、牡丹江污水处理厂、哈尔滨平房污水处理厂、哈尔滨信义污水处理厂、惠州</w:t>
      </w:r>
      <w:r>
        <w:rPr>
          <w:spacing w:val="-47"/>
        </w:rPr>
        <w:t> </w:t>
      </w:r>
      <w:r>
        <w:rPr>
          <w:spacing w:val="-47"/>
        </w:rPr>
      </w:r>
      <w:r>
        <w:rPr/>
        <w:t>城市污水处理厂等项目建设需要提供的担保，上述担保事宜已经公司</w:t>
      </w:r>
      <w:r>
        <w:rPr>
          <w:spacing w:val="-79"/>
        </w:rPr>
        <w:t> </w:t>
      </w:r>
      <w:r>
        <w:rPr/>
        <w:t>2009</w:t>
      </w:r>
      <w:r>
        <w:rPr>
          <w:spacing w:val="-79"/>
        </w:rPr>
        <w:t> </w:t>
      </w:r>
      <w:r>
        <w:rPr/>
        <w:t>年年度股东大</w:t>
      </w:r>
      <w:r>
        <w:rPr/>
        <w:t> 会审议批准。</w:t>
      </w:r>
    </w:p>
    <w:p>
      <w:pPr>
        <w:spacing w:line="240" w:lineRule="auto" w:before="8"/>
        <w:rPr>
          <w:rFonts w:ascii="宋体" w:hAnsi="宋体" w:cs="宋体" w:eastAsia="宋体" w:hint="default"/>
          <w:sz w:val="23"/>
          <w:szCs w:val="23"/>
        </w:rPr>
      </w:pPr>
    </w:p>
    <w:p>
      <w:pPr>
        <w:pStyle w:val="BodyText"/>
        <w:spacing w:line="475" w:lineRule="auto"/>
        <w:ind w:right="5846"/>
        <w:jc w:val="left"/>
      </w:pPr>
      <w:r>
        <w:rPr/>
        <w:t>本年度无重大租赁经营和抵押事项。 (3)无现金委托管理事项</w:t>
      </w:r>
    </w:p>
    <w:p>
      <w:pPr>
        <w:pStyle w:val="Heading3"/>
        <w:spacing w:line="240" w:lineRule="auto" w:before="72"/>
        <w:ind w:right="0"/>
        <w:jc w:val="both"/>
        <w:rPr>
          <w:b w:val="0"/>
          <w:bCs w:val="0"/>
        </w:rPr>
      </w:pPr>
      <w:r>
        <w:rPr/>
        <w:t>6、公司或持股</w:t>
      </w:r>
      <w:r>
        <w:rPr>
          <w:spacing w:val="-62"/>
        </w:rPr>
        <w:t> </w:t>
      </w:r>
      <w:r>
        <w:rPr/>
        <w:t>5%以上股东在报告期内或持续到报告期内的重大承诺事项。</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2010</w:t>
      </w:r>
      <w:r>
        <w:rPr>
          <w:spacing w:val="-57"/>
        </w:rPr>
        <w:t> </w:t>
      </w:r>
      <w:r>
        <w:rPr/>
        <w:t>年</w:t>
      </w:r>
      <w:r>
        <w:rPr>
          <w:spacing w:val="-57"/>
        </w:rPr>
        <w:t> </w:t>
      </w:r>
      <w:r>
        <w:rPr/>
        <w:t>7</w:t>
      </w:r>
      <w:r>
        <w:rPr>
          <w:spacing w:val="-56"/>
        </w:rPr>
        <w:t> </w:t>
      </w:r>
      <w:r>
        <w:rPr/>
        <w:t>月，公司实施了向唐山晶源科技有限公司发行</w:t>
      </w:r>
      <w:r>
        <w:rPr>
          <w:spacing w:val="-57"/>
        </w:rPr>
        <w:t> </w:t>
      </w:r>
      <w:r>
        <w:rPr/>
        <w:t>1,688</w:t>
      </w:r>
      <w:r>
        <w:rPr>
          <w:spacing w:val="-56"/>
        </w:rPr>
        <w:t> </w:t>
      </w:r>
      <w:r>
        <w:rPr/>
        <w:t>万股股份购买其持有的唐</w:t>
      </w:r>
    </w:p>
    <w:p>
      <w:pPr>
        <w:pStyle w:val="BodyText"/>
        <w:spacing w:line="311" w:lineRule="exact"/>
        <w:ind w:right="0"/>
        <w:jc w:val="both"/>
      </w:pPr>
      <w:r>
        <w:rPr/>
        <w:t>山晶源裕丰电子股份有限公司 3,375</w:t>
      </w:r>
      <w:r>
        <w:rPr>
          <w:spacing w:val="-40"/>
        </w:rPr>
        <w:t> </w:t>
      </w:r>
      <w:r>
        <w:rPr/>
        <w:t>万股股份方案，唐山晶源科技有限公司持有的上述</w:t>
      </w:r>
    </w:p>
    <w:p>
      <w:pPr>
        <w:spacing w:line="475" w:lineRule="auto" w:before="0"/>
        <w:ind w:left="138" w:right="2337" w:firstLine="0"/>
        <w:jc w:val="left"/>
        <w:rPr>
          <w:rFonts w:ascii="宋体" w:hAnsi="宋体" w:cs="宋体" w:eastAsia="宋体" w:hint="default"/>
          <w:sz w:val="24"/>
          <w:szCs w:val="24"/>
        </w:rPr>
      </w:pPr>
      <w:r>
        <w:rPr>
          <w:rFonts w:ascii="宋体" w:hAnsi="宋体" w:cs="宋体" w:eastAsia="宋体" w:hint="default"/>
          <w:sz w:val="24"/>
          <w:szCs w:val="24"/>
        </w:rPr>
        <w:t>股票限售期限为</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w:t>
      </w:r>
      <w:r>
        <w:rPr>
          <w:rFonts w:ascii="宋体" w:hAnsi="宋体" w:cs="宋体" w:eastAsia="宋体" w:hint="default"/>
          <w:sz w:val="24"/>
          <w:szCs w:val="24"/>
        </w:rPr>
        <w:t> 本报告期内，唐山晶源科技有限公司未发生违反上述承诺的情形。 </w:t>
      </w:r>
      <w:r>
        <w:rPr>
          <w:rFonts w:ascii="宋体" w:hAnsi="宋体" w:cs="宋体" w:eastAsia="宋体" w:hint="default"/>
          <w:b/>
          <w:bCs/>
          <w:sz w:val="24"/>
          <w:szCs w:val="24"/>
        </w:rPr>
        <w:t>7、本报告期聘任会计师事务所：信永中和会计师事务所有限责任公司</w:t>
      </w:r>
      <w:r>
        <w:rPr>
          <w:rFonts w:ascii="宋体" w:hAnsi="宋体" w:cs="宋体" w:eastAsia="宋体" w:hint="default"/>
          <w:sz w:val="24"/>
          <w:szCs w:val="24"/>
        </w:rPr>
      </w:r>
    </w:p>
    <w:p>
      <w:pPr>
        <w:pStyle w:val="BodyText"/>
        <w:spacing w:line="312" w:lineRule="exact" w:before="73"/>
        <w:ind w:right="0"/>
        <w:jc w:val="both"/>
      </w:pPr>
      <w:r>
        <w:rPr/>
        <w:t>本年度，经 2009 年股东大会审议通过，公司聘请信永中和会计师事务所作为公司</w:t>
      </w:r>
      <w:r>
        <w:rPr>
          <w:spacing w:val="-42"/>
        </w:rPr>
        <w:t> </w:t>
      </w:r>
      <w:r>
        <w:rPr/>
        <w:t>2010</w:t>
      </w:r>
    </w:p>
    <w:p>
      <w:pPr>
        <w:pStyle w:val="BodyText"/>
        <w:spacing w:line="311" w:lineRule="exact"/>
        <w:ind w:right="0"/>
        <w:jc w:val="both"/>
      </w:pPr>
      <w:r>
        <w:rPr/>
        <w:t>年审计服务机构。目前该会计师事务所自</w:t>
      </w:r>
      <w:r>
        <w:rPr>
          <w:spacing w:val="-80"/>
        </w:rPr>
        <w:t> </w:t>
      </w:r>
      <w:r>
        <w:rPr/>
        <w:t>2001</w:t>
      </w:r>
      <w:r>
        <w:rPr>
          <w:spacing w:val="-80"/>
        </w:rPr>
        <w:t> </w:t>
      </w:r>
      <w:r>
        <w:rPr/>
        <w:t>年公司聘用以来已经连续服务十年，其中</w:t>
      </w:r>
    </w:p>
    <w:p>
      <w:pPr>
        <w:pStyle w:val="BodyText"/>
        <w:spacing w:line="313" w:lineRule="exact"/>
        <w:ind w:right="0"/>
        <w:jc w:val="both"/>
      </w:pPr>
      <w:r>
        <w:rPr/>
        <w:t>本期签字的注册会计师张克东先生自</w:t>
      </w:r>
      <w:r>
        <w:rPr>
          <w:spacing w:val="-60"/>
        </w:rPr>
        <w:t> </w:t>
      </w:r>
      <w:r>
        <w:rPr/>
        <w:t>2010</w:t>
      </w:r>
      <w:r>
        <w:rPr>
          <w:spacing w:val="-60"/>
        </w:rPr>
        <w:t> </w:t>
      </w:r>
      <w:r>
        <w:rPr/>
        <w:t>年起服务</w:t>
      </w:r>
      <w:r>
        <w:rPr>
          <w:spacing w:val="-60"/>
        </w:rPr>
        <w:t> </w:t>
      </w:r>
      <w:r>
        <w:rPr/>
        <w:t>1</w:t>
      </w:r>
      <w:r>
        <w:rPr>
          <w:spacing w:val="-60"/>
        </w:rPr>
        <w:t> </w:t>
      </w:r>
      <w:r>
        <w:rPr/>
        <w:t>年</w:t>
      </w:r>
      <w:r>
        <w:rPr>
          <w:spacing w:val="-99"/>
        </w:rPr>
        <w:t>、</w:t>
      </w:r>
      <w:r>
        <w:rPr>
          <w:spacing w:val="-1"/>
        </w:rPr>
        <w:t>潘玉忠先生</w:t>
      </w:r>
      <w:r>
        <w:rPr/>
        <w:t>自</w:t>
      </w:r>
      <w:r>
        <w:rPr>
          <w:spacing w:val="-61"/>
        </w:rPr>
        <w:t> </w:t>
      </w:r>
      <w:r>
        <w:rPr>
          <w:spacing w:val="-1"/>
        </w:rPr>
        <w:t>200</w:t>
      </w:r>
      <w:r>
        <w:rPr/>
        <w:t>8</w:t>
      </w:r>
      <w:r>
        <w:rPr>
          <w:spacing w:val="-61"/>
        </w:rPr>
        <w:t> </w:t>
      </w:r>
      <w:r>
        <w:rPr>
          <w:spacing w:val="-1"/>
        </w:rPr>
        <w:t>年起服</w:t>
      </w:r>
      <w:r>
        <w:rPr/>
        <w:t>务</w:t>
      </w:r>
      <w:r>
        <w:rPr>
          <w:spacing w:val="-61"/>
        </w:rPr>
        <w:t> </w:t>
      </w:r>
      <w:r>
        <w:rPr/>
        <w:t>3</w:t>
      </w:r>
    </w:p>
    <w:p>
      <w:pPr>
        <w:spacing w:after="0" w:line="313" w:lineRule="exact"/>
        <w:jc w:val="both"/>
        <w:sectPr>
          <w:headerReference w:type="default" r:id="rId24"/>
          <w:pgSz w:w="11910" w:h="16840"/>
          <w:pgMar w:header="610" w:footer="764" w:top="1080" w:bottom="960" w:left="1280" w:right="7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178" w:right="0"/>
        <w:jc w:val="both"/>
      </w:pPr>
      <w:r>
        <w:rPr/>
        <w:t>年。</w:t>
      </w:r>
    </w:p>
    <w:p>
      <w:pPr>
        <w:spacing w:line="240" w:lineRule="auto" w:before="9"/>
        <w:rPr>
          <w:rFonts w:ascii="宋体" w:hAnsi="宋体" w:cs="宋体" w:eastAsia="宋体" w:hint="default"/>
          <w:sz w:val="23"/>
          <w:szCs w:val="23"/>
        </w:rPr>
      </w:pPr>
    </w:p>
    <w:p>
      <w:pPr>
        <w:pStyle w:val="BodyText"/>
        <w:spacing w:line="237" w:lineRule="auto"/>
        <w:ind w:left="178" w:right="220"/>
        <w:jc w:val="both"/>
      </w:pPr>
      <w:r>
        <w:rPr/>
        <w:t>公司按照行业标准和惯例，并根据会计师事务所在审计过程中的实际工作量，与信永中</w:t>
      </w:r>
      <w:r>
        <w:rPr>
          <w:spacing w:val="-47"/>
        </w:rPr>
        <w:t> </w:t>
      </w:r>
      <w:r>
        <w:rPr>
          <w:spacing w:val="-47"/>
        </w:rPr>
      </w:r>
      <w:r>
        <w:rPr/>
        <w:t>和会计师事务所协商，确定公司所支付的本年度审计报酬。此外，公司控股子公司泰豪</w:t>
      </w:r>
      <w:r>
        <w:rPr>
          <w:spacing w:val="-47"/>
        </w:rPr>
        <w:t> </w:t>
      </w:r>
      <w:r>
        <w:rPr>
          <w:spacing w:val="-47"/>
        </w:rPr>
      </w:r>
      <w:r>
        <w:rPr>
          <w:spacing w:val="-5"/>
        </w:rPr>
        <w:t>科技股份有限公司另外聘请中磊会计师事务所作为其审计服务机构、，公司控股子公司唐</w:t>
      </w:r>
      <w:r>
        <w:rPr>
          <w:spacing w:val="-92"/>
        </w:rPr>
        <w:t> </w:t>
      </w:r>
      <w:r>
        <w:rPr>
          <w:spacing w:val="-92"/>
        </w:rPr>
      </w:r>
      <w:r>
        <w:rPr/>
        <w:t>山晶源裕丰电子股份有限公司另外聘请北京兴华会计师事务所有限责任公司所作为其审</w:t>
      </w:r>
      <w:r>
        <w:rPr>
          <w:spacing w:val="-47"/>
        </w:rPr>
        <w:t> </w:t>
      </w:r>
      <w:r>
        <w:rPr>
          <w:spacing w:val="-47"/>
        </w:rPr>
      </w:r>
      <w:r>
        <w:rPr/>
        <w:t>计服务机构。</w:t>
      </w:r>
    </w:p>
    <w:p>
      <w:pPr>
        <w:spacing w:line="240" w:lineRule="auto" w:before="8"/>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776"/>
        <w:gridCol w:w="1505"/>
        <w:gridCol w:w="1075"/>
        <w:gridCol w:w="646"/>
        <w:gridCol w:w="1540"/>
        <w:gridCol w:w="1080"/>
        <w:gridCol w:w="669"/>
      </w:tblGrid>
      <w:tr>
        <w:trPr>
          <w:trHeight w:val="293" w:hRule="exact"/>
        </w:trPr>
        <w:tc>
          <w:tcPr>
            <w:tcW w:w="2776" w:type="dxa"/>
            <w:vMerge w:val="restart"/>
            <w:tcBorders>
              <w:top w:val="single" w:sz="12" w:space="0" w:color="000000"/>
              <w:left w:val="single" w:sz="12" w:space="0" w:color="000000"/>
              <w:right w:val="single" w:sz="6" w:space="0" w:color="000000"/>
            </w:tcBorders>
          </w:tcPr>
          <w:p>
            <w:pPr>
              <w:pStyle w:val="TableParagraph"/>
              <w:spacing w:line="240" w:lineRule="auto" w:before="92"/>
              <w:ind w:left="94" w:right="0"/>
              <w:jc w:val="left"/>
              <w:rPr>
                <w:rFonts w:ascii="宋体" w:hAnsi="宋体" w:cs="宋体" w:eastAsia="宋体" w:hint="default"/>
                <w:sz w:val="21"/>
                <w:szCs w:val="21"/>
              </w:rPr>
            </w:pPr>
            <w:r>
              <w:rPr>
                <w:rFonts w:ascii="宋体" w:hAnsi="宋体" w:cs="宋体" w:eastAsia="宋体" w:hint="default"/>
                <w:sz w:val="21"/>
                <w:szCs w:val="21"/>
              </w:rPr>
              <w:t>单位：万元</w:t>
            </w:r>
          </w:p>
        </w:tc>
        <w:tc>
          <w:tcPr>
            <w:tcW w:w="322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89"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2776" w:type="dxa"/>
            <w:vMerge/>
            <w:tcBorders>
              <w:left w:val="single" w:sz="12"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总计</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总计</w:t>
            </w:r>
          </w:p>
        </w:tc>
      </w:tr>
      <w:tr>
        <w:trPr>
          <w:trHeight w:val="287" w:hRule="exact"/>
        </w:trPr>
        <w:tc>
          <w:tcPr>
            <w:tcW w:w="277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本公司(含控股子公司)</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215</w:t>
            </w:r>
          </w:p>
        </w:tc>
        <w:tc>
          <w:tcPr>
            <w:tcW w:w="1075"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195</w:t>
            </w:r>
          </w:p>
        </w:tc>
        <w:tc>
          <w:tcPr>
            <w:tcW w:w="1080" w:type="dxa"/>
            <w:tcBorders>
              <w:top w:val="single" w:sz="6" w:space="0" w:color="000000"/>
              <w:left w:val="single" w:sz="6" w:space="0" w:color="000000"/>
              <w:bottom w:val="single" w:sz="6" w:space="0" w:color="000000"/>
              <w:right w:val="single" w:sz="6" w:space="0" w:color="000000"/>
            </w:tcBorders>
          </w:tcPr>
          <w:p>
            <w:pP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21"/>
                <w:szCs w:val="21"/>
              </w:rPr>
            </w:pPr>
            <w:r>
              <w:rPr>
                <w:rFonts w:ascii="Times New Roman"/>
                <w:spacing w:val="-1"/>
                <w:sz w:val="21"/>
              </w:rPr>
              <w:t>195</w:t>
            </w:r>
          </w:p>
        </w:tc>
      </w:tr>
      <w:tr>
        <w:trPr>
          <w:trHeight w:val="288" w:hRule="exact"/>
        </w:trPr>
        <w:tc>
          <w:tcPr>
            <w:tcW w:w="277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w:t>
            </w:r>
          </w:p>
        </w:tc>
        <w:tc>
          <w:tcPr>
            <w:tcW w:w="1075"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w:t>
            </w:r>
          </w:p>
        </w:tc>
        <w:tc>
          <w:tcPr>
            <w:tcW w:w="1080" w:type="dxa"/>
            <w:tcBorders>
              <w:top w:val="single" w:sz="6" w:space="0" w:color="000000"/>
              <w:left w:val="single" w:sz="6" w:space="0" w:color="000000"/>
              <w:bottom w:val="single" w:sz="6" w:space="0" w:color="000000"/>
              <w:right w:val="single" w:sz="6" w:space="0" w:color="000000"/>
            </w:tcBorders>
          </w:tcPr>
          <w:p>
            <w:pP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z w:val="21"/>
              </w:rPr>
              <w:t>55</w:t>
            </w:r>
          </w:p>
        </w:tc>
      </w:tr>
      <w:tr>
        <w:trPr>
          <w:trHeight w:val="567" w:hRule="exact"/>
        </w:trPr>
        <w:tc>
          <w:tcPr>
            <w:tcW w:w="277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3"/>
                <w:sz w:val="21"/>
                <w:szCs w:val="21"/>
              </w:rPr>
              <w:t>唐山晶源裕丰电子股份有限</w:t>
            </w:r>
            <w:r>
              <w:rPr>
                <w:rFonts w:ascii="宋体" w:hAnsi="宋体" w:cs="宋体" w:eastAsia="宋体" w:hint="default"/>
                <w:sz w:val="21"/>
                <w:szCs w:val="21"/>
              </w:rPr>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w:t>
            </w:r>
          </w:p>
        </w:tc>
        <w:tc>
          <w:tcPr>
            <w:tcW w:w="1075" w:type="dxa"/>
            <w:tcBorders>
              <w:top w:val="single" w:sz="6" w:space="0" w:color="000000"/>
              <w:left w:val="single" w:sz="6" w:space="0" w:color="000000"/>
              <w:bottom w:val="single" w:sz="12" w:space="0" w:color="000000"/>
              <w:right w:val="single" w:sz="6" w:space="0" w:color="000000"/>
            </w:tcBorders>
          </w:tcPr>
          <w:p>
            <w:pPr/>
          </w:p>
        </w:tc>
        <w:tc>
          <w:tcPr>
            <w:tcW w:w="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35</w:t>
            </w:r>
          </w:p>
        </w:tc>
        <w:tc>
          <w:tcPr>
            <w:tcW w:w="1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w:t>
            </w:r>
          </w:p>
        </w:tc>
        <w:tc>
          <w:tcPr>
            <w:tcW w:w="1080" w:type="dxa"/>
            <w:tcBorders>
              <w:top w:val="single" w:sz="6" w:space="0" w:color="000000"/>
              <w:left w:val="single" w:sz="6" w:space="0" w:color="000000"/>
              <w:bottom w:val="single" w:sz="12" w:space="0" w:color="000000"/>
              <w:right w:val="single" w:sz="6" w:space="0" w:color="000000"/>
            </w:tcBorders>
          </w:tcPr>
          <w:p>
            <w:pPr/>
          </w:p>
        </w:tc>
        <w:tc>
          <w:tcPr>
            <w:tcW w:w="6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21"/>
                <w:szCs w:val="21"/>
              </w:rPr>
            </w:pPr>
            <w:r>
              <w:rPr>
                <w:rFonts w:ascii="Times New Roman"/>
                <w:sz w:val="21"/>
              </w:rPr>
              <w:t>30</w:t>
            </w:r>
          </w:p>
        </w:tc>
      </w:tr>
    </w:tbl>
    <w:p>
      <w:pPr>
        <w:spacing w:line="238" w:lineRule="exact" w:before="0"/>
        <w:ind w:left="178" w:right="0" w:firstLine="0"/>
        <w:jc w:val="left"/>
        <w:rPr>
          <w:rFonts w:ascii="宋体" w:hAnsi="宋体" w:cs="宋体" w:eastAsia="宋体" w:hint="default"/>
          <w:sz w:val="21"/>
          <w:szCs w:val="21"/>
        </w:rPr>
      </w:pPr>
      <w:r>
        <w:rPr>
          <w:rFonts w:ascii="宋体" w:hAnsi="宋体" w:cs="宋体" w:eastAsia="宋体" w:hint="default"/>
          <w:sz w:val="21"/>
          <w:szCs w:val="21"/>
        </w:rPr>
        <w:t>注：本公司(含控股子公司)不包括公司控股子公司泰豪科技股份有限公司、唐山晶源裕丰电子股份有</w:t>
      </w:r>
    </w:p>
    <w:p>
      <w:pPr>
        <w:spacing w:line="274" w:lineRule="exact" w:before="0"/>
        <w:ind w:left="178" w:right="0" w:firstLine="0"/>
        <w:jc w:val="left"/>
        <w:rPr>
          <w:rFonts w:ascii="宋体" w:hAnsi="宋体" w:cs="宋体" w:eastAsia="宋体" w:hint="default"/>
          <w:sz w:val="21"/>
          <w:szCs w:val="21"/>
        </w:rPr>
      </w:pPr>
      <w:r>
        <w:rPr>
          <w:rFonts w:ascii="宋体" w:hAnsi="宋体" w:cs="宋体" w:eastAsia="宋体" w:hint="default"/>
          <w:sz w:val="21"/>
          <w:szCs w:val="21"/>
        </w:rPr>
        <w:t>限公司所支付会计师事务所的报酬。财务审计费用不含差旅、食宿等。</w:t>
      </w:r>
    </w:p>
    <w:p>
      <w:pPr>
        <w:spacing w:line="240" w:lineRule="auto" w:before="5"/>
        <w:rPr>
          <w:rFonts w:ascii="宋体" w:hAnsi="宋体" w:cs="宋体" w:eastAsia="宋体" w:hint="default"/>
          <w:sz w:val="23"/>
          <w:szCs w:val="23"/>
        </w:rPr>
      </w:pPr>
    </w:p>
    <w:p>
      <w:pPr>
        <w:pStyle w:val="Heading3"/>
        <w:spacing w:line="240" w:lineRule="auto"/>
        <w:ind w:left="178" w:right="0"/>
        <w:jc w:val="left"/>
        <w:rPr>
          <w:b w:val="0"/>
          <w:bCs w:val="0"/>
        </w:rPr>
      </w:pPr>
      <w:r>
        <w:rPr/>
        <w:t>8、期后事项</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left="178" w:right="0"/>
        <w:jc w:val="left"/>
      </w:pPr>
      <w:r>
        <w:rPr/>
        <w:t>(1)</w:t>
      </w:r>
      <w:r>
        <w:rPr>
          <w:spacing w:val="62"/>
        </w:rPr>
        <w:t> </w:t>
      </w:r>
      <w:r>
        <w:rPr/>
        <w:t>向上海广电信息产业股份有限公司出售公司持有的百视通网络电视技术发展有限责</w:t>
      </w:r>
      <w:r>
        <w:rPr>
          <w:spacing w:val="-111"/>
        </w:rPr>
        <w:t> </w:t>
      </w:r>
      <w:r>
        <w:rPr>
          <w:spacing w:val="-111"/>
        </w:rPr>
      </w:r>
      <w:r>
        <w:rPr/>
        <w:t>任公司</w:t>
      </w:r>
      <w:r>
        <w:rPr>
          <w:spacing w:val="-60"/>
        </w:rPr>
        <w:t> </w:t>
      </w:r>
      <w:r>
        <w:rPr/>
        <w:t>15.4655%的股权并认购其股份事宜</w:t>
      </w:r>
    </w:p>
    <w:p>
      <w:pPr>
        <w:spacing w:line="240" w:lineRule="auto" w:before="7"/>
        <w:rPr>
          <w:rFonts w:ascii="宋体" w:hAnsi="宋体" w:cs="宋体" w:eastAsia="宋体" w:hint="default"/>
          <w:sz w:val="21"/>
          <w:szCs w:val="21"/>
        </w:rPr>
      </w:pPr>
    </w:p>
    <w:p>
      <w:pPr>
        <w:pStyle w:val="BodyText"/>
        <w:spacing w:line="237" w:lineRule="auto"/>
        <w:ind w:left="178" w:right="0"/>
        <w:jc w:val="left"/>
      </w:pPr>
      <w:r>
        <w:rPr>
          <w:spacing w:val="25"/>
        </w:rPr>
        <w:t>2011年1月</w:t>
      </w:r>
      <w:r>
        <w:rPr>
          <w:spacing w:val="-53"/>
        </w:rPr>
        <w:t> </w:t>
      </w:r>
      <w:r>
        <w:rPr/>
        <w:t>10</w:t>
      </w:r>
      <w:r>
        <w:rPr>
          <w:spacing w:val="-53"/>
        </w:rPr>
        <w:t> </w:t>
      </w:r>
      <w:r>
        <w:rPr>
          <w:spacing w:val="-4"/>
        </w:rPr>
        <w:t>日，经公司第五届董事会第十二次会议审议，公司拟将持有的百视通网络</w:t>
      </w:r>
      <w:r>
        <w:rPr>
          <w:spacing w:val="-103"/>
        </w:rPr>
        <w:t> </w:t>
      </w:r>
      <w:r>
        <w:rPr>
          <w:spacing w:val="-103"/>
        </w:rPr>
      </w:r>
      <w:r>
        <w:rPr/>
        <w:t>电视技术发展有限责任公司(以下简称“百视通技术”)15.4655%股权出售给上海广电信</w:t>
      </w:r>
      <w:r>
        <w:rPr>
          <w:spacing w:val="-51"/>
        </w:rPr>
        <w:t> </w:t>
      </w:r>
      <w:r>
        <w:rPr>
          <w:spacing w:val="-51"/>
        </w:rPr>
      </w:r>
      <w:r>
        <w:rPr/>
        <w:t>息产业股份有限公司(以下简称“广电信息”)，广电信息以非公开发行 A</w:t>
      </w:r>
      <w:r>
        <w:rPr>
          <w:spacing w:val="-42"/>
        </w:rPr>
        <w:t> </w:t>
      </w:r>
      <w:r>
        <w:rPr/>
        <w:t>股股票的方式</w:t>
      </w:r>
      <w:r>
        <w:rPr/>
        <w:t> 购买上述股权，百视通技术相关股权的定价以具有证券期货从业资格的资产评估机构出</w:t>
      </w:r>
      <w:r>
        <w:rPr>
          <w:spacing w:val="-47"/>
        </w:rPr>
        <w:t> </w:t>
      </w:r>
      <w:r>
        <w:rPr>
          <w:spacing w:val="-47"/>
        </w:rPr>
      </w:r>
      <w:r>
        <w:rPr/>
        <w:t>具并经国有资产监督管理部门核准或备案的评估结果确定。董事会同意上述交易与上海</w:t>
      </w:r>
      <w:r>
        <w:rPr>
          <w:spacing w:val="-47"/>
        </w:rPr>
        <w:t> </w:t>
      </w:r>
      <w:r>
        <w:rPr>
          <w:spacing w:val="-47"/>
        </w:rPr>
      </w:r>
      <w:r>
        <w:rPr/>
        <w:t>东方传媒集团有限公司向上海仪电控股(集团)公司收购广电信息股份交易、广电信息向</w:t>
      </w:r>
      <w:r>
        <w:rPr>
          <w:spacing w:val="-45"/>
        </w:rPr>
        <w:t> </w:t>
      </w:r>
      <w:r>
        <w:rPr>
          <w:spacing w:val="-45"/>
        </w:rPr>
      </w:r>
      <w:r>
        <w:rPr/>
        <w:t>仪电集团及其关联方、非关联第三方出售资产交易共同构成广电信息本次重大资产重组</w:t>
      </w:r>
      <w:r>
        <w:rPr>
          <w:spacing w:val="-47"/>
        </w:rPr>
        <w:t> </w:t>
      </w:r>
      <w:r>
        <w:rPr>
          <w:spacing w:val="-47"/>
        </w:rPr>
      </w:r>
      <w:r>
        <w:rPr>
          <w:spacing w:val="-2"/>
        </w:rPr>
        <w:t>不可分割的整体，三项交易中的任何一项未获得所需的批准，则其他两项交易均不生效，</w:t>
      </w:r>
      <w:r>
        <w:rPr>
          <w:spacing w:val="-82"/>
        </w:rPr>
        <w:t> </w:t>
      </w:r>
      <w:r>
        <w:rPr>
          <w:spacing w:val="-82"/>
        </w:rPr>
      </w:r>
      <w:r>
        <w:rPr/>
        <w:t>广电信息本次重大资产重组方案自始不生效。上述决议亦不产生效力。</w:t>
      </w:r>
    </w:p>
    <w:p>
      <w:pPr>
        <w:spacing w:line="240" w:lineRule="auto" w:before="13"/>
        <w:rPr>
          <w:rFonts w:ascii="宋体" w:hAnsi="宋体" w:cs="宋体" w:eastAsia="宋体" w:hint="default"/>
          <w:sz w:val="25"/>
          <w:szCs w:val="25"/>
        </w:rPr>
      </w:pPr>
    </w:p>
    <w:p>
      <w:pPr>
        <w:pStyle w:val="BodyText"/>
        <w:spacing w:line="312" w:lineRule="exact"/>
        <w:ind w:left="178" w:right="166"/>
        <w:jc w:val="left"/>
      </w:pPr>
      <w:r>
        <w:rPr/>
        <w:t>非公开发行</w:t>
      </w:r>
      <w:r>
        <w:rPr>
          <w:spacing w:val="-54"/>
        </w:rPr>
        <w:t> </w:t>
      </w:r>
      <w:r>
        <w:rPr/>
        <w:t>A</w:t>
      </w:r>
      <w:r>
        <w:rPr>
          <w:spacing w:val="-54"/>
        </w:rPr>
        <w:t> </w:t>
      </w:r>
      <w:r>
        <w:rPr>
          <w:spacing w:val="-3"/>
        </w:rPr>
        <w:t>股股票的价格为定价基准日(即：广电信息审议本次重大资产重组相关事宜</w:t>
      </w:r>
      <w:r>
        <w:rPr>
          <w:spacing w:val="-110"/>
        </w:rPr>
        <w:t> </w:t>
      </w:r>
      <w:r>
        <w:rPr>
          <w:spacing w:val="-110"/>
        </w:rPr>
      </w:r>
      <w:r>
        <w:rPr/>
        <w:t>的首次董事会决议进行公告的日期)的前二十个交易日的股票交易均价，即</w:t>
      </w:r>
      <w:r>
        <w:rPr>
          <w:spacing w:val="-60"/>
        </w:rPr>
        <w:t> </w:t>
      </w:r>
      <w:r>
        <w:rPr/>
        <w:t>7.67</w:t>
      </w:r>
      <w:r>
        <w:rPr>
          <w:spacing w:val="-60"/>
        </w:rPr>
        <w:t> </w:t>
      </w:r>
      <w:r>
        <w:rPr/>
        <w:t>元/股；</w:t>
      </w:r>
    </w:p>
    <w:p>
      <w:pPr>
        <w:pStyle w:val="BodyText"/>
        <w:spacing w:line="281" w:lineRule="exact"/>
        <w:ind w:left="178" w:right="0"/>
        <w:jc w:val="left"/>
      </w:pPr>
      <w:r>
        <w:rPr/>
        <w:t>最终发行价格尚需经广电信息股东大会批准。根据百视通技术预估的评估值</w:t>
      </w:r>
      <w:r>
        <w:rPr>
          <w:spacing w:val="-80"/>
        </w:rPr>
        <w:t> </w:t>
      </w:r>
      <w:r>
        <w:rPr/>
        <w:t>31.4</w:t>
      </w:r>
      <w:r>
        <w:rPr>
          <w:spacing w:val="-80"/>
        </w:rPr>
        <w:t> </w:t>
      </w:r>
      <w:r>
        <w:rPr/>
        <w:t>亿元计</w:t>
      </w:r>
    </w:p>
    <w:p>
      <w:pPr>
        <w:pStyle w:val="BodyText"/>
        <w:spacing w:line="237" w:lineRule="auto" w:before="1"/>
        <w:ind w:left="178" w:right="220"/>
        <w:jc w:val="both"/>
      </w:pPr>
      <w:r>
        <w:rPr/>
        <w:t>算，广电信息将向公司发行 63,333,339 股以购买公司持有的百视通技术</w:t>
      </w:r>
      <w:r>
        <w:rPr>
          <w:spacing w:val="-42"/>
        </w:rPr>
        <w:t> </w:t>
      </w:r>
      <w:r>
        <w:rPr/>
        <w:t>15.4655%的股</w:t>
      </w:r>
      <w:r>
        <w:rPr/>
        <w:t> 权。本次权益变动前，公司不持有广电信息的股份，本次权益变动后，公司持有广电信</w:t>
      </w:r>
      <w:r>
        <w:rPr>
          <w:spacing w:val="-47"/>
        </w:rPr>
        <w:t> </w:t>
      </w:r>
      <w:r>
        <w:rPr>
          <w:spacing w:val="-47"/>
        </w:rPr>
      </w:r>
      <w:r>
        <w:rPr/>
        <w:t>息</w:t>
      </w:r>
      <w:r>
        <w:rPr>
          <w:spacing w:val="-56"/>
        </w:rPr>
        <w:t> </w:t>
      </w:r>
      <w:r>
        <w:rPr/>
        <w:t>63,333,339</w:t>
      </w:r>
      <w:r>
        <w:rPr>
          <w:spacing w:val="-56"/>
        </w:rPr>
        <w:t> </w:t>
      </w:r>
      <w:r>
        <w:rPr>
          <w:spacing w:val="-3"/>
        </w:rPr>
        <w:t>股股份。最终公司获得的发行股份数量尚需经国有资产监督管理部门核准</w:t>
      </w:r>
      <w:r>
        <w:rPr>
          <w:spacing w:val="-115"/>
        </w:rPr>
        <w:t> </w:t>
      </w:r>
      <w:r>
        <w:rPr>
          <w:spacing w:val="-115"/>
        </w:rPr>
      </w:r>
      <w:r>
        <w:rPr/>
        <w:t>或备案的评估结果为依据计算确认。</w:t>
      </w:r>
    </w:p>
    <w:p>
      <w:pPr>
        <w:spacing w:line="240" w:lineRule="auto" w:before="8"/>
        <w:rPr>
          <w:rFonts w:ascii="宋体" w:hAnsi="宋体" w:cs="宋体" w:eastAsia="宋体" w:hint="default"/>
          <w:sz w:val="23"/>
          <w:szCs w:val="23"/>
        </w:rPr>
      </w:pPr>
    </w:p>
    <w:p>
      <w:pPr>
        <w:pStyle w:val="BodyText"/>
        <w:spacing w:line="240" w:lineRule="auto"/>
        <w:ind w:left="178" w:right="0"/>
        <w:jc w:val="left"/>
      </w:pPr>
      <w:r>
        <w:rPr/>
        <w:t>(2) 分拆控股子公司</w:t>
      </w:r>
      <w:r>
        <w:rPr>
          <w:spacing w:val="-60"/>
        </w:rPr>
        <w:t> </w:t>
      </w:r>
      <w:r>
        <w:rPr/>
        <w:t>Technovator</w:t>
      </w:r>
      <w:r>
        <w:rPr>
          <w:spacing w:val="-60"/>
        </w:rPr>
        <w:t> </w:t>
      </w:r>
      <w:r>
        <w:rPr/>
        <w:t>香港联交所上市事宜</w:t>
      </w:r>
    </w:p>
    <w:p>
      <w:pPr>
        <w:spacing w:line="240" w:lineRule="auto" w:before="1"/>
        <w:rPr>
          <w:rFonts w:ascii="宋体" w:hAnsi="宋体" w:cs="宋体" w:eastAsia="宋体" w:hint="default"/>
          <w:sz w:val="26"/>
          <w:szCs w:val="26"/>
        </w:rPr>
      </w:pPr>
    </w:p>
    <w:p>
      <w:pPr>
        <w:pStyle w:val="BodyText"/>
        <w:spacing w:line="310" w:lineRule="exact"/>
        <w:ind w:left="178" w:right="210"/>
        <w:jc w:val="left"/>
      </w:pPr>
      <w:r>
        <w:rPr/>
        <w:t>2011 年 3 月 9</w:t>
      </w:r>
      <w:r>
        <w:rPr>
          <w:spacing w:val="-44"/>
        </w:rPr>
        <w:t> </w:t>
      </w:r>
      <w:r>
        <w:rPr/>
        <w:t>日，经公司第五届董事会第十四次会议审议，公司拟将下属控股子公司</w:t>
      </w:r>
      <w:r>
        <w:rPr/>
        <w:t> Technovator Int Private Ltd.公司分拆赴香港联交所上市。具体上市方案为：</w:t>
      </w:r>
    </w:p>
    <w:p>
      <w:pPr>
        <w:spacing w:after="0" w:line="310" w:lineRule="exact"/>
        <w:jc w:val="left"/>
        <w:sectPr>
          <w:pgSz w:w="11910" w:h="16840"/>
          <w:pgMar w:header="610" w:footer="764" w:top="1080" w:bottom="960" w:left="124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998" w:val="left" w:leader="none"/>
        </w:tabs>
        <w:spacing w:line="321" w:lineRule="exact" w:before="26"/>
        <w:ind w:left="578" w:right="583"/>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分拆上市地：香港联交所。</w:t>
      </w:r>
    </w:p>
    <w:p>
      <w:pPr>
        <w:pStyle w:val="BodyText"/>
        <w:spacing w:line="232" w:lineRule="auto"/>
        <w:ind w:left="998" w:right="582" w:hanging="420"/>
        <w:jc w:val="both"/>
      </w:pPr>
      <w:r>
        <w:rPr>
          <w:rFonts w:ascii="Wingdings" w:hAnsi="Wingdings" w:cs="Wingdings" w:eastAsia="Wingdings" w:hint="default"/>
        </w:rPr>
        <w:t></w:t>
      </w:r>
      <w:r>
        <w:rPr>
          <w:rFonts w:ascii="Wingdings" w:hAnsi="Wingdings" w:cs="Wingdings" w:eastAsia="Wingdings" w:hint="default"/>
          <w:spacing w:val="10"/>
        </w:rPr>
        <w:t></w:t>
      </w:r>
      <w:r>
        <w:rPr>
          <w:rFonts w:ascii="Times New Roman" w:hAnsi="Times New Roman" w:cs="Times New Roman" w:eastAsia="Times New Roman" w:hint="default"/>
          <w:spacing w:val="10"/>
        </w:rPr>
      </w:r>
      <w:r>
        <w:rPr>
          <w:spacing w:val="-3"/>
        </w:rPr>
        <w:t>发行股票面值和股本拆细：为扩大发行后股票交易量，并便于在境外增发股票和其它</w:t>
      </w:r>
      <w:r>
        <w:rPr/>
        <w:t> 再融资,</w:t>
      </w:r>
      <w:r>
        <w:rPr>
          <w:spacing w:val="-51"/>
        </w:rPr>
        <w:t> </w:t>
      </w:r>
      <w:r>
        <w:rPr/>
        <w:t>Technovator</w:t>
      </w:r>
      <w:r>
        <w:rPr>
          <w:spacing w:val="-70"/>
        </w:rPr>
        <w:t> </w:t>
      </w:r>
      <w:r>
        <w:rPr/>
        <w:t>公司拟实施股本拆细，具体为：目前</w:t>
      </w:r>
      <w:r>
        <w:rPr>
          <w:spacing w:val="-70"/>
        </w:rPr>
        <w:t> </w:t>
      </w:r>
      <w:r>
        <w:rPr/>
        <w:t>Technovator</w:t>
      </w:r>
      <w:r>
        <w:rPr>
          <w:spacing w:val="-70"/>
        </w:rPr>
        <w:t> </w:t>
      </w:r>
      <w:r>
        <w:rPr/>
        <w:t>公司的总股</w:t>
      </w:r>
      <w:r>
        <w:rPr>
          <w:spacing w:val="-1"/>
        </w:rPr>
        <w:t> </w:t>
      </w:r>
      <w:r>
        <w:rPr/>
        <w:t>本为每股面值</w:t>
      </w:r>
      <w:r>
        <w:rPr>
          <w:spacing w:val="-59"/>
        </w:rPr>
        <w:t> </w:t>
      </w:r>
      <w:r>
        <w:rPr/>
        <w:t>1</w:t>
      </w:r>
      <w:r>
        <w:rPr>
          <w:spacing w:val="-59"/>
        </w:rPr>
        <w:t> </w:t>
      </w:r>
      <w:r>
        <w:rPr/>
        <w:t>美元的</w:t>
      </w:r>
      <w:r>
        <w:rPr>
          <w:spacing w:val="-59"/>
        </w:rPr>
        <w:t> </w:t>
      </w:r>
      <w:r>
        <w:rPr/>
        <w:t>908</w:t>
      </w:r>
      <w:r>
        <w:rPr>
          <w:spacing w:val="-59"/>
        </w:rPr>
        <w:t> </w:t>
      </w:r>
      <w:r>
        <w:rPr>
          <w:spacing w:val="-14"/>
        </w:rPr>
        <w:t>万股，拟以每</w:t>
      </w:r>
      <w:r>
        <w:rPr>
          <w:spacing w:val="-59"/>
        </w:rPr>
        <w:t> </w:t>
      </w:r>
      <w:r>
        <w:rPr/>
        <w:t>1</w:t>
      </w:r>
      <w:r>
        <w:rPr>
          <w:spacing w:val="-59"/>
        </w:rPr>
        <w:t> </w:t>
      </w:r>
      <w:r>
        <w:rPr/>
        <w:t>股拆</w:t>
      </w:r>
      <w:r>
        <w:rPr>
          <w:spacing w:val="-59"/>
        </w:rPr>
        <w:t> </w:t>
      </w:r>
      <w:r>
        <w:rPr/>
        <w:t>40</w:t>
      </w:r>
      <w:r>
        <w:rPr>
          <w:spacing w:val="-59"/>
        </w:rPr>
        <w:t> </w:t>
      </w:r>
      <w:r>
        <w:rPr>
          <w:spacing w:val="-7"/>
        </w:rPr>
        <w:t>股的方式扩大股本，由总股本</w:t>
      </w:r>
      <w:r>
        <w:rPr>
          <w:spacing w:val="-59"/>
        </w:rPr>
        <w:t> </w:t>
      </w:r>
      <w:r>
        <w:rPr/>
        <w:t>908</w:t>
      </w:r>
    </w:p>
    <w:p>
      <w:pPr>
        <w:pStyle w:val="BodyText"/>
        <w:spacing w:line="311" w:lineRule="exact"/>
        <w:ind w:left="998" w:right="583"/>
        <w:jc w:val="left"/>
      </w:pPr>
      <w:r>
        <w:rPr/>
        <w:t>万股扩大至每股面值</w:t>
      </w:r>
      <w:r>
        <w:rPr>
          <w:spacing w:val="-60"/>
        </w:rPr>
        <w:t> </w:t>
      </w:r>
      <w:r>
        <w:rPr/>
        <w:t>0.025</w:t>
      </w:r>
      <w:r>
        <w:rPr>
          <w:spacing w:val="-60"/>
        </w:rPr>
        <w:t> </w:t>
      </w:r>
      <w:r>
        <w:rPr/>
        <w:t>美元的</w:t>
      </w:r>
      <w:r>
        <w:rPr>
          <w:spacing w:val="-60"/>
        </w:rPr>
        <w:t> </w:t>
      </w:r>
      <w:r>
        <w:rPr/>
        <w:t>36320</w:t>
      </w:r>
      <w:r>
        <w:rPr>
          <w:spacing w:val="-60"/>
        </w:rPr>
        <w:t> </w:t>
      </w:r>
      <w:r>
        <w:rPr/>
        <w:t>万股。</w:t>
      </w:r>
    </w:p>
    <w:p>
      <w:pPr>
        <w:pStyle w:val="BodyText"/>
        <w:spacing w:line="235" w:lineRule="auto" w:before="4"/>
        <w:ind w:left="998" w:right="577" w:hanging="420"/>
        <w:jc w:val="both"/>
      </w:pPr>
      <w:r>
        <w:rPr>
          <w:rFonts w:ascii="Wingdings" w:hAnsi="Wingdings" w:cs="Wingdings" w:eastAsia="Wingdings" w:hint="default"/>
          <w:w w:val="99"/>
        </w:rPr>
        <w:t></w:t>
      </w:r>
      <w:r>
        <w:rPr>
          <w:rFonts w:ascii="Wingdings" w:hAnsi="Wingdings" w:cs="Wingdings" w:eastAsia="Wingdings" w:hint="default"/>
          <w:spacing w:val="4"/>
          <w:w w:val="99"/>
        </w:rPr>
        <w:t></w:t>
      </w:r>
      <w:r>
        <w:rPr>
          <w:rFonts w:ascii="Times New Roman" w:hAnsi="Times New Roman" w:cs="Times New Roman" w:eastAsia="Times New Roman" w:hint="default"/>
          <w:spacing w:val="4"/>
          <w:w w:val="99"/>
        </w:rPr>
      </w:r>
      <w:r>
        <w:rPr>
          <w:spacing w:val="-6"/>
        </w:rPr>
        <w:t>发行数量：拟发行不少于扩大股份后总数</w:t>
      </w:r>
      <w:r>
        <w:rPr>
          <w:spacing w:val="-60"/>
        </w:rPr>
        <w:t> </w:t>
      </w:r>
      <w:r>
        <w:rPr/>
        <w:t>25%(含行使</w:t>
      </w:r>
      <w:r>
        <w:rPr>
          <w:spacing w:val="-60"/>
        </w:rPr>
        <w:t> </w:t>
      </w:r>
      <w:r>
        <w:rPr/>
        <w:t>15%超额配售选择权)</w:t>
      </w:r>
      <w:r>
        <w:rPr>
          <w:spacing w:val="1"/>
        </w:rPr>
        <w:t> </w:t>
      </w:r>
      <w:r>
        <w:rPr/>
        <w:t>的新股予</w:t>
      </w:r>
      <w:r>
        <w:rPr/>
        <w:t> </w:t>
      </w:r>
      <w:r>
        <w:rPr>
          <w:spacing w:val="4"/>
        </w:rPr>
        <w:t>境外投资者。假使 </w:t>
      </w:r>
      <w:r>
        <w:rPr/>
        <w:t>Technovator </w:t>
      </w:r>
      <w:r>
        <w:rPr>
          <w:spacing w:val="4"/>
        </w:rPr>
        <w:t>公司拟对外发行 </w:t>
      </w:r>
      <w:r>
        <w:rPr/>
        <w:t>121066667</w:t>
      </w:r>
      <w:r>
        <w:rPr>
          <w:spacing w:val="10"/>
        </w:rPr>
        <w:t> </w:t>
      </w:r>
      <w:r>
        <w:rPr>
          <w:spacing w:val="4"/>
        </w:rPr>
        <w:t>股，占发行后总股本</w:t>
      </w:r>
      <w:r>
        <w:rPr>
          <w:spacing w:val="5"/>
        </w:rPr>
        <w:t> </w:t>
      </w:r>
      <w:r>
        <w:rPr/>
        <w:t>484266667</w:t>
      </w:r>
      <w:r>
        <w:rPr>
          <w:spacing w:val="-59"/>
        </w:rPr>
        <w:t> </w:t>
      </w:r>
      <w:r>
        <w:rPr/>
        <w:t>股的</w:t>
      </w:r>
      <w:r>
        <w:rPr>
          <w:spacing w:val="-59"/>
        </w:rPr>
        <w:t> </w:t>
      </w:r>
      <w:r>
        <w:rPr>
          <w:spacing w:val="-16"/>
        </w:rPr>
        <w:t>25%，未行使</w:t>
      </w:r>
      <w:r>
        <w:rPr>
          <w:spacing w:val="-59"/>
        </w:rPr>
        <w:t> </w:t>
      </w:r>
      <w:r>
        <w:rPr>
          <w:spacing w:val="-5"/>
        </w:rPr>
        <w:t>15%超额配售选择权，则发行前公司的合并权益由</w:t>
      </w:r>
      <w:r>
        <w:rPr>
          <w:spacing w:val="-59"/>
        </w:rPr>
        <w:t> </w:t>
      </w:r>
      <w:r>
        <w:rPr/>
        <w:t>47.36%</w:t>
      </w:r>
      <w:r>
        <w:rPr/>
        <w:t> 变更为发行后的</w:t>
      </w:r>
      <w:r>
        <w:rPr>
          <w:spacing w:val="-73"/>
        </w:rPr>
        <w:t> </w:t>
      </w:r>
      <w:r>
        <w:rPr/>
        <w:t>35.52%，其中公司直接持股比例为</w:t>
      </w:r>
      <w:r>
        <w:rPr>
          <w:spacing w:val="-73"/>
        </w:rPr>
        <w:t> </w:t>
      </w:r>
      <w:r>
        <w:rPr/>
        <w:t>19%，公司全资子公司</w:t>
      </w:r>
      <w:r>
        <w:rPr>
          <w:spacing w:val="-73"/>
        </w:rPr>
        <w:t> </w:t>
      </w:r>
      <w:r>
        <w:rPr/>
        <w:t>Resuccess</w:t>
      </w:r>
      <w:r>
        <w:rPr/>
        <w:t> Investments Limited</w:t>
      </w:r>
      <w:r>
        <w:rPr>
          <w:spacing w:val="-60"/>
        </w:rPr>
        <w:t> </w:t>
      </w:r>
      <w:r>
        <w:rPr/>
        <w:t>持股</w:t>
      </w:r>
      <w:r>
        <w:rPr>
          <w:spacing w:val="-60"/>
        </w:rPr>
        <w:t> </w:t>
      </w:r>
      <w:r>
        <w:rPr/>
        <w:t>16.52%。</w:t>
      </w:r>
    </w:p>
    <w:p>
      <w:pPr>
        <w:pStyle w:val="BodyText"/>
        <w:tabs>
          <w:tab w:pos="998" w:val="left" w:leader="none"/>
        </w:tabs>
        <w:spacing w:line="310" w:lineRule="exact" w:before="31"/>
        <w:ind w:left="998" w:right="583"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4"/>
        </w:rPr>
        <w:t>发行价格：在充分考虑公司及股东利益的基础上，根据国际惯例，并依据发行当时境</w:t>
      </w:r>
      <w:r>
        <w:rPr>
          <w:spacing w:val="-106"/>
        </w:rPr>
        <w:t> </w:t>
      </w:r>
      <w:r>
        <w:rPr>
          <w:spacing w:val="-106"/>
        </w:rPr>
      </w:r>
      <w:r>
        <w:rPr/>
        <w:t>外资本市场状况，比较同类公司在境外资本市场的估值水平进行定价。</w:t>
      </w:r>
    </w:p>
    <w:p>
      <w:pPr>
        <w:pStyle w:val="BodyText"/>
        <w:tabs>
          <w:tab w:pos="998" w:val="left" w:leader="none"/>
        </w:tabs>
        <w:spacing w:line="290" w:lineRule="exact"/>
        <w:ind w:left="578" w:right="48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发行时间：本次发行初步预计于</w:t>
      </w:r>
      <w:r>
        <w:rPr>
          <w:spacing w:val="-50"/>
        </w:rPr>
        <w:t> </w:t>
      </w:r>
      <w:r>
        <w:rPr/>
        <w:t>2011</w:t>
      </w:r>
      <w:r>
        <w:rPr>
          <w:spacing w:val="-50"/>
        </w:rPr>
        <w:t> </w:t>
      </w:r>
      <w:r>
        <w:rPr/>
        <w:t>年下半年进行，具体发行时间需视国际资本市</w:t>
      </w:r>
    </w:p>
    <w:p>
      <w:pPr>
        <w:pStyle w:val="BodyText"/>
        <w:spacing w:line="303" w:lineRule="exact"/>
        <w:ind w:left="998" w:right="583"/>
        <w:jc w:val="left"/>
      </w:pPr>
      <w:r>
        <w:rPr/>
        <w:t>场状况和审批进展情况决定。</w:t>
      </w:r>
    </w:p>
    <w:p>
      <w:pPr>
        <w:pStyle w:val="BodyText"/>
        <w:tabs>
          <w:tab w:pos="998" w:val="left" w:leader="none"/>
        </w:tabs>
        <w:spacing w:line="232" w:lineRule="auto" w:before="6"/>
        <w:ind w:left="998" w:right="485"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3"/>
        </w:rPr>
        <w:t>募集资金用途：用于扩大国际市场的分销网络建设，以提高全球市场的占有率；用于</w:t>
      </w:r>
      <w:r>
        <w:rPr>
          <w:spacing w:val="-110"/>
        </w:rPr>
        <w:t> </w:t>
      </w:r>
      <w:r>
        <w:rPr>
          <w:spacing w:val="-110"/>
        </w:rPr>
      </w:r>
      <w:r>
        <w:rPr/>
        <w:t>扩大现有生产规模，包括新建生产线和若干产品组装测试线等；用于扩大研发支出， </w:t>
      </w:r>
      <w:r>
        <w:rPr>
          <w:spacing w:val="-3"/>
        </w:rPr>
        <w:t>以提高公司新产品开发能力及技术水平；用于股权并购，包括并购拥有较强研发能力</w:t>
      </w:r>
      <w:r>
        <w:rPr/>
        <w:t> 或与公司形成协同效应的国际公司；剩余资金用于补充流动资金。</w:t>
      </w:r>
    </w:p>
    <w:p>
      <w:pPr>
        <w:pStyle w:val="BodyText"/>
        <w:tabs>
          <w:tab w:pos="998" w:val="left" w:leader="none"/>
        </w:tabs>
        <w:spacing w:line="310" w:lineRule="exact" w:before="31"/>
        <w:ind w:left="998" w:right="583"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公司将在申报过程中根据具体情况决定或适当调整上市方案。Technovator</w:t>
      </w:r>
      <w:r>
        <w:rPr>
          <w:spacing w:val="-60"/>
        </w:rPr>
        <w:t> </w:t>
      </w:r>
      <w:r>
        <w:rPr>
          <w:spacing w:val="-1"/>
        </w:rPr>
        <w:t>公司上市</w:t>
      </w:r>
      <w:r>
        <w:rPr>
          <w:spacing w:val="-1"/>
        </w:rPr>
        <w:t> </w:t>
      </w:r>
      <w:r>
        <w:rPr/>
        <w:t>方案仍需获得中国证监会以及香港联合交易所有限公司等主管部门的批准。</w:t>
      </w:r>
    </w:p>
    <w:p>
      <w:pPr>
        <w:spacing w:line="240" w:lineRule="auto" w:before="6"/>
        <w:rPr>
          <w:rFonts w:ascii="宋体" w:hAnsi="宋体" w:cs="宋体" w:eastAsia="宋体" w:hint="default"/>
          <w:sz w:val="21"/>
          <w:szCs w:val="21"/>
        </w:rPr>
      </w:pPr>
    </w:p>
    <w:p>
      <w:pPr>
        <w:pStyle w:val="Heading3"/>
        <w:spacing w:line="240" w:lineRule="auto"/>
        <w:ind w:left="578" w:right="583"/>
        <w:jc w:val="left"/>
        <w:rPr>
          <w:b w:val="0"/>
          <w:bCs w:val="0"/>
        </w:rPr>
      </w:pPr>
      <w:r>
        <w:rPr/>
        <w:t>9、信息披露索引</w:t>
      </w:r>
      <w:r>
        <w:rPr>
          <w:b w:val="0"/>
          <w:bCs w:val="0"/>
        </w:rPr>
      </w:r>
    </w:p>
    <w:p>
      <w:pPr>
        <w:spacing w:line="240" w:lineRule="auto" w:before="8"/>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3381"/>
        <w:gridCol w:w="3115"/>
        <w:gridCol w:w="1260"/>
        <w:gridCol w:w="2335"/>
      </w:tblGrid>
      <w:tr>
        <w:trPr>
          <w:trHeight w:val="645" w:hRule="exact"/>
        </w:trPr>
        <w:tc>
          <w:tcPr>
            <w:tcW w:w="338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1"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3115"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8"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952"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262"/>
              <w:jc w:val="both"/>
              <w:rPr>
                <w:rFonts w:ascii="宋体" w:hAnsi="宋体" w:cs="宋体" w:eastAsia="宋体" w:hint="default"/>
                <w:sz w:val="20"/>
                <w:szCs w:val="20"/>
              </w:rPr>
            </w:pPr>
            <w:r>
              <w:rPr>
                <w:rFonts w:ascii="宋体" w:hAnsi="宋体" w:cs="宋体" w:eastAsia="宋体" w:hint="default"/>
                <w:sz w:val="20"/>
                <w:szCs w:val="20"/>
              </w:rPr>
              <w:t>关于发行股份购买资产事宜获得中</w:t>
            </w:r>
            <w:r>
              <w:rPr>
                <w:rFonts w:ascii="宋体" w:hAnsi="宋体" w:cs="宋体" w:eastAsia="宋体" w:hint="default"/>
                <w:w w:val="100"/>
                <w:sz w:val="20"/>
                <w:szCs w:val="20"/>
              </w:rPr>
              <w:t> </w:t>
            </w:r>
            <w:r>
              <w:rPr>
                <w:rFonts w:ascii="宋体" w:hAnsi="宋体" w:cs="宋体" w:eastAsia="宋体" w:hint="default"/>
                <w:sz w:val="20"/>
                <w:szCs w:val="20"/>
              </w:rPr>
              <w:t>国证监会并购重组审核委员会审核</w:t>
            </w:r>
            <w:r>
              <w:rPr>
                <w:rFonts w:ascii="宋体" w:hAnsi="宋体" w:cs="宋体" w:eastAsia="宋体" w:hint="default"/>
                <w:w w:val="100"/>
                <w:sz w:val="20"/>
                <w:szCs w:val="20"/>
              </w:rPr>
              <w:t> </w:t>
            </w:r>
            <w:r>
              <w:rPr>
                <w:rFonts w:ascii="宋体" w:hAnsi="宋体" w:cs="宋体" w:eastAsia="宋体" w:hint="default"/>
                <w:sz w:val="20"/>
                <w:szCs w:val="20"/>
              </w:rPr>
              <w:t>通过的公告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C008、上海证券报</w:t>
            </w:r>
            <w:r>
              <w:rPr>
                <w:rFonts w:ascii="宋体" w:hAnsi="宋体" w:cs="宋体" w:eastAsia="宋体" w:hint="default"/>
                <w:spacing w:val="-53"/>
                <w:sz w:val="20"/>
                <w:szCs w:val="20"/>
              </w:rPr>
              <w:t> </w:t>
            </w:r>
            <w:r>
              <w:rPr>
                <w:rFonts w:ascii="宋体" w:hAnsi="宋体" w:cs="宋体" w:eastAsia="宋体" w:hint="default"/>
                <w:sz w:val="20"/>
                <w:szCs w:val="20"/>
              </w:rPr>
              <w:t>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2010-1-4</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0"/>
              <w:jc w:val="center"/>
              <w:rPr>
                <w:rFonts w:ascii="宋体" w:hAnsi="宋体" w:cs="宋体" w:eastAsia="宋体" w:hint="default"/>
                <w:sz w:val="20"/>
                <w:szCs w:val="20"/>
              </w:rPr>
            </w:pPr>
            <w:hyperlink r:id="rId11">
              <w:r>
                <w:rPr>
                  <w:rFonts w:ascii="宋体"/>
                  <w:sz w:val="20"/>
                </w:rPr>
                <w:t>http://www.sse.com.cn</w:t>
              </w:r>
            </w:hyperlink>
          </w:p>
        </w:tc>
      </w:tr>
      <w:tr>
        <w:trPr>
          <w:trHeight w:val="320" w:hRule="exact"/>
        </w:trPr>
        <w:tc>
          <w:tcPr>
            <w:tcW w:w="3381"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pacing w:val="10"/>
                <w:sz w:val="20"/>
                <w:szCs w:val="20"/>
              </w:rPr>
              <w:t>第四届董事会第三十五次会议决议</w:t>
            </w:r>
            <w:r>
              <w:rPr>
                <w:rFonts w:ascii="宋体" w:hAnsi="宋体" w:cs="宋体" w:eastAsia="宋体" w:hint="default"/>
                <w:sz w:val="20"/>
                <w:szCs w:val="20"/>
              </w:rPr>
            </w:r>
          </w:p>
        </w:tc>
        <w:tc>
          <w:tcPr>
            <w:tcW w:w="3115"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D004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24</w:t>
            </w:r>
            <w:r>
              <w:rPr>
                <w:rFonts w:ascii="宋体" w:hAnsi="宋体" w:cs="宋体" w:eastAsia="宋体" w:hint="default"/>
                <w:w w:val="100"/>
                <w:sz w:val="20"/>
                <w:szCs w:val="20"/>
              </w:rPr>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2010-2-6</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12" w:hRule="exact"/>
        </w:trPr>
        <w:tc>
          <w:tcPr>
            <w:tcW w:w="3381"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3"/>
                <w:sz w:val="20"/>
                <w:szCs w:val="20"/>
              </w:rPr>
              <w:t>公告、为下属子公司提供担保的公告</w:t>
            </w:r>
          </w:p>
        </w:tc>
        <w:tc>
          <w:tcPr>
            <w:tcW w:w="3115"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3381"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3"/>
                <w:sz w:val="20"/>
                <w:szCs w:val="20"/>
              </w:rPr>
              <w:t>(一)、为下属子公司提供担保的公告</w:t>
            </w:r>
          </w:p>
        </w:tc>
        <w:tc>
          <w:tcPr>
            <w:tcW w:w="3115"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8" w:hRule="exact"/>
        </w:trPr>
        <w:tc>
          <w:tcPr>
            <w:tcW w:w="3381"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(二)</w:t>
            </w:r>
          </w:p>
        </w:tc>
        <w:tc>
          <w:tcPr>
            <w:tcW w:w="3115"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3381"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pacing w:val="10"/>
                <w:sz w:val="20"/>
                <w:szCs w:val="20"/>
              </w:rPr>
              <w:t>第四届董事会第三十六次会议决议</w:t>
            </w:r>
            <w:r>
              <w:rPr>
                <w:rFonts w:ascii="宋体" w:hAnsi="宋体" w:cs="宋体" w:eastAsia="宋体" w:hint="default"/>
                <w:sz w:val="20"/>
                <w:szCs w:val="20"/>
              </w:rPr>
            </w:r>
          </w:p>
        </w:tc>
        <w:tc>
          <w:tcPr>
            <w:tcW w:w="3115" w:type="dxa"/>
            <w:tcBorders>
              <w:top w:val="single" w:sz="6" w:space="0" w:color="000000"/>
              <w:left w:val="single" w:sz="6" w:space="0" w:color="000000"/>
              <w:bottom w:val="nil" w:sz="6" w:space="0" w:color="auto"/>
              <w:right w:val="single" w:sz="6"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C005、上海证券报</w:t>
            </w:r>
            <w:r>
              <w:rPr>
                <w:rFonts w:ascii="宋体" w:hAnsi="宋体" w:cs="宋体" w:eastAsia="宋体" w:hint="default"/>
                <w:spacing w:val="-53"/>
                <w:sz w:val="20"/>
                <w:szCs w:val="20"/>
              </w:rPr>
              <w:t> </w:t>
            </w:r>
            <w:r>
              <w:rPr>
                <w:rFonts w:ascii="宋体" w:hAnsi="宋体" w:cs="宋体" w:eastAsia="宋体" w:hint="default"/>
                <w:sz w:val="20"/>
                <w:szCs w:val="20"/>
              </w:rPr>
              <w:t>33</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8" w:lineRule="exact"/>
              <w:ind w:left="100" w:right="0"/>
              <w:jc w:val="left"/>
              <w:rPr>
                <w:rFonts w:ascii="宋体" w:hAnsi="宋体" w:cs="宋体" w:eastAsia="宋体" w:hint="default"/>
                <w:sz w:val="20"/>
                <w:szCs w:val="20"/>
              </w:rPr>
            </w:pPr>
            <w:r>
              <w:rPr>
                <w:rFonts w:ascii="宋体"/>
                <w:sz w:val="20"/>
              </w:rPr>
              <w:t>2010-3-9</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8" w:lineRule="exact"/>
              <w:ind w:right="10"/>
              <w:jc w:val="center"/>
              <w:rPr>
                <w:rFonts w:ascii="宋体" w:hAnsi="宋体" w:cs="宋体" w:eastAsia="宋体" w:hint="default"/>
                <w:sz w:val="20"/>
                <w:szCs w:val="20"/>
              </w:rPr>
            </w:pPr>
            <w:hyperlink r:id="rId11">
              <w:r>
                <w:rPr>
                  <w:rFonts w:ascii="宋体"/>
                  <w:sz w:val="20"/>
                </w:rPr>
                <w:t>http://www.sse.com.cn</w:t>
              </w:r>
            </w:hyperlink>
          </w:p>
        </w:tc>
      </w:tr>
      <w:tr>
        <w:trPr>
          <w:trHeight w:val="312" w:hRule="exact"/>
        </w:trPr>
        <w:tc>
          <w:tcPr>
            <w:tcW w:w="3381"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3"/>
                <w:sz w:val="20"/>
                <w:szCs w:val="20"/>
              </w:rPr>
              <w:t>公告、第四届监事会第十七次会议决</w:t>
            </w:r>
          </w:p>
        </w:tc>
        <w:tc>
          <w:tcPr>
            <w:tcW w:w="3115"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3381"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3"/>
                <w:sz w:val="20"/>
                <w:szCs w:val="20"/>
              </w:rPr>
              <w:t>议公告、关于已将前次用于暂时补充</w:t>
            </w:r>
          </w:p>
        </w:tc>
        <w:tc>
          <w:tcPr>
            <w:tcW w:w="3115"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3381"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10"/>
                <w:sz w:val="20"/>
                <w:szCs w:val="20"/>
              </w:rPr>
              <w:t>流动资金的闲置募集资金归还及继</w:t>
            </w:r>
            <w:r>
              <w:rPr>
                <w:rFonts w:ascii="宋体" w:hAnsi="宋体" w:cs="宋体" w:eastAsia="宋体" w:hint="default"/>
                <w:sz w:val="20"/>
                <w:szCs w:val="20"/>
              </w:rPr>
            </w:r>
          </w:p>
        </w:tc>
        <w:tc>
          <w:tcPr>
            <w:tcW w:w="3115"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3381"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10"/>
                <w:sz w:val="20"/>
                <w:szCs w:val="20"/>
              </w:rPr>
              <w:t>续将部分募集资金暂时补充流动资</w:t>
            </w:r>
            <w:r>
              <w:rPr>
                <w:rFonts w:ascii="宋体" w:hAnsi="宋体" w:cs="宋体" w:eastAsia="宋体" w:hint="default"/>
                <w:sz w:val="20"/>
                <w:szCs w:val="20"/>
              </w:rPr>
            </w:r>
          </w:p>
        </w:tc>
        <w:tc>
          <w:tcPr>
            <w:tcW w:w="3115"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3381"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3"/>
                <w:sz w:val="20"/>
                <w:szCs w:val="20"/>
              </w:rPr>
              <w:t>金的公告、为下属子公司提供担保的</w:t>
            </w:r>
          </w:p>
        </w:tc>
        <w:tc>
          <w:tcPr>
            <w:tcW w:w="3115"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3381" w:type="dxa"/>
            <w:tcBorders>
              <w:top w:val="nil" w:sz="6" w:space="0" w:color="auto"/>
              <w:left w:val="single" w:sz="12" w:space="0" w:color="000000"/>
              <w:bottom w:val="single" w:sz="12"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3115" w:type="dxa"/>
            <w:tcBorders>
              <w:top w:val="nil" w:sz="6" w:space="0" w:color="auto"/>
              <w:left w:val="single" w:sz="6" w:space="0" w:color="000000"/>
              <w:bottom w:val="single" w:sz="12" w:space="0" w:color="000000"/>
              <w:right w:val="single" w:sz="6" w:space="0" w:color="000000"/>
            </w:tcBorders>
          </w:tcPr>
          <w:p>
            <w:pPr/>
          </w:p>
        </w:tc>
        <w:tc>
          <w:tcPr>
            <w:tcW w:w="1260" w:type="dxa"/>
            <w:tcBorders>
              <w:top w:val="nil" w:sz="6" w:space="0" w:color="auto"/>
              <w:left w:val="single" w:sz="6" w:space="0" w:color="000000"/>
              <w:bottom w:val="single" w:sz="12" w:space="0" w:color="000000"/>
              <w:right w:val="single" w:sz="6" w:space="0" w:color="000000"/>
            </w:tcBorders>
          </w:tcPr>
          <w:p>
            <w:pPr/>
          </w:p>
        </w:tc>
        <w:tc>
          <w:tcPr>
            <w:tcW w:w="2335"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610" w:footer="764" w:top="1080" w:bottom="960" w:left="84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381"/>
        <w:gridCol w:w="3115"/>
        <w:gridCol w:w="1260"/>
        <w:gridCol w:w="2335"/>
      </w:tblGrid>
      <w:tr>
        <w:trPr>
          <w:trHeight w:val="645" w:hRule="exact"/>
        </w:trPr>
        <w:tc>
          <w:tcPr>
            <w:tcW w:w="338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1"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3115"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8"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220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both"/>
              <w:rPr>
                <w:rFonts w:ascii="宋体" w:hAnsi="宋体" w:cs="宋体" w:eastAsia="宋体" w:hint="default"/>
                <w:sz w:val="20"/>
                <w:szCs w:val="20"/>
              </w:rPr>
            </w:pPr>
            <w:r>
              <w:rPr>
                <w:rFonts w:ascii="宋体" w:hAnsi="宋体" w:cs="宋体" w:eastAsia="宋体" w:hint="default"/>
                <w:spacing w:val="10"/>
                <w:sz w:val="20"/>
                <w:szCs w:val="20"/>
              </w:rPr>
              <w:t>第四届董事会第三十七次会议决议</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公告暨关于召开 2009</w:t>
            </w:r>
            <w:r>
              <w:rPr>
                <w:rFonts w:ascii="宋体" w:hAnsi="宋体" w:cs="宋体" w:eastAsia="宋体" w:hint="default"/>
                <w:spacing w:val="-39"/>
                <w:sz w:val="20"/>
                <w:szCs w:val="20"/>
              </w:rPr>
              <w:t> </w:t>
            </w:r>
            <w:r>
              <w:rPr>
                <w:rFonts w:ascii="宋体" w:hAnsi="宋体" w:cs="宋体" w:eastAsia="宋体" w:hint="default"/>
                <w:sz w:val="20"/>
                <w:szCs w:val="20"/>
              </w:rPr>
              <w:t>年度股东大会</w:t>
            </w:r>
            <w:r>
              <w:rPr>
                <w:rFonts w:ascii="宋体" w:hAnsi="宋体" w:cs="宋体" w:eastAsia="宋体" w:hint="default"/>
                <w:w w:val="100"/>
                <w:sz w:val="20"/>
                <w:szCs w:val="20"/>
              </w:rPr>
              <w:t> </w:t>
            </w:r>
            <w:r>
              <w:rPr>
                <w:rFonts w:ascii="宋体" w:hAnsi="宋体" w:cs="宋体" w:eastAsia="宋体" w:hint="default"/>
                <w:spacing w:val="-3"/>
                <w:sz w:val="20"/>
                <w:szCs w:val="20"/>
              </w:rPr>
              <w:t>的通知、第四届监事会第十八次会议</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决议公告、关于 2009</w:t>
            </w:r>
            <w:r>
              <w:rPr>
                <w:rFonts w:ascii="宋体" w:hAnsi="宋体" w:cs="宋体" w:eastAsia="宋体" w:hint="default"/>
                <w:spacing w:val="-39"/>
                <w:sz w:val="20"/>
                <w:szCs w:val="20"/>
              </w:rPr>
              <w:t> </w:t>
            </w:r>
            <w:r>
              <w:rPr>
                <w:rFonts w:ascii="宋体" w:hAnsi="宋体" w:cs="宋体" w:eastAsia="宋体" w:hint="default"/>
                <w:sz w:val="20"/>
                <w:szCs w:val="20"/>
              </w:rPr>
              <w:t>年度日常关联</w:t>
            </w:r>
          </w:p>
          <w:p>
            <w:pPr>
              <w:pStyle w:val="TableParagraph"/>
              <w:spacing w:line="285" w:lineRule="auto" w:before="12"/>
              <w:ind w:left="93" w:right="97"/>
              <w:jc w:val="both"/>
              <w:rPr>
                <w:rFonts w:ascii="宋体" w:hAnsi="宋体" w:cs="宋体" w:eastAsia="宋体" w:hint="default"/>
                <w:sz w:val="20"/>
                <w:szCs w:val="20"/>
              </w:rPr>
            </w:pPr>
            <w:r>
              <w:rPr>
                <w:rFonts w:ascii="宋体" w:hAnsi="宋体" w:cs="宋体" w:eastAsia="宋体" w:hint="default"/>
                <w:sz w:val="20"/>
                <w:szCs w:val="20"/>
              </w:rPr>
              <w:t>交易执行情况以及 2010</w:t>
            </w:r>
            <w:r>
              <w:rPr>
                <w:rFonts w:ascii="宋体" w:hAnsi="宋体" w:cs="宋体" w:eastAsia="宋体" w:hint="default"/>
                <w:spacing w:val="-47"/>
                <w:sz w:val="20"/>
                <w:szCs w:val="20"/>
              </w:rPr>
              <w:t> </w:t>
            </w:r>
            <w:r>
              <w:rPr>
                <w:rFonts w:ascii="宋体" w:hAnsi="宋体" w:cs="宋体" w:eastAsia="宋体" w:hint="default"/>
                <w:sz w:val="20"/>
                <w:szCs w:val="20"/>
              </w:rPr>
              <w:t>年度日常关</w:t>
            </w:r>
            <w:r>
              <w:rPr>
                <w:rFonts w:ascii="宋体" w:hAnsi="宋体" w:cs="宋体" w:eastAsia="宋体" w:hint="default"/>
                <w:spacing w:val="-1"/>
                <w:w w:val="100"/>
                <w:sz w:val="20"/>
                <w:szCs w:val="20"/>
              </w:rPr>
              <w:t> </w:t>
            </w:r>
            <w:r>
              <w:rPr>
                <w:rFonts w:ascii="宋体" w:hAnsi="宋体" w:cs="宋体" w:eastAsia="宋体" w:hint="default"/>
                <w:spacing w:val="-3"/>
                <w:sz w:val="20"/>
                <w:szCs w:val="20"/>
              </w:rPr>
              <w:t>联交易预计的公告、为下属子公司提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供担保的公告、停牌公告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D093</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92</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0" w:right="0"/>
              <w:jc w:val="left"/>
              <w:rPr>
                <w:rFonts w:ascii="宋体" w:hAnsi="宋体" w:cs="宋体" w:eastAsia="宋体" w:hint="default"/>
                <w:sz w:val="20"/>
                <w:szCs w:val="20"/>
              </w:rPr>
            </w:pPr>
            <w:r>
              <w:rPr>
                <w:rFonts w:ascii="宋体"/>
                <w:sz w:val="20"/>
              </w:rPr>
              <w:t>2010-4-21</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449"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澄清公告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8"/>
                <w:sz w:val="20"/>
                <w:szCs w:val="20"/>
              </w:rPr>
              <w:t> </w:t>
            </w:r>
            <w:r>
              <w:rPr>
                <w:rFonts w:ascii="宋体" w:hAnsi="宋体" w:cs="宋体" w:eastAsia="宋体" w:hint="default"/>
                <w:sz w:val="20"/>
                <w:szCs w:val="20"/>
              </w:rPr>
              <w:t>C8、上海证券报</w:t>
            </w:r>
            <w:r>
              <w:rPr>
                <w:rFonts w:ascii="宋体" w:hAnsi="宋体" w:cs="宋体" w:eastAsia="宋体" w:hint="default"/>
                <w:spacing w:val="-57"/>
                <w:sz w:val="20"/>
                <w:szCs w:val="20"/>
              </w:rPr>
              <w:t> </w:t>
            </w:r>
            <w:r>
              <w:rPr>
                <w:rFonts w:ascii="宋体" w:hAnsi="宋体" w:cs="宋体" w:eastAsia="宋体" w:hint="default"/>
                <w:sz w:val="20"/>
                <w:szCs w:val="20"/>
              </w:rPr>
              <w:t>B136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sz w:val="20"/>
              </w:rPr>
              <w:t>2010-4-27</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0"/>
              <w:jc w:val="center"/>
              <w:rPr>
                <w:rFonts w:ascii="宋体" w:hAnsi="宋体" w:cs="宋体" w:eastAsia="宋体" w:hint="default"/>
                <w:sz w:val="20"/>
                <w:szCs w:val="20"/>
              </w:rPr>
            </w:pPr>
            <w:hyperlink r:id="rId11">
              <w:r>
                <w:rPr>
                  <w:rFonts w:ascii="宋体"/>
                  <w:sz w:val="20"/>
                </w:rPr>
                <w:t>http://</w:t>
              </w:r>
            </w:hyperlink>
            <w:hyperlink r:id="rId11">
              <w:r>
                <w:rPr>
                  <w:rFonts w:ascii="宋体"/>
                  <w:sz w:val="20"/>
                </w:rPr>
                <w:t>www.sse.com.cn</w:t>
              </w:r>
            </w:hyperlink>
          </w:p>
        </w:tc>
      </w:tr>
      <w:tr>
        <w:trPr>
          <w:trHeight w:val="1264"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both"/>
              <w:rPr>
                <w:rFonts w:ascii="宋体" w:hAnsi="宋体" w:cs="宋体" w:eastAsia="宋体" w:hint="default"/>
                <w:sz w:val="20"/>
                <w:szCs w:val="20"/>
              </w:rPr>
            </w:pPr>
            <w:r>
              <w:rPr>
                <w:rFonts w:ascii="宋体" w:hAnsi="宋体" w:cs="宋体" w:eastAsia="宋体" w:hint="default"/>
                <w:spacing w:val="10"/>
                <w:sz w:val="20"/>
                <w:szCs w:val="20"/>
              </w:rPr>
              <w:t>第四届董事会第三十八次会议决议</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公告、为下属控股子公司提供担保的</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3"/>
                <w:sz w:val="20"/>
                <w:szCs w:val="20"/>
              </w:rPr>
              <w:t>公告、关于控股股东拟协议转让公司</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股份并公开征集受让方信息公告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D020</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24</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2010-4-28</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1574"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both"/>
              <w:rPr>
                <w:rFonts w:ascii="宋体" w:hAnsi="宋体" w:cs="宋体" w:eastAsia="宋体" w:hint="default"/>
                <w:sz w:val="20"/>
                <w:szCs w:val="20"/>
              </w:rPr>
            </w:pPr>
            <w:r>
              <w:rPr>
                <w:rFonts w:ascii="宋体" w:hAnsi="宋体" w:cs="宋体" w:eastAsia="宋体" w:hint="default"/>
                <w:spacing w:val="10"/>
                <w:sz w:val="20"/>
                <w:szCs w:val="20"/>
              </w:rPr>
              <w:t>关于控股股东协议转让上市公司股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权的提示性公告、股东持股简式权益</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9"/>
                <w:sz w:val="20"/>
                <w:szCs w:val="20"/>
              </w:rPr>
              <w:t>变动报告书--信息披露义务人清华</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3"/>
                <w:sz w:val="20"/>
                <w:szCs w:val="20"/>
              </w:rPr>
              <w:t>控股、股东持股简式权益变动报告书</w:t>
            </w:r>
          </w:p>
          <w:p>
            <w:pPr>
              <w:pStyle w:val="TableParagraph"/>
              <w:spacing w:line="240" w:lineRule="auto" w:before="12"/>
              <w:ind w:left="93" w:right="0"/>
              <w:jc w:val="both"/>
              <w:rPr>
                <w:rFonts w:ascii="宋体" w:hAnsi="宋体" w:cs="宋体" w:eastAsia="宋体" w:hint="default"/>
                <w:sz w:val="20"/>
                <w:szCs w:val="20"/>
              </w:rPr>
            </w:pPr>
            <w:r>
              <w:rPr>
                <w:rFonts w:ascii="宋体" w:hAnsi="宋体" w:cs="宋体" w:eastAsia="宋体" w:hint="default"/>
                <w:sz w:val="20"/>
                <w:szCs w:val="20"/>
              </w:rPr>
              <w:t>--信息披露义务人刘益谦</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16</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0" w:right="0"/>
              <w:jc w:val="left"/>
              <w:rPr>
                <w:rFonts w:ascii="宋体" w:hAnsi="宋体" w:cs="宋体" w:eastAsia="宋体" w:hint="default"/>
                <w:sz w:val="20"/>
                <w:szCs w:val="20"/>
              </w:rPr>
            </w:pPr>
            <w:r>
              <w:rPr>
                <w:rFonts w:ascii="宋体"/>
                <w:sz w:val="20"/>
              </w:rPr>
              <w:t>2010-5-11</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952"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both"/>
              <w:rPr>
                <w:rFonts w:ascii="宋体" w:hAnsi="宋体" w:cs="宋体" w:eastAsia="宋体" w:hint="default"/>
                <w:sz w:val="20"/>
                <w:szCs w:val="20"/>
              </w:rPr>
            </w:pPr>
            <w:r>
              <w:rPr>
                <w:rFonts w:ascii="宋体" w:hAnsi="宋体" w:cs="宋体" w:eastAsia="宋体" w:hint="default"/>
                <w:spacing w:val="-1"/>
                <w:w w:val="100"/>
                <w:sz w:val="20"/>
                <w:szCs w:val="20"/>
              </w:rPr>
              <w:t>2009</w:t>
            </w:r>
            <w:r>
              <w:rPr>
                <w:rFonts w:ascii="宋体" w:hAnsi="宋体" w:cs="宋体" w:eastAsia="宋体" w:hint="default"/>
                <w:spacing w:val="-43"/>
                <w:w w:val="100"/>
                <w:sz w:val="20"/>
                <w:szCs w:val="20"/>
              </w:rPr>
              <w:t> </w:t>
            </w:r>
            <w:r>
              <w:rPr>
                <w:rFonts w:ascii="宋体" w:hAnsi="宋体" w:cs="宋体" w:eastAsia="宋体" w:hint="default"/>
                <w:spacing w:val="-8"/>
                <w:w w:val="100"/>
                <w:sz w:val="20"/>
                <w:szCs w:val="20"/>
              </w:rPr>
              <w:t>年年度股东大会决议公告、第五</w:t>
            </w:r>
            <w:r>
              <w:rPr>
                <w:rFonts w:ascii="宋体" w:hAnsi="宋体" w:cs="宋体" w:eastAsia="宋体" w:hint="default"/>
                <w:spacing w:val="-96"/>
                <w:w w:val="100"/>
                <w:sz w:val="20"/>
                <w:szCs w:val="20"/>
              </w:rPr>
              <w:t> </w:t>
            </w:r>
            <w:r>
              <w:rPr>
                <w:rFonts w:ascii="宋体" w:hAnsi="宋体" w:cs="宋体" w:eastAsia="宋体" w:hint="default"/>
                <w:spacing w:val="-96"/>
                <w:w w:val="100"/>
                <w:sz w:val="20"/>
                <w:szCs w:val="20"/>
              </w:rPr>
            </w:r>
            <w:r>
              <w:rPr>
                <w:rFonts w:ascii="宋体" w:hAnsi="宋体" w:cs="宋体" w:eastAsia="宋体" w:hint="default"/>
                <w:spacing w:val="-3"/>
                <w:sz w:val="20"/>
                <w:szCs w:val="20"/>
              </w:rPr>
              <w:t>届董事会第一次会议决议公告、第五</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届监事会第一次会议决议公告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33</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2010-5-14</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26"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董事会公告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B005</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17</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2010-6-10</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1576"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61"/>
              <w:jc w:val="both"/>
              <w:rPr>
                <w:rFonts w:ascii="宋体" w:hAnsi="宋体" w:cs="宋体" w:eastAsia="宋体" w:hint="default"/>
                <w:sz w:val="20"/>
                <w:szCs w:val="20"/>
              </w:rPr>
            </w:pPr>
            <w:r>
              <w:rPr>
                <w:rFonts w:ascii="宋体" w:hAnsi="宋体" w:cs="宋体" w:eastAsia="宋体" w:hint="default"/>
                <w:sz w:val="20"/>
                <w:szCs w:val="20"/>
              </w:rPr>
              <w:t>第五届董事会第二次会议决议公告、</w:t>
            </w:r>
            <w:r>
              <w:rPr>
                <w:rFonts w:ascii="宋体" w:hAnsi="宋体" w:cs="宋体" w:eastAsia="宋体" w:hint="default"/>
                <w:w w:val="100"/>
                <w:sz w:val="20"/>
                <w:szCs w:val="20"/>
              </w:rPr>
              <w:t> </w:t>
            </w:r>
            <w:r>
              <w:rPr>
                <w:rFonts w:ascii="宋体" w:hAnsi="宋体" w:cs="宋体" w:eastAsia="宋体" w:hint="default"/>
                <w:spacing w:val="10"/>
                <w:sz w:val="20"/>
                <w:szCs w:val="20"/>
              </w:rPr>
              <w:t>关于参与北京辰安伟业科技公司增</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0"/>
                <w:sz w:val="20"/>
                <w:szCs w:val="20"/>
              </w:rPr>
              <w:t>资扩股及与公司股东清华控股有限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公司共同投资构成关联交易的公告、</w:t>
            </w:r>
            <w:r>
              <w:rPr>
                <w:rFonts w:ascii="宋体" w:hAnsi="宋体" w:cs="宋体" w:eastAsia="宋体" w:hint="default"/>
                <w:w w:val="100"/>
                <w:sz w:val="20"/>
                <w:szCs w:val="20"/>
              </w:rPr>
              <w:t> </w:t>
            </w:r>
            <w:r>
              <w:rPr>
                <w:rFonts w:ascii="宋体" w:hAnsi="宋体" w:cs="宋体" w:eastAsia="宋体" w:hint="default"/>
                <w:sz w:val="20"/>
                <w:szCs w:val="20"/>
              </w:rPr>
              <w:t>为下属控股子公司提供担保的公告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B001</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20</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0" w:right="0"/>
              <w:jc w:val="left"/>
              <w:rPr>
                <w:rFonts w:ascii="宋体" w:hAnsi="宋体" w:cs="宋体" w:eastAsia="宋体" w:hint="default"/>
                <w:sz w:val="20"/>
                <w:szCs w:val="20"/>
              </w:rPr>
            </w:pPr>
            <w:r>
              <w:rPr>
                <w:rFonts w:ascii="宋体"/>
                <w:sz w:val="20"/>
              </w:rPr>
              <w:t>2010-6-17</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1262"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both"/>
              <w:rPr>
                <w:rFonts w:ascii="宋体" w:hAnsi="宋体" w:cs="宋体" w:eastAsia="宋体" w:hint="default"/>
                <w:sz w:val="20"/>
                <w:szCs w:val="20"/>
              </w:rPr>
            </w:pPr>
            <w:r>
              <w:rPr>
                <w:rFonts w:ascii="宋体" w:hAnsi="宋体" w:cs="宋体" w:eastAsia="宋体" w:hint="default"/>
                <w:spacing w:val="10"/>
                <w:sz w:val="20"/>
                <w:szCs w:val="20"/>
              </w:rPr>
              <w:t>第五届第三次董事会决议公告暨关</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于召开 2010</w:t>
            </w:r>
            <w:r>
              <w:rPr>
                <w:rFonts w:ascii="宋体" w:hAnsi="宋体" w:cs="宋体" w:eastAsia="宋体" w:hint="default"/>
                <w:spacing w:val="-48"/>
                <w:sz w:val="20"/>
                <w:szCs w:val="20"/>
              </w:rPr>
              <w:t> </w:t>
            </w:r>
            <w:r>
              <w:rPr>
                <w:rFonts w:ascii="宋体" w:hAnsi="宋体" w:cs="宋体" w:eastAsia="宋体" w:hint="default"/>
                <w:sz w:val="20"/>
                <w:szCs w:val="20"/>
              </w:rPr>
              <w:t>年第一次临时股东大会</w:t>
            </w:r>
            <w:r>
              <w:rPr>
                <w:rFonts w:ascii="宋体" w:hAnsi="宋体" w:cs="宋体" w:eastAsia="宋体" w:hint="default"/>
                <w:spacing w:val="-1"/>
                <w:w w:val="100"/>
                <w:sz w:val="20"/>
                <w:szCs w:val="20"/>
              </w:rPr>
              <w:t> </w:t>
            </w:r>
            <w:r>
              <w:rPr>
                <w:rFonts w:ascii="宋体" w:hAnsi="宋体" w:cs="宋体" w:eastAsia="宋体" w:hint="default"/>
                <w:spacing w:val="-3"/>
                <w:sz w:val="20"/>
                <w:szCs w:val="20"/>
              </w:rPr>
              <w:t>的通知、为下属控股子公司提供担保</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B004、上海证券报</w:t>
            </w:r>
            <w:r>
              <w:rPr>
                <w:rFonts w:ascii="宋体" w:hAnsi="宋体" w:cs="宋体" w:eastAsia="宋体" w:hint="default"/>
                <w:spacing w:val="-53"/>
                <w:sz w:val="20"/>
                <w:szCs w:val="20"/>
              </w:rPr>
              <w:t> </w:t>
            </w:r>
            <w:r>
              <w:rPr>
                <w:rFonts w:ascii="宋体" w:hAnsi="宋体" w:cs="宋体" w:eastAsia="宋体" w:hint="default"/>
                <w:sz w:val="20"/>
                <w:szCs w:val="20"/>
              </w:rPr>
              <w:t>B8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2010-6-24</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52"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9"/>
              <w:ind w:left="93"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61"/>
                <w:sz w:val="20"/>
                <w:szCs w:val="20"/>
              </w:rPr>
              <w:t> </w:t>
            </w:r>
            <w:r>
              <w:rPr>
                <w:rFonts w:ascii="宋体" w:hAnsi="宋体" w:cs="宋体" w:eastAsia="宋体" w:hint="default"/>
                <w:sz w:val="20"/>
                <w:szCs w:val="20"/>
              </w:rPr>
              <w:t>年度利润分配实施公告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B005</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25</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2010-6-29</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pacing w:val="-3"/>
                <w:sz w:val="20"/>
                <w:szCs w:val="20"/>
              </w:rPr>
              <w:t>董事会公告、关于对公司受让股份完</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成过户登记的公告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40</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2010-6-30</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第五届第四次董事会决议公告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2"/>
                <w:sz w:val="20"/>
                <w:szCs w:val="20"/>
              </w:rPr>
              <w:t> </w:t>
            </w:r>
            <w:r>
              <w:rPr>
                <w:rFonts w:ascii="宋体" w:hAnsi="宋体" w:cs="宋体" w:eastAsia="宋体" w:hint="default"/>
                <w:spacing w:val="-1"/>
                <w:w w:val="100"/>
                <w:sz w:val="20"/>
                <w:szCs w:val="20"/>
              </w:rPr>
              <w:t>B009</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16</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2010-7-1</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2"/>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15"/>
                <w:sz w:val="20"/>
                <w:szCs w:val="20"/>
              </w:rPr>
              <w:t> </w:t>
            </w:r>
            <w:r>
              <w:rPr>
                <w:rFonts w:ascii="宋体" w:hAnsi="宋体" w:cs="宋体" w:eastAsia="宋体" w:hint="default"/>
                <w:spacing w:val="3"/>
                <w:sz w:val="20"/>
                <w:szCs w:val="20"/>
              </w:rPr>
              <w:t>年第一次临时股东大会决议公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B005</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14</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2010-7-10</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left"/>
              <w:rPr>
                <w:rFonts w:ascii="宋体" w:hAnsi="宋体" w:cs="宋体" w:eastAsia="宋体" w:hint="default"/>
                <w:sz w:val="20"/>
                <w:szCs w:val="20"/>
              </w:rPr>
            </w:pPr>
            <w:r>
              <w:rPr>
                <w:rFonts w:ascii="宋体" w:hAnsi="宋体" w:cs="宋体" w:eastAsia="宋体" w:hint="default"/>
                <w:spacing w:val="10"/>
                <w:sz w:val="20"/>
                <w:szCs w:val="20"/>
              </w:rPr>
              <w:t>非公开发行股票发行结果暨股本变</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动公告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8"/>
                <w:sz w:val="20"/>
                <w:szCs w:val="20"/>
              </w:rPr>
              <w:t> </w:t>
            </w:r>
            <w:r>
              <w:rPr>
                <w:rFonts w:ascii="宋体" w:hAnsi="宋体" w:cs="宋体" w:eastAsia="宋体" w:hint="default"/>
                <w:sz w:val="20"/>
                <w:szCs w:val="20"/>
              </w:rPr>
              <w:t>A27、上海证券报</w:t>
            </w:r>
            <w:r>
              <w:rPr>
                <w:rFonts w:ascii="宋体" w:hAnsi="宋体" w:cs="宋体" w:eastAsia="宋体" w:hint="default"/>
                <w:spacing w:val="-57"/>
                <w:sz w:val="20"/>
                <w:szCs w:val="20"/>
              </w:rPr>
              <w:t> </w:t>
            </w:r>
            <w:r>
              <w:rPr>
                <w:rFonts w:ascii="宋体" w:hAnsi="宋体" w:cs="宋体" w:eastAsia="宋体" w:hint="default"/>
                <w:sz w:val="20"/>
                <w:szCs w:val="20"/>
              </w:rPr>
              <w:t>B17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2010-7-23</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46" w:hRule="exact"/>
        </w:trPr>
        <w:tc>
          <w:tcPr>
            <w:tcW w:w="3381" w:type="dxa"/>
            <w:tcBorders>
              <w:top w:val="single" w:sz="6" w:space="0" w:color="000000"/>
              <w:left w:val="single" w:sz="12" w:space="0" w:color="000000"/>
              <w:bottom w:val="single" w:sz="12" w:space="0" w:color="000000"/>
              <w:right w:val="single" w:sz="6" w:space="0" w:color="000000"/>
            </w:tcBorders>
          </w:tcPr>
          <w:p>
            <w:pPr>
              <w:pStyle w:val="TableParagraph"/>
              <w:spacing w:line="285" w:lineRule="auto"/>
              <w:ind w:left="93" w:right="87"/>
              <w:jc w:val="left"/>
              <w:rPr>
                <w:rFonts w:ascii="宋体" w:hAnsi="宋体" w:cs="宋体" w:eastAsia="宋体" w:hint="default"/>
                <w:sz w:val="20"/>
                <w:szCs w:val="20"/>
              </w:rPr>
            </w:pPr>
            <w:r>
              <w:rPr>
                <w:rFonts w:ascii="宋体" w:hAnsi="宋体" w:cs="宋体" w:eastAsia="宋体" w:hint="default"/>
                <w:spacing w:val="10"/>
                <w:sz w:val="20"/>
                <w:szCs w:val="20"/>
              </w:rPr>
              <w:t>同方股份有限公司关于参股公司首</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0"/>
                <w:sz w:val="20"/>
                <w:szCs w:val="20"/>
              </w:rPr>
              <w:t>次公开发行股票通过发审委审核的</w:t>
            </w:r>
            <w:r>
              <w:rPr>
                <w:rFonts w:ascii="宋体" w:hAnsi="宋体" w:cs="宋体" w:eastAsia="宋体" w:hint="default"/>
                <w:sz w:val="20"/>
                <w:szCs w:val="20"/>
              </w:rPr>
            </w:r>
          </w:p>
        </w:tc>
        <w:tc>
          <w:tcPr>
            <w:tcW w:w="3115"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16</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2010-8-24</w:t>
            </w:r>
          </w:p>
        </w:tc>
        <w:tc>
          <w:tcPr>
            <w:tcW w:w="2335"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bl>
    <w:p>
      <w:pPr>
        <w:spacing w:after="0" w:line="257" w:lineRule="exact"/>
        <w:jc w:val="center"/>
        <w:rPr>
          <w:rFonts w:ascii="宋体" w:hAnsi="宋体" w:cs="宋体" w:eastAsia="宋体" w:hint="default"/>
          <w:sz w:val="20"/>
          <w:szCs w:val="20"/>
        </w:rPr>
        <w:sectPr>
          <w:headerReference w:type="default" r:id="rId25"/>
          <w:pgSz w:w="11910" w:h="16840"/>
          <w:pgMar w:header="610" w:footer="764" w:top="1080" w:bottom="960" w:left="84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381"/>
        <w:gridCol w:w="3115"/>
        <w:gridCol w:w="1260"/>
        <w:gridCol w:w="2335"/>
      </w:tblGrid>
      <w:tr>
        <w:trPr>
          <w:trHeight w:val="645" w:hRule="exact"/>
        </w:trPr>
        <w:tc>
          <w:tcPr>
            <w:tcW w:w="338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1"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3115"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8"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3115"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2335" w:type="dxa"/>
            <w:tcBorders>
              <w:top w:val="single" w:sz="6" w:space="0" w:color="000000"/>
              <w:left w:val="single" w:sz="6" w:space="0" w:color="000000"/>
              <w:bottom w:val="single" w:sz="6" w:space="0" w:color="000000"/>
              <w:right w:val="single" w:sz="12" w:space="0" w:color="000000"/>
            </w:tcBorders>
          </w:tcPr>
          <w:p>
            <w:pPr/>
          </w:p>
        </w:tc>
      </w:tr>
      <w:tr>
        <w:trPr>
          <w:trHeight w:val="383"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93" w:right="0"/>
              <w:jc w:val="left"/>
              <w:rPr>
                <w:rFonts w:ascii="宋体" w:hAnsi="宋体" w:cs="宋体" w:eastAsia="宋体" w:hint="default"/>
                <w:sz w:val="20"/>
                <w:szCs w:val="20"/>
              </w:rPr>
            </w:pPr>
            <w:r>
              <w:rPr>
                <w:rFonts w:ascii="宋体" w:hAnsi="宋体" w:cs="宋体" w:eastAsia="宋体" w:hint="default"/>
                <w:sz w:val="20"/>
                <w:szCs w:val="20"/>
              </w:rPr>
              <w:t>第五届第五次董事会决议公告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B184、上海证券报</w:t>
            </w:r>
            <w:r>
              <w:rPr>
                <w:rFonts w:ascii="宋体" w:hAnsi="宋体" w:cs="宋体" w:eastAsia="宋体" w:hint="default"/>
                <w:spacing w:val="-53"/>
                <w:sz w:val="20"/>
                <w:szCs w:val="20"/>
              </w:rPr>
              <w:t> </w:t>
            </w:r>
            <w:r>
              <w:rPr>
                <w:rFonts w:ascii="宋体" w:hAnsi="宋体" w:cs="宋体" w:eastAsia="宋体" w:hint="default"/>
                <w:sz w:val="20"/>
                <w:szCs w:val="20"/>
              </w:rPr>
              <w:t>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2010-8-28</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left"/>
              <w:rPr>
                <w:rFonts w:ascii="宋体" w:hAnsi="宋体" w:cs="宋体" w:eastAsia="宋体" w:hint="default"/>
                <w:sz w:val="20"/>
                <w:szCs w:val="20"/>
              </w:rPr>
            </w:pPr>
            <w:r>
              <w:rPr>
                <w:rFonts w:ascii="宋体" w:hAnsi="宋体" w:cs="宋体" w:eastAsia="宋体" w:hint="default"/>
                <w:spacing w:val="10"/>
                <w:sz w:val="20"/>
                <w:szCs w:val="20"/>
              </w:rPr>
              <w:t>关于发行短期融资券获得批准的公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B001、上海证券报</w:t>
            </w:r>
            <w:r>
              <w:rPr>
                <w:rFonts w:ascii="宋体" w:hAnsi="宋体" w:cs="宋体" w:eastAsia="宋体" w:hint="default"/>
                <w:spacing w:val="-53"/>
                <w:sz w:val="20"/>
                <w:szCs w:val="20"/>
              </w:rPr>
              <w:t> </w:t>
            </w:r>
            <w:r>
              <w:rPr>
                <w:rFonts w:ascii="宋体" w:hAnsi="宋体" w:cs="宋体" w:eastAsia="宋体" w:hint="default"/>
                <w:sz w:val="20"/>
                <w:szCs w:val="20"/>
              </w:rPr>
              <w:t>13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2010-9-6</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0"/>
              <w:jc w:val="center"/>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left"/>
              <w:rPr>
                <w:rFonts w:ascii="宋体" w:hAnsi="宋体" w:cs="宋体" w:eastAsia="宋体" w:hint="default"/>
                <w:sz w:val="20"/>
                <w:szCs w:val="20"/>
              </w:rPr>
            </w:pPr>
            <w:r>
              <w:rPr>
                <w:rFonts w:ascii="宋体" w:hAnsi="宋体" w:cs="宋体" w:eastAsia="宋体" w:hint="default"/>
                <w:spacing w:val="10"/>
                <w:sz w:val="20"/>
                <w:szCs w:val="20"/>
              </w:rPr>
              <w:t>关于已将用于暂时补充流动资金的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闲置募集资金到期归还公告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8"/>
                <w:sz w:val="20"/>
                <w:szCs w:val="20"/>
              </w:rPr>
              <w:t> </w:t>
            </w:r>
            <w:r>
              <w:rPr>
                <w:rFonts w:ascii="宋体" w:hAnsi="宋体" w:cs="宋体" w:eastAsia="宋体" w:hint="default"/>
                <w:sz w:val="20"/>
                <w:szCs w:val="20"/>
              </w:rPr>
              <w:t>B20、上海证券报</w:t>
            </w:r>
            <w:r>
              <w:rPr>
                <w:rFonts w:ascii="宋体" w:hAnsi="宋体" w:cs="宋体" w:eastAsia="宋体" w:hint="default"/>
                <w:spacing w:val="-57"/>
                <w:sz w:val="20"/>
                <w:szCs w:val="20"/>
              </w:rPr>
              <w:t> </w:t>
            </w:r>
            <w:r>
              <w:rPr>
                <w:rFonts w:ascii="宋体" w:hAnsi="宋体" w:cs="宋体" w:eastAsia="宋体" w:hint="default"/>
                <w:sz w:val="20"/>
                <w:szCs w:val="20"/>
              </w:rPr>
              <w:t>B25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2010-9-21</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第五届董事会第六次会议决议公告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8"/>
                <w:sz w:val="20"/>
                <w:szCs w:val="20"/>
              </w:rPr>
              <w:t> </w:t>
            </w:r>
            <w:r>
              <w:rPr>
                <w:rFonts w:ascii="宋体" w:hAnsi="宋体" w:cs="宋体" w:eastAsia="宋体" w:hint="default"/>
                <w:sz w:val="20"/>
                <w:szCs w:val="20"/>
              </w:rPr>
              <w:t>A28、上海证券报</w:t>
            </w:r>
            <w:r>
              <w:rPr>
                <w:rFonts w:ascii="宋体" w:hAnsi="宋体" w:cs="宋体" w:eastAsia="宋体" w:hint="default"/>
                <w:spacing w:val="-57"/>
                <w:sz w:val="20"/>
                <w:szCs w:val="20"/>
              </w:rPr>
              <w:t> </w:t>
            </w:r>
            <w:r>
              <w:rPr>
                <w:rFonts w:ascii="宋体" w:hAnsi="宋体" w:cs="宋体" w:eastAsia="宋体" w:hint="default"/>
                <w:sz w:val="20"/>
                <w:szCs w:val="20"/>
              </w:rPr>
              <w:t>B24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2010-9-28</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95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both"/>
              <w:rPr>
                <w:rFonts w:ascii="宋体" w:hAnsi="宋体" w:cs="宋体" w:eastAsia="宋体" w:hint="default"/>
                <w:sz w:val="20"/>
                <w:szCs w:val="20"/>
              </w:rPr>
            </w:pPr>
            <w:r>
              <w:rPr>
                <w:rFonts w:ascii="宋体" w:hAnsi="宋体" w:cs="宋体" w:eastAsia="宋体" w:hint="default"/>
                <w:spacing w:val="10"/>
                <w:sz w:val="20"/>
                <w:szCs w:val="20"/>
              </w:rPr>
              <w:t>关于控股股东协议转让本公司股份</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0"/>
                <w:sz w:val="20"/>
                <w:szCs w:val="20"/>
              </w:rPr>
              <w:t>事项获得国有资产监督管理委员会</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批复的公告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B004、上海证券报</w:t>
            </w:r>
            <w:r>
              <w:rPr>
                <w:rFonts w:ascii="宋体" w:hAnsi="宋体" w:cs="宋体" w:eastAsia="宋体" w:hint="default"/>
                <w:spacing w:val="-53"/>
                <w:sz w:val="20"/>
                <w:szCs w:val="20"/>
              </w:rPr>
              <w:t> </w:t>
            </w:r>
            <w:r>
              <w:rPr>
                <w:rFonts w:ascii="宋体" w:hAnsi="宋体" w:cs="宋体" w:eastAsia="宋体" w:hint="default"/>
                <w:sz w:val="20"/>
                <w:szCs w:val="20"/>
              </w:rPr>
              <w:t>B3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2010-10-12</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407"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第五届董事会第七次会议决议公告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B004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24</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2010-10-20</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left"/>
              <w:rPr>
                <w:rFonts w:ascii="宋体" w:hAnsi="宋体" w:cs="宋体" w:eastAsia="宋体" w:hint="default"/>
                <w:sz w:val="20"/>
                <w:szCs w:val="20"/>
              </w:rPr>
            </w:pPr>
            <w:r>
              <w:rPr>
                <w:rFonts w:ascii="宋体" w:hAnsi="宋体" w:cs="宋体" w:eastAsia="宋体" w:hint="default"/>
                <w:spacing w:val="10"/>
                <w:sz w:val="20"/>
                <w:szCs w:val="20"/>
              </w:rPr>
              <w:t>控股股东股份转让过户手续完成公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3"/>
                <w:sz w:val="20"/>
                <w:szCs w:val="20"/>
              </w:rPr>
              <w:t> </w:t>
            </w:r>
            <w:r>
              <w:rPr>
                <w:rFonts w:ascii="宋体" w:hAnsi="宋体" w:cs="宋体" w:eastAsia="宋体" w:hint="default"/>
                <w:spacing w:val="-1"/>
                <w:w w:val="100"/>
                <w:sz w:val="20"/>
                <w:szCs w:val="20"/>
              </w:rPr>
              <w:t>A40</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136</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2010-10-26</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219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61"/>
              <w:jc w:val="both"/>
              <w:rPr>
                <w:rFonts w:ascii="宋体" w:hAnsi="宋体" w:cs="宋体" w:eastAsia="宋体" w:hint="default"/>
                <w:sz w:val="20"/>
                <w:szCs w:val="20"/>
              </w:rPr>
            </w:pPr>
            <w:r>
              <w:rPr>
                <w:rFonts w:ascii="宋体" w:hAnsi="宋体" w:cs="宋体" w:eastAsia="宋体" w:hint="default"/>
                <w:sz w:val="20"/>
                <w:szCs w:val="20"/>
              </w:rPr>
              <w:t>第五届董事会第九次会议决议公告、</w:t>
            </w:r>
            <w:r>
              <w:rPr>
                <w:rFonts w:ascii="宋体" w:hAnsi="宋体" w:cs="宋体" w:eastAsia="宋体" w:hint="default"/>
                <w:w w:val="100"/>
                <w:sz w:val="20"/>
                <w:szCs w:val="20"/>
              </w:rPr>
              <w:t> </w:t>
            </w:r>
            <w:r>
              <w:rPr>
                <w:rFonts w:ascii="宋体" w:hAnsi="宋体" w:cs="宋体" w:eastAsia="宋体" w:hint="default"/>
                <w:sz w:val="20"/>
                <w:szCs w:val="20"/>
              </w:rPr>
              <w:t>第五届监事会第四次会议决议公告、</w:t>
            </w:r>
            <w:r>
              <w:rPr>
                <w:rFonts w:ascii="宋体" w:hAnsi="宋体" w:cs="宋体" w:eastAsia="宋体" w:hint="default"/>
                <w:w w:val="100"/>
                <w:sz w:val="20"/>
                <w:szCs w:val="20"/>
              </w:rPr>
              <w:t> </w:t>
            </w:r>
            <w:r>
              <w:rPr>
                <w:rFonts w:ascii="宋体" w:hAnsi="宋体" w:cs="宋体" w:eastAsia="宋体" w:hint="default"/>
                <w:spacing w:val="10"/>
                <w:sz w:val="20"/>
                <w:szCs w:val="20"/>
              </w:rPr>
              <w:t>关于向唐山晶源裕丰电子股份有限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公司出售资产并认购其股份的预案、</w:t>
            </w:r>
            <w:r>
              <w:rPr>
                <w:rFonts w:ascii="宋体" w:hAnsi="宋体" w:cs="宋体" w:eastAsia="宋体" w:hint="default"/>
                <w:w w:val="100"/>
                <w:sz w:val="20"/>
                <w:szCs w:val="20"/>
              </w:rPr>
              <w:t> </w:t>
            </w:r>
            <w:r>
              <w:rPr>
                <w:rFonts w:ascii="宋体" w:hAnsi="宋体" w:cs="宋体" w:eastAsia="宋体" w:hint="default"/>
                <w:spacing w:val="10"/>
                <w:sz w:val="20"/>
                <w:szCs w:val="20"/>
              </w:rPr>
              <w:t>关于增加配股募集资金项目实施地</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点及实施主体等事项的公告、为下属</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控股子公司提供担保的公告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8"/>
                <w:sz w:val="20"/>
                <w:szCs w:val="20"/>
              </w:rPr>
              <w:t> </w:t>
            </w:r>
            <w:r>
              <w:rPr>
                <w:rFonts w:ascii="宋体" w:hAnsi="宋体" w:cs="宋体" w:eastAsia="宋体" w:hint="default"/>
                <w:sz w:val="20"/>
                <w:szCs w:val="20"/>
              </w:rPr>
              <w:t>A36、上海证券报</w:t>
            </w:r>
            <w:r>
              <w:rPr>
                <w:rFonts w:ascii="宋体" w:hAnsi="宋体" w:cs="宋体" w:eastAsia="宋体" w:hint="default"/>
                <w:spacing w:val="-57"/>
                <w:sz w:val="20"/>
                <w:szCs w:val="20"/>
              </w:rPr>
              <w:t> </w:t>
            </w:r>
            <w:r>
              <w:rPr>
                <w:rFonts w:ascii="宋体" w:hAnsi="宋体" w:cs="宋体" w:eastAsia="宋体" w:hint="default"/>
                <w:sz w:val="20"/>
                <w:szCs w:val="20"/>
              </w:rPr>
              <w:t>B16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0" w:right="0"/>
              <w:jc w:val="left"/>
              <w:rPr>
                <w:rFonts w:ascii="宋体" w:hAnsi="宋体" w:cs="宋体" w:eastAsia="宋体" w:hint="default"/>
                <w:sz w:val="20"/>
                <w:szCs w:val="20"/>
              </w:rPr>
            </w:pPr>
            <w:r>
              <w:rPr>
                <w:rFonts w:ascii="宋体"/>
                <w:sz w:val="20"/>
              </w:rPr>
              <w:t>2010-11-12</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35" w:hRule="exact"/>
        </w:trPr>
        <w:tc>
          <w:tcPr>
            <w:tcW w:w="3381"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第五届董事会第十次会议决议公告</w:t>
            </w:r>
          </w:p>
        </w:tc>
        <w:tc>
          <w:tcPr>
            <w:tcW w:w="3115"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2"/>
                <w:sz w:val="20"/>
                <w:szCs w:val="20"/>
              </w:rPr>
              <w:t> </w:t>
            </w:r>
            <w:r>
              <w:rPr>
                <w:rFonts w:ascii="宋体" w:hAnsi="宋体" w:cs="宋体" w:eastAsia="宋体" w:hint="default"/>
                <w:spacing w:val="-1"/>
                <w:w w:val="100"/>
                <w:sz w:val="20"/>
                <w:szCs w:val="20"/>
              </w:rPr>
              <w:t>B004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32</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2010-11-23</w:t>
            </w:r>
          </w:p>
        </w:tc>
        <w:tc>
          <w:tcPr>
            <w:tcW w:w="2335"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bl>
    <w:p>
      <w:pPr>
        <w:spacing w:after="0" w:line="257" w:lineRule="exact"/>
        <w:jc w:val="center"/>
        <w:rPr>
          <w:rFonts w:ascii="宋体" w:hAnsi="宋体" w:cs="宋体" w:eastAsia="宋体" w:hint="default"/>
          <w:sz w:val="20"/>
          <w:szCs w:val="20"/>
        </w:rPr>
        <w:sectPr>
          <w:pgSz w:w="11910" w:h="16840"/>
          <w:pgMar w:header="610" w:footer="764" w:top="1080" w:bottom="960" w:left="840" w:right="7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751"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129.85pt;height:37.6pt;mso-position-horizontal-relative:char;mso-position-vertical-relative:line" coordorigin="0,0" coordsize="2597,752">
            <v:shape style="position:absolute;left:0;top:0;width:2597;height:751" type="#_x0000_t75" stroked="false">
              <v:imagedata r:id="rId26" o:title=""/>
            </v:shape>
            <v:group style="position:absolute;left:131;top:660;width:2379;height:2" coordorigin="131,660" coordsize="2379,2">
              <v:shape style="position:absolute;left:131;top:660;width:2379;height:2" coordorigin="131,660" coordsize="2379,2" path="m131,660l2509,661e" filled="false" stroked="true" strokeweight=".25pt" strokecolor="#000000">
                <v:path arrowok="t"/>
              </v:shape>
            </v:group>
            <v:group style="position:absolute;left:2508;top:120;width:2;height:557" coordorigin="2508,120" coordsize="2,557">
              <v:shape style="position:absolute;left:2508;top:120;width:2;height:557" coordorigin="2508,120" coordsize="2,557" path="m2508,120l2509,677e" filled="false" stroked="true" strokeweight=".25pt" strokecolor="#000000">
                <v:path arrowok="t"/>
              </v:shape>
              <v:shape style="position:absolute;left:0;top:0;width:2597;height:752" type="#_x0000_t202" filled="false" stroked="false">
                <v:textbox inset="0,0,0,0">
                  <w:txbxContent>
                    <w:p>
                      <w:pPr>
                        <w:spacing w:before="206"/>
                        <w:ind w:left="160" w:right="0" w:firstLine="0"/>
                        <w:jc w:val="left"/>
                        <w:rPr>
                          <w:rFonts w:ascii="宋体" w:hAnsi="宋体" w:cs="宋体" w:eastAsia="宋体" w:hint="default"/>
                          <w:sz w:val="32"/>
                          <w:szCs w:val="32"/>
                        </w:rPr>
                      </w:pPr>
                      <w:r>
                        <w:rPr>
                          <w:rFonts w:ascii="宋体" w:hAnsi="宋体" w:cs="宋体" w:eastAsia="宋体" w:hint="default"/>
                          <w:b/>
                          <w:bCs/>
                          <w:sz w:val="32"/>
                          <w:szCs w:val="32"/>
                        </w:rPr>
                        <w:t>十、财务报告</w:t>
                      </w:r>
                      <w:r>
                        <w:rPr>
                          <w:rFonts w:ascii="宋体" w:hAnsi="宋体" w:cs="宋体" w:eastAsia="宋体" w:hint="default"/>
                          <w:sz w:val="32"/>
                          <w:szCs w:val="32"/>
                        </w:rPr>
                      </w:r>
                    </w:p>
                  </w:txbxContent>
                </v:textbox>
                <w10:wrap type="none"/>
              </v:shape>
            </v:group>
          </v:group>
        </w:pict>
      </w:r>
      <w:r>
        <w:rPr>
          <w:rFonts w:ascii="Times New Roman" w:hAnsi="Times New Roman" w:cs="Times New Roman" w:eastAsia="Times New Roman" w:hint="default"/>
          <w:position w:val="-14"/>
          <w:sz w:val="20"/>
          <w:szCs w:val="20"/>
        </w:rPr>
      </w:r>
    </w:p>
    <w:p>
      <w:pPr>
        <w:spacing w:line="240" w:lineRule="auto" w:before="5"/>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pgSz w:w="11910" w:h="16840"/>
          <w:pgMar w:header="610" w:footer="764" w:top="1080" w:bottom="960" w:left="1260" w:right="1040"/>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before="165"/>
        <w:ind w:left="158" w:right="-19"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同方股份有限公司全体股东：</w:t>
      </w:r>
      <w:r>
        <w:rPr>
          <w:rFonts w:ascii="宋体" w:hAnsi="宋体" w:cs="宋体" w:eastAsia="宋体" w:hint="default"/>
          <w:sz w:val="24"/>
          <w:szCs w:val="24"/>
        </w:rPr>
      </w:r>
    </w:p>
    <w:p>
      <w:pPr>
        <w:spacing w:before="7"/>
        <w:ind w:left="158" w:right="-20" w:firstLine="0"/>
        <w:jc w:val="left"/>
        <w:rPr>
          <w:rFonts w:ascii="宋体" w:hAnsi="宋体" w:cs="宋体" w:eastAsia="宋体" w:hint="default"/>
          <w:sz w:val="30"/>
          <w:szCs w:val="30"/>
        </w:rPr>
      </w:pPr>
      <w:r>
        <w:rPr/>
        <w:br w:type="column"/>
      </w:r>
      <w:r>
        <w:rPr>
          <w:rFonts w:ascii="宋体" w:hAnsi="宋体" w:cs="宋体" w:eastAsia="宋体" w:hint="default"/>
          <w:b/>
          <w:bCs/>
          <w:sz w:val="30"/>
          <w:szCs w:val="30"/>
        </w:rPr>
        <w:t>审计报告</w:t>
      </w:r>
      <w:r>
        <w:rPr>
          <w:rFonts w:ascii="宋体" w:hAnsi="宋体" w:cs="宋体" w:eastAsia="宋体" w:hint="default"/>
          <w:sz w:val="30"/>
          <w:szCs w:val="30"/>
        </w:rPr>
      </w:r>
    </w:p>
    <w:p>
      <w:pPr>
        <w:spacing w:line="240" w:lineRule="auto" w:before="1"/>
        <w:rPr>
          <w:rFonts w:ascii="宋体" w:hAnsi="宋体" w:cs="宋体" w:eastAsia="宋体" w:hint="default"/>
          <w:b/>
          <w:bCs/>
          <w:sz w:val="31"/>
          <w:szCs w:val="31"/>
        </w:rPr>
      </w:pPr>
      <w:r>
        <w:rPr/>
        <w:br w:type="column"/>
      </w:r>
      <w:r>
        <w:rPr>
          <w:rFonts w:ascii="宋体"/>
          <w:b/>
          <w:sz w:val="31"/>
        </w:rPr>
      </w:r>
    </w:p>
    <w:p>
      <w:pPr>
        <w:pStyle w:val="BodyText"/>
        <w:spacing w:line="240" w:lineRule="auto"/>
        <w:ind w:left="158" w:right="0"/>
        <w:jc w:val="left"/>
      </w:pPr>
      <w:r>
        <w:rPr/>
        <w:t>XYZH/2010A8040</w:t>
      </w:r>
    </w:p>
    <w:p>
      <w:pPr>
        <w:spacing w:after="0" w:line="240" w:lineRule="auto"/>
        <w:jc w:val="left"/>
        <w:sectPr>
          <w:type w:val="continuous"/>
          <w:pgSz w:w="11910" w:h="16840"/>
          <w:pgMar w:top="1600" w:bottom="280" w:left="1260" w:right="1040"/>
          <w:cols w:num="3" w:equalWidth="0">
            <w:col w:w="3292" w:space="706"/>
            <w:col w:w="1364" w:space="2159"/>
            <w:col w:w="2089"/>
          </w:cols>
        </w:sectPr>
      </w:pPr>
    </w:p>
    <w:p>
      <w:pPr>
        <w:spacing w:line="240" w:lineRule="auto" w:before="8"/>
        <w:rPr>
          <w:rFonts w:ascii="宋体" w:hAnsi="宋体" w:cs="宋体" w:eastAsia="宋体" w:hint="default"/>
          <w:sz w:val="21"/>
          <w:szCs w:val="21"/>
        </w:rPr>
      </w:pPr>
    </w:p>
    <w:p>
      <w:pPr>
        <w:pStyle w:val="BodyText"/>
        <w:spacing w:line="237" w:lineRule="auto" w:before="28"/>
        <w:ind w:left="158" w:right="205" w:firstLine="360"/>
        <w:jc w:val="both"/>
      </w:pPr>
      <w:r>
        <w:rPr/>
        <w:t>我们审计了后附的同方股份有限公司（以下简称同方股份）合并及母公司财务报表， 包括</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4"/>
        </w:rPr>
        <w:t>日的资产负债表，2010</w:t>
      </w:r>
      <w:r>
        <w:rPr>
          <w:spacing w:val="-60"/>
        </w:rPr>
        <w:t> </w:t>
      </w:r>
      <w:r>
        <w:rPr>
          <w:spacing w:val="-5"/>
        </w:rPr>
        <w:t>年度的利润表、现金流量表、股东权益变动</w:t>
      </w:r>
      <w:r>
        <w:rPr>
          <w:spacing w:val="-1"/>
        </w:rPr>
        <w:t> </w:t>
      </w:r>
      <w:r>
        <w:rPr/>
        <w:t>表及财务报表附注。</w:t>
      </w:r>
    </w:p>
    <w:p>
      <w:pPr>
        <w:tabs>
          <w:tab w:pos="998" w:val="left" w:leader="none"/>
        </w:tabs>
        <w:spacing w:line="620" w:lineRule="atLeast" w:before="3"/>
        <w:ind w:left="638" w:right="116" w:hanging="48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按照企业会计准则的规定编制财务报表是同方股份管理层的责任。这种责任包括：</w:t>
      </w:r>
      <w:r>
        <w:rPr>
          <w:rFonts w:ascii="宋体" w:hAnsi="宋体" w:cs="宋体" w:eastAsia="宋体" w:hint="default"/>
          <w:sz w:val="24"/>
          <w:szCs w:val="24"/>
        </w:rPr>
      </w:r>
    </w:p>
    <w:p>
      <w:pPr>
        <w:pStyle w:val="BodyText"/>
        <w:spacing w:line="310" w:lineRule="exact" w:before="30"/>
        <w:ind w:left="158" w:right="113"/>
        <w:jc w:val="left"/>
      </w:pPr>
      <w:r>
        <w:rPr/>
        <w:t>（1）设计、实施和维护与财务报表编制相关的内部控制，以使财务报表不存在由于舞弊 </w:t>
      </w:r>
      <w:r>
        <w:rPr>
          <w:spacing w:val="-7"/>
        </w:rPr>
        <w:t>或错误而导致的重大错报；（2）选择和运用恰当的会计政策；（3）作出合理的会计估计。</w:t>
      </w:r>
    </w:p>
    <w:p>
      <w:pPr>
        <w:tabs>
          <w:tab w:pos="998" w:val="left" w:leader="none"/>
        </w:tabs>
        <w:spacing w:line="622" w:lineRule="exact" w:before="63"/>
        <w:ind w:left="638" w:right="238" w:hanging="48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我们的责任是在实施审计工作的基础上对财务报表发表审计意见。我们按照中国注</w:t>
      </w:r>
    </w:p>
    <w:p>
      <w:pPr>
        <w:pStyle w:val="BodyText"/>
        <w:spacing w:line="219" w:lineRule="exact"/>
        <w:ind w:left="158" w:right="0"/>
        <w:jc w:val="left"/>
      </w:pPr>
      <w:r>
        <w:rPr/>
        <w:t>册会计师审计准则的规定执行了审计工作。中国注册会计师审计准则要求我们遵守职业</w:t>
      </w:r>
    </w:p>
    <w:p>
      <w:pPr>
        <w:pStyle w:val="BodyText"/>
        <w:spacing w:line="312" w:lineRule="exact"/>
        <w:ind w:left="158" w:right="0"/>
        <w:jc w:val="left"/>
      </w:pPr>
      <w:r>
        <w:rPr/>
        <w:t>道德规范，计划和实施审计工作以对财务报表是否不存在重大错报获取合理保证。</w:t>
      </w:r>
    </w:p>
    <w:p>
      <w:pPr>
        <w:spacing w:line="240" w:lineRule="auto" w:before="11"/>
        <w:rPr>
          <w:rFonts w:ascii="宋体" w:hAnsi="宋体" w:cs="宋体" w:eastAsia="宋体" w:hint="default"/>
          <w:sz w:val="23"/>
          <w:szCs w:val="23"/>
        </w:rPr>
      </w:pPr>
    </w:p>
    <w:p>
      <w:pPr>
        <w:pStyle w:val="BodyText"/>
        <w:spacing w:line="237" w:lineRule="auto"/>
        <w:ind w:left="158" w:right="238" w:firstLine="480"/>
        <w:jc w:val="both"/>
      </w:pPr>
      <w:r>
        <w:rPr/>
        <w:t>审计工作涉及实施审计程序，以获取有关财务报表金额和披露的审计证据。选择的</w:t>
      </w:r>
      <w:r>
        <w:rPr>
          <w:spacing w:val="2"/>
        </w:rPr>
        <w:t> </w:t>
      </w:r>
      <w:r>
        <w:rPr/>
        <w:t>审计程序取决于注册会计师的判断，包括对由于舞弊或错误导致的财务报表重大错报风</w:t>
      </w:r>
      <w:r>
        <w:rPr>
          <w:spacing w:val="-47"/>
        </w:rPr>
        <w:t> </w:t>
      </w:r>
      <w:r>
        <w:rPr>
          <w:spacing w:val="-47"/>
        </w:rPr>
      </w:r>
      <w:r>
        <w:rPr/>
        <w:t>险的评估。在进行风险评估时，我们考虑与财务报表编制相关的内部控制，以设计恰当</w:t>
      </w:r>
      <w:r>
        <w:rPr>
          <w:spacing w:val="-47"/>
        </w:rPr>
        <w:t> </w:t>
      </w:r>
      <w:r>
        <w:rPr>
          <w:spacing w:val="-47"/>
        </w:rPr>
      </w:r>
      <w:r>
        <w:rPr/>
        <w:t>的审计程序，但目的并非对内部控制的有效性发表意见。审计工作还包括评价管理层选</w:t>
      </w:r>
      <w:r>
        <w:rPr>
          <w:spacing w:val="-47"/>
        </w:rPr>
        <w:t> </w:t>
      </w:r>
      <w:r>
        <w:rPr>
          <w:spacing w:val="-47"/>
        </w:rPr>
      </w:r>
      <w:r>
        <w:rPr/>
        <w:t>用会计政策的恰当性和作出会计估计的合理性，以及评价财务报表的总体列报。</w:t>
      </w:r>
    </w:p>
    <w:p>
      <w:pPr>
        <w:spacing w:line="240" w:lineRule="auto" w:before="7"/>
        <w:rPr>
          <w:rFonts w:ascii="宋体" w:hAnsi="宋体" w:cs="宋体" w:eastAsia="宋体" w:hint="default"/>
          <w:sz w:val="23"/>
          <w:szCs w:val="23"/>
        </w:rPr>
      </w:pPr>
    </w:p>
    <w:p>
      <w:pPr>
        <w:pStyle w:val="BodyText"/>
        <w:tabs>
          <w:tab w:pos="997" w:val="left" w:leader="none"/>
        </w:tabs>
        <w:spacing w:line="475" w:lineRule="auto"/>
        <w:ind w:left="158" w:right="565" w:firstLine="48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w w:val="95"/>
        </w:rPr>
        <w:t>三、</w:t>
        <w:tab/>
      </w:r>
      <w:r>
        <w:rPr>
          <w:rFonts w:ascii="宋体" w:hAnsi="宋体" w:cs="宋体" w:eastAsia="宋体" w:hint="default"/>
          <w:b/>
          <w:bCs/>
        </w:rPr>
        <w:t>审计意见</w:t>
      </w:r>
      <w:r>
        <w:rPr>
          <w:rFonts w:ascii="宋体" w:hAnsi="宋体" w:cs="宋体" w:eastAsia="宋体" w:hint="default"/>
        </w:rPr>
      </w:r>
    </w:p>
    <w:p>
      <w:pPr>
        <w:pStyle w:val="BodyText"/>
        <w:spacing w:line="237" w:lineRule="auto" w:before="76"/>
        <w:ind w:left="158" w:right="238" w:firstLine="480"/>
        <w:jc w:val="both"/>
      </w:pPr>
      <w:r>
        <w:rPr/>
        <w:t>我们认为，同方股份财务报表已经按照企业会计准则的规定编制，在所有重大方面</w:t>
      </w:r>
      <w:r>
        <w:rPr>
          <w:spacing w:val="2"/>
        </w:rPr>
        <w:t> </w:t>
      </w:r>
      <w:r>
        <w:rPr/>
        <w:t>公允反映了同方股份</w:t>
      </w:r>
      <w:r>
        <w:rPr>
          <w:spacing w:val="-51"/>
        </w:rPr>
        <w:t> </w:t>
      </w:r>
      <w:r>
        <w:rPr/>
        <w:t>2010</w:t>
      </w:r>
      <w:r>
        <w:rPr>
          <w:spacing w:val="-51"/>
        </w:rPr>
        <w:t> </w:t>
      </w:r>
      <w:r>
        <w:rPr/>
        <w:t>年</w:t>
      </w:r>
      <w:r>
        <w:rPr>
          <w:spacing w:val="-51"/>
        </w:rPr>
        <w:t> </w:t>
      </w:r>
      <w:r>
        <w:rPr/>
        <w:t>12</w:t>
      </w:r>
      <w:r>
        <w:rPr>
          <w:spacing w:val="-50"/>
        </w:rPr>
        <w:t> </w:t>
      </w:r>
      <w:r>
        <w:rPr/>
        <w:t>月</w:t>
      </w:r>
      <w:r>
        <w:rPr>
          <w:spacing w:val="-51"/>
        </w:rPr>
        <w:t> </w:t>
      </w:r>
      <w:r>
        <w:rPr/>
        <w:t>31</w:t>
      </w:r>
      <w:r>
        <w:rPr>
          <w:spacing w:val="-51"/>
        </w:rPr>
        <w:t> </w:t>
      </w:r>
      <w:r>
        <w:rPr/>
        <w:t>日的财务状况以及</w:t>
      </w:r>
      <w:r>
        <w:rPr>
          <w:spacing w:val="-51"/>
        </w:rPr>
        <w:t> </w:t>
      </w:r>
      <w:r>
        <w:rPr/>
        <w:t>2010</w:t>
      </w:r>
      <w:r>
        <w:rPr>
          <w:spacing w:val="-51"/>
        </w:rPr>
        <w:t> </w:t>
      </w:r>
      <w:r>
        <w:rPr/>
        <w:t>年度的经营成果和现金流</w:t>
      </w:r>
      <w:r>
        <w:rPr/>
        <w:t> 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BodyText"/>
        <w:tabs>
          <w:tab w:pos="4898" w:val="left" w:leader="none"/>
        </w:tabs>
        <w:spacing w:line="240" w:lineRule="auto"/>
        <w:ind w:left="158" w:right="0"/>
        <w:jc w:val="left"/>
      </w:pPr>
      <w:r>
        <w:rPr/>
        <w:t>信永中和会计师事务所有限责任公司</w:t>
        <w:tab/>
        <w:t>中国注册会计师：张克东</w:t>
      </w:r>
    </w:p>
    <w:p>
      <w:pPr>
        <w:spacing w:line="240" w:lineRule="auto" w:before="8"/>
        <w:rPr>
          <w:rFonts w:ascii="宋体" w:hAnsi="宋体" w:cs="宋体" w:eastAsia="宋体" w:hint="default"/>
          <w:sz w:val="23"/>
          <w:szCs w:val="23"/>
        </w:rPr>
      </w:pPr>
    </w:p>
    <w:p>
      <w:pPr>
        <w:pStyle w:val="BodyText"/>
        <w:spacing w:line="240" w:lineRule="auto"/>
        <w:ind w:left="4838" w:right="0"/>
        <w:jc w:val="left"/>
      </w:pPr>
      <w:r>
        <w:rPr/>
        <w:t>中国注册会计师：潘玉忠</w:t>
      </w:r>
    </w:p>
    <w:p>
      <w:pPr>
        <w:spacing w:line="240" w:lineRule="auto" w:before="8"/>
        <w:rPr>
          <w:rFonts w:ascii="宋体" w:hAnsi="宋体" w:cs="宋体" w:eastAsia="宋体" w:hint="default"/>
          <w:sz w:val="23"/>
          <w:szCs w:val="23"/>
        </w:rPr>
      </w:pPr>
    </w:p>
    <w:p>
      <w:pPr>
        <w:pStyle w:val="BodyText"/>
        <w:tabs>
          <w:tab w:pos="2258" w:val="left" w:leader="none"/>
          <w:tab w:pos="5438" w:val="left" w:leader="none"/>
        </w:tabs>
        <w:spacing w:line="240" w:lineRule="auto"/>
        <w:ind w:left="1358" w:right="0"/>
        <w:jc w:val="left"/>
      </w:pPr>
      <w:r>
        <w:rPr/>
        <w:t>中国</w:t>
        <w:tab/>
        <w:t>北京</w:t>
        <w:tab/>
        <w:t>二○一一年四月六日</w:t>
      </w:r>
    </w:p>
    <w:p>
      <w:pPr>
        <w:spacing w:after="0" w:line="240" w:lineRule="auto"/>
        <w:jc w:val="left"/>
        <w:sectPr>
          <w:type w:val="continuous"/>
          <w:pgSz w:w="11910" w:h="16840"/>
          <w:pgMar w:top="1600" w:bottom="280" w:left="1260" w:right="1040"/>
        </w:sectPr>
      </w:pPr>
    </w:p>
    <w:p>
      <w:pPr>
        <w:spacing w:line="311" w:lineRule="exact" w:before="0"/>
        <w:ind w:left="0" w:right="3" w:firstLine="0"/>
        <w:jc w:val="center"/>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540"/>
        <w:gridCol w:w="1002"/>
        <w:gridCol w:w="1938"/>
        <w:gridCol w:w="1937"/>
      </w:tblGrid>
      <w:tr>
        <w:trPr>
          <w:trHeight w:val="338" w:hRule="exact"/>
        </w:trPr>
        <w:tc>
          <w:tcPr>
            <w:tcW w:w="4540"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002"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97"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38"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55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937"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55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5,074,823,185.79</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4,716,826,587.55</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151,419,159.42</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117,606,423.17</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115,012,396.71</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84,193,368.08</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4</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3,967,901,995.61</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3,067,438,134.83</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5</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1,614,223,084.87</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1,495,696,919.88</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6</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361,176.00</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565,665.00</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7</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2,807,783.73</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8</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1,099,023,448.99</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708,531,475.92</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9</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4,382,925,312.93</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4,281,316,231.30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right="1822"/>
              <w:jc w:val="right"/>
              <w:rPr>
                <w:rFonts w:ascii="宋体" w:hAnsi="宋体" w:cs="宋体" w:eastAsia="宋体" w:hint="default"/>
                <w:sz w:val="20"/>
                <w:szCs w:val="20"/>
              </w:rPr>
            </w:pPr>
            <w:r>
              <w:rPr>
                <w:rFonts w:ascii="宋体" w:hAnsi="宋体" w:cs="宋体" w:eastAsia="宋体" w:hint="default"/>
                <w:spacing w:val="-1"/>
                <w:sz w:val="20"/>
                <w:szCs w:val="20"/>
              </w:rPr>
              <w:t>一年内到期的非流动资产</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16,405,689,760.32</w:t>
            </w:r>
            <w:r>
              <w:rPr>
                <w:rFonts w:ascii="Times New Roman"/>
                <w:spacing w:val="-1"/>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14,474,982,589.46</w:t>
            </w:r>
            <w:r>
              <w:rPr>
                <w:rFonts w:ascii="Times New Roman"/>
                <w:spacing w:val="-1"/>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10</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7,004,162.88</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11,840,953.68</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11</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114,000,000.00</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202,277,320.00</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12</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450,601,024.89</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357,930,826.56</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13</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1,835,237,790.67</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1,807,747,065.89</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14</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44,904,967.97</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15</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3,108,603,635.02</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2,504,925,889.67</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16</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953,776,315.22</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728,517,650.68</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17</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918,444,811.28</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794,077,813.35</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17</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293,438,388.44</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153,183,399.30</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18</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367,746,491.82</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133,144,399.48</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19</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105,854,593.10</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40,154,112.49</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20</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140,152,688.14</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136,234,670.91</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21</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164,088,562.50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8,458,948,463.96</w:t>
            </w:r>
            <w:r>
              <w:rPr>
                <w:rFonts w:ascii="Times New Roman"/>
                <w:spacing w:val="-1"/>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6,914,939,069.98</w:t>
            </w:r>
            <w:r>
              <w:rPr>
                <w:rFonts w:ascii="Times New Roman"/>
                <w:spacing w:val="-1"/>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4540"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right="1810"/>
              <w:jc w:val="right"/>
              <w:rPr>
                <w:rFonts w:ascii="宋体" w:hAnsi="宋体" w:cs="宋体" w:eastAsia="宋体" w:hint="default"/>
                <w:sz w:val="20"/>
                <w:szCs w:val="20"/>
              </w:rPr>
            </w:pPr>
            <w:r>
              <w:rPr>
                <w:rFonts w:ascii="宋体" w:hAnsi="宋体" w:cs="宋体" w:eastAsia="宋体" w:hint="default"/>
                <w:b/>
                <w:bCs/>
                <w:w w:val="95"/>
                <w:sz w:val="20"/>
                <w:szCs w:val="20"/>
              </w:rPr>
              <w:t>资产总计</w:t>
            </w:r>
            <w:r>
              <w:rPr>
                <w:rFonts w:ascii="宋体" w:hAnsi="宋体" w:cs="宋体" w:eastAsia="宋体" w:hint="default"/>
                <w:sz w:val="20"/>
                <w:szCs w:val="20"/>
              </w:rPr>
            </w:r>
          </w:p>
        </w:tc>
        <w:tc>
          <w:tcPr>
            <w:tcW w:w="1002" w:type="dxa"/>
            <w:tcBorders>
              <w:top w:val="single" w:sz="6" w:space="0" w:color="000000"/>
              <w:left w:val="single" w:sz="6" w:space="0" w:color="000000"/>
              <w:bottom w:val="single" w:sz="12" w:space="0" w:color="000000"/>
              <w:right w:val="single" w:sz="6" w:space="0" w:color="000000"/>
            </w:tcBorders>
          </w:tcPr>
          <w:p>
            <w:pPr/>
          </w:p>
        </w:tc>
        <w:tc>
          <w:tcPr>
            <w:tcW w:w="1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24,864,638,224.28</w:t>
            </w:r>
            <w:r>
              <w:rPr>
                <w:rFonts w:ascii="Times New Roman"/>
                <w:spacing w:val="-1"/>
                <w:sz w:val="20"/>
              </w:rPr>
            </w:r>
          </w:p>
        </w:tc>
        <w:tc>
          <w:tcPr>
            <w:tcW w:w="19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21,389,921,659.44</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7"/>
          <w:pgSz w:w="11910" w:h="16840"/>
          <w:pgMar w:header="610" w:footer="764" w:top="1960" w:bottom="960" w:left="1180" w:right="1040"/>
        </w:sectPr>
      </w:pPr>
    </w:p>
    <w:p>
      <w:pPr>
        <w:pStyle w:val="Heading3"/>
        <w:spacing w:line="311" w:lineRule="exact"/>
        <w:ind w:left="0" w:right="5"/>
        <w:jc w:val="center"/>
        <w:rPr>
          <w:b w:val="0"/>
          <w:bCs w:val="0"/>
        </w:rPr>
      </w:pPr>
      <w:r>
        <w:rPr/>
        <w:t>合并资产负债表(续)</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540"/>
        <w:gridCol w:w="1002"/>
        <w:gridCol w:w="1938"/>
        <w:gridCol w:w="1937"/>
      </w:tblGrid>
      <w:tr>
        <w:trPr>
          <w:trHeight w:val="338" w:hRule="exact"/>
        </w:trPr>
        <w:tc>
          <w:tcPr>
            <w:tcW w:w="4540"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1002"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right="241"/>
              <w:jc w:val="right"/>
              <w:rPr>
                <w:rFonts w:ascii="宋体" w:hAnsi="宋体" w:cs="宋体" w:eastAsia="宋体" w:hint="default"/>
                <w:sz w:val="20"/>
                <w:szCs w:val="20"/>
              </w:rPr>
            </w:pPr>
            <w:r>
              <w:rPr>
                <w:rFonts w:ascii="宋体" w:hAnsi="宋体" w:cs="宋体" w:eastAsia="宋体" w:hint="default"/>
                <w:b/>
                <w:bCs/>
                <w:w w:val="95"/>
                <w:sz w:val="20"/>
                <w:szCs w:val="20"/>
              </w:rPr>
              <w:t>附注</w:t>
            </w:r>
            <w:r>
              <w:rPr>
                <w:rFonts w:ascii="宋体" w:hAnsi="宋体" w:cs="宋体" w:eastAsia="宋体" w:hint="default"/>
                <w:sz w:val="20"/>
                <w:szCs w:val="20"/>
              </w:rPr>
            </w:r>
          </w:p>
        </w:tc>
        <w:tc>
          <w:tcPr>
            <w:tcW w:w="1938"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55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937"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55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23</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2,822,096,959.55</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3,491,777,433.76</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24</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944,468,337.46</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811,643,793.76</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25</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3,977,177,001.67</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3,629,166,273.14</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26</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1,933,732,164.56</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1,789,079,000.22</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27</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171,879,100.61</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161,733,909.33</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28</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38,829,796.30</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16,051,195.41</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29</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55,872,696.98</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7,030,150.49</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30</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13,079,461.88</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31</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564,494,239.12</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409,872,725.47</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32</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217,931,468.73</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154,006,500.40</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33</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806,924,444.45</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11,533,406,209.43</w:t>
            </w:r>
            <w:r>
              <w:rPr>
                <w:rFonts w:ascii="Times New Roman"/>
                <w:spacing w:val="-1"/>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10,483,440,443.86</w:t>
            </w:r>
            <w:r>
              <w:rPr>
                <w:rFonts w:ascii="Times New Roman"/>
                <w:spacing w:val="-1"/>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34</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2,029,444,360.48</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1,324,424,108.76</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35</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489,263,173.51</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36</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5,543,094.08</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5,543,094.08</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37</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49,697,166.46</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65,977,414.25</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38</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22,378,847.61</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1,365,640.00</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20</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28,034,035.30</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23,171,935.44</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39</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109,095,972.24</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85,435,167.96</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2,733,456,649.68</w:t>
            </w:r>
            <w:r>
              <w:rPr>
                <w:rFonts w:ascii="Times New Roman"/>
                <w:spacing w:val="-1"/>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1,505,917,360.49</w:t>
            </w:r>
            <w:r>
              <w:rPr>
                <w:rFonts w:ascii="Times New Roman"/>
                <w:spacing w:val="-1"/>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14,266,862,859.11</w:t>
            </w:r>
            <w:r>
              <w:rPr>
                <w:rFonts w:ascii="Times New Roman"/>
                <w:spacing w:val="-1"/>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11,989,357,804.35</w:t>
            </w:r>
            <w:r>
              <w:rPr>
                <w:rFonts w:ascii="Times New Roman"/>
                <w:spacing w:val="-1"/>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40</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993,850,554.00</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41</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4,778,150,891.88</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4,498,341,197.27</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42</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484,785,421.30</w:t>
            </w:r>
            <w:r>
              <w:rPr>
                <w:rFonts w:ascii="Times New Roman"/>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436,829,868.42</w:t>
            </w:r>
            <w:r>
              <w:rPr>
                <w:rFonts w:ascii="Times New Roman"/>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43</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1,745,974,648.63</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1,412,071,728.11</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-16,062,826.46</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-16,356,856.53</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54"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7,986,698,689.35</w:t>
            </w:r>
            <w:r>
              <w:rPr>
                <w:rFonts w:ascii="Times New Roman"/>
                <w:spacing w:val="-1"/>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7,307,856,491.27</w:t>
            </w:r>
            <w:r>
              <w:rPr>
                <w:rFonts w:ascii="Times New Roman"/>
                <w:spacing w:val="-1"/>
                <w:sz w:val="20"/>
              </w:rPr>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44</w:t>
            </w:r>
            <w:r>
              <w:rPr>
                <w:rFonts w:ascii="Times New Roman" w:hAnsi="Times New Roman" w:cs="Times New Roman" w:eastAsia="Times New Roman" w:hint="default"/>
                <w:sz w:val="20"/>
                <w:szCs w:val="20"/>
              </w:rPr>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2,611,076,675.82</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2,092,707,363.82</w:t>
            </w:r>
          </w:p>
        </w:tc>
      </w:tr>
      <w:tr>
        <w:trPr>
          <w:trHeight w:val="330"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100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10,597,775,365.17</w:t>
            </w:r>
            <w:r>
              <w:rPr>
                <w:rFonts w:ascii="Times New Roman"/>
                <w:spacing w:val="-1"/>
                <w:sz w:val="20"/>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9,400,563,855.09</w:t>
            </w:r>
            <w:r>
              <w:rPr>
                <w:rFonts w:ascii="Times New Roman"/>
                <w:spacing w:val="-1"/>
                <w:sz w:val="20"/>
              </w:rPr>
            </w:r>
          </w:p>
        </w:tc>
      </w:tr>
      <w:tr>
        <w:trPr>
          <w:trHeight w:val="338" w:hRule="exact"/>
        </w:trPr>
        <w:tc>
          <w:tcPr>
            <w:tcW w:w="4540"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1401"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1002" w:type="dxa"/>
            <w:tcBorders>
              <w:top w:val="single" w:sz="6" w:space="0" w:color="000000"/>
              <w:left w:val="single" w:sz="6" w:space="0" w:color="000000"/>
              <w:bottom w:val="single" w:sz="12" w:space="0" w:color="000000"/>
              <w:right w:val="single" w:sz="6" w:space="0" w:color="000000"/>
            </w:tcBorders>
          </w:tcPr>
          <w:p>
            <w:pPr/>
          </w:p>
        </w:tc>
        <w:tc>
          <w:tcPr>
            <w:tcW w:w="1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24,864,638,224.28</w:t>
            </w:r>
            <w:r>
              <w:rPr>
                <w:rFonts w:ascii="Times New Roman"/>
                <w:spacing w:val="-1"/>
                <w:sz w:val="20"/>
              </w:rPr>
            </w:r>
          </w:p>
        </w:tc>
        <w:tc>
          <w:tcPr>
            <w:tcW w:w="19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21,389,921,659.44</w:t>
            </w:r>
            <w:r>
              <w:rPr>
                <w:rFonts w:ascii="Times New Roman"/>
                <w:spacing w:val="-1"/>
                <w:sz w:val="20"/>
              </w:rPr>
            </w:r>
          </w:p>
        </w:tc>
      </w:tr>
    </w:tbl>
    <w:p>
      <w:pPr>
        <w:tabs>
          <w:tab w:pos="3808" w:val="left" w:leader="none"/>
          <w:tab w:pos="7061" w:val="left" w:leader="none"/>
        </w:tabs>
        <w:spacing w:line="240" w:lineRule="exact" w:before="0"/>
        <w:ind w:left="238" w:right="108"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5"/>
        <w:jc w:val="center"/>
        <w:rPr>
          <w:b w:val="0"/>
          <w:bCs w:val="0"/>
        </w:rPr>
      </w:pPr>
      <w:r>
        <w:rPr/>
        <w:t>母公司资产负债表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503"/>
        <w:gridCol w:w="916"/>
        <w:gridCol w:w="2016"/>
        <w:gridCol w:w="1983"/>
      </w:tblGrid>
      <w:tr>
        <w:trPr>
          <w:trHeight w:val="341" w:hRule="exact"/>
        </w:trPr>
        <w:tc>
          <w:tcPr>
            <w:tcW w:w="4503"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91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98"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01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9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983"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58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1,065,218,422.52</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1,023,978,220.22</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108,925,522.38</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90,633,123.12</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10,318,004.20</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43,732,558.20</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594,193,900.66</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561,300,010.92</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966,812,608.82</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796,443,939.90</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109,258,112.02</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360,810,547.18</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2</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1,066,143,589.08</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868,071,888.95</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1,287,451,108.18</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1,552,649,733.74</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784"/>
              <w:jc w:val="right"/>
              <w:rPr>
                <w:rFonts w:ascii="宋体" w:hAnsi="宋体" w:cs="宋体" w:eastAsia="宋体" w:hint="default"/>
                <w:sz w:val="20"/>
                <w:szCs w:val="20"/>
              </w:rPr>
            </w:pPr>
            <w:r>
              <w:rPr>
                <w:rFonts w:ascii="宋体" w:hAnsi="宋体" w:cs="宋体" w:eastAsia="宋体" w:hint="default"/>
                <w:spacing w:val="-1"/>
                <w:sz w:val="20"/>
                <w:szCs w:val="20"/>
              </w:rPr>
              <w:t>一年内到期的非流动资产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5,208,321,267.86</w:t>
            </w:r>
            <w:r>
              <w:rPr>
                <w:rFonts w:ascii="Times New Roman"/>
                <w:spacing w:val="-1"/>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5,297,620,022.23</w:t>
            </w:r>
            <w:r>
              <w:rPr>
                <w:rFonts w:ascii="Times New Roman"/>
                <w:spacing w:val="-1"/>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7,004,162.88</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11,840,953.68</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114,000,000.00</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162,277,320.00</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3</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5,398,552,907.81</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4,235,980,890.70</w:t>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9,257,962.00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616,481,210.90</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637,148,942.74</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795,599,023.77</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471,099,409.63</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119,284,425.11</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148,210,300.76</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92,631,086.11</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75,295,120.26</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62,679,258.33</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19,266,209.93</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54,369,858.90</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78,559,204.31</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7,260,601,933.81</w:t>
            </w:r>
            <w:r>
              <w:rPr>
                <w:rFonts w:ascii="Times New Roman"/>
                <w:spacing w:val="-1"/>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5,848,936,314.01</w:t>
            </w:r>
            <w:r>
              <w:rPr>
                <w:rFonts w:ascii="Times New Roman"/>
                <w:spacing w:val="-1"/>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4503"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right="1792"/>
              <w:jc w:val="right"/>
              <w:rPr>
                <w:rFonts w:ascii="宋体" w:hAnsi="宋体" w:cs="宋体" w:eastAsia="宋体" w:hint="default"/>
                <w:sz w:val="20"/>
                <w:szCs w:val="20"/>
              </w:rPr>
            </w:pPr>
            <w:r>
              <w:rPr>
                <w:rFonts w:ascii="宋体" w:hAnsi="宋体" w:cs="宋体" w:eastAsia="宋体" w:hint="default"/>
                <w:b/>
                <w:bCs/>
                <w:w w:val="95"/>
                <w:sz w:val="20"/>
                <w:szCs w:val="20"/>
              </w:rPr>
              <w:t>资产总计</w:t>
            </w:r>
            <w:r>
              <w:rPr>
                <w:rFonts w:ascii="宋体" w:hAnsi="宋体" w:cs="宋体" w:eastAsia="宋体" w:hint="default"/>
                <w:sz w:val="20"/>
                <w:szCs w:val="20"/>
              </w:rPr>
            </w:r>
          </w:p>
        </w:tc>
        <w:tc>
          <w:tcPr>
            <w:tcW w:w="916" w:type="dxa"/>
            <w:tcBorders>
              <w:top w:val="single" w:sz="6" w:space="0" w:color="000000"/>
              <w:left w:val="single" w:sz="6" w:space="0" w:color="000000"/>
              <w:bottom w:val="single" w:sz="12" w:space="0" w:color="000000"/>
              <w:right w:val="single" w:sz="6" w:space="0" w:color="000000"/>
            </w:tcBorders>
          </w:tcPr>
          <w:p>
            <w:pP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12,468,923,201.67</w:t>
            </w:r>
            <w:r>
              <w:rPr>
                <w:rFonts w:ascii="Times New Roman"/>
                <w:spacing w:val="-1"/>
                <w:sz w:val="20"/>
              </w:rPr>
            </w:r>
          </w:p>
        </w:tc>
        <w:tc>
          <w:tcPr>
            <w:tcW w:w="19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11,146,556,336.24</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610" w:footer="764" w:top="1960" w:bottom="960" w:left="1180" w:right="1040"/>
        </w:sectPr>
      </w:pPr>
    </w:p>
    <w:p>
      <w:pPr>
        <w:pStyle w:val="Heading3"/>
        <w:spacing w:line="311" w:lineRule="exact"/>
        <w:ind w:left="0" w:right="5"/>
        <w:jc w:val="center"/>
        <w:rPr>
          <w:b w:val="0"/>
          <w:bCs w:val="0"/>
        </w:rPr>
      </w:pPr>
      <w:r>
        <w:rPr/>
        <w:t>母公司资产负债表(续)</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528"/>
        <w:gridCol w:w="840"/>
        <w:gridCol w:w="2041"/>
        <w:gridCol w:w="2008"/>
      </w:tblGrid>
      <w:tr>
        <w:trPr>
          <w:trHeight w:val="341" w:hRule="exact"/>
        </w:trPr>
        <w:tc>
          <w:tcPr>
            <w:tcW w:w="4528"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62"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04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61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08"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59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1,040,000,000.00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1,870,240,000.00</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242,921,568.91</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286,065,606.00</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1,152,618,058.56</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1,352,955,887.92</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553,323,104.15</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404,311,669.36</w:t>
            </w:r>
            <w:r>
              <w:rPr>
                <w:rFonts w:ascii="Times New Roman"/>
                <w:sz w:val="20"/>
              </w:rPr>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30,041,195.25</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29,091,079.05</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29,334,831.92</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2,459,801.42</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41,509,944.41</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1,403,143,800.28</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1,300,361,321.05</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68,736,200.00</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19,000,000.00</w:t>
            </w:r>
            <w:r>
              <w:rPr>
                <w:rFonts w:ascii="Times New Roman"/>
                <w:sz w:val="20"/>
              </w:rPr>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806,924,444.45</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7"/>
              <w:jc w:val="right"/>
              <w:rPr>
                <w:rFonts w:ascii="Times New Roman" w:hAnsi="Times New Roman" w:cs="Times New Roman" w:eastAsia="Times New Roman" w:hint="default"/>
                <w:sz w:val="20"/>
                <w:szCs w:val="20"/>
              </w:rPr>
            </w:pPr>
            <w:r>
              <w:rPr>
                <w:rFonts w:ascii="Times New Roman"/>
                <w:b/>
                <w:spacing w:val="-1"/>
                <w:sz w:val="20"/>
              </w:rPr>
              <w:t>5,368,553,147.93</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5,264,485,364.80</w:t>
            </w:r>
            <w:r>
              <w:rPr>
                <w:rFonts w:ascii="Times New Roman"/>
                <w:spacing w:val="-1"/>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1,165,717,800.00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3"/>
              <w:jc w:val="right"/>
              <w:rPr>
                <w:rFonts w:ascii="Times New Roman" w:hAnsi="Times New Roman" w:cs="Times New Roman" w:eastAsia="Times New Roman" w:hint="default"/>
                <w:sz w:val="20"/>
                <w:szCs w:val="20"/>
              </w:rPr>
            </w:pPr>
            <w:r>
              <w:rPr>
                <w:rFonts w:ascii="Times New Roman"/>
                <w:spacing w:val="-1"/>
                <w:sz w:val="20"/>
              </w:rPr>
              <w:t>336,212,000.00</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49,483.11</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49,483.11</w:t>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1,600,000.00</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13,570,000.00</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17,085,076.50</w:t>
            </w:r>
            <w:r>
              <w:rPr>
                <w:rFonts w:ascii="Times New Roman"/>
                <w:sz w:val="20"/>
              </w:rPr>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36,010,000.00</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42,500,000.00</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7"/>
              <w:jc w:val="right"/>
              <w:rPr>
                <w:rFonts w:ascii="Times New Roman" w:hAnsi="Times New Roman" w:cs="Times New Roman" w:eastAsia="Times New Roman" w:hint="default"/>
                <w:sz w:val="20"/>
                <w:szCs w:val="20"/>
              </w:rPr>
            </w:pPr>
            <w:r>
              <w:rPr>
                <w:rFonts w:ascii="Times New Roman"/>
                <w:b/>
                <w:spacing w:val="-1"/>
                <w:sz w:val="20"/>
              </w:rPr>
              <w:t>1,203,377,283.11</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2"/>
              <w:jc w:val="right"/>
              <w:rPr>
                <w:rFonts w:ascii="Times New Roman" w:hAnsi="Times New Roman" w:cs="Times New Roman" w:eastAsia="Times New Roman" w:hint="default"/>
                <w:sz w:val="20"/>
                <w:szCs w:val="20"/>
              </w:rPr>
            </w:pPr>
            <w:r>
              <w:rPr>
                <w:rFonts w:ascii="Times New Roman"/>
                <w:b/>
                <w:spacing w:val="-1"/>
                <w:sz w:val="20"/>
              </w:rPr>
              <w:t>409,416,559.61</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7"/>
              <w:jc w:val="right"/>
              <w:rPr>
                <w:rFonts w:ascii="Times New Roman" w:hAnsi="Times New Roman" w:cs="Times New Roman" w:eastAsia="Times New Roman" w:hint="default"/>
                <w:sz w:val="20"/>
                <w:szCs w:val="20"/>
              </w:rPr>
            </w:pPr>
            <w:r>
              <w:rPr>
                <w:rFonts w:ascii="Times New Roman"/>
                <w:b/>
                <w:spacing w:val="-1"/>
                <w:sz w:val="20"/>
              </w:rPr>
              <w:t>6,571,930,431.04</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2"/>
              <w:jc w:val="right"/>
              <w:rPr>
                <w:rFonts w:ascii="Times New Roman" w:hAnsi="Times New Roman" w:cs="Times New Roman" w:eastAsia="Times New Roman" w:hint="default"/>
                <w:sz w:val="20"/>
                <w:szCs w:val="20"/>
              </w:rPr>
            </w:pPr>
            <w:r>
              <w:rPr>
                <w:rFonts w:ascii="Times New Roman"/>
                <w:b/>
                <w:spacing w:val="-1"/>
                <w:sz w:val="20"/>
              </w:rPr>
              <w:t>5,673,901,924.41</w:t>
            </w:r>
            <w:r>
              <w:rPr>
                <w:rFonts w:ascii="Times New Roman"/>
                <w:spacing w:val="-1"/>
                <w:sz w:val="20"/>
              </w:rPr>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993,850,554.00</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4,517,292,086.22</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4,281,799,977.84</w:t>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484,785,421.30</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436,829,868.42</w:t>
            </w:r>
            <w:r>
              <w:rPr>
                <w:rFonts w:ascii="Times New Roman"/>
                <w:sz w:val="20"/>
              </w:rPr>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-98,935,290.89</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3"/>
              <w:jc w:val="right"/>
              <w:rPr>
                <w:rFonts w:ascii="Times New Roman" w:hAnsi="Times New Roman" w:cs="Times New Roman" w:eastAsia="Times New Roman" w:hint="default"/>
                <w:sz w:val="20"/>
                <w:szCs w:val="20"/>
              </w:rPr>
            </w:pPr>
            <w:r>
              <w:rPr>
                <w:rFonts w:ascii="Times New Roman"/>
                <w:spacing w:val="-1"/>
                <w:sz w:val="20"/>
              </w:rPr>
              <w:t>-222,945,988.43</w:t>
            </w:r>
            <w:r>
              <w:rPr>
                <w:rFonts w:ascii="Times New Roman"/>
                <w:sz w:val="20"/>
              </w:rPr>
            </w:r>
          </w:p>
        </w:tc>
      </w:tr>
      <w:tr>
        <w:trPr>
          <w:trHeight w:val="33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7"/>
              <w:jc w:val="right"/>
              <w:rPr>
                <w:rFonts w:ascii="Times New Roman" w:hAnsi="Times New Roman" w:cs="Times New Roman" w:eastAsia="Times New Roman" w:hint="default"/>
                <w:sz w:val="20"/>
                <w:szCs w:val="20"/>
              </w:rPr>
            </w:pPr>
            <w:r>
              <w:rPr>
                <w:rFonts w:ascii="Times New Roman"/>
                <w:b/>
                <w:spacing w:val="-1"/>
                <w:sz w:val="20"/>
              </w:rPr>
              <w:t>5,896,992,770.63</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2"/>
              <w:jc w:val="right"/>
              <w:rPr>
                <w:rFonts w:ascii="Times New Roman" w:hAnsi="Times New Roman" w:cs="Times New Roman" w:eastAsia="Times New Roman" w:hint="default"/>
                <w:sz w:val="20"/>
                <w:szCs w:val="20"/>
              </w:rPr>
            </w:pPr>
            <w:r>
              <w:rPr>
                <w:rFonts w:ascii="Times New Roman"/>
                <w:b/>
                <w:spacing w:val="-1"/>
                <w:sz w:val="20"/>
              </w:rPr>
              <w:t>5,472,654,411.83</w:t>
            </w:r>
            <w:r>
              <w:rPr>
                <w:rFonts w:ascii="Times New Roman"/>
                <w:spacing w:val="-1"/>
                <w:sz w:val="20"/>
              </w:rPr>
            </w:r>
          </w:p>
        </w:tc>
      </w:tr>
      <w:tr>
        <w:trPr>
          <w:trHeight w:val="341" w:hRule="exact"/>
        </w:trPr>
        <w:tc>
          <w:tcPr>
            <w:tcW w:w="4528"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1396"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840" w:type="dxa"/>
            <w:tcBorders>
              <w:top w:val="single" w:sz="6" w:space="0" w:color="000000"/>
              <w:left w:val="single" w:sz="6" w:space="0" w:color="000000"/>
              <w:bottom w:val="single" w:sz="12" w:space="0" w:color="000000"/>
              <w:right w:val="single" w:sz="6" w:space="0" w:color="000000"/>
            </w:tcBorders>
          </w:tcPr>
          <w:p>
            <w:pPr/>
          </w:p>
        </w:tc>
        <w:tc>
          <w:tcPr>
            <w:tcW w:w="20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7"/>
              <w:jc w:val="right"/>
              <w:rPr>
                <w:rFonts w:ascii="Times New Roman" w:hAnsi="Times New Roman" w:cs="Times New Roman" w:eastAsia="Times New Roman" w:hint="default"/>
                <w:sz w:val="20"/>
                <w:szCs w:val="20"/>
              </w:rPr>
            </w:pPr>
            <w:r>
              <w:rPr>
                <w:rFonts w:ascii="Times New Roman"/>
                <w:b/>
                <w:spacing w:val="-1"/>
                <w:sz w:val="20"/>
              </w:rPr>
              <w:t>12,468,923,201.67</w:t>
            </w:r>
            <w:r>
              <w:rPr>
                <w:rFonts w:ascii="Times New Roman"/>
                <w:spacing w:val="-1"/>
                <w:sz w:val="20"/>
              </w:rPr>
            </w:r>
          </w:p>
        </w:tc>
        <w:tc>
          <w:tcPr>
            <w:tcW w:w="20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2"/>
              <w:jc w:val="right"/>
              <w:rPr>
                <w:rFonts w:ascii="Times New Roman" w:hAnsi="Times New Roman" w:cs="Times New Roman" w:eastAsia="Times New Roman" w:hint="default"/>
                <w:sz w:val="20"/>
                <w:szCs w:val="20"/>
              </w:rPr>
            </w:pPr>
            <w:r>
              <w:rPr>
                <w:rFonts w:ascii="Times New Roman"/>
                <w:b/>
                <w:spacing w:val="-1"/>
                <w:sz w:val="20"/>
              </w:rPr>
              <w:t>11,146,556,336.24</w:t>
            </w:r>
            <w:r>
              <w:rPr>
                <w:rFonts w:ascii="Times New Roman"/>
                <w:spacing w:val="-1"/>
                <w:sz w:val="20"/>
              </w:rPr>
            </w:r>
          </w:p>
        </w:tc>
      </w:tr>
    </w:tbl>
    <w:p>
      <w:pPr>
        <w:tabs>
          <w:tab w:pos="3808" w:val="left" w:leader="none"/>
          <w:tab w:pos="7061" w:val="left" w:leader="none"/>
        </w:tabs>
        <w:spacing w:line="240" w:lineRule="exact" w:before="0"/>
        <w:ind w:left="238" w:right="108"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5"/>
        <w:jc w:val="center"/>
        <w:rPr>
          <w:b w:val="0"/>
          <w:bCs w:val="0"/>
        </w:rPr>
      </w:pPr>
      <w:r>
        <w:rPr/>
        <w:t>合并利润表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882"/>
        <w:gridCol w:w="888"/>
        <w:gridCol w:w="1823"/>
        <w:gridCol w:w="1825"/>
      </w:tblGrid>
      <w:tr>
        <w:trPr>
          <w:trHeight w:val="338" w:hRule="exact"/>
        </w:trPr>
        <w:tc>
          <w:tcPr>
            <w:tcW w:w="4882"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88"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b/>
                <w:bCs/>
                <w:w w:val="95"/>
                <w:sz w:val="20"/>
                <w:szCs w:val="20"/>
              </w:rPr>
              <w:t>附注</w:t>
            </w:r>
            <w:r>
              <w:rPr>
                <w:rFonts w:ascii="宋体" w:hAnsi="宋体" w:cs="宋体" w:eastAsia="宋体" w:hint="default"/>
                <w:sz w:val="20"/>
                <w:szCs w:val="20"/>
              </w:rPr>
            </w:r>
          </w:p>
        </w:tc>
        <w:tc>
          <w:tcPr>
            <w:tcW w:w="1823"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55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25"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55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45</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18,257,509,421.67</w:t>
            </w:r>
            <w:r>
              <w:rPr>
                <w:rFonts w:ascii="Times New Roman"/>
                <w:spacing w:val="-1"/>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15,387,735,746.25</w:t>
            </w:r>
            <w:r>
              <w:rPr>
                <w:rFonts w:ascii="Times New Roman"/>
                <w:spacing w:val="-1"/>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18,282,168,513.18</w:t>
            </w:r>
            <w:r>
              <w:rPr>
                <w:rFonts w:ascii="Times New Roman"/>
                <w:spacing w:val="-1"/>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15,334,976,643.87</w:t>
            </w:r>
            <w:r>
              <w:rPr>
                <w:rFonts w:ascii="Times New Roman"/>
                <w:spacing w:val="-1"/>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45</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15,412,114,157.13</w:t>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12,921,071,617.22</w:t>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2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46</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153,822,272.29</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147,680,397.59</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529"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47</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1,080,903,912.31</w:t>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889,763,005.30</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529"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48</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1,101,840,590.63</w:t>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995,408,438.91</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529"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49</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283,893,536.42</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187,266,337.64</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2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50</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249,594,044.40</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193,786,847.21</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right="100"/>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加：公允价值变动收益</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损失以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填列</w:t>
            </w:r>
            <w:r>
              <w:rPr>
                <w:rFonts w:ascii="Times New Roman" w:hAnsi="Times New Roman" w:cs="Times New Roman" w:eastAsia="Times New Roman" w:hint="default"/>
                <w:spacing w:val="-1"/>
                <w:sz w:val="20"/>
                <w:szCs w:val="20"/>
              </w:rPr>
              <w:t>)</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51</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141,181,221.62</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46,683,999.58</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2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52</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514,958,860.27</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335,669,163.45</w:t>
            </w:r>
            <w:r>
              <w:rPr>
                <w:rFonts w:ascii="Times New Roman"/>
                <w:sz w:val="20"/>
              </w:rPr>
            </w:r>
          </w:p>
        </w:tc>
      </w:tr>
      <w:tr>
        <w:trPr>
          <w:trHeight w:val="638"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22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w:t>
            </w:r>
          </w:p>
          <w:p>
            <w:pPr>
              <w:pStyle w:val="TableParagraph"/>
              <w:spacing w:line="240" w:lineRule="auto" w:before="50"/>
              <w:ind w:left="93" w:right="0"/>
              <w:jc w:val="left"/>
              <w:rPr>
                <w:rFonts w:ascii="宋体" w:hAnsi="宋体" w:cs="宋体" w:eastAsia="宋体" w:hint="default"/>
                <w:sz w:val="20"/>
                <w:szCs w:val="20"/>
              </w:rPr>
            </w:pPr>
            <w:r>
              <w:rPr>
                <w:rFonts w:ascii="宋体" w:hAnsi="宋体" w:cs="宋体" w:eastAsia="宋体" w:hint="default"/>
                <w:sz w:val="20"/>
                <w:szCs w:val="20"/>
              </w:rPr>
              <w:t>业的投资收益</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182,399,847.44</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20"/>
                <w:szCs w:val="20"/>
              </w:rPr>
            </w:pPr>
            <w:r>
              <w:rPr>
                <w:rFonts w:ascii="Times New Roman"/>
                <w:spacing w:val="-1"/>
                <w:sz w:val="20"/>
              </w:rPr>
              <w:t>318,139,862.27</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汇兑收益（损失以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填列）</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631,480,990.38</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435,112,265.41</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53</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134,477,748.90</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164,051,802.07</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54</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47,943,630.14</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35,971,481.59</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4,150,115.34</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11,354,540.61</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718,015,109.14</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563,192,585.89</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55</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118,277,290.35</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73,659,544.99</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599,737,818.79</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489,533,040.90</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479,555,528.80</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351,370,202.43</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120,182,289.99</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138,162,838.47</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0.49</w:t>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0.36</w:t>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0.49</w:t>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0.36</w:t>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7"/>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57</w:t>
            </w:r>
            <w:r>
              <w:rPr>
                <w:rFonts w:ascii="Times New Roman" w:hAnsi="Times New Roman" w:cs="Times New Roman" w:eastAsia="Times New Roman" w:hint="default"/>
                <w:sz w:val="20"/>
                <w:szCs w:val="20"/>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-58,829,598.80</w:t>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-22,985,442.52</w:t>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20"/>
                <w:szCs w:val="20"/>
              </w:rPr>
            </w:pPr>
            <w:r>
              <w:rPr>
                <w:rFonts w:ascii="Times New Roman"/>
                <w:b/>
                <w:spacing w:val="-1"/>
                <w:sz w:val="20"/>
              </w:rPr>
              <w:t>540,908,219.99</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466,547,598.38</w:t>
            </w:r>
            <w:r>
              <w:rPr>
                <w:rFonts w:ascii="Times New Roman"/>
                <w:sz w:val="20"/>
              </w:rPr>
            </w:r>
          </w:p>
        </w:tc>
      </w:tr>
      <w:tr>
        <w:trPr>
          <w:trHeight w:val="330" w:hRule="exact"/>
        </w:trPr>
        <w:tc>
          <w:tcPr>
            <w:tcW w:w="4882"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8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423,577,263.41</w:t>
            </w:r>
            <w:r>
              <w:rPr>
                <w:rFonts w:ascii="Times New Roman"/>
                <w:sz w:val="20"/>
              </w:rPr>
            </w:r>
          </w:p>
        </w:tc>
        <w:tc>
          <w:tcPr>
            <w:tcW w:w="1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324,841,918.04</w:t>
            </w:r>
            <w:r>
              <w:rPr>
                <w:rFonts w:ascii="Times New Roman"/>
                <w:sz w:val="20"/>
              </w:rPr>
            </w:r>
          </w:p>
        </w:tc>
      </w:tr>
      <w:tr>
        <w:trPr>
          <w:trHeight w:val="338" w:hRule="exact"/>
        </w:trPr>
        <w:tc>
          <w:tcPr>
            <w:tcW w:w="4882"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88" w:type="dxa"/>
            <w:tcBorders>
              <w:top w:val="single" w:sz="6" w:space="0" w:color="000000"/>
              <w:left w:val="single" w:sz="6" w:space="0" w:color="000000"/>
              <w:bottom w:val="single" w:sz="12" w:space="0" w:color="000000"/>
              <w:right w:val="single" w:sz="6" w:space="0" w:color="000000"/>
            </w:tcBorders>
          </w:tcPr>
          <w:p>
            <w:pPr/>
          </w:p>
        </w:tc>
        <w:tc>
          <w:tcPr>
            <w:tcW w:w="18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117,330,956.58</w:t>
            </w:r>
            <w:r>
              <w:rPr>
                <w:rFonts w:ascii="Times New Roman"/>
                <w:sz w:val="20"/>
              </w:rPr>
            </w:r>
          </w:p>
        </w:tc>
        <w:tc>
          <w:tcPr>
            <w:tcW w:w="18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141,705,680.34</w:t>
            </w:r>
            <w:r>
              <w:rPr>
                <w:rFonts w:ascii="Times New Roman"/>
                <w:sz w:val="20"/>
              </w:rPr>
            </w:r>
          </w:p>
        </w:tc>
      </w:tr>
    </w:tbl>
    <w:p>
      <w:pPr>
        <w:tabs>
          <w:tab w:pos="3808" w:val="left" w:leader="none"/>
          <w:tab w:pos="7061" w:val="left" w:leader="none"/>
        </w:tabs>
        <w:spacing w:line="240" w:lineRule="exact" w:before="0"/>
        <w:ind w:left="238" w:right="108"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4"/>
        <w:jc w:val="center"/>
        <w:rPr>
          <w:b w:val="0"/>
          <w:bCs w:val="0"/>
        </w:rPr>
      </w:pPr>
      <w:r>
        <w:rPr/>
        <w:t>母公司利润表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503"/>
        <w:gridCol w:w="917"/>
        <w:gridCol w:w="2015"/>
        <w:gridCol w:w="1983"/>
      </w:tblGrid>
      <w:tr>
        <w:trPr>
          <w:trHeight w:val="341" w:hRule="exact"/>
        </w:trPr>
        <w:tc>
          <w:tcPr>
            <w:tcW w:w="4503"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30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01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64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83"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3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4</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7,287,040,231.34</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6,813,135,890.99</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4</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6,855,634,223.83</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6,217,841,330.44</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41,164,449.73</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44,938,533.07</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379,612,138.10</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407,457,073.48</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209,994,606.81</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214,698,122.49</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112,136,952.75</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80,844,445.12</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-1,772,799.87</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127,359,158.89</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11,180,217.46</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41,699,290.07</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5</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577,996,003.22</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284,013,050.75</w:t>
            </w:r>
            <w:r>
              <w:rPr>
                <w:rFonts w:ascii="Times New Roman"/>
                <w:sz w:val="20"/>
              </w:rPr>
            </w:r>
          </w:p>
        </w:tc>
      </w:tr>
      <w:tr>
        <w:trPr>
          <w:trHeight w:val="640"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w:t>
            </w:r>
          </w:p>
          <w:p>
            <w:pPr>
              <w:pStyle w:val="TableParagraph"/>
              <w:spacing w:line="240" w:lineRule="auto" w:before="50"/>
              <w:ind w:left="93"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154,686,512.71</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20"/>
                <w:szCs w:val="20"/>
              </w:rPr>
            </w:pPr>
            <w:r>
              <w:rPr>
                <w:rFonts w:ascii="Times New Roman"/>
                <w:spacing w:val="-1"/>
                <w:sz w:val="20"/>
              </w:rPr>
              <w:t>278,491,218.03</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279,446,880.67</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45,709,568.32</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16,937,231.44</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11,427,718.47</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19,557,904.62</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16,428,507.68</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101,766.74</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375,725.11</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276,826,207.49</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40,708,779.11</w:t>
            </w:r>
            <w:r>
              <w:rPr>
                <w:rFonts w:ascii="Times New Roman"/>
                <w:sz w:val="20"/>
              </w:rPr>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8,863,375.98</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-12,982,143.44</w:t>
            </w:r>
          </w:p>
        </w:tc>
      </w:tr>
      <w:tr>
        <w:trPr>
          <w:trHeight w:val="3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267,962,831.51</w:t>
            </w:r>
            <w:r>
              <w:rPr>
                <w:rFonts w:ascii="Times New Roman"/>
                <w:sz w:val="20"/>
              </w:rPr>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53,690,922.55</w:t>
            </w:r>
            <w:r>
              <w:rPr>
                <w:rFonts w:ascii="Times New Roman"/>
                <w:sz w:val="20"/>
              </w:rPr>
            </w:r>
          </w:p>
        </w:tc>
      </w:tr>
      <w:tr>
        <w:trPr>
          <w:trHeight w:val="3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五、其他综合收益</w:t>
            </w:r>
            <w:r>
              <w:rPr>
                <w:rFonts w:ascii="宋体" w:hAnsi="宋体" w:cs="宋体" w:eastAsia="宋体" w:hint="default"/>
                <w:sz w:val="20"/>
                <w:szCs w:val="20"/>
              </w:rPr>
            </w:r>
          </w:p>
        </w:tc>
        <w:tc>
          <w:tcPr>
            <w:tcW w:w="917"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-47,944,757.71</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-24,007,774.46</w:t>
            </w:r>
          </w:p>
        </w:tc>
      </w:tr>
      <w:tr>
        <w:trPr>
          <w:trHeight w:val="341" w:hRule="exact"/>
        </w:trPr>
        <w:tc>
          <w:tcPr>
            <w:tcW w:w="4503"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917" w:type="dxa"/>
            <w:tcBorders>
              <w:top w:val="single" w:sz="6" w:space="0" w:color="000000"/>
              <w:left w:val="single" w:sz="6" w:space="0" w:color="000000"/>
              <w:bottom w:val="single" w:sz="12" w:space="0" w:color="000000"/>
              <w:right w:val="single" w:sz="6" w:space="0" w:color="000000"/>
            </w:tcBorders>
          </w:tcPr>
          <w:p>
            <w:pPr/>
          </w:p>
        </w:tc>
        <w:tc>
          <w:tcPr>
            <w:tcW w:w="2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220,018,073.80</w:t>
            </w:r>
            <w:r>
              <w:rPr>
                <w:rFonts w:ascii="Times New Roman"/>
                <w:sz w:val="20"/>
              </w:rPr>
            </w:r>
          </w:p>
        </w:tc>
        <w:tc>
          <w:tcPr>
            <w:tcW w:w="19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29,683,148.09</w:t>
            </w:r>
            <w:r>
              <w:rPr>
                <w:rFonts w:ascii="Times New Roman"/>
                <w:sz w:val="20"/>
              </w:rPr>
            </w:r>
          </w:p>
        </w:tc>
      </w:tr>
    </w:tbl>
    <w:p>
      <w:pPr>
        <w:tabs>
          <w:tab w:pos="3808" w:val="left" w:leader="none"/>
          <w:tab w:pos="7061" w:val="left" w:leader="none"/>
        </w:tabs>
        <w:spacing w:line="240" w:lineRule="exact" w:before="0"/>
        <w:ind w:left="238" w:right="108"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43"/>
        <w:jc w:val="center"/>
        <w:rPr>
          <w:b w:val="0"/>
          <w:bCs w:val="0"/>
        </w:rPr>
      </w:pPr>
      <w:r>
        <w:rPr/>
        <w:t>合并现金流量表</w:t>
      </w:r>
      <w:r>
        <w:rPr>
          <w:b w:val="0"/>
          <w:bCs w:val="0"/>
        </w:rPr>
      </w:r>
    </w:p>
    <w:p>
      <w:pPr>
        <w:tabs>
          <w:tab w:pos="7813" w:val="left" w:leader="none"/>
        </w:tabs>
        <w:spacing w:before="4"/>
        <w:ind w:left="0" w:right="4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217"/>
        <w:gridCol w:w="816"/>
        <w:gridCol w:w="1716"/>
        <w:gridCol w:w="1715"/>
      </w:tblGrid>
      <w:tr>
        <w:trPr>
          <w:trHeight w:val="283" w:hRule="exact"/>
        </w:trPr>
        <w:tc>
          <w:tcPr>
            <w:tcW w:w="5217"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16"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148"/>
              <w:jc w:val="right"/>
              <w:rPr>
                <w:rFonts w:ascii="宋体" w:hAnsi="宋体" w:cs="宋体" w:eastAsia="宋体" w:hint="default"/>
                <w:sz w:val="20"/>
                <w:szCs w:val="20"/>
              </w:rPr>
            </w:pPr>
            <w:r>
              <w:rPr>
                <w:rFonts w:ascii="宋体" w:hAnsi="宋体" w:cs="宋体" w:eastAsia="宋体" w:hint="default"/>
                <w:b/>
                <w:bCs/>
                <w:w w:val="95"/>
                <w:sz w:val="20"/>
                <w:szCs w:val="20"/>
              </w:rPr>
              <w:t>附注</w:t>
            </w:r>
            <w:r>
              <w:rPr>
                <w:rFonts w:ascii="宋体" w:hAnsi="宋体" w:cs="宋体" w:eastAsia="宋体" w:hint="default"/>
                <w:sz w:val="20"/>
                <w:szCs w:val="20"/>
              </w:rPr>
            </w:r>
          </w:p>
        </w:tc>
        <w:tc>
          <w:tcPr>
            <w:tcW w:w="1716"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49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15"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49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18,974,813,518.14</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15,221,051,735.41</w:t>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149,024,792.89</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105,956,963.86</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58</w:t>
            </w:r>
            <w:r>
              <w:rPr>
                <w:rFonts w:ascii="Times New Roman" w:hAnsi="Times New Roman" w:cs="Times New Roman" w:eastAsia="Times New Roman" w:hint="default"/>
                <w:sz w:val="20"/>
                <w:szCs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800,893,743.94</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700,429,462.69</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19,924,732,054.97</w:t>
            </w:r>
            <w:r>
              <w:rPr>
                <w:rFonts w:ascii="Times New Roman"/>
                <w:spacing w:val="-1"/>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16,027,438,161.96</w:t>
            </w:r>
            <w:r>
              <w:rPr>
                <w:rFonts w:ascii="Times New Roman"/>
                <w:spacing w:val="-1"/>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16,504,457,624.08</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11,942,977,896.20</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1,298,188,236.22</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1,222,871,051.64</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539,478,518.40</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508,313,165.85</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58</w:t>
            </w:r>
            <w:r>
              <w:rPr>
                <w:rFonts w:ascii="Times New Roman" w:hAnsi="Times New Roman" w:cs="Times New Roman" w:eastAsia="Times New Roman" w:hint="default"/>
                <w:sz w:val="20"/>
                <w:szCs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1,312,828,322.81</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1,597,638,593.56</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19,654,952,701.51</w:t>
            </w:r>
            <w:r>
              <w:rPr>
                <w:rFonts w:ascii="Times New Roman"/>
                <w:spacing w:val="-1"/>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15,271,800,707.25</w:t>
            </w:r>
            <w:r>
              <w:rPr>
                <w:rFonts w:ascii="Times New Roman"/>
                <w:spacing w:val="-1"/>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269,779,353.46</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755,637,454.71</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626,353,052.67</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170,422,319.59</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53,809,000.08</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179,646,301.99</w:t>
            </w:r>
            <w:r>
              <w:rPr>
                <w:rFonts w:ascii="Times New Roman"/>
                <w:sz w:val="20"/>
              </w:rPr>
            </w:r>
          </w:p>
        </w:tc>
      </w:tr>
      <w:tr>
        <w:trPr>
          <w:trHeight w:val="270"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45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spacing w:val="-1"/>
                <w:sz w:val="20"/>
              </w:rPr>
              <w:t>44,303,966.71</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2"/>
              <w:jc w:val="right"/>
              <w:rPr>
                <w:rFonts w:ascii="Times New Roman" w:hAnsi="Times New Roman" w:cs="Times New Roman" w:eastAsia="Times New Roman" w:hint="default"/>
                <w:sz w:val="20"/>
                <w:szCs w:val="20"/>
              </w:rPr>
            </w:pPr>
            <w:r>
              <w:rPr>
                <w:rFonts w:ascii="Times New Roman"/>
                <w:spacing w:val="-1"/>
                <w:sz w:val="20"/>
              </w:rPr>
              <w:t>33,520,451.30</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241,439,656.93</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11,906,032.83</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58</w:t>
            </w:r>
            <w:r>
              <w:rPr>
                <w:rFonts w:ascii="Times New Roman" w:hAnsi="Times New Roman" w:cs="Times New Roman" w:eastAsia="Times New Roman" w:hint="default"/>
                <w:sz w:val="20"/>
                <w:szCs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1,155,038,859.53</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1,154,964,084.73</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2,120,944,535.92</w:t>
            </w:r>
            <w:r>
              <w:rPr>
                <w:rFonts w:ascii="Times New Roman"/>
                <w:spacing w:val="-1"/>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1,550,459,190.44</w:t>
            </w:r>
            <w:r>
              <w:rPr>
                <w:rFonts w:ascii="Times New Roman"/>
                <w:spacing w:val="-1"/>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1,374,781,709.07</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642,589,090.42</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412,809,944.86</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622,351,581.77</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38,136,130.29</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8,876,359.80</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58</w:t>
            </w:r>
            <w:r>
              <w:rPr>
                <w:rFonts w:ascii="Times New Roman" w:hAnsi="Times New Roman" w:cs="Times New Roman" w:eastAsia="Times New Roman" w:hint="default"/>
                <w:sz w:val="20"/>
                <w:szCs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1,098,345,668.89</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897,172,130.76</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2,924,073,453.11</w:t>
            </w:r>
            <w:r>
              <w:rPr>
                <w:rFonts w:ascii="Times New Roman"/>
                <w:spacing w:val="-1"/>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2,170,989,162.75</w:t>
            </w:r>
            <w:r>
              <w:rPr>
                <w:rFonts w:ascii="Times New Roman"/>
                <w:spacing w:val="-1"/>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-803,128,917.19</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-620,529,972.31</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53,380,199.42</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501,261,437.65</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子公司吸收少数股东投资收到的现金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53,380,199.42</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501,261,437.65</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6,710,217,788.15</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7,346,641,062.48</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1,296,800,000.00</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58</w:t>
            </w:r>
            <w:r>
              <w:rPr>
                <w:rFonts w:ascii="Times New Roman" w:hAnsi="Times New Roman" w:cs="Times New Roman" w:eastAsia="Times New Roman" w:hint="default"/>
                <w:sz w:val="20"/>
                <w:szCs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269,776,923.01</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72,477,200.00</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8,330,174,910.58</w:t>
            </w:r>
            <w:r>
              <w:rPr>
                <w:rFonts w:ascii="Times New Roman"/>
                <w:spacing w:val="-1"/>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7,920,379,700.13</w:t>
            </w:r>
            <w:r>
              <w:rPr>
                <w:rFonts w:ascii="Times New Roman"/>
                <w:spacing w:val="-1"/>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6,619,266,689.83</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6,254,676,120.69</w:t>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374,712,934.80</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319,395,373.47</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子公司支付少数股东的股利、利润</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47,334,789.46</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36,440,775.55</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八、</w:t>
            </w:r>
            <w:r>
              <w:rPr>
                <w:rFonts w:ascii="Times New Roman" w:hAnsi="Times New Roman" w:cs="Times New Roman" w:eastAsia="Times New Roman" w:hint="default"/>
                <w:spacing w:val="-1"/>
                <w:sz w:val="20"/>
                <w:szCs w:val="20"/>
              </w:rPr>
              <w:t>58</w:t>
            </w:r>
            <w:r>
              <w:rPr>
                <w:rFonts w:ascii="Times New Roman" w:hAnsi="Times New Roman" w:cs="Times New Roman" w:eastAsia="Times New Roman" w:hint="default"/>
                <w:sz w:val="20"/>
                <w:szCs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542,426,663.95</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304,229,734.61</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7,536,406,288.58</w:t>
            </w:r>
            <w:r>
              <w:rPr>
                <w:rFonts w:ascii="Times New Roman"/>
                <w:spacing w:val="-1"/>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6,878,301,228.77</w:t>
            </w:r>
            <w:r>
              <w:rPr>
                <w:rFonts w:ascii="Times New Roman"/>
                <w:spacing w:val="-1"/>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793,768,622.00</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1,042,078,471.36</w:t>
            </w:r>
            <w:r>
              <w:rPr>
                <w:rFonts w:ascii="Times New Roman"/>
                <w:spacing w:val="-1"/>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-4,475,662.95</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2,421,286.40</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255,943,395.32</w:t>
            </w:r>
            <w:r>
              <w:rPr>
                <w:rFonts w:ascii="Times New Roman"/>
                <w:sz w:val="20"/>
              </w:rPr>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1,179,607,240.16</w:t>
            </w:r>
            <w:r>
              <w:rPr>
                <w:rFonts w:ascii="Times New Roman"/>
                <w:spacing w:val="-1"/>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4,420,926,348.63</w:t>
            </w:r>
          </w:p>
        </w:tc>
        <w:tc>
          <w:tcPr>
            <w:tcW w:w="17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3,241,319,108.47</w:t>
            </w:r>
          </w:p>
        </w:tc>
      </w:tr>
      <w:tr>
        <w:trPr>
          <w:trHeight w:val="281" w:hRule="exact"/>
        </w:trPr>
        <w:tc>
          <w:tcPr>
            <w:tcW w:w="5217"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816" w:type="dxa"/>
            <w:tcBorders>
              <w:top w:val="single" w:sz="6" w:space="0" w:color="000000"/>
              <w:left w:val="single" w:sz="6" w:space="0" w:color="000000"/>
              <w:bottom w:val="single" w:sz="12" w:space="0" w:color="000000"/>
              <w:right w:val="single" w:sz="6" w:space="0" w:color="000000"/>
            </w:tcBorders>
          </w:tcPr>
          <w:p>
            <w:pP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4,676,869,743.95</w:t>
            </w:r>
            <w:r>
              <w:rPr>
                <w:rFonts w:ascii="Times New Roman"/>
                <w:spacing w:val="-1"/>
                <w:sz w:val="20"/>
              </w:rPr>
            </w:r>
          </w:p>
        </w:tc>
        <w:tc>
          <w:tcPr>
            <w:tcW w:w="17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4,420,926,348.63</w:t>
            </w:r>
            <w:r>
              <w:rPr>
                <w:rFonts w:ascii="Times New Roman"/>
                <w:spacing w:val="-1"/>
                <w:sz w:val="20"/>
              </w:rPr>
            </w:r>
          </w:p>
        </w:tc>
      </w:tr>
    </w:tbl>
    <w:p>
      <w:pPr>
        <w:tabs>
          <w:tab w:pos="3808" w:val="left" w:leader="none"/>
          <w:tab w:pos="7061" w:val="left" w:leader="none"/>
        </w:tabs>
        <w:spacing w:line="240" w:lineRule="exact" w:before="0"/>
        <w:ind w:left="238" w:right="24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180" w:right="1000"/>
        </w:sectPr>
      </w:pPr>
    </w:p>
    <w:p>
      <w:pPr>
        <w:pStyle w:val="Heading3"/>
        <w:spacing w:line="311" w:lineRule="exact"/>
        <w:ind w:left="0" w:right="5"/>
        <w:jc w:val="center"/>
        <w:rPr>
          <w:b w:val="0"/>
          <w:bCs w:val="0"/>
        </w:rPr>
      </w:pPr>
      <w:r>
        <w:rPr/>
        <w:t>母公司现金流量表</w:t>
      </w:r>
      <w:r>
        <w:rPr>
          <w:b w:val="0"/>
          <w:bCs w:val="0"/>
        </w:rPr>
      </w:r>
    </w:p>
    <w:p>
      <w:pPr>
        <w:tabs>
          <w:tab w:pos="7813" w:val="left" w:leader="none"/>
        </w:tabs>
        <w:spacing w:before="4"/>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528"/>
        <w:gridCol w:w="840"/>
        <w:gridCol w:w="2041"/>
        <w:gridCol w:w="2008"/>
      </w:tblGrid>
      <w:tr>
        <w:trPr>
          <w:trHeight w:val="283" w:hRule="exact"/>
        </w:trPr>
        <w:tc>
          <w:tcPr>
            <w:tcW w:w="4528"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261"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041"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66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08"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64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6,965,551,689.38</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6,138,384,456.57</w:t>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235,054.05</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823,734.43</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1,346,220,049.39</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671,755,077.04</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47"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8,312,006,792.82</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6,810,963,268.04</w:t>
            </w:r>
            <w:r>
              <w:rPr>
                <w:rFonts w:ascii="Times New Roman"/>
                <w:spacing w:val="-1"/>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6,155,581,650.75</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5,723,207,226.58</w:t>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198,191,027.46</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211,834,220.87</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75,250,742.25</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60,514,380.21</w:t>
            </w:r>
            <w:r>
              <w:rPr>
                <w:rFonts w:ascii="Times New Roman"/>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1,785,296,898.97</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775,186,855.72</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47"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8,214,320,319.43</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6,770,742,683.38</w:t>
            </w:r>
            <w:r>
              <w:rPr>
                <w:rFonts w:ascii="Times New Roman"/>
                <w:spacing w:val="-1"/>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49"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97,686,473.39</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40,220,584.66</w:t>
            </w:r>
            <w:r>
              <w:rPr>
                <w:rFonts w:ascii="Times New Roman"/>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512,507,039.47</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41,219,867.64</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349,767,186.18</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153,721,885.04</w:t>
            </w:r>
            <w:r>
              <w:rPr>
                <w:rFonts w:ascii="Times New Roman"/>
                <w:sz w:val="20"/>
              </w:rPr>
            </w:r>
          </w:p>
        </w:tc>
      </w:tr>
      <w:tr>
        <w:trPr>
          <w:trHeight w:val="481"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5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7"/>
              <w:jc w:val="right"/>
              <w:rPr>
                <w:rFonts w:ascii="Times New Roman" w:hAnsi="Times New Roman" w:cs="Times New Roman" w:eastAsia="Times New Roman" w:hint="default"/>
                <w:sz w:val="20"/>
                <w:szCs w:val="20"/>
              </w:rPr>
            </w:pPr>
            <w:r>
              <w:rPr>
                <w:rFonts w:ascii="Times New Roman"/>
                <w:spacing w:val="-1"/>
                <w:sz w:val="20"/>
              </w:rPr>
              <w:t>15,304,790.00</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5"/>
              <w:ind w:right="92"/>
              <w:jc w:val="right"/>
              <w:rPr>
                <w:rFonts w:ascii="Times New Roman" w:hAnsi="Times New Roman" w:cs="Times New Roman" w:eastAsia="Times New Roman" w:hint="default"/>
                <w:sz w:val="20"/>
                <w:szCs w:val="20"/>
              </w:rPr>
            </w:pPr>
            <w:r>
              <w:rPr>
                <w:rFonts w:ascii="Times New Roman"/>
                <w:spacing w:val="-1"/>
                <w:sz w:val="20"/>
              </w:rPr>
              <w:t>1,207,850.00</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right="209"/>
              <w:jc w:val="right"/>
              <w:rPr>
                <w:rFonts w:ascii="宋体" w:hAnsi="宋体" w:cs="宋体" w:eastAsia="宋体" w:hint="default"/>
                <w:sz w:val="20"/>
                <w:szCs w:val="20"/>
              </w:rPr>
            </w:pPr>
            <w:r>
              <w:rPr>
                <w:rFonts w:ascii="宋体" w:hAnsi="宋体" w:cs="宋体" w:eastAsia="宋体" w:hint="default"/>
                <w:spacing w:val="-1"/>
                <w:sz w:val="20"/>
                <w:szCs w:val="20"/>
              </w:rPr>
              <w:t>处置子公司及其他营业单位收到的现金净额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189,887,432.99</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1,055,632,513.54</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1,087,124,775.00</w:t>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47"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2,123,098,962.18</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1,283,774,377.68</w:t>
            </w:r>
            <w:r>
              <w:rPr>
                <w:rFonts w:ascii="Times New Roman"/>
                <w:spacing w:val="-1"/>
                <w:sz w:val="20"/>
              </w:rPr>
            </w:r>
          </w:p>
        </w:tc>
      </w:tr>
      <w:tr>
        <w:trPr>
          <w:trHeight w:val="482"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45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Times New Roman" w:hAnsi="Times New Roman" w:cs="Times New Roman" w:eastAsia="Times New Roman" w:hint="default"/>
                <w:sz w:val="20"/>
                <w:szCs w:val="20"/>
              </w:rPr>
            </w:pPr>
            <w:r>
              <w:rPr>
                <w:rFonts w:ascii="Times New Roman"/>
                <w:spacing w:val="-1"/>
                <w:sz w:val="20"/>
              </w:rPr>
              <w:t>416,189,357.27</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5"/>
              <w:ind w:right="92"/>
              <w:jc w:val="right"/>
              <w:rPr>
                <w:rFonts w:ascii="Times New Roman" w:hAnsi="Times New Roman" w:cs="Times New Roman" w:eastAsia="Times New Roman" w:hint="default"/>
                <w:sz w:val="20"/>
                <w:szCs w:val="20"/>
              </w:rPr>
            </w:pPr>
            <w:r>
              <w:rPr>
                <w:rFonts w:ascii="Times New Roman"/>
                <w:spacing w:val="-1"/>
                <w:sz w:val="20"/>
              </w:rPr>
              <w:t>233,259,426.38</w:t>
            </w:r>
            <w:r>
              <w:rPr>
                <w:rFonts w:ascii="Times New Roman"/>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1,055,430,222.99</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450,862,209.09</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right="209"/>
              <w:jc w:val="righ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218,531,232.65</w:t>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1,351,495,748.12</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909,970,000.00</w:t>
            </w:r>
            <w:r>
              <w:rPr>
                <w:rFonts w:ascii="Times New Roman"/>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47"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2,823,115,328.38</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1,812,622,868.12</w:t>
            </w:r>
            <w:r>
              <w:rPr>
                <w:rFonts w:ascii="Times New Roman"/>
                <w:spacing w:val="-1"/>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49"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-700,016,366.20</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3"/>
              <w:jc w:val="right"/>
              <w:rPr>
                <w:rFonts w:ascii="Times New Roman" w:hAnsi="Times New Roman" w:cs="Times New Roman" w:eastAsia="Times New Roman" w:hint="default"/>
                <w:sz w:val="20"/>
                <w:szCs w:val="20"/>
              </w:rPr>
            </w:pPr>
            <w:r>
              <w:rPr>
                <w:rFonts w:ascii="Times New Roman"/>
                <w:b/>
                <w:spacing w:val="-1"/>
                <w:sz w:val="20"/>
              </w:rPr>
              <w:t>-528,848,490.44</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12" w:space="0" w:color="000000"/>
            </w:tcBorders>
          </w:tcPr>
          <w:p>
            <w:pP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3,097,130,000.00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4,085,000,000.00</w:t>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796,800,000.00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71,414,785.28</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518,131,213.32</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47"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3,965,344,785.28</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4,603,131,213.32</w:t>
            </w:r>
            <w:r>
              <w:rPr>
                <w:rFonts w:ascii="Times New Roman"/>
                <w:spacing w:val="-1"/>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3,044,240,000.00</w:t>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3,403,760,000.00</w:t>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187,756,799.94</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174,092,052.52</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64,024,907.53</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412,095,949.08</w:t>
            </w:r>
            <w:r>
              <w:rPr>
                <w:rFonts w:ascii="Times New Roman"/>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47"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3,296,021,707.47</w:t>
            </w:r>
            <w:r>
              <w:rPr>
                <w:rFonts w:ascii="Times New Roman"/>
                <w:spacing w:val="-1"/>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3,989,948,001.60</w:t>
            </w:r>
            <w:r>
              <w:rPr>
                <w:rFonts w:ascii="Times New Roman"/>
                <w:spacing w:val="-1"/>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49"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669,323,077.81</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613,183,211.72</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14,813,326.39</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spacing w:val="-1"/>
                <w:sz w:val="20"/>
              </w:rPr>
              <w:t>-1,052,943.10</w:t>
            </w:r>
            <w:r>
              <w:rPr>
                <w:rFonts w:ascii="Times New Roman"/>
                <w:sz w:val="20"/>
              </w:rPr>
            </w:r>
          </w:p>
        </w:tc>
      </w:tr>
      <w:tr>
        <w:trPr>
          <w:trHeight w:val="274"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81,806,511.39</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3"/>
              <w:jc w:val="right"/>
              <w:rPr>
                <w:rFonts w:ascii="Times New Roman" w:hAnsi="Times New Roman" w:cs="Times New Roman" w:eastAsia="Times New Roman" w:hint="default"/>
                <w:sz w:val="20"/>
                <w:szCs w:val="20"/>
              </w:rPr>
            </w:pPr>
            <w:r>
              <w:rPr>
                <w:rFonts w:ascii="Times New Roman"/>
                <w:b/>
                <w:spacing w:val="-1"/>
                <w:sz w:val="20"/>
              </w:rPr>
              <w:t>123,502,362.84</w:t>
            </w:r>
            <w:r>
              <w:rPr>
                <w:rFonts w:ascii="Times New Roman"/>
                <w:sz w:val="20"/>
              </w:rPr>
            </w:r>
          </w:p>
        </w:tc>
      </w:tr>
      <w:tr>
        <w:trPr>
          <w:trHeight w:val="275" w:hRule="exact"/>
        </w:trPr>
        <w:tc>
          <w:tcPr>
            <w:tcW w:w="452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40"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973,933,434.94</w:t>
            </w:r>
            <w:r>
              <w:rPr>
                <w:rFonts w:ascii="Times New Roman"/>
                <w:sz w:val="20"/>
              </w:rPr>
            </w:r>
          </w:p>
        </w:tc>
        <w:tc>
          <w:tcPr>
            <w:tcW w:w="20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850,431,072.10</w:t>
            </w:r>
            <w:r>
              <w:rPr>
                <w:rFonts w:ascii="Times New Roman"/>
                <w:sz w:val="20"/>
              </w:rPr>
            </w:r>
          </w:p>
        </w:tc>
      </w:tr>
      <w:tr>
        <w:trPr>
          <w:trHeight w:val="283" w:hRule="exact"/>
        </w:trPr>
        <w:tc>
          <w:tcPr>
            <w:tcW w:w="4528"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840" w:type="dxa"/>
            <w:tcBorders>
              <w:top w:val="single" w:sz="6" w:space="0" w:color="000000"/>
              <w:left w:val="single" w:sz="6" w:space="0" w:color="000000"/>
              <w:bottom w:val="single" w:sz="12" w:space="0" w:color="000000"/>
              <w:right w:val="single" w:sz="6" w:space="0" w:color="000000"/>
            </w:tcBorders>
          </w:tcPr>
          <w:p>
            <w:pPr/>
          </w:p>
        </w:tc>
        <w:tc>
          <w:tcPr>
            <w:tcW w:w="20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1,055,739,946.33</w:t>
            </w:r>
            <w:r>
              <w:rPr>
                <w:rFonts w:ascii="Times New Roman"/>
                <w:spacing w:val="-1"/>
                <w:sz w:val="20"/>
              </w:rPr>
            </w:r>
          </w:p>
        </w:tc>
        <w:tc>
          <w:tcPr>
            <w:tcW w:w="20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973,933,434.94</w:t>
            </w:r>
            <w:r>
              <w:rPr>
                <w:rFonts w:ascii="Times New Roman"/>
                <w:sz w:val="20"/>
              </w:rPr>
            </w:r>
          </w:p>
        </w:tc>
      </w:tr>
    </w:tbl>
    <w:p>
      <w:pPr>
        <w:tabs>
          <w:tab w:pos="3808" w:val="left" w:leader="none"/>
          <w:tab w:pos="7061" w:val="left" w:leader="none"/>
        </w:tabs>
        <w:spacing w:line="240" w:lineRule="exact" w:before="0"/>
        <w:ind w:left="238" w:right="108"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180" w:right="1040"/>
        </w:sectPr>
      </w:pPr>
    </w:p>
    <w:p>
      <w:pPr>
        <w:tabs>
          <w:tab w:pos="12386" w:val="left" w:leader="none"/>
        </w:tabs>
        <w:spacing w:before="4"/>
        <w:ind w:left="238"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5"/>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1864"/>
        <w:gridCol w:w="1867"/>
        <w:gridCol w:w="1340"/>
        <w:gridCol w:w="1476"/>
        <w:gridCol w:w="578"/>
        <w:gridCol w:w="1340"/>
        <w:gridCol w:w="1476"/>
        <w:gridCol w:w="1313"/>
        <w:gridCol w:w="1476"/>
        <w:gridCol w:w="1565"/>
      </w:tblGrid>
      <w:tr>
        <w:trPr>
          <w:trHeight w:val="255" w:hRule="exact"/>
        </w:trPr>
        <w:tc>
          <w:tcPr>
            <w:tcW w:w="1864" w:type="dxa"/>
            <w:vMerge w:val="restart"/>
            <w:tcBorders>
              <w:top w:val="single" w:sz="12" w:space="0" w:color="000000"/>
              <w:left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867"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524"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5" w:type="dxa"/>
            <w:vMerge w:val="restart"/>
            <w:tcBorders>
              <w:top w:val="single" w:sz="12"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0"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565" w:type="dxa"/>
            <w:vMerge/>
            <w:tcBorders>
              <w:left w:val="single" w:sz="6" w:space="0" w:color="000000"/>
              <w:right w:val="single" w:sz="12" w:space="0" w:color="000000"/>
            </w:tcBorders>
          </w:tcPr>
          <w:p>
            <w:pPr/>
          </w:p>
        </w:tc>
      </w:tr>
      <w:tr>
        <w:trPr>
          <w:trHeight w:val="234"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right w:val="single" w:sz="6" w:space="0" w:color="000000"/>
            </w:tcBorders>
          </w:tcPr>
          <w:p>
            <w:pPr/>
          </w:p>
        </w:tc>
        <w:tc>
          <w:tcPr>
            <w:tcW w:w="1565" w:type="dxa"/>
            <w:vMerge/>
            <w:tcBorders>
              <w:left w:val="single" w:sz="6" w:space="0" w:color="000000"/>
              <w:right w:val="single" w:sz="12" w:space="0" w:color="000000"/>
            </w:tcBorders>
          </w:tcPr>
          <w:p>
            <w:pPr/>
          </w:p>
        </w:tc>
      </w:tr>
      <w:tr>
        <w:trPr>
          <w:trHeight w:val="241" w:hRule="exact"/>
        </w:trPr>
        <w:tc>
          <w:tcPr>
            <w:tcW w:w="1864" w:type="dxa"/>
            <w:vMerge/>
            <w:tcBorders>
              <w:left w:val="single" w:sz="12" w:space="0" w:color="000000"/>
              <w:bottom w:val="single" w:sz="6" w:space="0" w:color="000000"/>
              <w:right w:val="nil" w:sz="6" w:space="0" w:color="auto"/>
            </w:tcBorders>
          </w:tcPr>
          <w:p>
            <w:pPr/>
          </w:p>
        </w:tc>
        <w:tc>
          <w:tcPr>
            <w:tcW w:w="1867" w:type="dxa"/>
            <w:vMerge/>
            <w:tcBorders>
              <w:left w:val="nil" w:sz="6" w:space="0" w:color="auto"/>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90"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12" w:space="0" w:color="000000"/>
            </w:tcBorders>
          </w:tcPr>
          <w:p>
            <w:pP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4,498,341,197.27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1,412,071,728.11</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-16,356,856.53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2,092,707,363.82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9,400,563,855.09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4,498,341,197.27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1,412,071,728.11</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-16,356,856.53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2,092,707,363.82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9,400,563,855.09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279,809,694.61</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333,902,920.52</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294,030.07</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518,369,312.00</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1,197,211,510.08</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479,555,528.80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120,182,289.99</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599,737,818.79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-56,272,295.46</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294,030.07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-2,851,333.41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-58,829,598.80</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-56,272,295.46</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6"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479,555,528.80</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294,030.07</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117,330,956.58</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540,908,219.99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279,104,448.50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97,149,292.48</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393,133,740.98</w:t>
            </w:r>
            <w:r>
              <w:rPr>
                <w:rFonts w:ascii="Times New Roman"/>
                <w:spacing w:val="-1"/>
                <w:sz w:val="18"/>
              </w:rPr>
            </w:r>
          </w:p>
        </w:tc>
      </w:tr>
      <w:tr>
        <w:trPr>
          <w:trHeight w:val="250"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16,880,000.00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279,104,448.50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97,149,292.48</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393,133,740.98</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-145,652,608.28</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-47,334,789.46</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-145,031,844.86</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47,955,552.88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-47,955,552.88</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-97,697,055.40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-47,334,789.46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-145,031,844.86</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56,977,541.57</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351,223,852.40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408,201,393.97</w:t>
            </w:r>
            <w:r>
              <w:rPr>
                <w:rFonts w:ascii="Times New Roman"/>
                <w:spacing w:val="-1"/>
                <w:sz w:val="18"/>
              </w:rPr>
            </w:r>
          </w:p>
        </w:tc>
      </w:tr>
      <w:tr>
        <w:trPr>
          <w:trHeight w:val="256" w:hRule="exact"/>
        </w:trPr>
        <w:tc>
          <w:tcPr>
            <w:tcW w:w="373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4,778,150,891.88</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1,745,974,648.63</w:t>
            </w:r>
            <w:r>
              <w:rPr>
                <w:rFonts w:ascii="Times New Roman"/>
                <w:spacing w:val="-1"/>
                <w:sz w:val="18"/>
              </w:rPr>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-16,062,826.46</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2,611,076,675.82</w:t>
            </w:r>
            <w:r>
              <w:rPr>
                <w:rFonts w:ascii="Times New Roman"/>
                <w:spacing w:val="-1"/>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10,597,775,365.17</w:t>
            </w:r>
            <w:r>
              <w:rPr>
                <w:rFonts w:ascii="Times New Roman"/>
                <w:spacing w:val="-1"/>
                <w:sz w:val="18"/>
              </w:rPr>
            </w:r>
          </w:p>
        </w:tc>
      </w:tr>
    </w:tbl>
    <w:p>
      <w:pPr>
        <w:tabs>
          <w:tab w:pos="5696" w:val="left" w:leader="none"/>
          <w:tab w:pos="1115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28"/>
          <w:footerReference w:type="default" r:id="rId29"/>
          <w:pgSz w:w="16840" w:h="11910" w:orient="landscape"/>
          <w:pgMar w:header="610" w:footer="780" w:top="2000" w:bottom="980" w:left="1180" w:right="1100"/>
          <w:pgNumType w:start="79"/>
        </w:sectPr>
      </w:pPr>
    </w:p>
    <w:p>
      <w:pPr>
        <w:spacing w:line="240" w:lineRule="auto" w:before="2"/>
        <w:rPr>
          <w:rFonts w:ascii="宋体" w:hAnsi="宋体" w:cs="宋体" w:eastAsia="宋体" w:hint="default"/>
          <w:sz w:val="21"/>
          <w:szCs w:val="21"/>
        </w:rPr>
      </w:pPr>
    </w:p>
    <w:p>
      <w:pPr>
        <w:tabs>
          <w:tab w:pos="12386" w:val="left" w:leader="none"/>
        </w:tabs>
        <w:spacing w:before="38"/>
        <w:ind w:left="238"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1864"/>
        <w:gridCol w:w="1867"/>
        <w:gridCol w:w="1340"/>
        <w:gridCol w:w="1476"/>
        <w:gridCol w:w="578"/>
        <w:gridCol w:w="1340"/>
        <w:gridCol w:w="1476"/>
        <w:gridCol w:w="1312"/>
        <w:gridCol w:w="1476"/>
        <w:gridCol w:w="1475"/>
      </w:tblGrid>
      <w:tr>
        <w:trPr>
          <w:trHeight w:val="255" w:hRule="exact"/>
        </w:trPr>
        <w:tc>
          <w:tcPr>
            <w:tcW w:w="1864" w:type="dxa"/>
            <w:vMerge w:val="restart"/>
            <w:tcBorders>
              <w:top w:val="single" w:sz="12" w:space="0" w:color="000000"/>
              <w:left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867"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523"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5" w:type="dxa"/>
            <w:vMerge w:val="restart"/>
            <w:tcBorders>
              <w:top w:val="single" w:sz="12"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0"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2" w:type="dxa"/>
            <w:tcBorders>
              <w:top w:val="single" w:sz="6" w:space="0" w:color="000000"/>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35"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2"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2" w:hRule="exact"/>
        </w:trPr>
        <w:tc>
          <w:tcPr>
            <w:tcW w:w="1864" w:type="dxa"/>
            <w:vMerge/>
            <w:tcBorders>
              <w:left w:val="single" w:sz="12" w:space="0" w:color="000000"/>
              <w:bottom w:val="single" w:sz="6" w:space="0" w:color="000000"/>
              <w:right w:val="nil" w:sz="6" w:space="0" w:color="auto"/>
            </w:tcBorders>
          </w:tcPr>
          <w:p>
            <w:pPr/>
          </w:p>
        </w:tc>
        <w:tc>
          <w:tcPr>
            <w:tcW w:w="1867" w:type="dxa"/>
            <w:vMerge/>
            <w:tcBorders>
              <w:left w:val="nil" w:sz="6" w:space="0" w:color="auto"/>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5" w:type="dxa"/>
            <w:vMerge/>
            <w:tcBorders>
              <w:left w:val="single" w:sz="6" w:space="0" w:color="000000"/>
              <w:bottom w:val="single" w:sz="6" w:space="0" w:color="000000"/>
              <w:right w:val="single" w:sz="12" w:space="0" w:color="000000"/>
            </w:tcBorders>
          </w:tcPr>
          <w:p>
            <w:pP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4,511,836,198.97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402,775,954.48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1,173,974,447.56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-19,429,128.56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1,393,794,582.74</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8,439,922,609.19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-1,032,621.25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-9,293,591.25</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-10,326,212.50</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5"/>
                <w:sz w:val="18"/>
              </w:rPr>
              <w:t>-50,485.05</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5"/>
                <w:sz w:val="18"/>
              </w:rPr>
              <w:t>-454,365.45</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12,388,330.50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11,883,480.00</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4,511,836,198.97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401,692,848.18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1,164,226,490.86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-19,429,128.56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1,406,182,913.24</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8,441,479,876.69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-13,495,001.70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247,845,237.25</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3,072,272.03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686,524,450.58</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959,083,978.40</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351,370,202.43</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138,162,838.47</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489,533,040.90</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-29,600,556.42</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3,072,272.03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3,542,841.87</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-22,985,442.52</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-29,600,556.42</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351,370,202.43</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3,072,272.03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141,705,680.34</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466,547,598.38</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590,563,892.99</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590,563,892.99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590,563,892.99</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590,563,892.99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-103,524,965.18</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-12,833,357.79</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-81,221,302.73</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35,137,020.24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-35,137,020.24</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-68,387,944.94</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-12,833,357.79</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-81,221,302.73</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16,105,554.72</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-32,911,764.96</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-16,806,210.24</w:t>
            </w:r>
            <w:r>
              <w:rPr>
                <w:rFonts w:ascii="Times New Roman"/>
                <w:spacing w:val="-1"/>
                <w:sz w:val="18"/>
              </w:rPr>
            </w:r>
          </w:p>
        </w:tc>
      </w:tr>
      <w:tr>
        <w:trPr>
          <w:trHeight w:val="256" w:hRule="exact"/>
        </w:trPr>
        <w:tc>
          <w:tcPr>
            <w:tcW w:w="373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4,498,341,197.27</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1,412,071,728.11</w:t>
            </w:r>
            <w:r>
              <w:rPr>
                <w:rFonts w:ascii="Times New Roman"/>
                <w:spacing w:val="-1"/>
                <w:sz w:val="18"/>
              </w:rPr>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-16,356,856.53</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2,092,707,363.82</w:t>
            </w:r>
            <w:r>
              <w:rPr>
                <w:rFonts w:ascii="Times New Roman"/>
                <w:spacing w:val="-1"/>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9,400,563,855.09</w:t>
            </w:r>
            <w:r>
              <w:rPr>
                <w:rFonts w:ascii="Times New Roman"/>
                <w:spacing w:val="-1"/>
                <w:sz w:val="18"/>
              </w:rPr>
            </w:r>
          </w:p>
        </w:tc>
      </w:tr>
    </w:tbl>
    <w:p>
      <w:pPr>
        <w:tabs>
          <w:tab w:pos="5696" w:val="left" w:leader="none"/>
          <w:tab w:pos="1073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30"/>
          <w:pgSz w:w="16840" w:h="11910" w:orient="landscape"/>
          <w:pgMar w:header="610" w:footer="780" w:top="2000" w:bottom="980" w:left="1180" w:right="1180"/>
        </w:sectPr>
      </w:pPr>
    </w:p>
    <w:tbl>
      <w:tblPr>
        <w:tblW w:w="0" w:type="auto"/>
        <w:jc w:val="left"/>
        <w:tblInd w:w="114" w:type="dxa"/>
        <w:tblLayout w:type="fixed"/>
        <w:tblCellMar>
          <w:top w:w="0" w:type="dxa"/>
          <w:left w:w="0" w:type="dxa"/>
          <w:bottom w:w="0" w:type="dxa"/>
          <w:right w:w="0" w:type="dxa"/>
        </w:tblCellMar>
        <w:tblLook w:val="01E0"/>
      </w:tblPr>
      <w:tblGrid>
        <w:gridCol w:w="3958"/>
        <w:gridCol w:w="1429"/>
        <w:gridCol w:w="1476"/>
        <w:gridCol w:w="1199"/>
        <w:gridCol w:w="1465"/>
        <w:gridCol w:w="1466"/>
        <w:gridCol w:w="1466"/>
        <w:gridCol w:w="1475"/>
      </w:tblGrid>
      <w:tr>
        <w:trPr>
          <w:trHeight w:val="255" w:hRule="exact"/>
        </w:trPr>
        <w:tc>
          <w:tcPr>
            <w:tcW w:w="3958" w:type="dxa"/>
            <w:tcBorders>
              <w:top w:val="single" w:sz="12" w:space="0" w:color="000000"/>
              <w:left w:val="single" w:sz="12" w:space="0" w:color="000000"/>
              <w:bottom w:val="single" w:sz="6" w:space="0" w:color="000000"/>
              <w:right w:val="single" w:sz="6" w:space="0" w:color="000000"/>
            </w:tcBorders>
          </w:tcPr>
          <w:p>
            <w:pP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38"/>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4,281,799,977.84</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-222,945,988.43</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5,472,654,411.83</w:t>
            </w:r>
            <w:r>
              <w:rPr>
                <w:rFonts w:ascii="Times New Roman"/>
                <w:spacing w:val="-1"/>
                <w:sz w:val="18"/>
              </w:rPr>
            </w:r>
          </w:p>
        </w:tc>
      </w:tr>
      <w:tr>
        <w:trPr>
          <w:trHeight w:val="25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4,281,799,977.84</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-222,945,988.43</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5,472,654,411.83</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235,492,108.38</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124,010,697.54</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424,338,358.80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267,962,831.51</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267,962,831.51</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-47,944,757.71</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-47,944,757.71</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-47,944,757.71</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267,962,831.51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220,018,073.80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279,104,448.50</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295,984,448.50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16,880,000.00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279,104,448.50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295,984,448.50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-145,652,608.28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-97,697,055.40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47,955,552.88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-47,955,552.88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-97,697,055.40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-97,697,055.40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4,332,417.59</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1,700,474.31</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6,032,891.90</w:t>
            </w:r>
            <w:r>
              <w:rPr>
                <w:rFonts w:ascii="Times New Roman"/>
                <w:spacing w:val="-1"/>
                <w:sz w:val="18"/>
              </w:rPr>
            </w:r>
          </w:p>
        </w:tc>
      </w:tr>
      <w:tr>
        <w:trPr>
          <w:trHeight w:val="256" w:hRule="exact"/>
        </w:trPr>
        <w:tc>
          <w:tcPr>
            <w:tcW w:w="3958"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4,517,292,086.22</w:t>
            </w:r>
            <w:r>
              <w:rPr>
                <w:rFonts w:ascii="Times New Roman"/>
                <w:spacing w:val="-1"/>
                <w:sz w:val="18"/>
              </w:rPr>
            </w: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-98,935,290.89</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5,896,992,770.63</w:t>
            </w:r>
            <w:r>
              <w:rPr>
                <w:rFonts w:ascii="Times New Roman"/>
                <w:spacing w:val="-1"/>
                <w:sz w:val="18"/>
              </w:rPr>
            </w:r>
          </w:p>
        </w:tc>
      </w:tr>
    </w:tbl>
    <w:p>
      <w:pPr>
        <w:tabs>
          <w:tab w:pos="5696" w:val="left" w:leader="none"/>
          <w:tab w:pos="1073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31"/>
          <w:pgSz w:w="16840" w:h="11910" w:orient="landscape"/>
          <w:pgMar w:header="610" w:footer="780" w:top="2600" w:bottom="980" w:left="1180" w:right="1460"/>
        </w:sectPr>
      </w:pPr>
    </w:p>
    <w:tbl>
      <w:tblPr>
        <w:tblW w:w="0" w:type="auto"/>
        <w:jc w:val="left"/>
        <w:tblInd w:w="114" w:type="dxa"/>
        <w:tblLayout w:type="fixed"/>
        <w:tblCellMar>
          <w:top w:w="0" w:type="dxa"/>
          <w:left w:w="0" w:type="dxa"/>
          <w:bottom w:w="0" w:type="dxa"/>
          <w:right w:w="0" w:type="dxa"/>
        </w:tblCellMar>
        <w:tblLook w:val="01E0"/>
      </w:tblPr>
      <w:tblGrid>
        <w:gridCol w:w="3958"/>
        <w:gridCol w:w="1428"/>
        <w:gridCol w:w="1477"/>
        <w:gridCol w:w="1199"/>
        <w:gridCol w:w="1465"/>
        <w:gridCol w:w="1466"/>
        <w:gridCol w:w="1466"/>
        <w:gridCol w:w="1475"/>
      </w:tblGrid>
      <w:tr>
        <w:trPr>
          <w:trHeight w:val="255" w:hRule="exact"/>
        </w:trPr>
        <w:tc>
          <w:tcPr>
            <w:tcW w:w="3958" w:type="dxa"/>
            <w:tcBorders>
              <w:top w:val="single" w:sz="12" w:space="0" w:color="000000"/>
              <w:left w:val="single" w:sz="12" w:space="0" w:color="000000"/>
              <w:bottom w:val="single" w:sz="6" w:space="0" w:color="000000"/>
              <w:right w:val="single" w:sz="6" w:space="0" w:color="000000"/>
            </w:tcBorders>
          </w:tcPr>
          <w:p>
            <w:pP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bookmarkStart w:name=" " w:id="2"/>
            <w:bookmarkEnd w:id="2"/>
            <w:r>
              <w:rPr/>
            </w:r>
            <w:r>
              <w:rPr>
                <w:rFonts w:ascii="宋体" w:hAnsi="宋体" w:cs="宋体" w:eastAsia="宋体" w:hint="default"/>
                <w:b/>
                <w:bCs/>
                <w:sz w:val="18"/>
                <w:szCs w:val="18"/>
              </w:rPr>
              <w:t>股本</w:t>
            </w:r>
            <w:r>
              <w:rPr>
                <w:rFonts w:ascii="宋体" w:hAnsi="宋体" w:cs="宋体" w:eastAsia="宋体" w:hint="default"/>
                <w:sz w:val="18"/>
                <w:szCs w:val="18"/>
              </w:rPr>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38"/>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4,306,973,149.33</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402,775,954.48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-163,868,839.60</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5,522,850,818.21</w:t>
            </w:r>
            <w:r>
              <w:rPr>
                <w:rFonts w:ascii="Times New Roman"/>
                <w:spacing w:val="-1"/>
                <w:sz w:val="18"/>
              </w:rPr>
            </w:r>
          </w:p>
        </w:tc>
      </w:tr>
      <w:tr>
        <w:trPr>
          <w:trHeight w:val="25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-1,032,621.25</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-9,293,591.25</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-10,326,212.50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w w:val="95"/>
                <w:sz w:val="18"/>
              </w:rPr>
              <w:t>-50,485.05</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50,485.05</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4,306,973,149.33</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401,692,848.18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-173,111,945.80</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5,512,524,605.71</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-25,173,171.49</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-49,834,042.63</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-39,870,193.88</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53,690,922.55</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53,690,922.55</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-24,007,774.46</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-24,007,774.46</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-24,007,774.46</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53,690,922.55</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29,683,148.09</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-103,524,965.18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-68,387,944.94</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35,137,020.24</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-35,137,020.24</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-68,387,944.94</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-68,387,944.94</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-1,165,397.03</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-1,165,397.03</w:t>
            </w:r>
            <w:r>
              <w:rPr>
                <w:rFonts w:ascii="Times New Roman"/>
                <w:spacing w:val="-1"/>
                <w:sz w:val="18"/>
              </w:rPr>
            </w:r>
          </w:p>
        </w:tc>
      </w:tr>
      <w:tr>
        <w:trPr>
          <w:trHeight w:val="256" w:hRule="exact"/>
        </w:trPr>
        <w:tc>
          <w:tcPr>
            <w:tcW w:w="3958"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4,281,799,977.84</w:t>
            </w:r>
            <w:r>
              <w:rPr>
                <w:rFonts w:ascii="Times New Roman"/>
                <w:spacing w:val="-1"/>
                <w:sz w:val="18"/>
              </w:rPr>
            </w: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-222,945,988.43</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5,472,654,411.83</w:t>
            </w:r>
            <w:r>
              <w:rPr>
                <w:rFonts w:ascii="Times New Roman"/>
                <w:spacing w:val="-1"/>
                <w:sz w:val="18"/>
              </w:rPr>
            </w:r>
          </w:p>
        </w:tc>
      </w:tr>
    </w:tbl>
    <w:p>
      <w:pPr>
        <w:tabs>
          <w:tab w:pos="5696" w:val="left" w:leader="none"/>
          <w:tab w:pos="1073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32"/>
          <w:pgSz w:w="16840" w:h="11910" w:orient="landscape"/>
          <w:pgMar w:header="610" w:footer="780" w:top="2600" w:bottom="980" w:left="1180" w:right="14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26"/>
        <w:ind w:right="0"/>
        <w:jc w:val="both"/>
        <w:rPr>
          <w:rFonts w:ascii="黑体" w:hAnsi="黑体" w:cs="黑体" w:eastAsia="黑体" w:hint="default"/>
        </w:rPr>
      </w:pPr>
      <w:bookmarkStart w:name="财务报表附注 " w:id="3"/>
      <w:bookmarkEnd w:id="3"/>
      <w:r>
        <w:rPr/>
      </w:r>
      <w:r>
        <w:rPr>
          <w:rFonts w:ascii="黑体" w:hAnsi="黑体" w:cs="黑体" w:eastAsia="黑体" w:hint="default"/>
        </w:rPr>
        <w:t>财务报表附注</w:t>
      </w:r>
    </w:p>
    <w:p>
      <w:pPr>
        <w:spacing w:line="240" w:lineRule="auto" w:before="0"/>
        <w:rPr>
          <w:rFonts w:ascii="黑体" w:hAnsi="黑体" w:cs="黑体" w:eastAsia="黑体" w:hint="default"/>
          <w:sz w:val="24"/>
          <w:szCs w:val="24"/>
        </w:rPr>
      </w:pPr>
    </w:p>
    <w:p>
      <w:pPr>
        <w:spacing w:line="240" w:lineRule="auto" w:before="6"/>
        <w:rPr>
          <w:rFonts w:ascii="黑体" w:hAnsi="黑体" w:cs="黑体" w:eastAsia="黑体" w:hint="default"/>
          <w:sz w:val="17"/>
          <w:szCs w:val="17"/>
        </w:rPr>
      </w:pPr>
    </w:p>
    <w:p>
      <w:pPr>
        <w:pStyle w:val="Heading3"/>
        <w:spacing w:line="240" w:lineRule="auto"/>
        <w:ind w:left="618" w:right="0"/>
        <w:jc w:val="left"/>
        <w:rPr>
          <w:b w:val="0"/>
          <w:bCs w:val="0"/>
        </w:rPr>
      </w:pPr>
      <w:bookmarkStart w:name="一、 公司的基本情况 " w:id="4"/>
      <w:bookmarkEnd w:id="4"/>
      <w:r>
        <w:rPr>
          <w:b w:val="0"/>
          <w:bCs w:val="0"/>
        </w:rPr>
      </w:r>
      <w:r>
        <w:rPr/>
        <w:t>一、公司的基本情况</w:t>
      </w:r>
      <w:r>
        <w:rPr>
          <w:b w:val="0"/>
          <w:bCs w:val="0"/>
        </w:rPr>
      </w:r>
    </w:p>
    <w:p>
      <w:pPr>
        <w:spacing w:line="324" w:lineRule="auto" w:before="170"/>
        <w:ind w:left="138" w:right="103" w:firstLine="440"/>
        <w:jc w:val="both"/>
        <w:rPr>
          <w:rFonts w:ascii="宋体" w:hAnsi="宋体" w:cs="宋体" w:eastAsia="宋体" w:hint="default"/>
          <w:sz w:val="22"/>
          <w:szCs w:val="22"/>
        </w:rPr>
      </w:pPr>
      <w:r>
        <w:rPr>
          <w:rFonts w:ascii="宋体" w:hAnsi="宋体" w:cs="宋体" w:eastAsia="宋体" w:hint="default"/>
          <w:spacing w:val="-5"/>
          <w:w w:val="99"/>
          <w:sz w:val="22"/>
          <w:szCs w:val="22"/>
        </w:rPr>
        <w:t>同方股份有限公司（原名“清华同方股份有限公司”，自</w:t>
      </w:r>
      <w:r>
        <w:rPr>
          <w:rFonts w:ascii="宋体" w:hAnsi="宋体" w:cs="宋体" w:eastAsia="宋体" w:hint="default"/>
          <w:spacing w:val="-40"/>
          <w:w w:val="99"/>
          <w:sz w:val="22"/>
          <w:szCs w:val="22"/>
        </w:rPr>
        <w:t> </w:t>
      </w:r>
      <w:r>
        <w:rPr>
          <w:rFonts w:ascii="宋体" w:hAnsi="宋体" w:cs="宋体" w:eastAsia="宋体" w:hint="default"/>
          <w:w w:val="99"/>
          <w:sz w:val="22"/>
          <w:szCs w:val="22"/>
        </w:rPr>
        <w:t>2006</w:t>
      </w:r>
      <w:r>
        <w:rPr>
          <w:rFonts w:ascii="宋体" w:hAnsi="宋体" w:cs="宋体" w:eastAsia="宋体" w:hint="default"/>
          <w:spacing w:val="-40"/>
          <w:w w:val="99"/>
          <w:sz w:val="22"/>
          <w:szCs w:val="22"/>
        </w:rPr>
        <w:t> </w:t>
      </w:r>
      <w:r>
        <w:rPr>
          <w:rFonts w:ascii="宋体" w:hAnsi="宋体" w:cs="宋体" w:eastAsia="宋体" w:hint="default"/>
          <w:w w:val="99"/>
          <w:sz w:val="22"/>
          <w:szCs w:val="22"/>
        </w:rPr>
        <w:t>年</w:t>
      </w:r>
      <w:r>
        <w:rPr>
          <w:rFonts w:ascii="宋体" w:hAnsi="宋体" w:cs="宋体" w:eastAsia="宋体" w:hint="default"/>
          <w:spacing w:val="-41"/>
          <w:w w:val="99"/>
          <w:sz w:val="22"/>
          <w:szCs w:val="22"/>
        </w:rPr>
        <w:t> </w:t>
      </w:r>
      <w:r>
        <w:rPr>
          <w:rFonts w:ascii="宋体" w:hAnsi="宋体" w:cs="宋体" w:eastAsia="宋体" w:hint="default"/>
          <w:w w:val="99"/>
          <w:sz w:val="22"/>
          <w:szCs w:val="22"/>
        </w:rPr>
        <w:t>5</w:t>
      </w:r>
      <w:r>
        <w:rPr>
          <w:rFonts w:ascii="宋体" w:hAnsi="宋体" w:cs="宋体" w:eastAsia="宋体" w:hint="default"/>
          <w:spacing w:val="-40"/>
          <w:w w:val="99"/>
          <w:sz w:val="22"/>
          <w:szCs w:val="22"/>
        </w:rPr>
        <w:t> </w:t>
      </w:r>
      <w:r>
        <w:rPr>
          <w:rFonts w:ascii="宋体" w:hAnsi="宋体" w:cs="宋体" w:eastAsia="宋体" w:hint="default"/>
          <w:w w:val="99"/>
          <w:sz w:val="22"/>
          <w:szCs w:val="22"/>
        </w:rPr>
        <w:t>月</w:t>
      </w:r>
      <w:r>
        <w:rPr>
          <w:rFonts w:ascii="宋体" w:hAnsi="宋体" w:cs="宋体" w:eastAsia="宋体" w:hint="default"/>
          <w:spacing w:val="-41"/>
          <w:w w:val="99"/>
          <w:sz w:val="22"/>
          <w:szCs w:val="22"/>
        </w:rPr>
        <w:t> </w:t>
      </w:r>
      <w:r>
        <w:rPr>
          <w:rFonts w:ascii="宋体" w:hAnsi="宋体" w:cs="宋体" w:eastAsia="宋体" w:hint="default"/>
          <w:w w:val="99"/>
          <w:sz w:val="22"/>
          <w:szCs w:val="22"/>
        </w:rPr>
        <w:t>30</w:t>
      </w:r>
      <w:r>
        <w:rPr>
          <w:rFonts w:ascii="宋体" w:hAnsi="宋体" w:cs="宋体" w:eastAsia="宋体" w:hint="default"/>
          <w:spacing w:val="-40"/>
          <w:w w:val="99"/>
          <w:sz w:val="22"/>
          <w:szCs w:val="22"/>
        </w:rPr>
        <w:t> </w:t>
      </w:r>
      <w:r>
        <w:rPr>
          <w:rFonts w:ascii="宋体" w:hAnsi="宋体" w:cs="宋体" w:eastAsia="宋体" w:hint="default"/>
          <w:w w:val="99"/>
          <w:sz w:val="22"/>
          <w:szCs w:val="22"/>
        </w:rPr>
        <w:t>日起更名为“同方</w:t>
      </w:r>
      <w:r>
        <w:rPr>
          <w:rFonts w:ascii="宋体" w:hAnsi="宋体" w:cs="宋体" w:eastAsia="宋体" w:hint="default"/>
          <w:w w:val="99"/>
          <w:sz w:val="22"/>
          <w:szCs w:val="22"/>
        </w:rPr>
        <w:t> </w:t>
      </w:r>
      <w:r>
        <w:rPr>
          <w:rFonts w:ascii="宋体" w:hAnsi="宋体" w:cs="宋体" w:eastAsia="宋体" w:hint="default"/>
          <w:spacing w:val="-10"/>
          <w:w w:val="99"/>
          <w:sz w:val="22"/>
          <w:szCs w:val="22"/>
        </w:rPr>
        <w:t>股份有限公司”，以下简称“公司”、“本公司”或“母公司”）是经国家体改委和国家教委批准，</w:t>
      </w:r>
      <w:r>
        <w:rPr>
          <w:rFonts w:ascii="宋体" w:hAnsi="宋体" w:cs="宋体" w:eastAsia="宋体" w:hint="default"/>
          <w:spacing w:val="-95"/>
          <w:w w:val="99"/>
          <w:sz w:val="22"/>
          <w:szCs w:val="22"/>
        </w:rPr>
        <w:t> </w:t>
      </w:r>
      <w:r>
        <w:rPr>
          <w:rFonts w:ascii="宋体" w:hAnsi="宋体" w:cs="宋体" w:eastAsia="宋体" w:hint="default"/>
          <w:spacing w:val="-95"/>
          <w:w w:val="99"/>
          <w:sz w:val="22"/>
          <w:szCs w:val="22"/>
        </w:rPr>
      </w:r>
      <w:r>
        <w:rPr>
          <w:rFonts w:ascii="宋体" w:hAnsi="宋体" w:cs="宋体" w:eastAsia="宋体" w:hint="default"/>
          <w:spacing w:val="-1"/>
          <w:w w:val="99"/>
          <w:sz w:val="22"/>
          <w:szCs w:val="22"/>
        </w:rPr>
        <w:t>由清华控股有限公司（原“北京清华大学企业集团”）作为主要发起人，以社会募集方式设立的</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pacing w:val="-5"/>
          <w:sz w:val="22"/>
          <w:szCs w:val="22"/>
        </w:rPr>
        <w:t>股份有限公司。公司于</w:t>
      </w:r>
      <w:r>
        <w:rPr>
          <w:rFonts w:ascii="宋体" w:hAnsi="宋体" w:cs="宋体" w:eastAsia="宋体" w:hint="default"/>
          <w:spacing w:val="-56"/>
          <w:sz w:val="22"/>
          <w:szCs w:val="22"/>
        </w:rPr>
        <w:t> </w:t>
      </w:r>
      <w:r>
        <w:rPr>
          <w:rFonts w:ascii="宋体" w:hAnsi="宋体" w:cs="宋体" w:eastAsia="宋体" w:hint="default"/>
          <w:sz w:val="22"/>
          <w:szCs w:val="22"/>
        </w:rPr>
        <w:t>1997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日经中国证监会证监发[1997]316</w:t>
      </w:r>
      <w:r>
        <w:rPr>
          <w:rFonts w:ascii="宋体" w:hAnsi="宋体" w:cs="宋体" w:eastAsia="宋体" w:hint="default"/>
          <w:spacing w:val="-56"/>
          <w:sz w:val="22"/>
          <w:szCs w:val="22"/>
        </w:rPr>
        <w:t> </w:t>
      </w:r>
      <w:r>
        <w:rPr>
          <w:rFonts w:ascii="宋体" w:hAnsi="宋体" w:cs="宋体" w:eastAsia="宋体" w:hint="default"/>
          <w:spacing w:val="-5"/>
          <w:sz w:val="22"/>
          <w:szCs w:val="22"/>
        </w:rPr>
        <w:t>号文批准，首次发行人民</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币普通股</w:t>
      </w:r>
      <w:r>
        <w:rPr>
          <w:rFonts w:ascii="宋体" w:hAnsi="宋体" w:cs="宋体" w:eastAsia="宋体" w:hint="default"/>
          <w:spacing w:val="-57"/>
          <w:sz w:val="22"/>
          <w:szCs w:val="22"/>
        </w:rPr>
        <w:t> </w:t>
      </w:r>
      <w:r>
        <w:rPr>
          <w:rFonts w:ascii="宋体" w:hAnsi="宋体" w:cs="宋体" w:eastAsia="宋体" w:hint="default"/>
          <w:sz w:val="22"/>
          <w:szCs w:val="22"/>
        </w:rPr>
        <w:t>110,700,000</w:t>
      </w:r>
      <w:r>
        <w:rPr>
          <w:rFonts w:ascii="宋体" w:hAnsi="宋体" w:cs="宋体" w:eastAsia="宋体" w:hint="default"/>
          <w:spacing w:val="-57"/>
          <w:sz w:val="22"/>
          <w:szCs w:val="22"/>
        </w:rPr>
        <w:t> </w:t>
      </w:r>
      <w:r>
        <w:rPr>
          <w:rFonts w:ascii="宋体" w:hAnsi="宋体" w:cs="宋体" w:eastAsia="宋体" w:hint="default"/>
          <w:sz w:val="22"/>
          <w:szCs w:val="22"/>
        </w:rPr>
        <w:t>股，其中，发起人持有</w:t>
      </w:r>
      <w:r>
        <w:rPr>
          <w:rFonts w:ascii="宋体" w:hAnsi="宋体" w:cs="宋体" w:eastAsia="宋体" w:hint="default"/>
          <w:spacing w:val="-56"/>
          <w:sz w:val="22"/>
          <w:szCs w:val="22"/>
        </w:rPr>
        <w:t> </w:t>
      </w:r>
      <w:r>
        <w:rPr>
          <w:rFonts w:ascii="宋体" w:hAnsi="宋体" w:cs="宋体" w:eastAsia="宋体" w:hint="default"/>
          <w:sz w:val="22"/>
          <w:szCs w:val="22"/>
        </w:rPr>
        <w:t>68,700,000</w:t>
      </w:r>
      <w:r>
        <w:rPr>
          <w:rFonts w:ascii="宋体" w:hAnsi="宋体" w:cs="宋体" w:eastAsia="宋体" w:hint="default"/>
          <w:spacing w:val="-56"/>
          <w:sz w:val="22"/>
          <w:szCs w:val="22"/>
        </w:rPr>
        <w:t> </w:t>
      </w:r>
      <w:r>
        <w:rPr>
          <w:rFonts w:ascii="宋体" w:hAnsi="宋体" w:cs="宋体" w:eastAsia="宋体" w:hint="default"/>
          <w:sz w:val="22"/>
          <w:szCs w:val="22"/>
        </w:rPr>
        <w:t>股，占公司股份总数的</w:t>
      </w:r>
      <w:r>
        <w:rPr>
          <w:rFonts w:ascii="宋体" w:hAnsi="宋体" w:cs="宋体" w:eastAsia="宋体" w:hint="default"/>
          <w:spacing w:val="-55"/>
          <w:sz w:val="22"/>
          <w:szCs w:val="22"/>
        </w:rPr>
        <w:t> </w:t>
      </w:r>
      <w:r>
        <w:rPr>
          <w:rFonts w:ascii="宋体" w:hAnsi="宋体" w:cs="宋体" w:eastAsia="宋体" w:hint="default"/>
          <w:sz w:val="22"/>
          <w:szCs w:val="22"/>
        </w:rPr>
        <w:t>62.06%，向境</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内社会公众发行</w:t>
      </w:r>
      <w:r>
        <w:rPr>
          <w:rFonts w:ascii="宋体" w:hAnsi="宋体" w:cs="宋体" w:eastAsia="宋体" w:hint="default"/>
          <w:spacing w:val="-56"/>
          <w:sz w:val="22"/>
          <w:szCs w:val="22"/>
        </w:rPr>
        <w:t> </w:t>
      </w:r>
      <w:r>
        <w:rPr>
          <w:rFonts w:ascii="宋体" w:hAnsi="宋体" w:cs="宋体" w:eastAsia="宋体" w:hint="default"/>
          <w:sz w:val="22"/>
          <w:szCs w:val="22"/>
        </w:rPr>
        <w:t>42,000,000</w:t>
      </w:r>
      <w:r>
        <w:rPr>
          <w:rFonts w:ascii="宋体" w:hAnsi="宋体" w:cs="宋体" w:eastAsia="宋体" w:hint="default"/>
          <w:spacing w:val="-55"/>
          <w:sz w:val="22"/>
          <w:szCs w:val="22"/>
        </w:rPr>
        <w:t> </w:t>
      </w:r>
      <w:r>
        <w:rPr>
          <w:rFonts w:ascii="宋体" w:hAnsi="宋体" w:cs="宋体" w:eastAsia="宋体" w:hint="default"/>
          <w:sz w:val="22"/>
          <w:szCs w:val="22"/>
        </w:rPr>
        <w:t>股，占公司股份总数的</w:t>
      </w:r>
      <w:r>
        <w:rPr>
          <w:rFonts w:ascii="宋体" w:hAnsi="宋体" w:cs="宋体" w:eastAsia="宋体" w:hint="default"/>
          <w:spacing w:val="-56"/>
          <w:sz w:val="22"/>
          <w:szCs w:val="22"/>
        </w:rPr>
        <w:t> </w:t>
      </w:r>
      <w:r>
        <w:rPr>
          <w:rFonts w:ascii="宋体" w:hAnsi="宋体" w:cs="宋体" w:eastAsia="宋体" w:hint="default"/>
          <w:sz w:val="22"/>
          <w:szCs w:val="22"/>
        </w:rPr>
        <w:t>37.94%。公司于</w:t>
      </w:r>
      <w:r>
        <w:rPr>
          <w:rFonts w:ascii="宋体" w:hAnsi="宋体" w:cs="宋体" w:eastAsia="宋体" w:hint="default"/>
          <w:spacing w:val="-56"/>
          <w:sz w:val="22"/>
          <w:szCs w:val="22"/>
        </w:rPr>
        <w:t> </w:t>
      </w:r>
      <w:r>
        <w:rPr>
          <w:rFonts w:ascii="宋体" w:hAnsi="宋体" w:cs="宋体" w:eastAsia="宋体" w:hint="default"/>
          <w:sz w:val="22"/>
          <w:szCs w:val="22"/>
        </w:rPr>
        <w:t>1997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25</w:t>
      </w:r>
      <w:r>
        <w:rPr>
          <w:rFonts w:ascii="宋体" w:hAnsi="宋体" w:cs="宋体" w:eastAsia="宋体" w:hint="default"/>
          <w:spacing w:val="-55"/>
          <w:sz w:val="22"/>
          <w:szCs w:val="22"/>
        </w:rPr>
        <w:t> </w:t>
      </w:r>
      <w:r>
        <w:rPr>
          <w:rFonts w:ascii="宋体" w:hAnsi="宋体" w:cs="宋体" w:eastAsia="宋体" w:hint="default"/>
          <w:sz w:val="22"/>
          <w:szCs w:val="22"/>
        </w:rPr>
        <w:t>日在国家工</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商行政管理局登记注册，设立时注册资本为人民币</w:t>
      </w:r>
      <w:r>
        <w:rPr>
          <w:rFonts w:ascii="宋体" w:hAnsi="宋体" w:cs="宋体" w:eastAsia="宋体" w:hint="default"/>
          <w:spacing w:val="-84"/>
          <w:sz w:val="22"/>
          <w:szCs w:val="22"/>
        </w:rPr>
        <w:t> </w:t>
      </w:r>
      <w:r>
        <w:rPr>
          <w:rFonts w:ascii="宋体" w:hAnsi="宋体" w:cs="宋体" w:eastAsia="宋体" w:hint="default"/>
          <w:sz w:val="22"/>
          <w:szCs w:val="22"/>
        </w:rPr>
        <w:t>110,700,000</w:t>
      </w:r>
      <w:r>
        <w:rPr>
          <w:rFonts w:ascii="宋体" w:hAnsi="宋体" w:cs="宋体" w:eastAsia="宋体" w:hint="default"/>
          <w:spacing w:val="-84"/>
          <w:sz w:val="22"/>
          <w:szCs w:val="22"/>
        </w:rPr>
        <w:t> </w:t>
      </w:r>
      <w:r>
        <w:rPr>
          <w:rFonts w:ascii="宋体" w:hAnsi="宋体" w:cs="宋体" w:eastAsia="宋体" w:hint="default"/>
          <w:sz w:val="22"/>
          <w:szCs w:val="22"/>
        </w:rPr>
        <w:t>元。公司首次发行的社会公众股</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7"/>
          <w:sz w:val="22"/>
          <w:szCs w:val="22"/>
        </w:rPr>
        <w:t> </w:t>
      </w:r>
      <w:r>
        <w:rPr>
          <w:rFonts w:ascii="宋体" w:hAnsi="宋体" w:cs="宋体" w:eastAsia="宋体" w:hint="default"/>
          <w:sz w:val="22"/>
          <w:szCs w:val="22"/>
        </w:rPr>
        <w:t>1997</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27</w:t>
      </w:r>
      <w:r>
        <w:rPr>
          <w:rFonts w:ascii="宋体" w:hAnsi="宋体" w:cs="宋体" w:eastAsia="宋体" w:hint="default"/>
          <w:spacing w:val="-57"/>
          <w:sz w:val="22"/>
          <w:szCs w:val="22"/>
        </w:rPr>
        <w:t> </w:t>
      </w:r>
      <w:r>
        <w:rPr>
          <w:rFonts w:ascii="宋体" w:hAnsi="宋体" w:cs="宋体" w:eastAsia="宋体" w:hint="default"/>
          <w:sz w:val="22"/>
          <w:szCs w:val="22"/>
        </w:rPr>
        <w:t>日在上海证券交易所挂牌交易。</w:t>
      </w:r>
    </w:p>
    <w:p>
      <w:pPr>
        <w:spacing w:before="180"/>
        <w:ind w:left="578" w:right="0" w:firstLine="0"/>
        <w:jc w:val="left"/>
        <w:rPr>
          <w:rFonts w:ascii="宋体" w:hAnsi="宋体" w:cs="宋体" w:eastAsia="宋体" w:hint="default"/>
          <w:sz w:val="22"/>
          <w:szCs w:val="22"/>
        </w:rPr>
      </w:pPr>
      <w:r>
        <w:rPr>
          <w:rFonts w:ascii="宋体" w:hAnsi="宋体" w:cs="宋体" w:eastAsia="宋体" w:hint="default"/>
          <w:sz w:val="22"/>
          <w:szCs w:val="22"/>
        </w:rPr>
        <w:t>公司于 1998 年 1 月 15 日以 10:5</w:t>
      </w:r>
      <w:r>
        <w:rPr>
          <w:rFonts w:ascii="宋体" w:hAnsi="宋体" w:cs="宋体" w:eastAsia="宋体" w:hint="default"/>
          <w:spacing w:val="9"/>
          <w:sz w:val="22"/>
          <w:szCs w:val="22"/>
        </w:rPr>
        <w:t> </w:t>
      </w:r>
      <w:r>
        <w:rPr>
          <w:rFonts w:ascii="宋体" w:hAnsi="宋体" w:cs="宋体" w:eastAsia="宋体" w:hint="default"/>
          <w:spacing w:val="2"/>
          <w:sz w:val="22"/>
          <w:szCs w:val="22"/>
        </w:rPr>
        <w:t>的比例实施资本公积金转增股本，致使股份总数增至</w:t>
      </w:r>
      <w:r>
        <w:rPr>
          <w:rFonts w:ascii="宋体" w:hAnsi="宋体" w:cs="宋体" w:eastAsia="宋体" w:hint="default"/>
          <w:sz w:val="22"/>
          <w:szCs w:val="22"/>
        </w:rPr>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166,050,000</w:t>
      </w:r>
      <w:r>
        <w:rPr>
          <w:rFonts w:ascii="宋体" w:hAnsi="宋体" w:cs="宋体" w:eastAsia="宋体" w:hint="default"/>
          <w:spacing w:val="-34"/>
          <w:sz w:val="22"/>
          <w:szCs w:val="22"/>
        </w:rPr>
        <w:t> </w:t>
      </w:r>
      <w:r>
        <w:rPr>
          <w:rFonts w:ascii="宋体" w:hAnsi="宋体" w:cs="宋体" w:eastAsia="宋体" w:hint="default"/>
          <w:sz w:val="22"/>
          <w:szCs w:val="22"/>
        </w:rPr>
        <w:t>股，其中，发起人持有</w:t>
      </w:r>
      <w:r>
        <w:rPr>
          <w:rFonts w:ascii="宋体" w:hAnsi="宋体" w:cs="宋体" w:eastAsia="宋体" w:hint="default"/>
          <w:spacing w:val="-34"/>
          <w:sz w:val="22"/>
          <w:szCs w:val="22"/>
        </w:rPr>
        <w:t> </w:t>
      </w:r>
      <w:r>
        <w:rPr>
          <w:rFonts w:ascii="宋体" w:hAnsi="宋体" w:cs="宋体" w:eastAsia="宋体" w:hint="default"/>
          <w:sz w:val="22"/>
          <w:szCs w:val="22"/>
        </w:rPr>
        <w:t>103,050,000</w:t>
      </w:r>
      <w:r>
        <w:rPr>
          <w:rFonts w:ascii="宋体" w:hAnsi="宋体" w:cs="宋体" w:eastAsia="宋体" w:hint="default"/>
          <w:spacing w:val="-33"/>
          <w:sz w:val="22"/>
          <w:szCs w:val="22"/>
        </w:rPr>
        <w:t> </w:t>
      </w:r>
      <w:r>
        <w:rPr>
          <w:rFonts w:ascii="宋体" w:hAnsi="宋体" w:cs="宋体" w:eastAsia="宋体" w:hint="default"/>
          <w:sz w:val="22"/>
          <w:szCs w:val="22"/>
        </w:rPr>
        <w:t>股，占公司股份总数的</w:t>
      </w:r>
      <w:r>
        <w:rPr>
          <w:rFonts w:ascii="宋体" w:hAnsi="宋体" w:cs="宋体" w:eastAsia="宋体" w:hint="default"/>
          <w:spacing w:val="-34"/>
          <w:sz w:val="22"/>
          <w:szCs w:val="22"/>
        </w:rPr>
        <w:t> </w:t>
      </w:r>
      <w:r>
        <w:rPr>
          <w:rFonts w:ascii="宋体" w:hAnsi="宋体" w:cs="宋体" w:eastAsia="宋体" w:hint="default"/>
          <w:sz w:val="22"/>
          <w:szCs w:val="22"/>
        </w:rPr>
        <w:t>62.06%；公司于</w:t>
      </w:r>
      <w:r>
        <w:rPr>
          <w:rFonts w:ascii="宋体" w:hAnsi="宋体" w:cs="宋体" w:eastAsia="宋体" w:hint="default"/>
          <w:spacing w:val="-34"/>
          <w:sz w:val="22"/>
          <w:szCs w:val="22"/>
        </w:rPr>
        <w:t> </w:t>
      </w:r>
      <w:r>
        <w:rPr>
          <w:rFonts w:ascii="宋体" w:hAnsi="宋体" w:cs="宋体" w:eastAsia="宋体" w:hint="default"/>
          <w:sz w:val="22"/>
          <w:szCs w:val="22"/>
        </w:rPr>
        <w:t>1999</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年 6 </w:t>
      </w:r>
      <w:r>
        <w:rPr>
          <w:rFonts w:ascii="宋体" w:hAnsi="宋体" w:cs="宋体" w:eastAsia="宋体" w:hint="default"/>
          <w:spacing w:val="3"/>
          <w:sz w:val="22"/>
          <w:szCs w:val="22"/>
        </w:rPr>
        <w:t>月以 </w:t>
      </w:r>
      <w:r>
        <w:rPr>
          <w:rFonts w:ascii="宋体" w:hAnsi="宋体" w:cs="宋体" w:eastAsia="宋体" w:hint="default"/>
          <w:sz w:val="22"/>
          <w:szCs w:val="22"/>
        </w:rPr>
        <w:t>10:3 </w:t>
      </w:r>
      <w:r>
        <w:rPr>
          <w:rFonts w:ascii="宋体" w:hAnsi="宋体" w:cs="宋体" w:eastAsia="宋体" w:hint="default"/>
          <w:spacing w:val="5"/>
          <w:sz w:val="22"/>
          <w:szCs w:val="22"/>
        </w:rPr>
        <w:t>的比例实施配股，配股后股份总数增至 </w:t>
      </w:r>
      <w:r>
        <w:rPr>
          <w:rFonts w:ascii="宋体" w:hAnsi="宋体" w:cs="宋体" w:eastAsia="宋体" w:hint="default"/>
          <w:sz w:val="22"/>
          <w:szCs w:val="22"/>
        </w:rPr>
        <w:t>189,800,000</w:t>
      </w:r>
      <w:r>
        <w:rPr>
          <w:rFonts w:ascii="宋体" w:hAnsi="宋体" w:cs="宋体" w:eastAsia="宋体" w:hint="default"/>
          <w:spacing w:val="18"/>
          <w:sz w:val="22"/>
          <w:szCs w:val="22"/>
        </w:rPr>
        <w:t> </w:t>
      </w:r>
      <w:r>
        <w:rPr>
          <w:rFonts w:ascii="宋体" w:hAnsi="宋体" w:cs="宋体" w:eastAsia="宋体" w:hint="default"/>
          <w:spacing w:val="5"/>
          <w:sz w:val="22"/>
          <w:szCs w:val="22"/>
        </w:rPr>
        <w:t>股，其中，发起人持有</w:t>
      </w:r>
    </w:p>
    <w:p>
      <w:pPr>
        <w:spacing w:line="324" w:lineRule="auto" w:before="102"/>
        <w:ind w:left="138" w:right="140" w:firstLine="0"/>
        <w:jc w:val="both"/>
        <w:rPr>
          <w:rFonts w:ascii="宋体" w:hAnsi="宋体" w:cs="宋体" w:eastAsia="宋体" w:hint="default"/>
          <w:sz w:val="22"/>
          <w:szCs w:val="22"/>
        </w:rPr>
      </w:pPr>
      <w:r>
        <w:rPr>
          <w:rFonts w:ascii="宋体" w:hAnsi="宋体" w:cs="宋体" w:eastAsia="宋体" w:hint="default"/>
          <w:spacing w:val="-1"/>
          <w:w w:val="99"/>
          <w:sz w:val="22"/>
          <w:szCs w:val="22"/>
        </w:rPr>
        <w:t>107,900,000</w:t>
      </w:r>
      <w:r>
        <w:rPr>
          <w:rFonts w:ascii="宋体" w:hAnsi="宋体" w:cs="宋体" w:eastAsia="宋体" w:hint="default"/>
          <w:spacing w:val="-52"/>
          <w:w w:val="99"/>
          <w:sz w:val="22"/>
          <w:szCs w:val="22"/>
        </w:rPr>
        <w:t> </w:t>
      </w:r>
      <w:r>
        <w:rPr>
          <w:rFonts w:ascii="宋体" w:hAnsi="宋体" w:cs="宋体" w:eastAsia="宋体" w:hint="default"/>
          <w:spacing w:val="-9"/>
          <w:w w:val="99"/>
          <w:sz w:val="22"/>
          <w:szCs w:val="22"/>
        </w:rPr>
        <w:t>股，占公司股份总数的</w:t>
      </w:r>
      <w:r>
        <w:rPr>
          <w:rFonts w:ascii="宋体" w:hAnsi="宋体" w:cs="宋体" w:eastAsia="宋体" w:hint="default"/>
          <w:spacing w:val="-51"/>
          <w:w w:val="99"/>
          <w:sz w:val="22"/>
          <w:szCs w:val="22"/>
        </w:rPr>
        <w:t> </w:t>
      </w:r>
      <w:r>
        <w:rPr>
          <w:rFonts w:ascii="宋体" w:hAnsi="宋体" w:cs="宋体" w:eastAsia="宋体" w:hint="default"/>
          <w:spacing w:val="-9"/>
          <w:w w:val="99"/>
          <w:sz w:val="22"/>
          <w:szCs w:val="22"/>
        </w:rPr>
        <w:t>56.85%；公司于</w:t>
      </w:r>
      <w:r>
        <w:rPr>
          <w:rFonts w:ascii="宋体" w:hAnsi="宋体" w:cs="宋体" w:eastAsia="宋体" w:hint="default"/>
          <w:spacing w:val="-52"/>
          <w:w w:val="99"/>
          <w:sz w:val="22"/>
          <w:szCs w:val="22"/>
        </w:rPr>
        <w:t> </w:t>
      </w:r>
      <w:r>
        <w:rPr>
          <w:rFonts w:ascii="宋体" w:hAnsi="宋体" w:cs="宋体" w:eastAsia="宋体" w:hint="default"/>
          <w:w w:val="99"/>
          <w:sz w:val="22"/>
          <w:szCs w:val="22"/>
        </w:rPr>
        <w:t>1999</w:t>
      </w:r>
      <w:r>
        <w:rPr>
          <w:rFonts w:ascii="宋体" w:hAnsi="宋体" w:cs="宋体" w:eastAsia="宋体" w:hint="default"/>
          <w:spacing w:val="-53"/>
          <w:w w:val="99"/>
          <w:sz w:val="22"/>
          <w:szCs w:val="22"/>
        </w:rPr>
        <w:t> </w:t>
      </w:r>
      <w:r>
        <w:rPr>
          <w:rFonts w:ascii="宋体" w:hAnsi="宋体" w:cs="宋体" w:eastAsia="宋体" w:hint="default"/>
          <w:w w:val="99"/>
          <w:sz w:val="22"/>
          <w:szCs w:val="22"/>
        </w:rPr>
        <w:t>年</w:t>
      </w:r>
      <w:r>
        <w:rPr>
          <w:rFonts w:ascii="宋体" w:hAnsi="宋体" w:cs="宋体" w:eastAsia="宋体" w:hint="default"/>
          <w:spacing w:val="-52"/>
          <w:w w:val="99"/>
          <w:sz w:val="22"/>
          <w:szCs w:val="22"/>
        </w:rPr>
        <w:t> </w:t>
      </w:r>
      <w:r>
        <w:rPr>
          <w:rFonts w:ascii="宋体" w:hAnsi="宋体" w:cs="宋体" w:eastAsia="宋体" w:hint="default"/>
          <w:w w:val="99"/>
          <w:sz w:val="22"/>
          <w:szCs w:val="22"/>
        </w:rPr>
        <w:t>6</w:t>
      </w:r>
      <w:r>
        <w:rPr>
          <w:rFonts w:ascii="宋体" w:hAnsi="宋体" w:cs="宋体" w:eastAsia="宋体" w:hint="default"/>
          <w:spacing w:val="-52"/>
          <w:w w:val="99"/>
          <w:sz w:val="22"/>
          <w:szCs w:val="22"/>
        </w:rPr>
        <w:t> </w:t>
      </w:r>
      <w:r>
        <w:rPr>
          <w:rFonts w:ascii="宋体" w:hAnsi="宋体" w:cs="宋体" w:eastAsia="宋体" w:hint="default"/>
          <w:spacing w:val="-13"/>
          <w:w w:val="99"/>
          <w:sz w:val="22"/>
          <w:szCs w:val="22"/>
        </w:rPr>
        <w:t>月经中国证券监督管理委员会（“证</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pacing w:val="-7"/>
          <w:w w:val="99"/>
          <w:sz w:val="22"/>
          <w:szCs w:val="22"/>
        </w:rPr>
        <w:t>监会”）证监公司[1999]23</w:t>
      </w:r>
      <w:r>
        <w:rPr>
          <w:rFonts w:ascii="宋体" w:hAnsi="宋体" w:cs="宋体" w:eastAsia="宋体" w:hint="default"/>
          <w:spacing w:val="-37"/>
          <w:w w:val="99"/>
          <w:sz w:val="22"/>
          <w:szCs w:val="22"/>
        </w:rPr>
        <w:t> </w:t>
      </w:r>
      <w:r>
        <w:rPr>
          <w:rFonts w:ascii="宋体" w:hAnsi="宋体" w:cs="宋体" w:eastAsia="宋体" w:hint="default"/>
          <w:w w:val="99"/>
          <w:sz w:val="22"/>
          <w:szCs w:val="22"/>
        </w:rPr>
        <w:t>号文批准，以换股方式吸收合并山东鲁颖电子股份有限公司（吸收合</w:t>
      </w:r>
      <w:r>
        <w:rPr>
          <w:rFonts w:ascii="宋体" w:hAnsi="宋体" w:cs="宋体" w:eastAsia="宋体" w:hint="default"/>
          <w:w w:val="99"/>
          <w:sz w:val="22"/>
          <w:szCs w:val="22"/>
        </w:rPr>
        <w:t> </w:t>
      </w:r>
      <w:r>
        <w:rPr>
          <w:rFonts w:ascii="宋体" w:hAnsi="宋体" w:cs="宋体" w:eastAsia="宋体" w:hint="default"/>
          <w:spacing w:val="-6"/>
          <w:w w:val="99"/>
          <w:sz w:val="22"/>
          <w:szCs w:val="22"/>
        </w:rPr>
        <w:t>并后更名为“山东清华同方鲁颖电子有限公司”），向山东鲁颖电子股份有限公司全体股东定向增</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15"/>
          <w:sz w:val="22"/>
          <w:szCs w:val="22"/>
        </w:rPr>
        <w:t>发人民币普通股 </w:t>
      </w:r>
      <w:r>
        <w:rPr>
          <w:rFonts w:ascii="宋体" w:hAnsi="宋体" w:cs="宋体" w:eastAsia="宋体" w:hint="default"/>
          <w:sz w:val="22"/>
          <w:szCs w:val="22"/>
        </w:rPr>
        <w:t>15,172,328</w:t>
      </w:r>
      <w:r>
        <w:rPr>
          <w:rFonts w:ascii="宋体" w:hAnsi="宋体" w:cs="宋体" w:eastAsia="宋体" w:hint="default"/>
          <w:spacing w:val="15"/>
          <w:sz w:val="22"/>
          <w:szCs w:val="22"/>
        </w:rPr>
        <w:t> </w:t>
      </w:r>
      <w:r>
        <w:rPr>
          <w:rFonts w:ascii="宋体" w:hAnsi="宋体" w:cs="宋体" w:eastAsia="宋体" w:hint="default"/>
          <w:spacing w:val="16"/>
          <w:sz w:val="22"/>
          <w:szCs w:val="22"/>
        </w:rPr>
        <w:t>股，致使股份总数增至</w:t>
      </w:r>
      <w:r>
        <w:rPr>
          <w:rFonts w:ascii="宋体" w:hAnsi="宋体" w:cs="宋体" w:eastAsia="宋体" w:hint="default"/>
          <w:spacing w:val="15"/>
          <w:sz w:val="22"/>
          <w:szCs w:val="22"/>
        </w:rPr>
        <w:t> </w:t>
      </w:r>
      <w:r>
        <w:rPr>
          <w:rFonts w:ascii="宋体" w:hAnsi="宋体" w:cs="宋体" w:eastAsia="宋体" w:hint="default"/>
          <w:sz w:val="22"/>
          <w:szCs w:val="22"/>
        </w:rPr>
        <w:t>204,972,328</w:t>
      </w:r>
      <w:r>
        <w:rPr>
          <w:rFonts w:ascii="宋体" w:hAnsi="宋体" w:cs="宋体" w:eastAsia="宋体" w:hint="default"/>
          <w:spacing w:val="14"/>
          <w:sz w:val="22"/>
          <w:szCs w:val="22"/>
        </w:rPr>
        <w:t> </w:t>
      </w:r>
      <w:r>
        <w:rPr>
          <w:rFonts w:ascii="宋体" w:hAnsi="宋体" w:cs="宋体" w:eastAsia="宋体" w:hint="default"/>
          <w:spacing w:val="8"/>
          <w:sz w:val="22"/>
          <w:szCs w:val="22"/>
        </w:rPr>
        <w:t>股，</w:t>
      </w:r>
      <w:r>
        <w:rPr>
          <w:rFonts w:ascii="宋体" w:hAnsi="宋体" w:cs="宋体" w:eastAsia="宋体" w:hint="default"/>
          <w:spacing w:val="-92"/>
          <w:sz w:val="22"/>
          <w:szCs w:val="22"/>
        </w:rPr>
        <w:t> </w:t>
      </w:r>
      <w:r>
        <w:rPr>
          <w:rFonts w:ascii="宋体" w:hAnsi="宋体" w:cs="宋体" w:eastAsia="宋体" w:hint="default"/>
          <w:spacing w:val="12"/>
          <w:sz w:val="22"/>
          <w:szCs w:val="22"/>
        </w:rPr>
        <w:t>其中，</w:t>
      </w:r>
      <w:r>
        <w:rPr>
          <w:rFonts w:ascii="宋体" w:hAnsi="宋体" w:cs="宋体" w:eastAsia="宋体" w:hint="default"/>
          <w:spacing w:val="-92"/>
          <w:sz w:val="22"/>
          <w:szCs w:val="22"/>
        </w:rPr>
        <w:t> </w:t>
      </w:r>
      <w:r>
        <w:rPr>
          <w:rFonts w:ascii="宋体" w:hAnsi="宋体" w:cs="宋体" w:eastAsia="宋体" w:hint="default"/>
          <w:spacing w:val="14"/>
          <w:sz w:val="22"/>
          <w:szCs w:val="22"/>
        </w:rPr>
        <w:t>发起人持有</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113,504,444</w:t>
      </w:r>
      <w:r>
        <w:rPr>
          <w:rFonts w:ascii="宋体" w:hAnsi="宋体" w:cs="宋体" w:eastAsia="宋体" w:hint="default"/>
          <w:spacing w:val="-51"/>
          <w:sz w:val="22"/>
          <w:szCs w:val="22"/>
        </w:rPr>
        <w:t> </w:t>
      </w:r>
      <w:r>
        <w:rPr>
          <w:rFonts w:ascii="宋体" w:hAnsi="宋体" w:cs="宋体" w:eastAsia="宋体" w:hint="default"/>
          <w:sz w:val="22"/>
          <w:szCs w:val="22"/>
        </w:rPr>
        <w:t>股，占公司股份总数的</w:t>
      </w:r>
      <w:r>
        <w:rPr>
          <w:rFonts w:ascii="宋体" w:hAnsi="宋体" w:cs="宋体" w:eastAsia="宋体" w:hint="default"/>
          <w:spacing w:val="-51"/>
          <w:sz w:val="22"/>
          <w:szCs w:val="22"/>
        </w:rPr>
        <w:t> </w:t>
      </w:r>
      <w:r>
        <w:rPr>
          <w:rFonts w:ascii="宋体" w:hAnsi="宋体" w:cs="宋体" w:eastAsia="宋体" w:hint="default"/>
          <w:sz w:val="22"/>
          <w:szCs w:val="22"/>
        </w:rPr>
        <w:t>55.38%；公司于</w:t>
      </w:r>
      <w:r>
        <w:rPr>
          <w:rFonts w:ascii="宋体" w:hAnsi="宋体" w:cs="宋体" w:eastAsia="宋体" w:hint="default"/>
          <w:spacing w:val="-52"/>
          <w:sz w:val="22"/>
          <w:szCs w:val="22"/>
        </w:rPr>
        <w:t> </w:t>
      </w:r>
      <w:r>
        <w:rPr>
          <w:rFonts w:ascii="宋体" w:hAnsi="宋体" w:cs="宋体" w:eastAsia="宋体" w:hint="default"/>
          <w:sz w:val="22"/>
          <w:szCs w:val="22"/>
        </w:rPr>
        <w:t>1999</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9</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13</w:t>
      </w:r>
      <w:r>
        <w:rPr>
          <w:rFonts w:ascii="宋体" w:hAnsi="宋体" w:cs="宋体" w:eastAsia="宋体" w:hint="default"/>
          <w:spacing w:val="-52"/>
          <w:sz w:val="22"/>
          <w:szCs w:val="22"/>
        </w:rPr>
        <w:t> </w:t>
      </w:r>
      <w:r>
        <w:rPr>
          <w:rFonts w:ascii="宋体" w:hAnsi="宋体" w:cs="宋体" w:eastAsia="宋体" w:hint="default"/>
          <w:sz w:val="22"/>
          <w:szCs w:val="22"/>
        </w:rPr>
        <w:t>日以</w:t>
      </w:r>
      <w:r>
        <w:rPr>
          <w:rFonts w:ascii="宋体" w:hAnsi="宋体" w:cs="宋体" w:eastAsia="宋体" w:hint="default"/>
          <w:spacing w:val="-51"/>
          <w:sz w:val="22"/>
          <w:szCs w:val="22"/>
        </w:rPr>
        <w:t> </w:t>
      </w:r>
      <w:r>
        <w:rPr>
          <w:rFonts w:ascii="宋体" w:hAnsi="宋体" w:cs="宋体" w:eastAsia="宋体" w:hint="default"/>
          <w:sz w:val="22"/>
          <w:szCs w:val="22"/>
        </w:rPr>
        <w:t>10:3</w:t>
      </w:r>
      <w:r>
        <w:rPr>
          <w:rFonts w:ascii="宋体" w:hAnsi="宋体" w:cs="宋体" w:eastAsia="宋体" w:hint="default"/>
          <w:spacing w:val="-51"/>
          <w:sz w:val="22"/>
          <w:szCs w:val="22"/>
        </w:rPr>
        <w:t> </w:t>
      </w:r>
      <w:r>
        <w:rPr>
          <w:rFonts w:ascii="宋体" w:hAnsi="宋体" w:cs="宋体" w:eastAsia="宋体" w:hint="default"/>
          <w:sz w:val="22"/>
          <w:szCs w:val="22"/>
        </w:rPr>
        <w:t>的比例派送红股</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54,366,696</w:t>
      </w:r>
      <w:r>
        <w:rPr>
          <w:rFonts w:ascii="宋体" w:hAnsi="宋体" w:cs="宋体" w:eastAsia="宋体" w:hint="default"/>
          <w:spacing w:val="-58"/>
          <w:sz w:val="22"/>
          <w:szCs w:val="22"/>
        </w:rPr>
        <w:t> </w:t>
      </w:r>
      <w:r>
        <w:rPr>
          <w:rFonts w:ascii="宋体" w:hAnsi="宋体" w:cs="宋体" w:eastAsia="宋体" w:hint="default"/>
          <w:spacing w:val="-3"/>
          <w:sz w:val="22"/>
          <w:szCs w:val="22"/>
        </w:rPr>
        <w:t>股，致使股份总数增至</w:t>
      </w:r>
      <w:r>
        <w:rPr>
          <w:rFonts w:ascii="宋体" w:hAnsi="宋体" w:cs="宋体" w:eastAsia="宋体" w:hint="default"/>
          <w:spacing w:val="-56"/>
          <w:sz w:val="22"/>
          <w:szCs w:val="22"/>
        </w:rPr>
        <w:t> </w:t>
      </w:r>
      <w:r>
        <w:rPr>
          <w:rFonts w:ascii="宋体" w:hAnsi="宋体" w:cs="宋体" w:eastAsia="宋体" w:hint="default"/>
          <w:sz w:val="22"/>
          <w:szCs w:val="22"/>
        </w:rPr>
        <w:t>259,339,024</w:t>
      </w:r>
      <w:r>
        <w:rPr>
          <w:rFonts w:ascii="宋体" w:hAnsi="宋体" w:cs="宋体" w:eastAsia="宋体" w:hint="default"/>
          <w:spacing w:val="-57"/>
          <w:sz w:val="22"/>
          <w:szCs w:val="22"/>
        </w:rPr>
        <w:t> </w:t>
      </w:r>
      <w:r>
        <w:rPr>
          <w:rFonts w:ascii="宋体" w:hAnsi="宋体" w:cs="宋体" w:eastAsia="宋体" w:hint="default"/>
          <w:spacing w:val="-5"/>
          <w:sz w:val="22"/>
          <w:szCs w:val="22"/>
        </w:rPr>
        <w:t>股，其中，发起人持有</w:t>
      </w:r>
      <w:r>
        <w:rPr>
          <w:rFonts w:ascii="宋体" w:hAnsi="宋体" w:cs="宋体" w:eastAsia="宋体" w:hint="default"/>
          <w:spacing w:val="-56"/>
          <w:sz w:val="22"/>
          <w:szCs w:val="22"/>
        </w:rPr>
        <w:t> </w:t>
      </w:r>
      <w:r>
        <w:rPr>
          <w:rFonts w:ascii="宋体" w:hAnsi="宋体" w:cs="宋体" w:eastAsia="宋体" w:hint="default"/>
          <w:sz w:val="22"/>
          <w:szCs w:val="22"/>
        </w:rPr>
        <w:t>143,610,199</w:t>
      </w:r>
      <w:r>
        <w:rPr>
          <w:rFonts w:ascii="宋体" w:hAnsi="宋体" w:cs="宋体" w:eastAsia="宋体" w:hint="default"/>
          <w:spacing w:val="-57"/>
          <w:sz w:val="22"/>
          <w:szCs w:val="22"/>
        </w:rPr>
        <w:t> </w:t>
      </w:r>
      <w:r>
        <w:rPr>
          <w:rFonts w:ascii="宋体" w:hAnsi="宋体" w:cs="宋体" w:eastAsia="宋体" w:hint="default"/>
          <w:spacing w:val="-5"/>
          <w:sz w:val="22"/>
          <w:szCs w:val="22"/>
        </w:rPr>
        <w:t>股，占公司</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股份总数的</w:t>
      </w:r>
      <w:r>
        <w:rPr>
          <w:rFonts w:ascii="宋体" w:hAnsi="宋体" w:cs="宋体" w:eastAsia="宋体" w:hint="default"/>
          <w:spacing w:val="-55"/>
          <w:sz w:val="22"/>
          <w:szCs w:val="22"/>
        </w:rPr>
        <w:t> </w:t>
      </w:r>
      <w:r>
        <w:rPr>
          <w:rFonts w:ascii="宋体" w:hAnsi="宋体" w:cs="宋体" w:eastAsia="宋体" w:hint="default"/>
          <w:sz w:val="22"/>
          <w:szCs w:val="22"/>
        </w:rPr>
        <w:t>55.38%；公司于</w:t>
      </w:r>
      <w:r>
        <w:rPr>
          <w:rFonts w:ascii="宋体" w:hAnsi="宋体" w:cs="宋体" w:eastAsia="宋体" w:hint="default"/>
          <w:spacing w:val="-56"/>
          <w:sz w:val="22"/>
          <w:szCs w:val="22"/>
        </w:rPr>
        <w:t> </w:t>
      </w:r>
      <w:r>
        <w:rPr>
          <w:rFonts w:ascii="宋体" w:hAnsi="宋体" w:cs="宋体" w:eastAsia="宋体" w:hint="default"/>
          <w:sz w:val="22"/>
          <w:szCs w:val="22"/>
        </w:rPr>
        <w:t>2000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日以</w:t>
      </w:r>
      <w:r>
        <w:rPr>
          <w:rFonts w:ascii="宋体" w:hAnsi="宋体" w:cs="宋体" w:eastAsia="宋体" w:hint="default"/>
          <w:spacing w:val="-56"/>
          <w:sz w:val="22"/>
          <w:szCs w:val="22"/>
        </w:rPr>
        <w:t> </w:t>
      </w:r>
      <w:r>
        <w:rPr>
          <w:rFonts w:ascii="宋体" w:hAnsi="宋体" w:cs="宋体" w:eastAsia="宋体" w:hint="default"/>
          <w:sz w:val="22"/>
          <w:szCs w:val="22"/>
        </w:rPr>
        <w:t>10:4</w:t>
      </w:r>
      <w:r>
        <w:rPr>
          <w:rFonts w:ascii="宋体" w:hAnsi="宋体" w:cs="宋体" w:eastAsia="宋体" w:hint="default"/>
          <w:spacing w:val="-55"/>
          <w:sz w:val="22"/>
          <w:szCs w:val="22"/>
        </w:rPr>
        <w:t> </w:t>
      </w:r>
      <w:r>
        <w:rPr>
          <w:rFonts w:ascii="宋体" w:hAnsi="宋体" w:cs="宋体" w:eastAsia="宋体" w:hint="default"/>
          <w:sz w:val="22"/>
          <w:szCs w:val="22"/>
        </w:rPr>
        <w:t>的比例实施资本公积金转增股本，致使股</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份总数增至</w:t>
      </w:r>
      <w:r>
        <w:rPr>
          <w:rFonts w:ascii="宋体" w:hAnsi="宋体" w:cs="宋体" w:eastAsia="宋体" w:hint="default"/>
          <w:spacing w:val="-55"/>
          <w:sz w:val="22"/>
          <w:szCs w:val="22"/>
        </w:rPr>
        <w:t> </w:t>
      </w:r>
      <w:r>
        <w:rPr>
          <w:rFonts w:ascii="宋体" w:hAnsi="宋体" w:cs="宋体" w:eastAsia="宋体" w:hint="default"/>
          <w:sz w:val="22"/>
          <w:szCs w:val="22"/>
        </w:rPr>
        <w:t>363,074,634</w:t>
      </w:r>
      <w:r>
        <w:rPr>
          <w:rFonts w:ascii="宋体" w:hAnsi="宋体" w:cs="宋体" w:eastAsia="宋体" w:hint="default"/>
          <w:spacing w:val="-56"/>
          <w:sz w:val="22"/>
          <w:szCs w:val="22"/>
        </w:rPr>
        <w:t> </w:t>
      </w:r>
      <w:r>
        <w:rPr>
          <w:rFonts w:ascii="宋体" w:hAnsi="宋体" w:cs="宋体" w:eastAsia="宋体" w:hint="default"/>
          <w:spacing w:val="-4"/>
          <w:sz w:val="22"/>
          <w:szCs w:val="22"/>
        </w:rPr>
        <w:t>股，其中发起人持有</w:t>
      </w:r>
      <w:r>
        <w:rPr>
          <w:rFonts w:ascii="宋体" w:hAnsi="宋体" w:cs="宋体" w:eastAsia="宋体" w:hint="default"/>
          <w:spacing w:val="-55"/>
          <w:sz w:val="22"/>
          <w:szCs w:val="22"/>
        </w:rPr>
        <w:t> </w:t>
      </w:r>
      <w:r>
        <w:rPr>
          <w:rFonts w:ascii="宋体" w:hAnsi="宋体" w:cs="宋体" w:eastAsia="宋体" w:hint="default"/>
          <w:sz w:val="22"/>
          <w:szCs w:val="22"/>
        </w:rPr>
        <w:t>201,054,279</w:t>
      </w:r>
      <w:r>
        <w:rPr>
          <w:rFonts w:ascii="宋体" w:hAnsi="宋体" w:cs="宋体" w:eastAsia="宋体" w:hint="default"/>
          <w:spacing w:val="-56"/>
          <w:sz w:val="22"/>
          <w:szCs w:val="22"/>
        </w:rPr>
        <w:t> </w:t>
      </w:r>
      <w:r>
        <w:rPr>
          <w:rFonts w:ascii="宋体" w:hAnsi="宋体" w:cs="宋体" w:eastAsia="宋体" w:hint="default"/>
          <w:spacing w:val="-4"/>
          <w:sz w:val="22"/>
          <w:szCs w:val="22"/>
        </w:rPr>
        <w:t>股，占公司股份总数的</w:t>
      </w:r>
      <w:r>
        <w:rPr>
          <w:rFonts w:ascii="宋体" w:hAnsi="宋体" w:cs="宋体" w:eastAsia="宋体" w:hint="default"/>
          <w:spacing w:val="-56"/>
          <w:sz w:val="22"/>
          <w:szCs w:val="22"/>
        </w:rPr>
        <w:t> </w:t>
      </w:r>
      <w:r>
        <w:rPr>
          <w:rFonts w:ascii="宋体" w:hAnsi="宋体" w:cs="宋体" w:eastAsia="宋体" w:hint="default"/>
          <w:spacing w:val="-4"/>
          <w:sz w:val="22"/>
          <w:szCs w:val="22"/>
        </w:rPr>
        <w:t>55.38%；公司</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于 2000 年 12 月 27 日向境内社会公众增发人民币普通股 20,000,000</w:t>
      </w:r>
      <w:r>
        <w:rPr>
          <w:rFonts w:ascii="宋体" w:hAnsi="宋体" w:cs="宋体" w:eastAsia="宋体" w:hint="default"/>
          <w:spacing w:val="-56"/>
          <w:sz w:val="22"/>
          <w:szCs w:val="22"/>
        </w:rPr>
        <w:t> </w:t>
      </w:r>
      <w:r>
        <w:rPr>
          <w:rFonts w:ascii="宋体" w:hAnsi="宋体" w:cs="宋体" w:eastAsia="宋体" w:hint="default"/>
          <w:sz w:val="22"/>
          <w:szCs w:val="22"/>
        </w:rPr>
        <w:t>股，致使股份总数增至</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383,074,634</w:t>
      </w:r>
      <w:r>
        <w:rPr>
          <w:rFonts w:ascii="宋体" w:hAnsi="宋体" w:cs="宋体" w:eastAsia="宋体" w:hint="default"/>
          <w:spacing w:val="-34"/>
          <w:sz w:val="22"/>
          <w:szCs w:val="22"/>
        </w:rPr>
        <w:t> </w:t>
      </w:r>
      <w:r>
        <w:rPr>
          <w:rFonts w:ascii="宋体" w:hAnsi="宋体" w:cs="宋体" w:eastAsia="宋体" w:hint="default"/>
          <w:sz w:val="22"/>
          <w:szCs w:val="22"/>
        </w:rPr>
        <w:t>股，其中，发起人持有</w:t>
      </w:r>
      <w:r>
        <w:rPr>
          <w:rFonts w:ascii="宋体" w:hAnsi="宋体" w:cs="宋体" w:eastAsia="宋体" w:hint="default"/>
          <w:spacing w:val="-34"/>
          <w:sz w:val="22"/>
          <w:szCs w:val="22"/>
        </w:rPr>
        <w:t> </w:t>
      </w:r>
      <w:r>
        <w:rPr>
          <w:rFonts w:ascii="宋体" w:hAnsi="宋体" w:cs="宋体" w:eastAsia="宋体" w:hint="default"/>
          <w:sz w:val="22"/>
          <w:szCs w:val="22"/>
        </w:rPr>
        <w:t>201,054,279</w:t>
      </w:r>
      <w:r>
        <w:rPr>
          <w:rFonts w:ascii="宋体" w:hAnsi="宋体" w:cs="宋体" w:eastAsia="宋体" w:hint="default"/>
          <w:spacing w:val="-33"/>
          <w:sz w:val="22"/>
          <w:szCs w:val="22"/>
        </w:rPr>
        <w:t> </w:t>
      </w:r>
      <w:r>
        <w:rPr>
          <w:rFonts w:ascii="宋体" w:hAnsi="宋体" w:cs="宋体" w:eastAsia="宋体" w:hint="default"/>
          <w:sz w:val="22"/>
          <w:szCs w:val="22"/>
        </w:rPr>
        <w:t>股，占公司股份总数的</w:t>
      </w:r>
      <w:r>
        <w:rPr>
          <w:rFonts w:ascii="宋体" w:hAnsi="宋体" w:cs="宋体" w:eastAsia="宋体" w:hint="default"/>
          <w:spacing w:val="-34"/>
          <w:sz w:val="22"/>
          <w:szCs w:val="22"/>
        </w:rPr>
        <w:t> </w:t>
      </w:r>
      <w:r>
        <w:rPr>
          <w:rFonts w:ascii="宋体" w:hAnsi="宋体" w:cs="宋体" w:eastAsia="宋体" w:hint="default"/>
          <w:sz w:val="22"/>
          <w:szCs w:val="22"/>
        </w:rPr>
        <w:t>52.48%；公司于</w:t>
      </w:r>
      <w:r>
        <w:rPr>
          <w:rFonts w:ascii="宋体" w:hAnsi="宋体" w:cs="宋体" w:eastAsia="宋体" w:hint="default"/>
          <w:spacing w:val="-34"/>
          <w:sz w:val="22"/>
          <w:szCs w:val="22"/>
        </w:rPr>
        <w:t> </w:t>
      </w:r>
      <w:r>
        <w:rPr>
          <w:rFonts w:ascii="宋体" w:hAnsi="宋体" w:cs="宋体" w:eastAsia="宋体" w:hint="default"/>
          <w:sz w:val="22"/>
          <w:szCs w:val="22"/>
        </w:rPr>
        <w:t>2001</w:t>
      </w:r>
    </w:p>
    <w:p>
      <w:pPr>
        <w:spacing w:line="324" w:lineRule="auto" w:before="102"/>
        <w:ind w:left="138" w:right="105" w:firstLine="0"/>
        <w:jc w:val="both"/>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15</w:t>
      </w:r>
      <w:r>
        <w:rPr>
          <w:rFonts w:ascii="宋体" w:hAnsi="宋体" w:cs="宋体" w:eastAsia="宋体" w:hint="default"/>
          <w:spacing w:val="-58"/>
          <w:sz w:val="22"/>
          <w:szCs w:val="22"/>
        </w:rPr>
        <w:t> </w:t>
      </w:r>
      <w:r>
        <w:rPr>
          <w:rFonts w:ascii="宋体" w:hAnsi="宋体" w:cs="宋体" w:eastAsia="宋体" w:hint="default"/>
          <w:sz w:val="22"/>
          <w:szCs w:val="22"/>
        </w:rPr>
        <w:t>日以</w:t>
      </w:r>
      <w:r>
        <w:rPr>
          <w:rFonts w:ascii="宋体" w:hAnsi="宋体" w:cs="宋体" w:eastAsia="宋体" w:hint="default"/>
          <w:spacing w:val="-58"/>
          <w:sz w:val="22"/>
          <w:szCs w:val="22"/>
        </w:rPr>
        <w:t> </w:t>
      </w:r>
      <w:r>
        <w:rPr>
          <w:rFonts w:ascii="宋体" w:hAnsi="宋体" w:cs="宋体" w:eastAsia="宋体" w:hint="default"/>
          <w:sz w:val="22"/>
          <w:szCs w:val="22"/>
        </w:rPr>
        <w:t>10:5</w:t>
      </w:r>
      <w:r>
        <w:rPr>
          <w:rFonts w:ascii="宋体" w:hAnsi="宋体" w:cs="宋体" w:eastAsia="宋体" w:hint="default"/>
          <w:spacing w:val="-58"/>
          <w:sz w:val="22"/>
          <w:szCs w:val="22"/>
        </w:rPr>
        <w:t> </w:t>
      </w:r>
      <w:r>
        <w:rPr>
          <w:rFonts w:ascii="宋体" w:hAnsi="宋体" w:cs="宋体" w:eastAsia="宋体" w:hint="default"/>
          <w:sz w:val="22"/>
          <w:szCs w:val="22"/>
        </w:rPr>
        <w:t>的比例实施资本公积金转增股本，使股份总数增至</w:t>
      </w:r>
      <w:r>
        <w:rPr>
          <w:rFonts w:ascii="宋体" w:hAnsi="宋体" w:cs="宋体" w:eastAsia="宋体" w:hint="default"/>
          <w:spacing w:val="-57"/>
          <w:sz w:val="22"/>
          <w:szCs w:val="22"/>
        </w:rPr>
        <w:t> </w:t>
      </w:r>
      <w:r>
        <w:rPr>
          <w:rFonts w:ascii="宋体" w:hAnsi="宋体" w:cs="宋体" w:eastAsia="宋体" w:hint="default"/>
          <w:sz w:val="22"/>
          <w:szCs w:val="22"/>
        </w:rPr>
        <w:t>574,612,295</w:t>
      </w:r>
      <w:r>
        <w:rPr>
          <w:rFonts w:ascii="宋体" w:hAnsi="宋体" w:cs="宋体" w:eastAsia="宋体" w:hint="default"/>
          <w:spacing w:val="-58"/>
          <w:sz w:val="22"/>
          <w:szCs w:val="22"/>
        </w:rPr>
        <w:t> </w:t>
      </w:r>
      <w:r>
        <w:rPr>
          <w:rFonts w:ascii="宋体" w:hAnsi="宋体" w:cs="宋体" w:eastAsia="宋体" w:hint="default"/>
          <w:sz w:val="22"/>
          <w:szCs w:val="22"/>
        </w:rPr>
        <w:t>股，其中，</w:t>
      </w:r>
      <w:r>
        <w:rPr>
          <w:rFonts w:ascii="宋体" w:hAnsi="宋体" w:cs="宋体" w:eastAsia="宋体" w:hint="default"/>
          <w:w w:val="99"/>
          <w:sz w:val="22"/>
          <w:szCs w:val="22"/>
        </w:rPr>
        <w:t> </w:t>
      </w:r>
      <w:r>
        <w:rPr>
          <w:rFonts w:ascii="宋体" w:hAnsi="宋体" w:cs="宋体" w:eastAsia="宋体" w:hint="default"/>
          <w:sz w:val="22"/>
          <w:szCs w:val="22"/>
        </w:rPr>
        <w:t>发起人持有</w:t>
      </w:r>
      <w:r>
        <w:rPr>
          <w:rFonts w:ascii="宋体" w:hAnsi="宋体" w:cs="宋体" w:eastAsia="宋体" w:hint="default"/>
          <w:spacing w:val="-58"/>
          <w:sz w:val="22"/>
          <w:szCs w:val="22"/>
        </w:rPr>
        <w:t> </w:t>
      </w:r>
      <w:r>
        <w:rPr>
          <w:rFonts w:ascii="宋体" w:hAnsi="宋体" w:cs="宋体" w:eastAsia="宋体" w:hint="default"/>
          <w:sz w:val="22"/>
          <w:szCs w:val="22"/>
        </w:rPr>
        <w:t>301,581,762</w:t>
      </w:r>
      <w:r>
        <w:rPr>
          <w:rFonts w:ascii="宋体" w:hAnsi="宋体" w:cs="宋体" w:eastAsia="宋体" w:hint="default"/>
          <w:spacing w:val="-59"/>
          <w:sz w:val="22"/>
          <w:szCs w:val="22"/>
        </w:rPr>
        <w:t> </w:t>
      </w:r>
      <w:r>
        <w:rPr>
          <w:rFonts w:ascii="宋体" w:hAnsi="宋体" w:cs="宋体" w:eastAsia="宋体" w:hint="default"/>
          <w:sz w:val="22"/>
          <w:szCs w:val="22"/>
        </w:rPr>
        <w:t>股，仍占公司股份总数的</w:t>
      </w:r>
      <w:r>
        <w:rPr>
          <w:rFonts w:ascii="宋体" w:hAnsi="宋体" w:cs="宋体" w:eastAsia="宋体" w:hint="default"/>
          <w:spacing w:val="-59"/>
          <w:sz w:val="22"/>
          <w:szCs w:val="22"/>
        </w:rPr>
        <w:t> </w:t>
      </w:r>
      <w:r>
        <w:rPr>
          <w:rFonts w:ascii="宋体" w:hAnsi="宋体" w:cs="宋体" w:eastAsia="宋体" w:hint="default"/>
          <w:sz w:val="22"/>
          <w:szCs w:val="22"/>
        </w:rPr>
        <w:t>52.48%。</w:t>
      </w:r>
    </w:p>
    <w:p>
      <w:pPr>
        <w:spacing w:before="103"/>
        <w:ind w:left="579" w:right="0" w:firstLine="0"/>
        <w:jc w:val="left"/>
        <w:rPr>
          <w:rFonts w:ascii="宋体" w:hAnsi="宋体" w:cs="宋体" w:eastAsia="宋体" w:hint="default"/>
          <w:sz w:val="22"/>
          <w:szCs w:val="22"/>
        </w:rPr>
      </w:pPr>
      <w:r>
        <w:rPr>
          <w:rFonts w:ascii="宋体" w:hAnsi="宋体" w:cs="宋体" w:eastAsia="宋体" w:hint="default"/>
          <w:sz w:val="22"/>
          <w:szCs w:val="22"/>
        </w:rPr>
        <w:t>经国务院国有资产监督管理委员会批准，公司于</w:t>
      </w:r>
      <w:r>
        <w:rPr>
          <w:rFonts w:ascii="宋体" w:hAnsi="宋体" w:cs="宋体" w:eastAsia="宋体" w:hint="default"/>
          <w:spacing w:val="-65"/>
          <w:sz w:val="22"/>
          <w:szCs w:val="22"/>
        </w:rPr>
        <w:t> </w:t>
      </w:r>
      <w:r>
        <w:rPr>
          <w:rFonts w:ascii="宋体" w:hAnsi="宋体" w:cs="宋体" w:eastAsia="宋体" w:hint="default"/>
          <w:sz w:val="22"/>
          <w:szCs w:val="22"/>
        </w:rPr>
        <w:t>2006</w:t>
      </w:r>
      <w:r>
        <w:rPr>
          <w:rFonts w:ascii="宋体" w:hAnsi="宋体" w:cs="宋体" w:eastAsia="宋体" w:hint="default"/>
          <w:spacing w:val="-65"/>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宋体" w:hAnsi="宋体" w:cs="宋体" w:eastAsia="宋体" w:hint="default"/>
          <w:sz w:val="22"/>
          <w:szCs w:val="22"/>
        </w:rPr>
        <w:t>2</w:t>
      </w:r>
      <w:r>
        <w:rPr>
          <w:rFonts w:ascii="宋体" w:hAnsi="宋体" w:cs="宋体" w:eastAsia="宋体" w:hint="default"/>
          <w:spacing w:val="-66"/>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宋体" w:hAnsi="宋体" w:cs="宋体" w:eastAsia="宋体" w:hint="default"/>
          <w:sz w:val="22"/>
          <w:szCs w:val="22"/>
        </w:rPr>
        <w:t>10</w:t>
      </w:r>
      <w:r>
        <w:rPr>
          <w:rFonts w:ascii="宋体" w:hAnsi="宋体" w:cs="宋体" w:eastAsia="宋体" w:hint="default"/>
          <w:spacing w:val="-65"/>
          <w:sz w:val="22"/>
          <w:szCs w:val="22"/>
        </w:rPr>
        <w:t> </w:t>
      </w:r>
      <w:r>
        <w:rPr>
          <w:rFonts w:ascii="宋体" w:hAnsi="宋体" w:cs="宋体" w:eastAsia="宋体" w:hint="default"/>
          <w:sz w:val="22"/>
          <w:szCs w:val="22"/>
        </w:rPr>
        <w:t>日实施了股权分置改革，由</w:t>
      </w:r>
    </w:p>
    <w:p>
      <w:pPr>
        <w:spacing w:before="102"/>
        <w:ind w:left="138" w:right="0" w:firstLine="0"/>
        <w:jc w:val="both"/>
        <w:rPr>
          <w:rFonts w:ascii="宋体" w:hAnsi="宋体" w:cs="宋体" w:eastAsia="宋体" w:hint="default"/>
          <w:sz w:val="22"/>
          <w:szCs w:val="22"/>
        </w:rPr>
      </w:pPr>
      <w:r>
        <w:rPr>
          <w:rFonts w:ascii="宋体" w:hAnsi="宋体" w:cs="宋体" w:eastAsia="宋体" w:hint="default"/>
          <w:spacing w:val="16"/>
          <w:sz w:val="22"/>
          <w:szCs w:val="22"/>
        </w:rPr>
        <w:t>非流通股股东向流通股股东按 </w:t>
      </w:r>
      <w:r>
        <w:rPr>
          <w:rFonts w:ascii="宋体" w:hAnsi="宋体" w:cs="宋体" w:eastAsia="宋体" w:hint="default"/>
          <w:sz w:val="22"/>
          <w:szCs w:val="22"/>
        </w:rPr>
        <w:t>10:3.8</w:t>
      </w:r>
      <w:r>
        <w:rPr>
          <w:rFonts w:ascii="宋体" w:hAnsi="宋体" w:cs="宋体" w:eastAsia="宋体" w:hint="default"/>
          <w:spacing w:val="17"/>
          <w:sz w:val="22"/>
          <w:szCs w:val="22"/>
        </w:rPr>
        <w:t> 的比例支付获取非流通股份上市流通权的对价共计</w:t>
      </w:r>
    </w:p>
    <w:p>
      <w:pPr>
        <w:spacing w:line="324" w:lineRule="auto" w:before="102"/>
        <w:ind w:left="138" w:right="142" w:firstLine="0"/>
        <w:jc w:val="both"/>
        <w:rPr>
          <w:rFonts w:ascii="宋体" w:hAnsi="宋体" w:cs="宋体" w:eastAsia="宋体" w:hint="default"/>
          <w:sz w:val="22"/>
          <w:szCs w:val="22"/>
        </w:rPr>
      </w:pPr>
      <w:r>
        <w:rPr>
          <w:rFonts w:ascii="宋体" w:hAnsi="宋体" w:cs="宋体" w:eastAsia="宋体" w:hint="default"/>
          <w:spacing w:val="-1"/>
          <w:w w:val="99"/>
          <w:sz w:val="22"/>
          <w:szCs w:val="22"/>
        </w:rPr>
        <w:t>103,751,603</w:t>
      </w:r>
      <w:r>
        <w:rPr>
          <w:rFonts w:ascii="宋体" w:hAnsi="宋体" w:cs="宋体" w:eastAsia="宋体" w:hint="default"/>
          <w:spacing w:val="-45"/>
          <w:w w:val="99"/>
          <w:sz w:val="22"/>
          <w:szCs w:val="22"/>
        </w:rPr>
        <w:t> </w:t>
      </w:r>
      <w:r>
        <w:rPr>
          <w:rFonts w:ascii="宋体" w:hAnsi="宋体" w:cs="宋体" w:eastAsia="宋体" w:hint="default"/>
          <w:spacing w:val="-12"/>
          <w:w w:val="99"/>
          <w:sz w:val="22"/>
          <w:szCs w:val="22"/>
        </w:rPr>
        <w:t>股。股权分置改革后，公司股份总数不变，其中，发起人持有股份减少至</w:t>
      </w:r>
      <w:r>
        <w:rPr>
          <w:rFonts w:ascii="宋体" w:hAnsi="宋体" w:cs="宋体" w:eastAsia="宋体" w:hint="default"/>
          <w:spacing w:val="-44"/>
          <w:w w:val="99"/>
          <w:sz w:val="22"/>
          <w:szCs w:val="22"/>
        </w:rPr>
        <w:t> </w:t>
      </w:r>
      <w:r>
        <w:rPr>
          <w:rFonts w:ascii="宋体" w:hAnsi="宋体" w:cs="宋体" w:eastAsia="宋体" w:hint="default"/>
          <w:w w:val="99"/>
          <w:sz w:val="22"/>
          <w:szCs w:val="22"/>
        </w:rPr>
        <w:t>197,830,159</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z w:val="22"/>
          <w:szCs w:val="22"/>
        </w:rPr>
        <w:t>股，占公司股份总数的</w:t>
      </w:r>
      <w:r>
        <w:rPr>
          <w:rFonts w:ascii="宋体" w:hAnsi="宋体" w:cs="宋体" w:eastAsia="宋体" w:hint="default"/>
          <w:spacing w:val="-60"/>
          <w:sz w:val="22"/>
          <w:szCs w:val="22"/>
        </w:rPr>
        <w:t> </w:t>
      </w:r>
      <w:r>
        <w:rPr>
          <w:rFonts w:ascii="宋体" w:hAnsi="宋体" w:cs="宋体" w:eastAsia="宋体" w:hint="default"/>
          <w:sz w:val="22"/>
          <w:szCs w:val="22"/>
        </w:rPr>
        <w:t>34.43%。</w:t>
      </w:r>
    </w:p>
    <w:p>
      <w:pPr>
        <w:spacing w:before="103"/>
        <w:ind w:left="579" w:right="0" w:firstLine="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27</w:t>
      </w:r>
      <w:r>
        <w:rPr>
          <w:rFonts w:ascii="宋体" w:hAnsi="宋体" w:cs="宋体" w:eastAsia="宋体" w:hint="default"/>
          <w:spacing w:val="-56"/>
          <w:sz w:val="22"/>
          <w:szCs w:val="22"/>
        </w:rPr>
        <w:t> </w:t>
      </w:r>
      <w:r>
        <w:rPr>
          <w:rFonts w:ascii="宋体" w:hAnsi="宋体" w:cs="宋体" w:eastAsia="宋体" w:hint="default"/>
          <w:spacing w:val="-3"/>
          <w:sz w:val="22"/>
          <w:szCs w:val="22"/>
        </w:rPr>
        <w:t>日，公司向特定对象非公开发行人民币普通股</w:t>
      </w:r>
      <w:r>
        <w:rPr>
          <w:rFonts w:ascii="宋体" w:hAnsi="宋体" w:cs="宋体" w:eastAsia="宋体" w:hint="default"/>
          <w:spacing w:val="-56"/>
          <w:sz w:val="22"/>
          <w:szCs w:val="22"/>
        </w:rPr>
        <w:t> </w:t>
      </w:r>
      <w:r>
        <w:rPr>
          <w:rFonts w:ascii="宋体" w:hAnsi="宋体" w:cs="宋体" w:eastAsia="宋体" w:hint="default"/>
          <w:sz w:val="22"/>
          <w:szCs w:val="22"/>
        </w:rPr>
        <w:t>54,000,000</w:t>
      </w:r>
      <w:r>
        <w:rPr>
          <w:rFonts w:ascii="宋体" w:hAnsi="宋体" w:cs="宋体" w:eastAsia="宋体" w:hint="default"/>
          <w:spacing w:val="-56"/>
          <w:sz w:val="22"/>
          <w:szCs w:val="22"/>
        </w:rPr>
        <w:t> </w:t>
      </w:r>
      <w:r>
        <w:rPr>
          <w:rFonts w:ascii="宋体" w:hAnsi="宋体" w:cs="宋体" w:eastAsia="宋体" w:hint="default"/>
          <w:spacing w:val="-6"/>
          <w:sz w:val="22"/>
          <w:szCs w:val="22"/>
        </w:rPr>
        <w:t>股，致使股份总数</w:t>
      </w:r>
    </w:p>
    <w:p>
      <w:pPr>
        <w:spacing w:before="102"/>
        <w:ind w:left="138" w:right="0" w:firstLine="0"/>
        <w:jc w:val="both"/>
        <w:rPr>
          <w:rFonts w:ascii="宋体" w:hAnsi="宋体" w:cs="宋体" w:eastAsia="宋体" w:hint="default"/>
          <w:sz w:val="22"/>
          <w:szCs w:val="22"/>
        </w:rPr>
      </w:pPr>
      <w:r>
        <w:rPr>
          <w:rFonts w:ascii="宋体" w:hAnsi="宋体" w:cs="宋体" w:eastAsia="宋体" w:hint="default"/>
          <w:spacing w:val="7"/>
          <w:sz w:val="22"/>
          <w:szCs w:val="22"/>
        </w:rPr>
        <w:t>增至 </w:t>
      </w:r>
      <w:r>
        <w:rPr>
          <w:rFonts w:ascii="宋体" w:hAnsi="宋体" w:cs="宋体" w:eastAsia="宋体" w:hint="default"/>
          <w:sz w:val="22"/>
          <w:szCs w:val="22"/>
        </w:rPr>
        <w:t>628,612,295 </w:t>
      </w:r>
      <w:r>
        <w:rPr>
          <w:rFonts w:ascii="宋体" w:hAnsi="宋体" w:cs="宋体" w:eastAsia="宋体" w:hint="default"/>
          <w:spacing w:val="13"/>
          <w:sz w:val="22"/>
          <w:szCs w:val="22"/>
        </w:rPr>
        <w:t>股，其中：有限售条件的流通股 </w:t>
      </w:r>
      <w:r>
        <w:rPr>
          <w:rFonts w:ascii="宋体" w:hAnsi="宋体" w:cs="宋体" w:eastAsia="宋体" w:hint="default"/>
          <w:sz w:val="22"/>
          <w:szCs w:val="22"/>
        </w:rPr>
        <w:t>243,986,980</w:t>
      </w:r>
      <w:r>
        <w:rPr>
          <w:rFonts w:ascii="宋体" w:hAnsi="宋体" w:cs="宋体" w:eastAsia="宋体" w:hint="default"/>
          <w:spacing w:val="16"/>
          <w:sz w:val="22"/>
          <w:szCs w:val="22"/>
        </w:rPr>
        <w:t> </w:t>
      </w:r>
      <w:r>
        <w:rPr>
          <w:rFonts w:ascii="宋体" w:hAnsi="宋体" w:cs="宋体" w:eastAsia="宋体" w:hint="default"/>
          <w:spacing w:val="13"/>
          <w:sz w:val="22"/>
          <w:szCs w:val="22"/>
        </w:rPr>
        <w:t>股，无限售条件的流通股</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384,625,315</w:t>
      </w:r>
      <w:r>
        <w:rPr>
          <w:rFonts w:ascii="宋体" w:hAnsi="宋体" w:cs="宋体" w:eastAsia="宋体" w:hint="default"/>
          <w:spacing w:val="-61"/>
          <w:sz w:val="22"/>
          <w:szCs w:val="22"/>
        </w:rPr>
        <w:t> </w:t>
      </w:r>
      <w:r>
        <w:rPr>
          <w:rFonts w:ascii="宋体" w:hAnsi="宋体" w:cs="宋体" w:eastAsia="宋体" w:hint="default"/>
          <w:sz w:val="22"/>
          <w:szCs w:val="22"/>
        </w:rPr>
        <w:t>股。</w:t>
      </w:r>
    </w:p>
    <w:p>
      <w:pPr>
        <w:spacing w:before="180"/>
        <w:ind w:left="579" w:right="0" w:firstLine="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22</w:t>
      </w:r>
      <w:r>
        <w:rPr>
          <w:rFonts w:ascii="宋体" w:hAnsi="宋体" w:cs="宋体" w:eastAsia="宋体" w:hint="default"/>
          <w:spacing w:val="-55"/>
          <w:sz w:val="22"/>
          <w:szCs w:val="22"/>
        </w:rPr>
        <w:t> </w:t>
      </w:r>
      <w:r>
        <w:rPr>
          <w:rFonts w:ascii="宋体" w:hAnsi="宋体" w:cs="宋体" w:eastAsia="宋体" w:hint="default"/>
          <w:spacing w:val="-7"/>
          <w:sz w:val="22"/>
          <w:szCs w:val="22"/>
        </w:rPr>
        <w:t>日，公司以</w:t>
      </w:r>
      <w:r>
        <w:rPr>
          <w:rFonts w:ascii="宋体" w:hAnsi="宋体" w:cs="宋体" w:eastAsia="宋体" w:hint="default"/>
          <w:spacing w:val="-55"/>
          <w:sz w:val="22"/>
          <w:szCs w:val="22"/>
        </w:rPr>
        <w:t> </w:t>
      </w:r>
      <w:r>
        <w:rPr>
          <w:rFonts w:ascii="宋体" w:hAnsi="宋体" w:cs="宋体" w:eastAsia="宋体" w:hint="default"/>
          <w:sz w:val="22"/>
          <w:szCs w:val="22"/>
        </w:rPr>
        <w:t>10:2</w:t>
      </w:r>
      <w:r>
        <w:rPr>
          <w:rFonts w:ascii="宋体" w:hAnsi="宋体" w:cs="宋体" w:eastAsia="宋体" w:hint="default"/>
          <w:spacing w:val="-55"/>
          <w:sz w:val="22"/>
          <w:szCs w:val="22"/>
        </w:rPr>
        <w:t> </w:t>
      </w:r>
      <w:r>
        <w:rPr>
          <w:rFonts w:ascii="宋体" w:hAnsi="宋体" w:cs="宋体" w:eastAsia="宋体" w:hint="default"/>
          <w:spacing w:val="-3"/>
          <w:sz w:val="22"/>
          <w:szCs w:val="22"/>
        </w:rPr>
        <w:t>的比例实施配股，配股后股份总数增至</w:t>
      </w:r>
      <w:r>
        <w:rPr>
          <w:rFonts w:ascii="宋体" w:hAnsi="宋体" w:cs="宋体" w:eastAsia="宋体" w:hint="default"/>
          <w:spacing w:val="-54"/>
          <w:sz w:val="22"/>
          <w:szCs w:val="22"/>
        </w:rPr>
        <w:t> </w:t>
      </w:r>
      <w:r>
        <w:rPr>
          <w:rFonts w:ascii="宋体" w:hAnsi="宋体" w:cs="宋体" w:eastAsia="宋体" w:hint="default"/>
          <w:sz w:val="22"/>
          <w:szCs w:val="22"/>
        </w:rPr>
        <w:t>751,515,811</w:t>
      </w:r>
      <w:r>
        <w:rPr>
          <w:rFonts w:ascii="宋体" w:hAnsi="宋体" w:cs="宋体" w:eastAsia="宋体" w:hint="default"/>
          <w:spacing w:val="-55"/>
          <w:sz w:val="22"/>
          <w:szCs w:val="22"/>
        </w:rPr>
        <w:t> </w:t>
      </w:r>
      <w:r>
        <w:rPr>
          <w:rFonts w:ascii="宋体" w:hAnsi="宋体" w:cs="宋体" w:eastAsia="宋体" w:hint="default"/>
          <w:spacing w:val="-11"/>
          <w:sz w:val="22"/>
          <w:szCs w:val="22"/>
        </w:rPr>
        <w:t>股，其</w:t>
      </w:r>
    </w:p>
    <w:p>
      <w:pPr>
        <w:spacing w:after="0"/>
        <w:jc w:val="left"/>
        <w:rPr>
          <w:rFonts w:ascii="宋体" w:hAnsi="宋体" w:cs="宋体" w:eastAsia="宋体" w:hint="default"/>
          <w:sz w:val="22"/>
          <w:szCs w:val="22"/>
        </w:rPr>
        <w:sectPr>
          <w:headerReference w:type="default" r:id="rId33"/>
          <w:footerReference w:type="default" r:id="rId34"/>
          <w:pgSz w:w="11910" w:h="16840"/>
          <w:pgMar w:header="610" w:footer="784" w:top="1080" w:bottom="980" w:left="1280" w:right="1140"/>
          <w:pgNumType w:start="83"/>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213" w:firstLine="0"/>
        <w:jc w:val="left"/>
        <w:rPr>
          <w:rFonts w:ascii="宋体" w:hAnsi="宋体" w:cs="宋体" w:eastAsia="宋体" w:hint="default"/>
          <w:sz w:val="22"/>
          <w:szCs w:val="22"/>
        </w:rPr>
      </w:pPr>
      <w:r>
        <w:rPr>
          <w:rFonts w:ascii="宋体" w:hAnsi="宋体" w:cs="宋体" w:eastAsia="宋体" w:hint="default"/>
          <w:sz w:val="22"/>
          <w:szCs w:val="22"/>
        </w:rPr>
        <w:t>中：有限售条件的流通股</w:t>
      </w:r>
      <w:r>
        <w:rPr>
          <w:rFonts w:ascii="宋体" w:hAnsi="宋体" w:cs="宋体" w:eastAsia="宋体" w:hint="default"/>
          <w:spacing w:val="-59"/>
          <w:sz w:val="22"/>
          <w:szCs w:val="22"/>
        </w:rPr>
        <w:t> </w:t>
      </w:r>
      <w:r>
        <w:rPr>
          <w:rFonts w:ascii="宋体" w:hAnsi="宋体" w:cs="宋体" w:eastAsia="宋体" w:hint="default"/>
          <w:sz w:val="22"/>
          <w:szCs w:val="22"/>
        </w:rPr>
        <w:t>243,986,980</w:t>
      </w:r>
      <w:r>
        <w:rPr>
          <w:rFonts w:ascii="宋体" w:hAnsi="宋体" w:cs="宋体" w:eastAsia="宋体" w:hint="default"/>
          <w:spacing w:val="-60"/>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9"/>
          <w:sz w:val="22"/>
          <w:szCs w:val="22"/>
        </w:rPr>
        <w:t> </w:t>
      </w:r>
      <w:r>
        <w:rPr>
          <w:rFonts w:ascii="宋体" w:hAnsi="宋体" w:cs="宋体" w:eastAsia="宋体" w:hint="default"/>
          <w:sz w:val="22"/>
          <w:szCs w:val="22"/>
        </w:rPr>
        <w:t>507,528,831</w:t>
      </w:r>
      <w:r>
        <w:rPr>
          <w:rFonts w:ascii="宋体" w:hAnsi="宋体" w:cs="宋体" w:eastAsia="宋体" w:hint="default"/>
          <w:spacing w:val="-59"/>
          <w:sz w:val="22"/>
          <w:szCs w:val="22"/>
        </w:rPr>
        <w:t> </w:t>
      </w:r>
      <w:r>
        <w:rPr>
          <w:rFonts w:ascii="宋体" w:hAnsi="宋体" w:cs="宋体" w:eastAsia="宋体" w:hint="default"/>
          <w:sz w:val="22"/>
          <w:szCs w:val="22"/>
        </w:rPr>
        <w:t>股。</w:t>
      </w:r>
    </w:p>
    <w:p>
      <w:pPr>
        <w:spacing w:before="179"/>
        <w:ind w:left="578" w:right="206" w:firstLine="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16"/>
          <w:sz w:val="22"/>
          <w:szCs w:val="22"/>
        </w:rPr>
        <w:t> </w:t>
      </w:r>
      <w:r>
        <w:rPr>
          <w:rFonts w:ascii="宋体" w:hAnsi="宋体" w:cs="宋体" w:eastAsia="宋体" w:hint="default"/>
          <w:sz w:val="22"/>
          <w:szCs w:val="22"/>
        </w:rPr>
        <w:t>8</w:t>
      </w:r>
      <w:r>
        <w:rPr>
          <w:rFonts w:ascii="宋体" w:hAnsi="宋体" w:cs="宋体" w:eastAsia="宋体"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16"/>
          <w:sz w:val="22"/>
          <w:szCs w:val="22"/>
        </w:rPr>
        <w:t> </w:t>
      </w:r>
      <w:r>
        <w:rPr>
          <w:rFonts w:ascii="宋体" w:hAnsi="宋体" w:cs="宋体" w:eastAsia="宋体" w:hint="default"/>
          <w:sz w:val="22"/>
          <w:szCs w:val="22"/>
        </w:rPr>
        <w:t>15</w:t>
      </w:r>
      <w:r>
        <w:rPr>
          <w:rFonts w:ascii="宋体" w:hAnsi="宋体" w:cs="宋体" w:eastAsia="宋体" w:hint="default"/>
          <w:spacing w:val="-16"/>
          <w:sz w:val="22"/>
          <w:szCs w:val="22"/>
        </w:rPr>
        <w:t> </w:t>
      </w:r>
      <w:r>
        <w:rPr>
          <w:rFonts w:ascii="宋体" w:hAnsi="宋体" w:cs="宋体" w:eastAsia="宋体" w:hint="default"/>
          <w:sz w:val="22"/>
          <w:szCs w:val="22"/>
        </w:rPr>
        <w:t>日，公司完成资本公积金转增股本，以公司</w:t>
      </w:r>
      <w:r>
        <w:rPr>
          <w:rFonts w:ascii="宋体" w:hAnsi="宋体" w:cs="宋体" w:eastAsia="宋体" w:hint="default"/>
          <w:spacing w:val="-16"/>
          <w:sz w:val="22"/>
          <w:szCs w:val="22"/>
        </w:rPr>
        <w:t> </w:t>
      </w:r>
      <w:r>
        <w:rPr>
          <w:rFonts w:ascii="宋体" w:hAnsi="宋体" w:cs="宋体" w:eastAsia="宋体" w:hint="default"/>
          <w:sz w:val="22"/>
          <w:szCs w:val="22"/>
        </w:rPr>
        <w:t>2008</w:t>
      </w:r>
      <w:r>
        <w:rPr>
          <w:rFonts w:ascii="宋体" w:hAnsi="宋体" w:cs="宋体" w:eastAsia="宋体"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16"/>
          <w:sz w:val="22"/>
          <w:szCs w:val="22"/>
        </w:rPr>
        <w:t> </w:t>
      </w:r>
      <w:r>
        <w:rPr>
          <w:rFonts w:ascii="宋体" w:hAnsi="宋体" w:cs="宋体" w:eastAsia="宋体" w:hint="default"/>
          <w:sz w:val="22"/>
          <w:szCs w:val="22"/>
        </w:rPr>
        <w:t>5</w:t>
      </w:r>
      <w:r>
        <w:rPr>
          <w:rFonts w:ascii="宋体" w:hAnsi="宋体" w:cs="宋体" w:eastAsia="宋体"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16"/>
          <w:sz w:val="22"/>
          <w:szCs w:val="22"/>
        </w:rPr>
        <w:t> </w:t>
      </w:r>
      <w:r>
        <w:rPr>
          <w:rFonts w:ascii="宋体" w:hAnsi="宋体" w:cs="宋体" w:eastAsia="宋体" w:hint="default"/>
          <w:sz w:val="22"/>
          <w:szCs w:val="22"/>
        </w:rPr>
        <w:t>30</w:t>
      </w:r>
      <w:r>
        <w:rPr>
          <w:rFonts w:ascii="宋体" w:hAnsi="宋体" w:cs="宋体" w:eastAsia="宋体" w:hint="default"/>
          <w:spacing w:val="-15"/>
          <w:sz w:val="22"/>
          <w:szCs w:val="22"/>
        </w:rPr>
        <w:t> </w:t>
      </w:r>
      <w:r>
        <w:rPr>
          <w:rFonts w:ascii="宋体" w:hAnsi="宋体" w:cs="宋体" w:eastAsia="宋体" w:hint="default"/>
          <w:sz w:val="22"/>
          <w:szCs w:val="22"/>
        </w:rPr>
        <w:t>日的总股本</w:t>
      </w:r>
    </w:p>
    <w:p>
      <w:pPr>
        <w:spacing w:before="102"/>
        <w:ind w:left="138" w:right="206" w:firstLine="0"/>
        <w:jc w:val="left"/>
        <w:rPr>
          <w:rFonts w:ascii="宋体" w:hAnsi="宋体" w:cs="宋体" w:eastAsia="宋体" w:hint="default"/>
          <w:sz w:val="22"/>
          <w:szCs w:val="22"/>
        </w:rPr>
      </w:pPr>
      <w:r>
        <w:rPr>
          <w:rFonts w:ascii="宋体" w:hAnsi="宋体" w:cs="宋体" w:eastAsia="宋体" w:hint="default"/>
          <w:sz w:val="22"/>
          <w:szCs w:val="22"/>
        </w:rPr>
        <w:t>751,515,811</w:t>
      </w:r>
      <w:r>
        <w:rPr>
          <w:rFonts w:ascii="宋体" w:hAnsi="宋体" w:cs="宋体" w:eastAsia="宋体" w:hint="default"/>
          <w:spacing w:val="-55"/>
          <w:sz w:val="22"/>
          <w:szCs w:val="22"/>
        </w:rPr>
        <w:t> </w:t>
      </w:r>
      <w:r>
        <w:rPr>
          <w:rFonts w:ascii="宋体" w:hAnsi="宋体" w:cs="宋体" w:eastAsia="宋体" w:hint="default"/>
          <w:spacing w:val="-4"/>
          <w:sz w:val="22"/>
          <w:szCs w:val="22"/>
        </w:rPr>
        <w:t>为基数，向全体股东以</w:t>
      </w:r>
      <w:r>
        <w:rPr>
          <w:rFonts w:ascii="宋体" w:hAnsi="宋体" w:cs="宋体" w:eastAsia="宋体" w:hint="default"/>
          <w:spacing w:val="-55"/>
          <w:sz w:val="22"/>
          <w:szCs w:val="22"/>
        </w:rPr>
        <w:t> </w:t>
      </w:r>
      <w:r>
        <w:rPr>
          <w:rFonts w:ascii="宋体" w:hAnsi="宋体" w:cs="宋体" w:eastAsia="宋体" w:hint="default"/>
          <w:sz w:val="22"/>
          <w:szCs w:val="22"/>
        </w:rPr>
        <w:t>10:3</w:t>
      </w:r>
      <w:r>
        <w:rPr>
          <w:rFonts w:ascii="宋体" w:hAnsi="宋体" w:cs="宋体" w:eastAsia="宋体" w:hint="default"/>
          <w:spacing w:val="-55"/>
          <w:sz w:val="22"/>
          <w:szCs w:val="22"/>
        </w:rPr>
        <w:t> </w:t>
      </w:r>
      <w:r>
        <w:rPr>
          <w:rFonts w:ascii="宋体" w:hAnsi="宋体" w:cs="宋体" w:eastAsia="宋体" w:hint="default"/>
          <w:sz w:val="22"/>
          <w:szCs w:val="22"/>
        </w:rPr>
        <w:t>的比例转增</w:t>
      </w:r>
      <w:r>
        <w:rPr>
          <w:rFonts w:ascii="宋体" w:hAnsi="宋体" w:cs="宋体" w:eastAsia="宋体" w:hint="default"/>
          <w:spacing w:val="-56"/>
          <w:sz w:val="22"/>
          <w:szCs w:val="22"/>
        </w:rPr>
        <w:t> </w:t>
      </w:r>
      <w:r>
        <w:rPr>
          <w:rFonts w:ascii="宋体" w:hAnsi="宋体" w:cs="宋体" w:eastAsia="宋体" w:hint="default"/>
          <w:sz w:val="22"/>
          <w:szCs w:val="22"/>
        </w:rPr>
        <w:t>225,454,743</w:t>
      </w:r>
      <w:r>
        <w:rPr>
          <w:rFonts w:ascii="宋体" w:hAnsi="宋体" w:cs="宋体" w:eastAsia="宋体" w:hint="default"/>
          <w:spacing w:val="-55"/>
          <w:sz w:val="22"/>
          <w:szCs w:val="22"/>
        </w:rPr>
        <w:t> </w:t>
      </w:r>
      <w:r>
        <w:rPr>
          <w:rFonts w:ascii="宋体" w:hAnsi="宋体" w:cs="宋体" w:eastAsia="宋体" w:hint="default"/>
          <w:spacing w:val="-6"/>
          <w:sz w:val="22"/>
          <w:szCs w:val="22"/>
        </w:rPr>
        <w:t>股，转增完成后，公司总股本</w:t>
      </w:r>
    </w:p>
    <w:p>
      <w:pPr>
        <w:spacing w:before="102"/>
        <w:ind w:left="138" w:right="206" w:firstLine="0"/>
        <w:jc w:val="left"/>
        <w:rPr>
          <w:rFonts w:ascii="宋体" w:hAnsi="宋体" w:cs="宋体" w:eastAsia="宋体" w:hint="default"/>
          <w:sz w:val="22"/>
          <w:szCs w:val="22"/>
        </w:rPr>
      </w:pPr>
      <w:r>
        <w:rPr>
          <w:rFonts w:ascii="宋体" w:hAnsi="宋体" w:cs="宋体" w:eastAsia="宋体" w:hint="default"/>
          <w:spacing w:val="7"/>
          <w:sz w:val="22"/>
          <w:szCs w:val="22"/>
        </w:rPr>
        <w:t>增至 </w:t>
      </w:r>
      <w:r>
        <w:rPr>
          <w:rFonts w:ascii="宋体" w:hAnsi="宋体" w:cs="宋体" w:eastAsia="宋体" w:hint="default"/>
          <w:sz w:val="22"/>
          <w:szCs w:val="22"/>
        </w:rPr>
        <w:t>976,970,554 </w:t>
      </w:r>
      <w:r>
        <w:rPr>
          <w:rFonts w:ascii="宋体" w:hAnsi="宋体" w:cs="宋体" w:eastAsia="宋体" w:hint="default"/>
          <w:spacing w:val="13"/>
          <w:sz w:val="22"/>
          <w:szCs w:val="22"/>
        </w:rPr>
        <w:t>股，其中：有限售条件的流通股 </w:t>
      </w:r>
      <w:r>
        <w:rPr>
          <w:rFonts w:ascii="宋体" w:hAnsi="宋体" w:cs="宋体" w:eastAsia="宋体" w:hint="default"/>
          <w:sz w:val="22"/>
          <w:szCs w:val="22"/>
        </w:rPr>
        <w:t>246,983,074</w:t>
      </w:r>
      <w:r>
        <w:rPr>
          <w:rFonts w:ascii="宋体" w:hAnsi="宋体" w:cs="宋体" w:eastAsia="宋体" w:hint="default"/>
          <w:spacing w:val="16"/>
          <w:sz w:val="22"/>
          <w:szCs w:val="22"/>
        </w:rPr>
        <w:t> </w:t>
      </w:r>
      <w:r>
        <w:rPr>
          <w:rFonts w:ascii="宋体" w:hAnsi="宋体" w:cs="宋体" w:eastAsia="宋体" w:hint="default"/>
          <w:spacing w:val="13"/>
          <w:sz w:val="22"/>
          <w:szCs w:val="22"/>
        </w:rPr>
        <w:t>股，无限售条件的流通股</w:t>
      </w:r>
    </w:p>
    <w:p>
      <w:pPr>
        <w:spacing w:before="102"/>
        <w:ind w:left="138" w:right="213" w:firstLine="0"/>
        <w:jc w:val="left"/>
        <w:rPr>
          <w:rFonts w:ascii="宋体" w:hAnsi="宋体" w:cs="宋体" w:eastAsia="宋体" w:hint="default"/>
          <w:sz w:val="22"/>
          <w:szCs w:val="22"/>
        </w:rPr>
      </w:pPr>
      <w:r>
        <w:rPr>
          <w:rFonts w:ascii="宋体" w:hAnsi="宋体" w:cs="宋体" w:eastAsia="宋体" w:hint="default"/>
          <w:sz w:val="22"/>
          <w:szCs w:val="22"/>
        </w:rPr>
        <w:t>729,987,480</w:t>
      </w:r>
      <w:r>
        <w:rPr>
          <w:rFonts w:ascii="宋体" w:hAnsi="宋体" w:cs="宋体" w:eastAsia="宋体" w:hint="default"/>
          <w:spacing w:val="-61"/>
          <w:sz w:val="22"/>
          <w:szCs w:val="22"/>
        </w:rPr>
        <w:t> </w:t>
      </w:r>
      <w:r>
        <w:rPr>
          <w:rFonts w:ascii="宋体" w:hAnsi="宋体" w:cs="宋体" w:eastAsia="宋体" w:hint="default"/>
          <w:sz w:val="22"/>
          <w:szCs w:val="22"/>
        </w:rPr>
        <w:t>股。</w:t>
      </w:r>
    </w:p>
    <w:p>
      <w:pPr>
        <w:spacing w:before="180"/>
        <w:ind w:left="578" w:right="213" w:firstLine="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42"/>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2</w:t>
      </w:r>
      <w:r>
        <w:rPr>
          <w:rFonts w:ascii="宋体" w:hAnsi="宋体" w:cs="宋体" w:eastAsia="宋体" w:hint="default"/>
          <w:spacing w:val="-42"/>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宋体" w:hAnsi="宋体" w:cs="宋体" w:eastAsia="宋体" w:hint="default"/>
          <w:sz w:val="22"/>
          <w:szCs w:val="22"/>
        </w:rPr>
        <w:t>10</w:t>
      </w:r>
      <w:r>
        <w:rPr>
          <w:rFonts w:ascii="宋体" w:hAnsi="宋体" w:cs="宋体" w:eastAsia="宋体" w:hint="default"/>
          <w:spacing w:val="-42"/>
          <w:sz w:val="22"/>
          <w:szCs w:val="22"/>
        </w:rPr>
        <w:t> </w:t>
      </w:r>
      <w:r>
        <w:rPr>
          <w:rFonts w:ascii="宋体" w:hAnsi="宋体" w:cs="宋体" w:eastAsia="宋体" w:hint="default"/>
          <w:sz w:val="22"/>
          <w:szCs w:val="22"/>
        </w:rPr>
        <w:t>日，有限售条件的流通股</w:t>
      </w:r>
      <w:r>
        <w:rPr>
          <w:rFonts w:ascii="宋体" w:hAnsi="宋体" w:cs="宋体" w:eastAsia="宋体" w:hint="default"/>
          <w:spacing w:val="-43"/>
          <w:sz w:val="22"/>
          <w:szCs w:val="22"/>
        </w:rPr>
        <w:t> </w:t>
      </w:r>
      <w:r>
        <w:rPr>
          <w:rFonts w:ascii="宋体" w:hAnsi="宋体" w:cs="宋体" w:eastAsia="宋体" w:hint="default"/>
          <w:sz w:val="22"/>
          <w:szCs w:val="22"/>
        </w:rPr>
        <w:t>246,983,074</w:t>
      </w:r>
      <w:r>
        <w:rPr>
          <w:rFonts w:ascii="宋体" w:hAnsi="宋体" w:cs="宋体" w:eastAsia="宋体" w:hint="default"/>
          <w:spacing w:val="-44"/>
          <w:sz w:val="22"/>
          <w:szCs w:val="22"/>
        </w:rPr>
        <w:t> </w:t>
      </w:r>
      <w:r>
        <w:rPr>
          <w:rFonts w:ascii="宋体" w:hAnsi="宋体" w:cs="宋体" w:eastAsia="宋体" w:hint="default"/>
          <w:sz w:val="22"/>
          <w:szCs w:val="22"/>
        </w:rPr>
        <w:t>股上市流通。截至</w:t>
      </w:r>
      <w:r>
        <w:rPr>
          <w:rFonts w:ascii="宋体" w:hAnsi="宋体" w:cs="宋体" w:eastAsia="宋体" w:hint="default"/>
          <w:spacing w:val="-43"/>
          <w:sz w:val="22"/>
          <w:szCs w:val="22"/>
        </w:rPr>
        <w:t> </w:t>
      </w:r>
      <w:r>
        <w:rPr>
          <w:rFonts w:ascii="宋体" w:hAnsi="宋体" w:cs="宋体" w:eastAsia="宋体" w:hint="default"/>
          <w:sz w:val="22"/>
          <w:szCs w:val="22"/>
        </w:rPr>
        <w:t>2009</w:t>
      </w:r>
      <w:r>
        <w:rPr>
          <w:rFonts w:ascii="宋体" w:hAnsi="宋体" w:cs="宋体" w:eastAsia="宋体" w:hint="default"/>
          <w:spacing w:val="-42"/>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12</w:t>
      </w:r>
      <w:r>
        <w:rPr>
          <w:rFonts w:ascii="宋体" w:hAnsi="宋体" w:cs="宋体" w:eastAsia="宋体" w:hint="default"/>
          <w:spacing w:val="-42"/>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宋体" w:hAnsi="宋体" w:cs="宋体" w:eastAsia="宋体" w:hint="default"/>
          <w:sz w:val="22"/>
          <w:szCs w:val="22"/>
        </w:rPr>
        <w:t>31</w:t>
      </w:r>
    </w:p>
    <w:p>
      <w:pPr>
        <w:spacing w:before="102"/>
        <w:ind w:left="138" w:right="213" w:firstLine="0"/>
        <w:jc w:val="left"/>
        <w:rPr>
          <w:rFonts w:ascii="宋体" w:hAnsi="宋体" w:cs="宋体" w:eastAsia="宋体" w:hint="default"/>
          <w:sz w:val="22"/>
          <w:szCs w:val="22"/>
        </w:rPr>
      </w:pPr>
      <w:r>
        <w:rPr>
          <w:rFonts w:ascii="宋体" w:hAnsi="宋体" w:cs="宋体" w:eastAsia="宋体" w:hint="default"/>
          <w:sz w:val="22"/>
          <w:szCs w:val="22"/>
        </w:rPr>
        <w:t>日，公司总股本</w:t>
      </w:r>
      <w:r>
        <w:rPr>
          <w:rFonts w:ascii="宋体" w:hAnsi="宋体" w:cs="宋体" w:eastAsia="宋体" w:hint="default"/>
          <w:spacing w:val="-61"/>
          <w:sz w:val="22"/>
          <w:szCs w:val="22"/>
        </w:rPr>
        <w:t> </w:t>
      </w:r>
      <w:r>
        <w:rPr>
          <w:rFonts w:ascii="宋体" w:hAnsi="宋体" w:cs="宋体" w:eastAsia="宋体" w:hint="default"/>
          <w:sz w:val="22"/>
          <w:szCs w:val="22"/>
        </w:rPr>
        <w:t>976,970,554</w:t>
      </w:r>
      <w:r>
        <w:rPr>
          <w:rFonts w:ascii="宋体" w:hAnsi="宋体" w:cs="宋体" w:eastAsia="宋体" w:hint="default"/>
          <w:spacing w:val="-61"/>
          <w:sz w:val="22"/>
          <w:szCs w:val="22"/>
        </w:rPr>
        <w:t> </w:t>
      </w:r>
      <w:r>
        <w:rPr>
          <w:rFonts w:ascii="宋体" w:hAnsi="宋体" w:cs="宋体" w:eastAsia="宋体" w:hint="default"/>
          <w:sz w:val="22"/>
          <w:szCs w:val="22"/>
        </w:rPr>
        <w:t>股，全部为无限售条件的流通股。</w:t>
      </w:r>
    </w:p>
    <w:p>
      <w:pPr>
        <w:spacing w:before="180"/>
        <w:ind w:left="578" w:right="86" w:firstLine="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28</w:t>
      </w:r>
      <w:r>
        <w:rPr>
          <w:rFonts w:ascii="宋体" w:hAnsi="宋体" w:cs="宋体" w:eastAsia="宋体" w:hint="default"/>
          <w:spacing w:val="-55"/>
          <w:sz w:val="22"/>
          <w:szCs w:val="22"/>
        </w:rPr>
        <w:t> </w:t>
      </w:r>
      <w:r>
        <w:rPr>
          <w:rFonts w:ascii="宋体" w:hAnsi="宋体" w:cs="宋体" w:eastAsia="宋体" w:hint="default"/>
          <w:spacing w:val="-3"/>
          <w:sz w:val="22"/>
          <w:szCs w:val="22"/>
        </w:rPr>
        <w:t>日，公司向唐山晶源电子科技有限公司定向增发</w:t>
      </w:r>
      <w:r>
        <w:rPr>
          <w:rFonts w:ascii="宋体" w:hAnsi="宋体" w:cs="宋体" w:eastAsia="宋体" w:hint="default"/>
          <w:spacing w:val="-55"/>
          <w:sz w:val="22"/>
          <w:szCs w:val="22"/>
        </w:rPr>
        <w:t> </w:t>
      </w:r>
      <w:r>
        <w:rPr>
          <w:rFonts w:ascii="宋体" w:hAnsi="宋体" w:cs="宋体" w:eastAsia="宋体" w:hint="default"/>
          <w:sz w:val="22"/>
          <w:szCs w:val="22"/>
        </w:rPr>
        <w:t>16,880,000</w:t>
      </w:r>
      <w:r>
        <w:rPr>
          <w:rFonts w:ascii="宋体" w:hAnsi="宋体" w:cs="宋体" w:eastAsia="宋体" w:hint="default"/>
          <w:spacing w:val="-55"/>
          <w:sz w:val="22"/>
          <w:szCs w:val="22"/>
        </w:rPr>
        <w:t> </w:t>
      </w:r>
      <w:r>
        <w:rPr>
          <w:rFonts w:ascii="宋体" w:hAnsi="宋体" w:cs="宋体" w:eastAsia="宋体" w:hint="default"/>
          <w:spacing w:val="-7"/>
          <w:sz w:val="22"/>
          <w:szCs w:val="22"/>
        </w:rPr>
        <w:t>股，致使股份总</w:t>
      </w:r>
    </w:p>
    <w:p>
      <w:pPr>
        <w:spacing w:before="102"/>
        <w:ind w:left="138" w:right="213" w:firstLine="0"/>
        <w:jc w:val="left"/>
        <w:rPr>
          <w:rFonts w:ascii="宋体" w:hAnsi="宋体" w:cs="宋体" w:eastAsia="宋体" w:hint="default"/>
          <w:sz w:val="22"/>
          <w:szCs w:val="22"/>
        </w:rPr>
      </w:pPr>
      <w:r>
        <w:rPr>
          <w:rFonts w:ascii="宋体" w:hAnsi="宋体" w:cs="宋体" w:eastAsia="宋体" w:hint="default"/>
          <w:spacing w:val="6"/>
          <w:sz w:val="22"/>
          <w:szCs w:val="22"/>
        </w:rPr>
        <w:t>数增至 </w:t>
      </w:r>
      <w:r>
        <w:rPr>
          <w:rFonts w:ascii="宋体" w:hAnsi="宋体" w:cs="宋体" w:eastAsia="宋体" w:hint="default"/>
          <w:sz w:val="22"/>
          <w:szCs w:val="22"/>
        </w:rPr>
        <w:t>993,850,554 </w:t>
      </w:r>
      <w:r>
        <w:rPr>
          <w:rFonts w:ascii="宋体" w:hAnsi="宋体" w:cs="宋体" w:eastAsia="宋体" w:hint="default"/>
          <w:spacing w:val="8"/>
          <w:sz w:val="22"/>
          <w:szCs w:val="22"/>
        </w:rPr>
        <w:t>股，其中：有限售条件的流通股 </w:t>
      </w:r>
      <w:r>
        <w:rPr>
          <w:rFonts w:ascii="宋体" w:hAnsi="宋体" w:cs="宋体" w:eastAsia="宋体" w:hint="default"/>
          <w:sz w:val="22"/>
          <w:szCs w:val="22"/>
        </w:rPr>
        <w:t>16,880,000</w:t>
      </w:r>
      <w:r>
        <w:rPr>
          <w:rFonts w:ascii="宋体" w:hAnsi="宋体" w:cs="宋体" w:eastAsia="宋体" w:hint="default"/>
          <w:spacing w:val="18"/>
          <w:sz w:val="22"/>
          <w:szCs w:val="22"/>
        </w:rPr>
        <w:t> </w:t>
      </w:r>
      <w:r>
        <w:rPr>
          <w:rFonts w:ascii="宋体" w:hAnsi="宋体" w:cs="宋体" w:eastAsia="宋体" w:hint="default"/>
          <w:spacing w:val="9"/>
          <w:sz w:val="22"/>
          <w:szCs w:val="22"/>
        </w:rPr>
        <w:t>股，无限售条件的流通股</w:t>
      </w:r>
    </w:p>
    <w:p>
      <w:pPr>
        <w:spacing w:before="102"/>
        <w:ind w:left="138" w:right="213" w:firstLine="0"/>
        <w:jc w:val="left"/>
        <w:rPr>
          <w:rFonts w:ascii="宋体" w:hAnsi="宋体" w:cs="宋体" w:eastAsia="宋体" w:hint="default"/>
          <w:sz w:val="22"/>
          <w:szCs w:val="22"/>
        </w:rPr>
      </w:pPr>
      <w:r>
        <w:rPr>
          <w:rFonts w:ascii="宋体" w:hAnsi="宋体" w:cs="宋体" w:eastAsia="宋体" w:hint="default"/>
          <w:sz w:val="22"/>
          <w:szCs w:val="22"/>
        </w:rPr>
        <w:t>976,970,554</w:t>
      </w:r>
      <w:r>
        <w:rPr>
          <w:rFonts w:ascii="宋体" w:hAnsi="宋体" w:cs="宋体" w:eastAsia="宋体" w:hint="default"/>
          <w:spacing w:val="-61"/>
          <w:sz w:val="22"/>
          <w:szCs w:val="22"/>
        </w:rPr>
        <w:t> </w:t>
      </w:r>
      <w:r>
        <w:rPr>
          <w:rFonts w:ascii="宋体" w:hAnsi="宋体" w:cs="宋体" w:eastAsia="宋体" w:hint="default"/>
          <w:sz w:val="22"/>
          <w:szCs w:val="22"/>
        </w:rPr>
        <w:t>股。</w:t>
      </w:r>
    </w:p>
    <w:p>
      <w:pPr>
        <w:spacing w:line="324" w:lineRule="auto" w:before="180"/>
        <w:ind w:left="138" w:right="86" w:firstLine="440"/>
        <w:jc w:val="left"/>
        <w:rPr>
          <w:rFonts w:ascii="宋体" w:hAnsi="宋体" w:cs="宋体" w:eastAsia="宋体" w:hint="default"/>
          <w:sz w:val="22"/>
          <w:szCs w:val="22"/>
        </w:rPr>
      </w:pPr>
      <w:r>
        <w:rPr>
          <w:rFonts w:ascii="宋体" w:hAnsi="宋体" w:cs="宋体" w:eastAsia="宋体" w:hint="default"/>
          <w:sz w:val="22"/>
          <w:szCs w:val="22"/>
        </w:rPr>
        <w:t>公司主要经营范围包括：互联网信息服务业务（不含新闻、出版、医疗保健、药品和医疗器</w:t>
      </w:r>
      <w:r>
        <w:rPr>
          <w:rFonts w:ascii="宋体" w:hAnsi="宋体" w:cs="宋体" w:eastAsia="宋体" w:hint="default"/>
          <w:w w:val="99"/>
          <w:sz w:val="22"/>
          <w:szCs w:val="22"/>
        </w:rPr>
        <w:t> </w:t>
      </w:r>
      <w:r>
        <w:rPr>
          <w:rFonts w:ascii="宋体" w:hAnsi="宋体" w:cs="宋体" w:eastAsia="宋体" w:hint="default"/>
          <w:spacing w:val="-1"/>
          <w:w w:val="99"/>
          <w:sz w:val="22"/>
          <w:szCs w:val="22"/>
        </w:rPr>
        <w:t>械等内容）；对外派遣实施与出口自产成套设备相关的境外工程所需的劳务人员；商用密码产品</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z w:val="22"/>
          <w:szCs w:val="22"/>
        </w:rPr>
        <w:t>生产、销售；计算机及周边设备的生产、销售、技术服务和维修；社会公共安全设备、交通工程</w:t>
      </w:r>
      <w:r>
        <w:rPr>
          <w:rFonts w:ascii="宋体" w:hAnsi="宋体" w:cs="宋体" w:eastAsia="宋体" w:hint="default"/>
          <w:w w:val="99"/>
          <w:sz w:val="22"/>
          <w:szCs w:val="22"/>
        </w:rPr>
        <w:t> </w:t>
      </w:r>
      <w:r>
        <w:rPr>
          <w:rFonts w:ascii="宋体" w:hAnsi="宋体" w:cs="宋体" w:eastAsia="宋体" w:hint="default"/>
          <w:sz w:val="22"/>
          <w:szCs w:val="22"/>
        </w:rPr>
        <w:t>设备、建筑智能化及市政工程机电设备、电力工程机电设备、节能、大气与工业污染控制、废弃</w:t>
      </w:r>
      <w:r>
        <w:rPr>
          <w:rFonts w:ascii="宋体" w:hAnsi="宋体" w:cs="宋体" w:eastAsia="宋体" w:hint="default"/>
          <w:w w:val="99"/>
          <w:sz w:val="22"/>
          <w:szCs w:val="22"/>
        </w:rPr>
        <w:t> </w:t>
      </w:r>
      <w:r>
        <w:rPr>
          <w:rFonts w:ascii="宋体" w:hAnsi="宋体" w:cs="宋体" w:eastAsia="宋体" w:hint="default"/>
          <w:sz w:val="22"/>
          <w:szCs w:val="22"/>
        </w:rPr>
        <w:t>物处理与综合利用的工程和设备的设计、生产、销售、承接工程安装、技术开发与服务；工业废</w:t>
      </w:r>
      <w:r>
        <w:rPr>
          <w:rFonts w:ascii="宋体" w:hAnsi="宋体" w:cs="宋体" w:eastAsia="宋体" w:hint="default"/>
          <w:w w:val="99"/>
          <w:sz w:val="22"/>
          <w:szCs w:val="22"/>
        </w:rPr>
        <w:t> </w:t>
      </w:r>
      <w:r>
        <w:rPr>
          <w:rFonts w:ascii="宋体" w:hAnsi="宋体" w:cs="宋体" w:eastAsia="宋体" w:hint="default"/>
          <w:sz w:val="22"/>
          <w:szCs w:val="22"/>
        </w:rPr>
        <w:t>水、生活污水、生活垃圾的处理；除尘脱硫；人工环境控制设备、通信电子产品、微电子集成电</w:t>
      </w:r>
      <w:r>
        <w:rPr>
          <w:rFonts w:ascii="宋体" w:hAnsi="宋体" w:cs="宋体" w:eastAsia="宋体" w:hint="default"/>
          <w:w w:val="99"/>
          <w:sz w:val="22"/>
          <w:szCs w:val="22"/>
        </w:rPr>
        <w:t> </w:t>
      </w:r>
      <w:r>
        <w:rPr>
          <w:rFonts w:ascii="宋体" w:hAnsi="宋体" w:cs="宋体" w:eastAsia="宋体" w:hint="default"/>
          <w:sz w:val="22"/>
          <w:szCs w:val="22"/>
        </w:rPr>
        <w:t>路、办公设备的生产、销售及工程安装；仪器仪表、光机电一体化设备的开发、生产、销售；消</w:t>
      </w:r>
      <w:r>
        <w:rPr>
          <w:rFonts w:ascii="宋体" w:hAnsi="宋体" w:cs="宋体" w:eastAsia="宋体" w:hint="default"/>
          <w:w w:val="99"/>
          <w:sz w:val="22"/>
          <w:szCs w:val="22"/>
        </w:rPr>
        <w:t> </w:t>
      </w:r>
      <w:r>
        <w:rPr>
          <w:rFonts w:ascii="宋体" w:hAnsi="宋体" w:cs="宋体" w:eastAsia="宋体" w:hint="default"/>
          <w:sz w:val="22"/>
          <w:szCs w:val="22"/>
        </w:rPr>
        <w:t>防产品的销售；高科技项目的咨询、高新技术的转让与服务；物业管理；进出口业务；机电安装</w:t>
      </w:r>
      <w:r>
        <w:rPr>
          <w:rFonts w:ascii="宋体" w:hAnsi="宋体" w:cs="宋体" w:eastAsia="宋体" w:hint="default"/>
          <w:w w:val="99"/>
          <w:sz w:val="22"/>
          <w:szCs w:val="22"/>
        </w:rPr>
        <w:t> </w:t>
      </w:r>
      <w:r>
        <w:rPr>
          <w:rFonts w:ascii="宋体" w:hAnsi="宋体" w:cs="宋体" w:eastAsia="宋体" w:hint="default"/>
          <w:spacing w:val="-4"/>
          <w:sz w:val="22"/>
          <w:szCs w:val="22"/>
        </w:rPr>
        <w:t>工程施工总承包；建筑智能化、城市及道路照明、环保、电子工程转业承包；室内空气净化工程；</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计算机系统集成；建筑智能化系统集成（不含消防子系统）专项工程设计；环境工程（废水）专</w:t>
      </w:r>
      <w:r>
        <w:rPr>
          <w:rFonts w:ascii="宋体" w:hAnsi="宋体" w:cs="宋体" w:eastAsia="宋体" w:hint="default"/>
          <w:w w:val="99"/>
          <w:sz w:val="22"/>
          <w:szCs w:val="22"/>
        </w:rPr>
        <w:t> </w:t>
      </w:r>
      <w:r>
        <w:rPr>
          <w:rFonts w:ascii="宋体" w:hAnsi="宋体" w:cs="宋体" w:eastAsia="宋体" w:hint="default"/>
          <w:spacing w:val="-4"/>
          <w:sz w:val="22"/>
          <w:szCs w:val="22"/>
        </w:rPr>
        <w:t>项工程设计、咨询；工业废水、生活污水环境保护设施运营；水景喷泉设计、制造、安装、调试；</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1"/>
          <w:w w:val="99"/>
          <w:sz w:val="22"/>
          <w:szCs w:val="22"/>
        </w:rPr>
        <w:t>安防工程（设计、施工）；有线电视共用天线设计安装；广告发布与代理；水务方面的投资、建</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设、运营；生产销售压电石英晶体器件。</w:t>
      </w:r>
    </w:p>
    <w:p>
      <w:pPr>
        <w:pStyle w:val="Heading3"/>
        <w:tabs>
          <w:tab w:pos="1398" w:val="left" w:leader="none"/>
        </w:tabs>
        <w:spacing w:line="240" w:lineRule="auto" w:before="87"/>
        <w:ind w:left="591" w:right="213"/>
        <w:jc w:val="left"/>
        <w:rPr>
          <w:b w:val="0"/>
          <w:bCs w:val="0"/>
        </w:rPr>
      </w:pPr>
      <w:bookmarkStart w:name="二、 财务报表的编制基础 " w:id="5"/>
      <w:bookmarkEnd w:id="5"/>
      <w:r>
        <w:rPr>
          <w:b w:val="0"/>
          <w:bCs w:val="0"/>
        </w:rPr>
      </w:r>
      <w:r>
        <w:rPr>
          <w:w w:val="95"/>
        </w:rPr>
        <w:t>二、</w:t>
        <w:tab/>
      </w:r>
      <w:r>
        <w:rPr/>
        <w:t>财务报表的编制基础</w:t>
      </w:r>
      <w:r>
        <w:rPr>
          <w:b w:val="0"/>
          <w:bCs w:val="0"/>
        </w:rPr>
      </w:r>
    </w:p>
    <w:p>
      <w:pPr>
        <w:spacing w:line="324" w:lineRule="auto" w:before="170"/>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本财务报表以本公司持续经营为基础，根据实际发生的交易和事项，按照财政部颁布的《企</w:t>
      </w:r>
      <w:r>
        <w:rPr>
          <w:rFonts w:ascii="宋体" w:hAnsi="宋体" w:cs="宋体" w:eastAsia="宋体" w:hint="default"/>
          <w:w w:val="99"/>
          <w:sz w:val="22"/>
          <w:szCs w:val="22"/>
        </w:rPr>
        <w:t> </w:t>
      </w:r>
      <w:r>
        <w:rPr>
          <w:rFonts w:ascii="宋体" w:hAnsi="宋体" w:cs="宋体" w:eastAsia="宋体" w:hint="default"/>
          <w:spacing w:val="-1"/>
          <w:sz w:val="22"/>
          <w:szCs w:val="22"/>
        </w:rPr>
        <w:t>业会计准则》及相关规定，并基于本附注四所述“重要会计政策、会计估计和合并财务报表的编</w:t>
      </w:r>
      <w:r>
        <w:rPr>
          <w:rFonts w:ascii="宋体" w:hAnsi="宋体" w:cs="宋体" w:eastAsia="宋体" w:hint="default"/>
          <w:w w:val="99"/>
          <w:sz w:val="22"/>
          <w:szCs w:val="22"/>
        </w:rPr>
        <w:t> </w:t>
      </w:r>
      <w:r>
        <w:rPr>
          <w:rFonts w:ascii="宋体" w:hAnsi="宋体" w:cs="宋体" w:eastAsia="宋体" w:hint="default"/>
          <w:sz w:val="22"/>
          <w:szCs w:val="22"/>
        </w:rPr>
        <w:t>制方法”编制。</w:t>
      </w:r>
    </w:p>
    <w:p>
      <w:pPr>
        <w:pStyle w:val="Heading3"/>
        <w:tabs>
          <w:tab w:pos="1398" w:val="left" w:leader="none"/>
        </w:tabs>
        <w:spacing w:line="240" w:lineRule="auto" w:before="87"/>
        <w:ind w:left="620" w:right="213"/>
        <w:jc w:val="left"/>
        <w:rPr>
          <w:b w:val="0"/>
          <w:bCs w:val="0"/>
        </w:rPr>
      </w:pPr>
      <w:bookmarkStart w:name="三、 遵循企业会计准则的声明 " w:id="6"/>
      <w:bookmarkEnd w:id="6"/>
      <w:r>
        <w:rPr>
          <w:b w:val="0"/>
          <w:bCs w:val="0"/>
        </w:rPr>
      </w:r>
      <w:r>
        <w:rPr>
          <w:w w:val="95"/>
        </w:rPr>
        <w:t>三、</w:t>
        <w:tab/>
      </w:r>
      <w:r>
        <w:rPr/>
        <w:t>遵循企业会计准则的声明</w:t>
      </w:r>
      <w:r>
        <w:rPr>
          <w:b w:val="0"/>
          <w:bCs w:val="0"/>
        </w:rPr>
      </w:r>
    </w:p>
    <w:p>
      <w:pPr>
        <w:spacing w:line="324" w:lineRule="auto" w:before="170"/>
        <w:ind w:left="138" w:right="220" w:firstLine="440"/>
        <w:jc w:val="both"/>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53"/>
          <w:sz w:val="22"/>
          <w:szCs w:val="22"/>
        </w:rPr>
        <w:t> </w:t>
      </w: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pacing w:val="-4"/>
          <w:sz w:val="22"/>
          <w:szCs w:val="22"/>
        </w:rPr>
        <w:t>年度财务报表符合企业会计准则的要求，真实、完整地反映了本公司</w:t>
      </w:r>
      <w:r>
        <w:rPr>
          <w:rFonts w:ascii="宋体" w:hAnsi="宋体" w:cs="宋体" w:eastAsia="宋体" w:hint="default"/>
          <w:spacing w:val="-53"/>
          <w:sz w:val="22"/>
          <w:szCs w:val="22"/>
        </w:rPr>
        <w:t> </w:t>
      </w:r>
      <w:r>
        <w:rPr>
          <w:rFonts w:ascii="宋体" w:hAnsi="宋体" w:cs="宋体" w:eastAsia="宋体" w:hint="default"/>
          <w:sz w:val="22"/>
          <w:szCs w:val="22"/>
        </w:rPr>
        <w:t>2010</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12</w:t>
      </w:r>
      <w:r>
        <w:rPr>
          <w:rFonts w:ascii="宋体" w:hAnsi="宋体" w:cs="宋体" w:eastAsia="宋体" w:hint="default"/>
          <w:w w:val="99"/>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日合并财务状况和财务状况、2010</w:t>
      </w:r>
      <w:r>
        <w:rPr>
          <w:rFonts w:ascii="宋体" w:hAnsi="宋体" w:cs="宋体" w:eastAsia="宋体" w:hint="default"/>
          <w:spacing w:val="-55"/>
          <w:sz w:val="22"/>
          <w:szCs w:val="22"/>
        </w:rPr>
        <w:t> </w:t>
      </w:r>
      <w:r>
        <w:rPr>
          <w:rFonts w:ascii="宋体" w:hAnsi="宋体" w:cs="宋体" w:eastAsia="宋体" w:hint="default"/>
          <w:sz w:val="22"/>
          <w:szCs w:val="22"/>
        </w:rPr>
        <w:t>年度的合并经营成果和经营成果以及合并现金流量和现</w:t>
      </w:r>
      <w:r>
        <w:rPr>
          <w:rFonts w:ascii="宋体" w:hAnsi="宋体" w:cs="宋体" w:eastAsia="宋体" w:hint="default"/>
          <w:w w:val="99"/>
          <w:sz w:val="22"/>
          <w:szCs w:val="22"/>
        </w:rPr>
        <w:t> </w:t>
      </w:r>
      <w:r>
        <w:rPr>
          <w:rFonts w:ascii="宋体" w:hAnsi="宋体" w:cs="宋体" w:eastAsia="宋体" w:hint="default"/>
          <w:sz w:val="22"/>
          <w:szCs w:val="22"/>
        </w:rPr>
        <w:t>金流量等有关信息。</w:t>
      </w:r>
    </w:p>
    <w:p>
      <w:pPr>
        <w:spacing w:after="0" w:line="324"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tabs>
          <w:tab w:pos="1398" w:val="left" w:leader="none"/>
        </w:tabs>
        <w:spacing w:line="240" w:lineRule="auto" w:before="26"/>
        <w:ind w:left="620" w:right="213"/>
        <w:jc w:val="left"/>
        <w:rPr>
          <w:b w:val="0"/>
          <w:bCs w:val="0"/>
        </w:rPr>
      </w:pPr>
      <w:bookmarkStart w:name="四、 重要会计政策、会计估计和合并财务报表的编制方法 " w:id="7"/>
      <w:bookmarkEnd w:id="7"/>
      <w:r>
        <w:rPr>
          <w:b w:val="0"/>
          <w:bCs w:val="0"/>
        </w:rPr>
      </w:r>
      <w:r>
        <w:rPr>
          <w:w w:val="95"/>
        </w:rPr>
        <w:t>四、</w:t>
        <w:tab/>
      </w:r>
      <w:r>
        <w:rPr/>
        <w:t>重要会计政策、会计估计和合并财务报表的编制方法</w:t>
      </w:r>
      <w:r>
        <w:rPr>
          <w:b w:val="0"/>
          <w:bCs w:val="0"/>
        </w:rPr>
      </w:r>
    </w:p>
    <w:p>
      <w:pPr>
        <w:spacing w:before="169"/>
        <w:ind w:left="591" w:right="21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会计期间</w:t>
      </w:r>
    </w:p>
    <w:p>
      <w:pPr>
        <w:spacing w:before="163"/>
        <w:ind w:left="578" w:right="213"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379" w:lineRule="auto" w:before="180"/>
        <w:ind w:left="578" w:right="588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本公司以人民币为记账本位币。</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记账基础和计量属性</w:t>
      </w:r>
    </w:p>
    <w:p>
      <w:pPr>
        <w:spacing w:line="324" w:lineRule="auto" w:before="22"/>
        <w:ind w:left="137" w:right="185" w:firstLine="440"/>
        <w:jc w:val="both"/>
        <w:rPr>
          <w:rFonts w:ascii="宋体" w:hAnsi="宋体" w:cs="宋体" w:eastAsia="宋体" w:hint="default"/>
          <w:sz w:val="22"/>
          <w:szCs w:val="22"/>
        </w:rPr>
      </w:pPr>
      <w:r>
        <w:rPr>
          <w:rFonts w:ascii="宋体" w:hAnsi="宋体" w:cs="宋体" w:eastAsia="宋体" w:hint="default"/>
          <w:w w:val="95"/>
          <w:sz w:val="22"/>
          <w:szCs w:val="22"/>
        </w:rPr>
        <w:t>本公司会计核算以权责发生制为记账基础，除交易性金融资产、可供出售金融资产、符合条</w:t>
      </w:r>
      <w:r>
        <w:rPr>
          <w:rFonts w:ascii="宋体" w:hAnsi="宋体" w:cs="宋体" w:eastAsia="宋体" w:hint="default"/>
          <w:w w:val="99"/>
          <w:sz w:val="22"/>
          <w:szCs w:val="22"/>
        </w:rPr>
        <w:t> </w:t>
      </w:r>
      <w:r>
        <w:rPr>
          <w:rFonts w:ascii="宋体" w:hAnsi="宋体" w:cs="宋体" w:eastAsia="宋体" w:hint="default"/>
          <w:sz w:val="22"/>
          <w:szCs w:val="22"/>
        </w:rPr>
        <w:t>件的投资性房地产、非同一控制下的企业合并、具有商业目的的非货币性资产交换、债务重组、</w:t>
      </w:r>
      <w:r>
        <w:rPr>
          <w:rFonts w:ascii="宋体" w:hAnsi="宋体" w:cs="宋体" w:eastAsia="宋体" w:hint="default"/>
          <w:w w:val="99"/>
          <w:sz w:val="22"/>
          <w:szCs w:val="22"/>
        </w:rPr>
        <w:t> </w:t>
      </w:r>
      <w:r>
        <w:rPr>
          <w:rFonts w:ascii="宋体" w:hAnsi="宋体" w:cs="宋体" w:eastAsia="宋体" w:hint="default"/>
          <w:w w:val="95"/>
          <w:sz w:val="22"/>
          <w:szCs w:val="22"/>
        </w:rPr>
        <w:t>投资者投入的非货币资产、交易性金融负债、衍生工具等以公允价值计量外，均以历史成本为计</w:t>
      </w:r>
      <w:r>
        <w:rPr>
          <w:rFonts w:ascii="宋体" w:hAnsi="宋体" w:cs="宋体" w:eastAsia="宋体" w:hint="default"/>
          <w:spacing w:val="103"/>
          <w:w w:val="95"/>
          <w:sz w:val="22"/>
          <w:szCs w:val="22"/>
        </w:rPr>
        <w:t> </w:t>
      </w:r>
      <w:r>
        <w:rPr>
          <w:rFonts w:ascii="宋体" w:hAnsi="宋体" w:cs="宋体" w:eastAsia="宋体" w:hint="default"/>
          <w:spacing w:val="103"/>
          <w:w w:val="95"/>
          <w:sz w:val="22"/>
          <w:szCs w:val="22"/>
        </w:rPr>
      </w:r>
      <w:r>
        <w:rPr>
          <w:rFonts w:ascii="宋体" w:hAnsi="宋体" w:cs="宋体" w:eastAsia="宋体" w:hint="default"/>
          <w:sz w:val="22"/>
          <w:szCs w:val="22"/>
        </w:rPr>
        <w:t>价原则。</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1"/>
          <w:sz w:val="22"/>
          <w:szCs w:val="22"/>
        </w:rPr>
        <w:t>本公司现金流量表之现金指库存现金以及可以随时用于支付的存款。现金等价物指持有期限</w:t>
      </w:r>
    </w:p>
    <w:p>
      <w:pPr>
        <w:spacing w:line="271" w:lineRule="exact" w:before="0"/>
        <w:ind w:left="137" w:right="86" w:firstLine="0"/>
        <w:jc w:val="left"/>
        <w:rPr>
          <w:rFonts w:ascii="宋体" w:hAnsi="宋体" w:cs="宋体" w:eastAsia="宋体" w:hint="default"/>
          <w:sz w:val="22"/>
          <w:szCs w:val="22"/>
        </w:rPr>
      </w:pPr>
      <w:r>
        <w:rPr>
          <w:rFonts w:ascii="宋体" w:hAnsi="宋体" w:cs="宋体" w:eastAsia="宋体" w:hint="default"/>
          <w:spacing w:val="2"/>
          <w:w w:val="99"/>
          <w:sz w:val="22"/>
          <w:szCs w:val="22"/>
        </w:rPr>
        <w:t>短</w:t>
      </w:r>
      <w:r>
        <w:rPr>
          <w:rFonts w:ascii="宋体" w:hAnsi="宋体" w:cs="宋体" w:eastAsia="宋体" w:hint="default"/>
          <w:spacing w:val="1"/>
          <w:w w:val="99"/>
          <w:sz w:val="22"/>
          <w:szCs w:val="22"/>
        </w:rPr>
        <w:t>（</w:t>
      </w:r>
      <w:r>
        <w:rPr>
          <w:rFonts w:ascii="宋体" w:hAnsi="宋体" w:cs="宋体" w:eastAsia="宋体" w:hint="default"/>
          <w:spacing w:val="2"/>
          <w:w w:val="99"/>
          <w:sz w:val="22"/>
          <w:szCs w:val="22"/>
        </w:rPr>
        <w:t>一般是指</w:t>
      </w:r>
      <w:r>
        <w:rPr>
          <w:rFonts w:ascii="宋体" w:hAnsi="宋体" w:cs="宋体" w:eastAsia="宋体" w:hint="default"/>
          <w:spacing w:val="1"/>
          <w:w w:val="99"/>
          <w:sz w:val="22"/>
          <w:szCs w:val="22"/>
        </w:rPr>
        <w:t>从</w:t>
      </w:r>
      <w:r>
        <w:rPr>
          <w:rFonts w:ascii="宋体" w:hAnsi="宋体" w:cs="宋体" w:eastAsia="宋体" w:hint="default"/>
          <w:spacing w:val="2"/>
          <w:w w:val="99"/>
          <w:sz w:val="22"/>
          <w:szCs w:val="22"/>
        </w:rPr>
        <w:t>购买日起</w:t>
      </w:r>
      <w:r>
        <w:rPr>
          <w:rFonts w:ascii="宋体" w:hAnsi="宋体" w:cs="宋体" w:eastAsia="宋体" w:hint="default"/>
          <w:spacing w:val="1"/>
          <w:w w:val="99"/>
          <w:sz w:val="22"/>
          <w:szCs w:val="22"/>
        </w:rPr>
        <w:t>三</w:t>
      </w:r>
      <w:r>
        <w:rPr>
          <w:rFonts w:ascii="宋体" w:hAnsi="宋体" w:cs="宋体" w:eastAsia="宋体" w:hint="default"/>
          <w:spacing w:val="2"/>
          <w:w w:val="99"/>
          <w:sz w:val="22"/>
          <w:szCs w:val="22"/>
        </w:rPr>
        <w:t>个月内到</w:t>
      </w:r>
      <w:r>
        <w:rPr>
          <w:rFonts w:ascii="宋体" w:hAnsi="宋体" w:cs="宋体" w:eastAsia="宋体" w:hint="default"/>
          <w:spacing w:val="1"/>
          <w:w w:val="99"/>
          <w:sz w:val="22"/>
          <w:szCs w:val="22"/>
        </w:rPr>
        <w:t>期</w:t>
      </w:r>
      <w:r>
        <w:rPr>
          <w:rFonts w:ascii="宋体" w:hAnsi="宋体" w:cs="宋体" w:eastAsia="宋体" w:hint="default"/>
          <w:spacing w:val="-109"/>
          <w:w w:val="99"/>
          <w:sz w:val="22"/>
          <w:szCs w:val="22"/>
        </w:rPr>
        <w:t>）</w:t>
      </w:r>
      <w:r>
        <w:rPr>
          <w:rFonts w:ascii="宋体" w:hAnsi="宋体" w:cs="宋体" w:eastAsia="宋体" w:hint="default"/>
          <w:spacing w:val="2"/>
          <w:w w:val="99"/>
          <w:sz w:val="22"/>
          <w:szCs w:val="22"/>
        </w:rPr>
        <w:t>、流动性</w:t>
      </w:r>
      <w:r>
        <w:rPr>
          <w:rFonts w:ascii="宋体" w:hAnsi="宋体" w:cs="宋体" w:eastAsia="宋体" w:hint="default"/>
          <w:spacing w:val="1"/>
          <w:w w:val="99"/>
          <w:sz w:val="22"/>
          <w:szCs w:val="22"/>
        </w:rPr>
        <w:t>强</w:t>
      </w:r>
      <w:r>
        <w:rPr>
          <w:rFonts w:ascii="宋体" w:hAnsi="宋体" w:cs="宋体" w:eastAsia="宋体" w:hint="default"/>
          <w:spacing w:val="2"/>
          <w:w w:val="99"/>
          <w:sz w:val="22"/>
          <w:szCs w:val="22"/>
        </w:rPr>
        <w:t>、易于转</w:t>
      </w:r>
      <w:r>
        <w:rPr>
          <w:rFonts w:ascii="宋体" w:hAnsi="宋体" w:cs="宋体" w:eastAsia="宋体" w:hint="default"/>
          <w:spacing w:val="1"/>
          <w:w w:val="99"/>
          <w:sz w:val="22"/>
          <w:szCs w:val="22"/>
        </w:rPr>
        <w:t>换</w:t>
      </w:r>
      <w:r>
        <w:rPr>
          <w:rFonts w:ascii="宋体" w:hAnsi="宋体" w:cs="宋体" w:eastAsia="宋体" w:hint="default"/>
          <w:spacing w:val="2"/>
          <w:w w:val="99"/>
          <w:sz w:val="22"/>
          <w:szCs w:val="22"/>
        </w:rPr>
        <w:t>为已知金</w:t>
      </w:r>
      <w:r>
        <w:rPr>
          <w:rFonts w:ascii="宋体" w:hAnsi="宋体" w:cs="宋体" w:eastAsia="宋体" w:hint="default"/>
          <w:spacing w:val="1"/>
          <w:w w:val="99"/>
          <w:sz w:val="22"/>
          <w:szCs w:val="22"/>
        </w:rPr>
        <w:t>额</w:t>
      </w:r>
      <w:r>
        <w:rPr>
          <w:rFonts w:ascii="宋体" w:hAnsi="宋体" w:cs="宋体" w:eastAsia="宋体" w:hint="default"/>
          <w:spacing w:val="2"/>
          <w:w w:val="99"/>
          <w:sz w:val="22"/>
          <w:szCs w:val="22"/>
        </w:rPr>
        <w:t>现金、价</w:t>
      </w:r>
      <w:r>
        <w:rPr>
          <w:rFonts w:ascii="宋体" w:hAnsi="宋体" w:cs="宋体" w:eastAsia="宋体" w:hint="default"/>
          <w:spacing w:val="1"/>
          <w:w w:val="99"/>
          <w:sz w:val="22"/>
          <w:szCs w:val="22"/>
        </w:rPr>
        <w:t>值</w:t>
      </w:r>
      <w:r>
        <w:rPr>
          <w:rFonts w:ascii="宋体" w:hAnsi="宋体" w:cs="宋体" w:eastAsia="宋体" w:hint="default"/>
          <w:spacing w:val="2"/>
          <w:w w:val="99"/>
          <w:sz w:val="22"/>
          <w:szCs w:val="22"/>
        </w:rPr>
        <w:t>变动风险</w:t>
      </w:r>
      <w:r>
        <w:rPr>
          <w:rFonts w:ascii="宋体" w:hAnsi="宋体" w:cs="宋体" w:eastAsia="宋体" w:hint="default"/>
          <w:sz w:val="22"/>
          <w:szCs w:val="22"/>
        </w:rPr>
      </w:r>
    </w:p>
    <w:p>
      <w:pPr>
        <w:spacing w:before="102"/>
        <w:ind w:left="137" w:right="213" w:firstLine="0"/>
        <w:jc w:val="left"/>
        <w:rPr>
          <w:rFonts w:ascii="宋体" w:hAnsi="宋体" w:cs="宋体" w:eastAsia="宋体" w:hint="default"/>
          <w:sz w:val="22"/>
          <w:szCs w:val="22"/>
        </w:rPr>
      </w:pPr>
      <w:r>
        <w:rPr>
          <w:rFonts w:ascii="宋体" w:hAnsi="宋体" w:cs="宋体" w:eastAsia="宋体" w:hint="default"/>
          <w:sz w:val="22"/>
          <w:szCs w:val="22"/>
        </w:rPr>
        <w:t>很小的投资。</w:t>
      </w:r>
    </w:p>
    <w:p>
      <w:pPr>
        <w:spacing w:line="369" w:lineRule="auto" w:before="180"/>
        <w:ind w:left="591" w:right="762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外币折算</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外币交易</w:t>
      </w:r>
    </w:p>
    <w:p>
      <w:pPr>
        <w:spacing w:line="324" w:lineRule="auto" w:before="61"/>
        <w:ind w:left="137" w:right="185" w:firstLine="440"/>
        <w:jc w:val="both"/>
        <w:rPr>
          <w:rFonts w:ascii="宋体" w:hAnsi="宋体" w:cs="宋体" w:eastAsia="宋体" w:hint="default"/>
          <w:sz w:val="22"/>
          <w:szCs w:val="22"/>
        </w:rPr>
      </w:pPr>
      <w:r>
        <w:rPr>
          <w:rFonts w:ascii="宋体" w:hAnsi="宋体" w:cs="宋体" w:eastAsia="宋体" w:hint="default"/>
          <w:sz w:val="22"/>
          <w:szCs w:val="22"/>
        </w:rPr>
        <w:t>本公司外币交易按交易发生日的即期汇率将外币金额折算为人民币金额。于资产负债表日，</w:t>
      </w:r>
      <w:r>
        <w:rPr>
          <w:rFonts w:ascii="宋体" w:hAnsi="宋体" w:cs="宋体" w:eastAsia="宋体" w:hint="default"/>
          <w:w w:val="99"/>
          <w:sz w:val="22"/>
          <w:szCs w:val="22"/>
        </w:rPr>
        <w:t> </w:t>
      </w:r>
      <w:r>
        <w:rPr>
          <w:rFonts w:ascii="宋体" w:hAnsi="宋体" w:cs="宋体" w:eastAsia="宋体" w:hint="default"/>
          <w:w w:val="95"/>
          <w:sz w:val="22"/>
          <w:szCs w:val="22"/>
        </w:rPr>
        <w:t>外币货币性项目采用资产负债表日的即期汇率折算为人民币，所产生的折算差额除了为购建或生</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产符合资本化条件的资产而借入的外币专门借款产生的汇兑差额按资本化的原则处理外，直接计</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入当期损益。以公允价值计量的外币非货币性项目，采用公允价值确定日的即期汇率折算，折算</w:t>
      </w:r>
      <w:r>
        <w:rPr>
          <w:rFonts w:ascii="宋体" w:hAnsi="宋体" w:cs="宋体" w:eastAsia="宋体" w:hint="default"/>
          <w:spacing w:val="103"/>
          <w:w w:val="95"/>
          <w:sz w:val="22"/>
          <w:szCs w:val="22"/>
        </w:rPr>
        <w:t> </w:t>
      </w:r>
      <w:r>
        <w:rPr>
          <w:rFonts w:ascii="宋体" w:hAnsi="宋体" w:cs="宋体" w:eastAsia="宋体" w:hint="default"/>
          <w:spacing w:val="103"/>
          <w:w w:val="95"/>
          <w:sz w:val="22"/>
          <w:szCs w:val="22"/>
        </w:rPr>
      </w:r>
      <w:r>
        <w:rPr>
          <w:rFonts w:ascii="宋体" w:hAnsi="宋体" w:cs="宋体" w:eastAsia="宋体" w:hint="default"/>
          <w:w w:val="95"/>
          <w:sz w:val="22"/>
          <w:szCs w:val="22"/>
        </w:rPr>
        <w:t>后的记账本位币与原记账本位币金额的差额，属于可供出售金融资产的外币非货币性项目，其差</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w w:val="95"/>
          <w:sz w:val="22"/>
          <w:szCs w:val="22"/>
        </w:rPr>
        <w:t>额计入资本公积；属于以公允价值计量且其变动计入当期损益的外币非货币性项目，其差额计入</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当期损益。以历史成本计量的外币非货币性项目，仍采用交易发生日的即期汇率折算，不改变其</w:t>
      </w:r>
      <w:r>
        <w:rPr>
          <w:rFonts w:ascii="宋体" w:hAnsi="宋体" w:cs="宋体" w:eastAsia="宋体" w:hint="default"/>
          <w:spacing w:val="103"/>
          <w:w w:val="95"/>
          <w:sz w:val="22"/>
          <w:szCs w:val="22"/>
        </w:rPr>
        <w:t> </w:t>
      </w:r>
      <w:r>
        <w:rPr>
          <w:rFonts w:ascii="宋体" w:hAnsi="宋体" w:cs="宋体" w:eastAsia="宋体" w:hint="default"/>
          <w:spacing w:val="103"/>
          <w:w w:val="95"/>
          <w:sz w:val="22"/>
          <w:szCs w:val="22"/>
        </w:rPr>
      </w:r>
      <w:r>
        <w:rPr>
          <w:rFonts w:ascii="宋体" w:hAnsi="宋体" w:cs="宋体" w:eastAsia="宋体" w:hint="default"/>
          <w:sz w:val="22"/>
          <w:szCs w:val="22"/>
        </w:rPr>
        <w:t>人民币金额。</w:t>
      </w:r>
    </w:p>
    <w:p>
      <w:pPr>
        <w:spacing w:line="391" w:lineRule="auto" w:before="103"/>
        <w:ind w:left="578" w:right="20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外币财务报表的折算</w:t>
      </w:r>
      <w:r>
        <w:rPr>
          <w:rFonts w:ascii="宋体" w:hAnsi="宋体" w:cs="宋体" w:eastAsia="宋体" w:hint="default"/>
          <w:w w:val="99"/>
          <w:sz w:val="22"/>
          <w:szCs w:val="22"/>
        </w:rPr>
        <w:t> </w:t>
      </w:r>
      <w:r>
        <w:rPr>
          <w:rFonts w:ascii="宋体" w:hAnsi="宋体" w:cs="宋体" w:eastAsia="宋体" w:hint="default"/>
          <w:spacing w:val="-1"/>
          <w:sz w:val="22"/>
          <w:szCs w:val="22"/>
        </w:rPr>
        <w:t>境外经营的资产负债表中的资产和负债项目，采用资产负债表日的即期汇率折算，股东权益</w:t>
      </w:r>
    </w:p>
    <w:p>
      <w:pPr>
        <w:spacing w:line="251" w:lineRule="exact" w:before="0"/>
        <w:ind w:left="137" w:right="86" w:firstLine="0"/>
        <w:jc w:val="left"/>
        <w:rPr>
          <w:rFonts w:ascii="宋体" w:hAnsi="宋体" w:cs="宋体" w:eastAsia="宋体" w:hint="default"/>
          <w:sz w:val="22"/>
          <w:szCs w:val="22"/>
        </w:rPr>
      </w:pPr>
      <w:r>
        <w:rPr>
          <w:rFonts w:ascii="宋体" w:hAnsi="宋体" w:cs="宋体" w:eastAsia="宋体" w:hint="default"/>
          <w:sz w:val="22"/>
          <w:szCs w:val="22"/>
        </w:rPr>
        <w:t>项目除未分配利润项目外，其他项目采用发生时的即期汇率折算。境外经营的利润表中的收入与</w:t>
      </w:r>
    </w:p>
    <w:p>
      <w:pPr>
        <w:spacing w:line="324" w:lineRule="auto" w:before="102"/>
        <w:ind w:left="137" w:right="86" w:firstLine="0"/>
        <w:jc w:val="left"/>
        <w:rPr>
          <w:rFonts w:ascii="宋体" w:hAnsi="宋体" w:cs="宋体" w:eastAsia="宋体" w:hint="default"/>
          <w:sz w:val="22"/>
          <w:szCs w:val="22"/>
        </w:rPr>
      </w:pPr>
      <w:r>
        <w:rPr>
          <w:rFonts w:ascii="宋体" w:hAnsi="宋体" w:cs="宋体" w:eastAsia="宋体" w:hint="default"/>
          <w:sz w:val="22"/>
          <w:szCs w:val="22"/>
        </w:rPr>
        <w:t>费用项目，采用交易发生日的即期汇率折算。上述折算产生的外币报表折算差额，在股东权益项</w:t>
      </w:r>
      <w:r>
        <w:rPr>
          <w:rFonts w:ascii="宋体" w:hAnsi="宋体" w:cs="宋体" w:eastAsia="宋体" w:hint="default"/>
          <w:w w:val="99"/>
          <w:sz w:val="22"/>
          <w:szCs w:val="22"/>
        </w:rPr>
        <w:t> </w:t>
      </w:r>
      <w:r>
        <w:rPr>
          <w:rFonts w:ascii="宋体" w:hAnsi="宋体" w:cs="宋体" w:eastAsia="宋体" w:hint="default"/>
          <w:spacing w:val="-4"/>
          <w:sz w:val="22"/>
          <w:szCs w:val="22"/>
        </w:rPr>
        <w:t>目下单独列示。实质上构成对境外经营净投资的外币货币性项目，因汇率变动而产生的汇兑差额，</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4"/>
          <w:sz w:val="22"/>
          <w:szCs w:val="22"/>
        </w:rPr>
        <w:t>在编制合并财务报表时，也作为外币报表折算差额在股东权益项目下单独列示。处置境外经营时，</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与该境外经营有关的外币报表折算差额，按比例转入处置当期损益。</w:t>
      </w:r>
    </w:p>
    <w:p>
      <w:pPr>
        <w:spacing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外币现金流量以及境外子公司的现金流量采用现金流量发生日的即期汇率折算。汇率变动对</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0" w:firstLine="0"/>
        <w:jc w:val="left"/>
        <w:rPr>
          <w:rFonts w:ascii="宋体" w:hAnsi="宋体" w:cs="宋体" w:eastAsia="宋体" w:hint="default"/>
          <w:sz w:val="22"/>
          <w:szCs w:val="22"/>
        </w:rPr>
      </w:pPr>
      <w:r>
        <w:rPr>
          <w:rFonts w:ascii="宋体" w:hAnsi="宋体" w:cs="宋体" w:eastAsia="宋体" w:hint="default"/>
          <w:sz w:val="22"/>
          <w:szCs w:val="22"/>
        </w:rPr>
        <w:t>现金的影响额，在现金流量表中单独列示。</w:t>
      </w:r>
    </w:p>
    <w:p>
      <w:pPr>
        <w:spacing w:before="179"/>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金融资产</w:t>
      </w:r>
    </w:p>
    <w:p>
      <w:pPr>
        <w:spacing w:line="324" w:lineRule="auto" w:before="163"/>
        <w:ind w:left="138" w:right="143" w:firstLine="453"/>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4"/>
          <w:sz w:val="22"/>
          <w:szCs w:val="22"/>
        </w:rPr>
        <w:t> </w:t>
      </w:r>
      <w:r>
        <w:rPr>
          <w:rFonts w:ascii="宋体" w:hAnsi="宋体" w:cs="宋体" w:eastAsia="宋体" w:hint="default"/>
          <w:sz w:val="22"/>
          <w:szCs w:val="22"/>
        </w:rPr>
        <w:t>金融资产的分类：本公司按投资目的和经济实质对拥有的金融资产分为以公允价值计量</w:t>
      </w:r>
      <w:r>
        <w:rPr>
          <w:rFonts w:ascii="宋体" w:hAnsi="宋体" w:cs="宋体" w:eastAsia="宋体" w:hint="default"/>
          <w:w w:val="99"/>
          <w:sz w:val="22"/>
          <w:szCs w:val="22"/>
        </w:rPr>
        <w:t> </w:t>
      </w:r>
      <w:r>
        <w:rPr>
          <w:rFonts w:ascii="宋体" w:hAnsi="宋体" w:cs="宋体" w:eastAsia="宋体" w:hint="default"/>
          <w:sz w:val="22"/>
          <w:szCs w:val="22"/>
        </w:rPr>
        <w:t>且其变动计入当期损益的金融资产、持有至到期投资、应收款项和可供出售金融资产四大类。</w:t>
      </w:r>
    </w:p>
    <w:p>
      <w:pPr>
        <w:spacing w:line="324" w:lineRule="auto" w:before="103"/>
        <w:ind w:left="138" w:right="126" w:firstLine="567"/>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0"/>
          <w:sz w:val="22"/>
          <w:szCs w:val="22"/>
        </w:rPr>
        <w:t> </w:t>
      </w:r>
      <w:r>
        <w:rPr>
          <w:rFonts w:ascii="宋体" w:hAnsi="宋体" w:cs="宋体" w:eastAsia="宋体" w:hint="default"/>
          <w:sz w:val="22"/>
          <w:szCs w:val="22"/>
        </w:rPr>
        <w:t>以公允价值计量且其变动计入当期损益的金融资产：主要是指持有的主要目的为短期内</w:t>
      </w:r>
      <w:r>
        <w:rPr>
          <w:rFonts w:ascii="宋体" w:hAnsi="宋体" w:cs="宋体" w:eastAsia="宋体" w:hint="default"/>
          <w:w w:val="99"/>
          <w:sz w:val="22"/>
          <w:szCs w:val="22"/>
        </w:rPr>
        <w:t> </w:t>
      </w:r>
      <w:r>
        <w:rPr>
          <w:rFonts w:ascii="宋体" w:hAnsi="宋体" w:cs="宋体" w:eastAsia="宋体" w:hint="default"/>
          <w:sz w:val="22"/>
          <w:szCs w:val="22"/>
        </w:rPr>
        <w:t>出售的金融资产，在资产负债表中以交易性金融资产等列示；</w:t>
      </w:r>
    </w:p>
    <w:p>
      <w:pPr>
        <w:spacing w:line="324" w:lineRule="auto" w:before="103"/>
        <w:ind w:left="138" w:right="124" w:firstLine="567"/>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8"/>
          <w:sz w:val="22"/>
          <w:szCs w:val="22"/>
        </w:rPr>
        <w:t> </w:t>
      </w:r>
      <w:r>
        <w:rPr>
          <w:rFonts w:ascii="宋体" w:hAnsi="宋体" w:cs="宋体" w:eastAsia="宋体" w:hint="default"/>
          <w:sz w:val="22"/>
          <w:szCs w:val="22"/>
        </w:rPr>
        <w:t>持有至到期投资：是指到期日固定、回收金额固定或可确定，且管理层有明确意图和能</w:t>
      </w:r>
      <w:r>
        <w:rPr>
          <w:rFonts w:ascii="宋体" w:hAnsi="宋体" w:cs="宋体" w:eastAsia="宋体" w:hint="default"/>
          <w:w w:val="99"/>
          <w:sz w:val="22"/>
          <w:szCs w:val="22"/>
        </w:rPr>
        <w:t> </w:t>
      </w:r>
      <w:r>
        <w:rPr>
          <w:rFonts w:ascii="宋体" w:hAnsi="宋体" w:cs="宋体" w:eastAsia="宋体" w:hint="default"/>
          <w:sz w:val="22"/>
          <w:szCs w:val="22"/>
        </w:rPr>
        <w:t>力持有至到期的非衍生金融资产；</w:t>
      </w:r>
    </w:p>
    <w:p>
      <w:pPr>
        <w:spacing w:line="324" w:lineRule="auto" w:before="103"/>
        <w:ind w:left="138" w:right="123" w:firstLine="567"/>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7"/>
          <w:sz w:val="22"/>
          <w:szCs w:val="22"/>
        </w:rPr>
        <w:t> </w:t>
      </w:r>
      <w:r>
        <w:rPr>
          <w:rFonts w:ascii="宋体" w:hAnsi="宋体" w:cs="宋体" w:eastAsia="宋体" w:hint="default"/>
          <w:sz w:val="22"/>
          <w:szCs w:val="22"/>
        </w:rPr>
        <w:t>应收款项：是指在活跃市场中没有报价，回收金额固定或可确定的非衍生金融资产，包</w:t>
      </w:r>
      <w:r>
        <w:rPr>
          <w:rFonts w:ascii="宋体" w:hAnsi="宋体" w:cs="宋体" w:eastAsia="宋体" w:hint="default"/>
          <w:w w:val="99"/>
          <w:sz w:val="22"/>
          <w:szCs w:val="22"/>
        </w:rPr>
        <w:t> </w:t>
      </w:r>
      <w:r>
        <w:rPr>
          <w:rFonts w:ascii="宋体" w:hAnsi="宋体" w:cs="宋体" w:eastAsia="宋体" w:hint="default"/>
          <w:sz w:val="22"/>
          <w:szCs w:val="22"/>
        </w:rPr>
        <w:t>括应收票据、应收账款、应收利息、应收股利及其他应收款等；</w:t>
      </w:r>
    </w:p>
    <w:p>
      <w:pPr>
        <w:spacing w:line="324" w:lineRule="auto" w:before="103"/>
        <w:ind w:left="138" w:right="123" w:firstLine="567"/>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7"/>
          <w:sz w:val="22"/>
          <w:szCs w:val="22"/>
        </w:rPr>
        <w:t> </w:t>
      </w:r>
      <w:r>
        <w:rPr>
          <w:rFonts w:ascii="宋体" w:hAnsi="宋体" w:cs="宋体" w:eastAsia="宋体" w:hint="default"/>
          <w:sz w:val="22"/>
          <w:szCs w:val="22"/>
        </w:rPr>
        <w:t>可供出售金融资产：包括初始确认时即被指定为可供出售的非衍生金融资产及未被划分</w:t>
      </w:r>
      <w:r>
        <w:rPr>
          <w:rFonts w:ascii="宋体" w:hAnsi="宋体" w:cs="宋体" w:eastAsia="宋体" w:hint="default"/>
          <w:w w:val="99"/>
          <w:sz w:val="22"/>
          <w:szCs w:val="22"/>
        </w:rPr>
        <w:t> </w:t>
      </w:r>
      <w:r>
        <w:rPr>
          <w:rFonts w:ascii="宋体" w:hAnsi="宋体" w:cs="宋体" w:eastAsia="宋体" w:hint="default"/>
          <w:sz w:val="22"/>
          <w:szCs w:val="22"/>
        </w:rPr>
        <w:t>为其他类的金融资产。</w:t>
      </w:r>
    </w:p>
    <w:p>
      <w:pPr>
        <w:spacing w:line="391" w:lineRule="auto" w:before="103"/>
        <w:ind w:left="578" w:right="12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金融资产、负债的确认和计量：</w:t>
      </w:r>
      <w:r>
        <w:rPr>
          <w:rFonts w:ascii="宋体" w:hAnsi="宋体" w:cs="宋体" w:eastAsia="宋体" w:hint="default"/>
          <w:w w:val="99"/>
          <w:sz w:val="22"/>
          <w:szCs w:val="22"/>
        </w:rPr>
        <w:t> </w:t>
      </w:r>
      <w:r>
        <w:rPr>
          <w:rFonts w:ascii="宋体" w:hAnsi="宋体" w:cs="宋体" w:eastAsia="宋体" w:hint="default"/>
          <w:sz w:val="22"/>
          <w:szCs w:val="22"/>
        </w:rPr>
        <w:t>本公司成为金融工具合同的一方时，确认一项金融资产或负债。</w:t>
      </w:r>
      <w:r>
        <w:rPr>
          <w:rFonts w:ascii="宋体" w:hAnsi="宋体" w:cs="宋体" w:eastAsia="宋体" w:hint="default"/>
          <w:w w:val="99"/>
          <w:sz w:val="22"/>
          <w:szCs w:val="22"/>
        </w:rPr>
        <w:t> </w:t>
      </w:r>
      <w:r>
        <w:rPr>
          <w:rFonts w:ascii="宋体" w:hAnsi="宋体" w:cs="宋体" w:eastAsia="宋体" w:hint="default"/>
          <w:spacing w:val="-1"/>
          <w:sz w:val="22"/>
          <w:szCs w:val="22"/>
        </w:rPr>
        <w:t>金融资产以公允价值进行初始计量。以公允价值计量且其变动计入当期损益的金融资产，取</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得时发生的相关交易费用直接计入当期损益，其他金融资产的相关交易费用计入初始确认金额。</w:t>
      </w:r>
    </w:p>
    <w:p>
      <w:pPr>
        <w:spacing w:line="324" w:lineRule="auto" w:before="102"/>
        <w:ind w:left="138" w:right="0" w:firstLine="0"/>
        <w:jc w:val="left"/>
        <w:rPr>
          <w:rFonts w:ascii="宋体" w:hAnsi="宋体" w:cs="宋体" w:eastAsia="宋体" w:hint="default"/>
          <w:sz w:val="22"/>
          <w:szCs w:val="22"/>
        </w:rPr>
      </w:pPr>
      <w:r>
        <w:rPr>
          <w:rFonts w:ascii="宋体" w:hAnsi="宋体" w:cs="宋体" w:eastAsia="宋体" w:hint="default"/>
          <w:spacing w:val="4"/>
          <w:sz w:val="22"/>
          <w:szCs w:val="22"/>
        </w:rPr>
        <w:t>当某项金融资产收取现金流量的合同权利已终止或与该金融资产所有权上几乎所有的风险和报</w:t>
      </w:r>
      <w:r>
        <w:rPr>
          <w:rFonts w:ascii="宋体" w:hAnsi="宋体" w:cs="宋体" w:eastAsia="宋体" w:hint="default"/>
          <w:spacing w:val="6"/>
          <w:w w:val="99"/>
          <w:sz w:val="22"/>
          <w:szCs w:val="22"/>
        </w:rPr>
        <w:t> </w:t>
      </w:r>
      <w:r>
        <w:rPr>
          <w:rFonts w:ascii="宋体" w:hAnsi="宋体" w:cs="宋体" w:eastAsia="宋体" w:hint="default"/>
          <w:sz w:val="22"/>
          <w:szCs w:val="22"/>
        </w:rPr>
        <w:t>酬已转移至转入方的，终止确认该金融资产。</w:t>
      </w:r>
    </w:p>
    <w:p>
      <w:pPr>
        <w:spacing w:line="324" w:lineRule="auto" w:before="103"/>
        <w:ind w:left="138" w:right="138" w:firstLine="440"/>
        <w:jc w:val="both"/>
        <w:rPr>
          <w:rFonts w:ascii="宋体" w:hAnsi="宋体" w:cs="宋体" w:eastAsia="宋体" w:hint="default"/>
          <w:sz w:val="22"/>
          <w:szCs w:val="22"/>
        </w:rPr>
      </w:pPr>
      <w:r>
        <w:rPr>
          <w:rFonts w:ascii="宋体" w:hAnsi="宋体" w:cs="宋体" w:eastAsia="宋体" w:hint="default"/>
          <w:spacing w:val="5"/>
          <w:w w:val="95"/>
          <w:sz w:val="22"/>
          <w:szCs w:val="22"/>
        </w:rPr>
        <w:t>以公允价值计量且其变动计入当期损益的金融资产和可供出售金融资产按照公允价值进行</w:t>
      </w:r>
      <w:r>
        <w:rPr>
          <w:rFonts w:ascii="宋体" w:hAnsi="宋体" w:cs="宋体" w:eastAsia="宋体" w:hint="default"/>
          <w:spacing w:val="5"/>
          <w:w w:val="99"/>
          <w:sz w:val="22"/>
          <w:szCs w:val="22"/>
        </w:rPr>
        <w:t> </w:t>
      </w:r>
      <w:r>
        <w:rPr>
          <w:rFonts w:ascii="宋体" w:hAnsi="宋体" w:cs="宋体" w:eastAsia="宋体" w:hint="default"/>
          <w:sz w:val="22"/>
          <w:szCs w:val="22"/>
        </w:rPr>
        <w:t>后续计量；应收款项以及持有至到期投资采用实际利率法，以摊余成本列示。</w:t>
      </w:r>
    </w:p>
    <w:p>
      <w:pPr>
        <w:spacing w:line="324" w:lineRule="auto" w:before="103"/>
        <w:ind w:left="138" w:right="105" w:firstLine="440"/>
        <w:jc w:val="both"/>
        <w:rPr>
          <w:rFonts w:ascii="宋体" w:hAnsi="宋体" w:cs="宋体" w:eastAsia="宋体" w:hint="default"/>
          <w:sz w:val="22"/>
          <w:szCs w:val="22"/>
        </w:rPr>
      </w:pPr>
      <w:r>
        <w:rPr>
          <w:rFonts w:ascii="宋体" w:hAnsi="宋体" w:cs="宋体" w:eastAsia="宋体" w:hint="default"/>
          <w:sz w:val="22"/>
          <w:szCs w:val="22"/>
        </w:rPr>
        <w:t>以公允价值计量且其变动计入当期损益的金融资产的公允价值变动计入公允价值变动损益；</w:t>
      </w:r>
      <w:r>
        <w:rPr>
          <w:rFonts w:ascii="宋体" w:hAnsi="宋体" w:cs="宋体" w:eastAsia="宋体" w:hint="default"/>
          <w:w w:val="99"/>
          <w:sz w:val="22"/>
          <w:szCs w:val="22"/>
        </w:rPr>
        <w:t> </w:t>
      </w:r>
      <w:r>
        <w:rPr>
          <w:rFonts w:ascii="宋体" w:hAnsi="宋体" w:cs="宋体" w:eastAsia="宋体" w:hint="default"/>
          <w:w w:val="95"/>
          <w:sz w:val="22"/>
          <w:szCs w:val="22"/>
        </w:rPr>
        <w:t>在资产持有期间所取得的利息或现金股利，确认为投资收益；处置时，其公允价值与初始入账金</w:t>
      </w:r>
      <w:r>
        <w:rPr>
          <w:rFonts w:ascii="宋体" w:hAnsi="宋体" w:cs="宋体" w:eastAsia="宋体" w:hint="default"/>
          <w:spacing w:val="103"/>
          <w:w w:val="95"/>
          <w:sz w:val="22"/>
          <w:szCs w:val="22"/>
        </w:rPr>
        <w:t> </w:t>
      </w:r>
      <w:r>
        <w:rPr>
          <w:rFonts w:ascii="宋体" w:hAnsi="宋体" w:cs="宋体" w:eastAsia="宋体" w:hint="default"/>
          <w:spacing w:val="103"/>
          <w:w w:val="95"/>
          <w:sz w:val="22"/>
          <w:szCs w:val="22"/>
        </w:rPr>
      </w:r>
      <w:r>
        <w:rPr>
          <w:rFonts w:ascii="宋体" w:hAnsi="宋体" w:cs="宋体" w:eastAsia="宋体" w:hint="default"/>
          <w:sz w:val="22"/>
          <w:szCs w:val="22"/>
        </w:rPr>
        <w:t>额之间的差额确认为投资损益，同时调整公允价值变动损益。</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可供出售金融资产的公允价值变动计入股东权益；持有期间按实际利率法计算的利息，计入</w:t>
      </w:r>
      <w:r>
        <w:rPr>
          <w:rFonts w:ascii="宋体" w:hAnsi="宋体" w:cs="宋体" w:eastAsia="宋体" w:hint="default"/>
          <w:w w:val="99"/>
          <w:sz w:val="22"/>
          <w:szCs w:val="22"/>
        </w:rPr>
        <w:t> </w:t>
      </w:r>
      <w:r>
        <w:rPr>
          <w:rFonts w:ascii="宋体" w:hAnsi="宋体" w:cs="宋体" w:eastAsia="宋体" w:hint="default"/>
          <w:spacing w:val="-1"/>
          <w:sz w:val="22"/>
          <w:szCs w:val="22"/>
        </w:rPr>
        <w:t>投资收益；可供出售权益工具投资的现金股利，于被投资单位宣告发放股利时计入投资收益；处</w:t>
      </w:r>
      <w:r>
        <w:rPr>
          <w:rFonts w:ascii="宋体" w:hAnsi="宋体" w:cs="宋体" w:eastAsia="宋体" w:hint="default"/>
          <w:w w:val="99"/>
          <w:sz w:val="22"/>
          <w:szCs w:val="22"/>
        </w:rPr>
        <w:t> </w:t>
      </w:r>
      <w:r>
        <w:rPr>
          <w:rFonts w:ascii="宋体" w:hAnsi="宋体" w:cs="宋体" w:eastAsia="宋体" w:hint="default"/>
          <w:spacing w:val="-1"/>
          <w:sz w:val="22"/>
          <w:szCs w:val="22"/>
        </w:rPr>
        <w:t>置时，取得的价款与账面价值扣除原直接计入股东权益的公允价值变动累计额之后的差额，计入</w:t>
      </w:r>
      <w:r>
        <w:rPr>
          <w:rFonts w:ascii="宋体" w:hAnsi="宋体" w:cs="宋体" w:eastAsia="宋体" w:hint="default"/>
          <w:w w:val="99"/>
          <w:sz w:val="22"/>
          <w:szCs w:val="22"/>
        </w:rPr>
        <w:t> </w:t>
      </w:r>
      <w:r>
        <w:rPr>
          <w:rFonts w:ascii="宋体" w:hAnsi="宋体" w:cs="宋体" w:eastAsia="宋体" w:hint="default"/>
          <w:sz w:val="22"/>
          <w:szCs w:val="22"/>
        </w:rPr>
        <w:t>投资损益。</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本公司的金融负债在初始确认时划分为以下两类：以公允价值计量且其变动计入当期损益的</w:t>
      </w:r>
      <w:r>
        <w:rPr>
          <w:rFonts w:ascii="宋体" w:hAnsi="宋体" w:cs="宋体" w:eastAsia="宋体" w:hint="default"/>
          <w:w w:val="99"/>
          <w:sz w:val="22"/>
          <w:szCs w:val="22"/>
        </w:rPr>
        <w:t> </w:t>
      </w:r>
      <w:r>
        <w:rPr>
          <w:rFonts w:ascii="宋体" w:hAnsi="宋体" w:cs="宋体" w:eastAsia="宋体" w:hint="default"/>
          <w:sz w:val="22"/>
          <w:szCs w:val="22"/>
        </w:rPr>
        <w:t>金融负债和其他金融负债。初始确认的金融资产或金融负债，按照公允价值计量。</w:t>
      </w:r>
    </w:p>
    <w:p>
      <w:pPr>
        <w:spacing w:line="391" w:lineRule="auto" w:before="103"/>
        <w:ind w:left="578" w:right="126"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0"/>
          <w:sz w:val="22"/>
          <w:szCs w:val="22"/>
        </w:rPr>
        <w:t> </w:t>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1"/>
          <w:sz w:val="22"/>
          <w:szCs w:val="22"/>
        </w:rPr>
        <w:t>除以公允价值计量且其变动计入当期损益的金融资产外，本公司于资产负债表日对其他金融</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资产的账面价值进行检查，如果有客观证据表明某项金融资产发生减值的，计提减值准备。如果</w:t>
      </w:r>
    </w:p>
    <w:p>
      <w:pPr>
        <w:spacing w:after="0" w:line="251" w:lineRule="exact"/>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43" w:firstLine="0"/>
        <w:jc w:val="both"/>
        <w:rPr>
          <w:rFonts w:ascii="宋体" w:hAnsi="宋体" w:cs="宋体" w:eastAsia="宋体" w:hint="default"/>
          <w:sz w:val="22"/>
          <w:szCs w:val="22"/>
        </w:rPr>
      </w:pPr>
      <w:r>
        <w:rPr>
          <w:rFonts w:ascii="宋体" w:hAnsi="宋体" w:cs="宋体" w:eastAsia="宋体" w:hint="default"/>
          <w:spacing w:val="-1"/>
          <w:sz w:val="22"/>
          <w:szCs w:val="22"/>
        </w:rPr>
        <w:t>可供出售金融资产的公允价值发生较大幅度或非暂时性下降，原直接计入股东权益的因公允价值</w:t>
      </w:r>
      <w:r>
        <w:rPr>
          <w:rFonts w:ascii="宋体" w:hAnsi="宋体" w:cs="宋体" w:eastAsia="宋体" w:hint="default"/>
          <w:w w:val="99"/>
          <w:sz w:val="22"/>
          <w:szCs w:val="22"/>
        </w:rPr>
        <w:t> </w:t>
      </w:r>
      <w:r>
        <w:rPr>
          <w:rFonts w:ascii="宋体" w:hAnsi="宋体" w:cs="宋体" w:eastAsia="宋体" w:hint="default"/>
          <w:spacing w:val="-1"/>
          <w:sz w:val="22"/>
          <w:szCs w:val="22"/>
        </w:rPr>
        <w:t>下降形成的累计损失计入减值损失。对已确认减值损失的可供出售债务工具投资，在期后公允价</w:t>
      </w:r>
      <w:r>
        <w:rPr>
          <w:rFonts w:ascii="宋体" w:hAnsi="宋体" w:cs="宋体" w:eastAsia="宋体" w:hint="default"/>
          <w:w w:val="99"/>
          <w:sz w:val="22"/>
          <w:szCs w:val="22"/>
        </w:rPr>
        <w:t> </w:t>
      </w:r>
      <w:r>
        <w:rPr>
          <w:rFonts w:ascii="宋体" w:hAnsi="宋体" w:cs="宋体" w:eastAsia="宋体" w:hint="default"/>
          <w:spacing w:val="-1"/>
          <w:sz w:val="22"/>
          <w:szCs w:val="22"/>
        </w:rPr>
        <w:t>值上升且客观上与确认原减值损失确认后发生的事项有关的，原确认的减值损失予以转回，计入</w:t>
      </w:r>
      <w:r>
        <w:rPr>
          <w:rFonts w:ascii="宋体" w:hAnsi="宋体" w:cs="宋体" w:eastAsia="宋体" w:hint="default"/>
          <w:w w:val="99"/>
          <w:sz w:val="22"/>
          <w:szCs w:val="22"/>
        </w:rPr>
        <w:t> </w:t>
      </w:r>
      <w:r>
        <w:rPr>
          <w:rFonts w:ascii="宋体" w:hAnsi="宋体" w:cs="宋体" w:eastAsia="宋体" w:hint="default"/>
          <w:spacing w:val="-1"/>
          <w:sz w:val="22"/>
          <w:szCs w:val="22"/>
        </w:rPr>
        <w:t>当期损益。对已确认减值损失的可供出售权益工具投资，在期后公允价值上升且客观上与确认原</w:t>
      </w:r>
      <w:r>
        <w:rPr>
          <w:rFonts w:ascii="宋体" w:hAnsi="宋体" w:cs="宋体" w:eastAsia="宋体" w:hint="default"/>
          <w:w w:val="99"/>
          <w:sz w:val="22"/>
          <w:szCs w:val="22"/>
        </w:rPr>
        <w:t> </w:t>
      </w:r>
      <w:r>
        <w:rPr>
          <w:rFonts w:ascii="宋体" w:hAnsi="宋体" w:cs="宋体" w:eastAsia="宋体" w:hint="default"/>
          <w:spacing w:val="-1"/>
          <w:sz w:val="22"/>
          <w:szCs w:val="22"/>
        </w:rPr>
        <w:t>减值损失确认后发生的事项有关的，原确认的减值损失予以转回，计入股东权益。在活跃市场中</w:t>
      </w:r>
      <w:r>
        <w:rPr>
          <w:rFonts w:ascii="宋体" w:hAnsi="宋体" w:cs="宋体" w:eastAsia="宋体" w:hint="default"/>
          <w:w w:val="99"/>
          <w:sz w:val="22"/>
          <w:szCs w:val="22"/>
        </w:rPr>
        <w:t> </w:t>
      </w:r>
      <w:r>
        <w:rPr>
          <w:rFonts w:ascii="宋体" w:hAnsi="宋体" w:cs="宋体" w:eastAsia="宋体" w:hint="default"/>
          <w:sz w:val="22"/>
          <w:szCs w:val="22"/>
        </w:rPr>
        <w:t>没有报价且其公允价值不能可靠计量的权益工具投资发生的减值损失，不予转回。</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应收款项坏账准备核算方法</w:t>
      </w:r>
      <w:r>
        <w:rPr>
          <w:rFonts w:ascii="宋体" w:hAnsi="宋体" w:cs="宋体" w:eastAsia="宋体" w:hint="default"/>
          <w:w w:val="99"/>
          <w:sz w:val="22"/>
          <w:szCs w:val="22"/>
        </w:rPr>
        <w:t> </w:t>
      </w:r>
      <w:r>
        <w:rPr>
          <w:rFonts w:ascii="宋体" w:hAnsi="宋体" w:cs="宋体" w:eastAsia="宋体" w:hint="default"/>
          <w:spacing w:val="-1"/>
          <w:sz w:val="22"/>
          <w:szCs w:val="22"/>
        </w:rPr>
        <w:t>本公司在资产负债表日对应收款项账面价值进行检查，对存在债务单位撤销、破产、资不抵</w:t>
      </w:r>
    </w:p>
    <w:p>
      <w:pPr>
        <w:spacing w:line="27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债、现金流量严重不足、发生严重自然灾害等导致停产而在可预见的时间内无法偿付债务等；其</w:t>
      </w:r>
    </w:p>
    <w:p>
      <w:pPr>
        <w:spacing w:line="391" w:lineRule="auto" w:before="102"/>
        <w:ind w:left="578" w:right="86" w:hanging="441"/>
        <w:jc w:val="left"/>
        <w:rPr>
          <w:rFonts w:ascii="宋体" w:hAnsi="宋体" w:cs="宋体" w:eastAsia="宋体" w:hint="default"/>
          <w:sz w:val="22"/>
          <w:szCs w:val="22"/>
        </w:rPr>
      </w:pPr>
      <w:r>
        <w:rPr>
          <w:rFonts w:ascii="宋体" w:hAnsi="宋体" w:cs="宋体" w:eastAsia="宋体" w:hint="default"/>
          <w:sz w:val="22"/>
          <w:szCs w:val="22"/>
        </w:rPr>
        <w:t>他确凿证据表明确实无法收回或收回的可能性不大的应收款项，计提坏账准备。</w:t>
      </w:r>
      <w:r>
        <w:rPr>
          <w:rFonts w:ascii="宋体" w:hAnsi="宋体" w:cs="宋体" w:eastAsia="宋体" w:hint="default"/>
          <w:w w:val="99"/>
          <w:sz w:val="22"/>
          <w:szCs w:val="22"/>
        </w:rPr>
        <w:t> </w:t>
      </w:r>
      <w:r>
        <w:rPr>
          <w:rFonts w:ascii="宋体" w:hAnsi="宋体" w:cs="宋体" w:eastAsia="宋体" w:hint="default"/>
          <w:sz w:val="22"/>
          <w:szCs w:val="22"/>
        </w:rPr>
        <w:t>对可能发生的坏账损失采用备抵法核算，期末单独或按组合进行减值测试，计提坏账准备，</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计入当期损益。对于有确凿证据表明确实无法收回的应收款项，经本公司按规定程序批准后列作</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坏账损失，冲销提取的坏账准备。</w:t>
      </w:r>
    </w:p>
    <w:p>
      <w:pPr>
        <w:spacing w:before="18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单项金额重大并单项计提坏账准备的应收款项</w:t>
      </w:r>
    </w:p>
    <w:p>
      <w:pPr>
        <w:pStyle w:val="BodyText"/>
        <w:tabs>
          <w:tab w:pos="5027" w:val="left" w:leader="none"/>
        </w:tabs>
        <w:spacing w:line="337" w:lineRule="exact" w:before="105"/>
        <w:ind w:left="523" w:right="0"/>
        <w:jc w:val="left"/>
      </w:pPr>
      <w:r>
        <w:rPr/>
        <w:pict>
          <v:group style="position:absolute;margin-left:84.779999pt;margin-top:8.915936pt;width:432pt;height:.1pt;mso-position-horizontal-relative:page;mso-position-vertical-relative:paragraph;z-index:-1049296" coordorigin="1696,178" coordsize="8640,2">
            <v:shape style="position:absolute;left:1696;top:178;width:8640;height:2" coordorigin="1696,178" coordsize="8640,0" path="m1696,178l10336,178e" filled="false" stroked="true" strokeweight="1.5pt" strokecolor="#000000">
              <v:path arrowok="t"/>
            </v:shape>
            <w10:wrap type="none"/>
          </v:group>
        </w:pict>
      </w:r>
      <w:r>
        <w:rPr>
          <w:position w:val="-11"/>
        </w:rPr>
        <w:t>单项金额重大的判断依据或金额标准</w:t>
        <w:tab/>
      </w:r>
      <w:r>
        <w:rPr/>
        <w:t>将单项金额超过</w:t>
      </w:r>
      <w:r>
        <w:rPr>
          <w:spacing w:val="-77"/>
        </w:rPr>
        <w:t> </w:t>
      </w:r>
      <w:r>
        <w:rPr/>
        <w:t>1000</w:t>
      </w:r>
      <w:r>
        <w:rPr>
          <w:spacing w:val="-77"/>
        </w:rPr>
        <w:t> </w:t>
      </w:r>
      <w:r>
        <w:rPr/>
        <w:t>万元的应收款项</w:t>
      </w:r>
    </w:p>
    <w:p>
      <w:pPr>
        <w:pStyle w:val="BodyText"/>
        <w:spacing w:line="217" w:lineRule="exact"/>
        <w:ind w:left="5027" w:right="0"/>
        <w:jc w:val="left"/>
      </w:pPr>
      <w:r>
        <w:rPr/>
        <w:t>视为重大应收款项</w:t>
      </w:r>
    </w:p>
    <w:p>
      <w:pPr>
        <w:spacing w:after="0" w:line="217" w:lineRule="exact"/>
        <w:jc w:val="left"/>
        <w:sectPr>
          <w:pgSz w:w="11910" w:h="16840"/>
          <w:pgMar w:header="610" w:footer="784" w:top="1080" w:bottom="980" w:left="1280" w:right="1140"/>
        </w:sectPr>
      </w:pPr>
    </w:p>
    <w:p>
      <w:pPr>
        <w:pStyle w:val="BodyText"/>
        <w:spacing w:line="182" w:lineRule="auto" w:before="3"/>
        <w:ind w:left="523" w:right="-4"/>
        <w:jc w:val="left"/>
      </w:pPr>
      <w:r>
        <w:rPr/>
        <w:pict>
          <v:group style="position:absolute;margin-left:84.779999pt;margin-top:.962174pt;width:432pt;height:.1pt;mso-position-horizontal-relative:page;mso-position-vertical-relative:paragraph;z-index:-1049272" coordorigin="1696,19" coordsize="8640,2">
            <v:shape style="position:absolute;left:1696;top:19;width:8640;height:2" coordorigin="1696,19" coordsize="8640,0" path="m1696,19l10336,19e" filled="false" stroked="true" strokeweight=".48pt" strokecolor="#000000">
              <v:path arrowok="t"/>
            </v:shape>
            <w10:wrap type="none"/>
          </v:group>
        </w:pict>
      </w:r>
      <w:r>
        <w:rPr/>
        <w:pict>
          <v:group style="position:absolute;margin-left:83.309998pt;margin-top:25.262175pt;width:434.6pt;height:1.5pt;mso-position-horizontal-relative:page;mso-position-vertical-relative:paragraph;z-index:1792" coordorigin="1666,505" coordsize="8692,30">
            <v:group style="position:absolute;left:1681;top:520;width:4518;height:2" coordorigin="1681,520" coordsize="4518,2">
              <v:shape style="position:absolute;left:1681;top:520;width:4518;height:2" coordorigin="1681,520" coordsize="4518,0" path="m1681,520l6199,520e" filled="false" stroked="true" strokeweight="1.5pt" strokecolor="#000000">
                <v:path arrowok="t"/>
              </v:shape>
            </v:group>
            <v:group style="position:absolute;left:6185;top:520;width:4158;height:2" coordorigin="6185,520" coordsize="4158,2">
              <v:shape style="position:absolute;left:6185;top:520;width:4158;height:2" coordorigin="6185,520" coordsize="4158,0" path="m6185,520l10343,520e" filled="false" stroked="true" strokeweight="1.5pt" strokecolor="#000000">
                <v:path arrowok="t"/>
              </v:shape>
            </v:group>
            <w10:wrap type="none"/>
          </v:group>
        </w:pict>
      </w:r>
      <w:r>
        <w:rPr>
          <w:spacing w:val="12"/>
        </w:rPr>
        <w:t>单项金额重大并单项计提坏账准备的计 </w:t>
      </w:r>
      <w:r>
        <w:rPr/>
        <w:t>提方法</w:t>
      </w:r>
    </w:p>
    <w:p>
      <w:pPr>
        <w:spacing w:before="148"/>
        <w:ind w:left="591" w:right="-4"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按组合计提坏账准备应收款项</w:t>
      </w:r>
    </w:p>
    <w:p>
      <w:pPr>
        <w:pStyle w:val="BodyText"/>
        <w:spacing w:line="182" w:lineRule="auto" w:before="3"/>
        <w:ind w:left="164" w:right="517"/>
        <w:jc w:val="left"/>
      </w:pPr>
      <w:r>
        <w:rPr>
          <w:spacing w:val="5"/>
        </w:rPr>
        <w:br w:type="column"/>
      </w:r>
      <w:r>
        <w:rPr>
          <w:spacing w:val="5"/>
        </w:rPr>
        <w:t>根据其未来现金流量现值低于其账面 </w:t>
      </w:r>
      <w:r>
        <w:rPr/>
        <w:t>价值的差额，计提坏账准备</w:t>
      </w:r>
    </w:p>
    <w:p>
      <w:pPr>
        <w:spacing w:after="0" w:line="182" w:lineRule="auto"/>
        <w:jc w:val="left"/>
        <w:sectPr>
          <w:type w:val="continuous"/>
          <w:pgSz w:w="11910" w:h="16840"/>
          <w:pgMar w:top="1600" w:bottom="280" w:left="1280" w:right="1140"/>
          <w:cols w:num="2" w:equalWidth="0">
            <w:col w:w="4824" w:space="40"/>
            <w:col w:w="4626"/>
          </w:cols>
        </w:sectPr>
      </w:pPr>
    </w:p>
    <w:p>
      <w:pPr>
        <w:spacing w:line="240" w:lineRule="auto" w:before="4"/>
        <w:rPr>
          <w:rFonts w:ascii="宋体" w:hAnsi="宋体" w:cs="宋体" w:eastAsia="宋体" w:hint="default"/>
          <w:sz w:val="11"/>
          <w:szCs w:val="11"/>
        </w:rPr>
      </w:pPr>
    </w:p>
    <w:p>
      <w:pPr>
        <w:spacing w:line="324" w:lineRule="auto" w:before="31"/>
        <w:ind w:left="138" w:right="137" w:firstLine="440"/>
        <w:jc w:val="both"/>
        <w:rPr>
          <w:rFonts w:ascii="宋体" w:hAnsi="宋体" w:cs="宋体" w:eastAsia="宋体" w:hint="default"/>
          <w:sz w:val="22"/>
          <w:szCs w:val="22"/>
        </w:rPr>
      </w:pPr>
      <w:r>
        <w:rPr>
          <w:rFonts w:ascii="宋体" w:hAnsi="宋体" w:cs="宋体" w:eastAsia="宋体" w:hint="default"/>
          <w:spacing w:val="-1"/>
          <w:sz w:val="22"/>
          <w:szCs w:val="22"/>
        </w:rPr>
        <w:t>对于单项金额非重大的应收款项，本公司将其与经单独测试后未减值的应收款项一起以应收</w:t>
      </w:r>
      <w:r>
        <w:rPr>
          <w:rFonts w:ascii="宋体" w:hAnsi="宋体" w:cs="宋体" w:eastAsia="宋体" w:hint="default"/>
          <w:w w:val="99"/>
          <w:sz w:val="22"/>
          <w:szCs w:val="22"/>
        </w:rPr>
        <w:t> </w:t>
      </w:r>
      <w:r>
        <w:rPr>
          <w:rFonts w:ascii="宋体" w:hAnsi="宋体" w:cs="宋体" w:eastAsia="宋体" w:hint="default"/>
          <w:spacing w:val="-1"/>
          <w:sz w:val="22"/>
          <w:szCs w:val="22"/>
        </w:rPr>
        <w:t>款项的账龄为信用风险特征划分组合，根据以前年度与之相同或相类似的、具有类似信用风险特</w:t>
      </w:r>
      <w:r>
        <w:rPr>
          <w:rFonts w:ascii="宋体" w:hAnsi="宋体" w:cs="宋体" w:eastAsia="宋体" w:hint="default"/>
          <w:w w:val="99"/>
          <w:sz w:val="22"/>
          <w:szCs w:val="22"/>
        </w:rPr>
        <w:t> </w:t>
      </w:r>
      <w:r>
        <w:rPr>
          <w:rFonts w:ascii="宋体" w:hAnsi="宋体" w:cs="宋体" w:eastAsia="宋体" w:hint="default"/>
          <w:spacing w:val="4"/>
          <w:sz w:val="22"/>
          <w:szCs w:val="22"/>
        </w:rPr>
        <w:t>征的应收账款组合的实际损失率为基础，结合现时情况确定本年度各项组合计提坏账准备的比</w:t>
      </w:r>
      <w:r>
        <w:rPr>
          <w:rFonts w:ascii="宋体" w:hAnsi="宋体" w:cs="宋体" w:eastAsia="宋体" w:hint="default"/>
          <w:spacing w:val="6"/>
          <w:w w:val="99"/>
          <w:sz w:val="22"/>
          <w:szCs w:val="22"/>
        </w:rPr>
        <w:t> </w:t>
      </w:r>
      <w:r>
        <w:rPr>
          <w:rFonts w:ascii="宋体" w:hAnsi="宋体" w:cs="宋体" w:eastAsia="宋体" w:hint="default"/>
          <w:sz w:val="22"/>
          <w:szCs w:val="22"/>
        </w:rPr>
        <w:t>例，据此计算本年度应计提的坏账准备。</w:t>
      </w:r>
    </w:p>
    <w:p>
      <w:pPr>
        <w:spacing w:before="103"/>
        <w:ind w:left="578" w:right="0" w:firstLine="0"/>
        <w:jc w:val="left"/>
        <w:rPr>
          <w:rFonts w:ascii="宋体" w:hAnsi="宋体" w:cs="宋体" w:eastAsia="宋体" w:hint="default"/>
          <w:sz w:val="22"/>
          <w:szCs w:val="22"/>
        </w:rPr>
      </w:pPr>
      <w:r>
        <w:rPr>
          <w:rFonts w:ascii="宋体" w:hAnsi="宋体" w:cs="宋体" w:eastAsia="宋体" w:hint="default"/>
          <w:sz w:val="22"/>
          <w:szCs w:val="22"/>
        </w:rPr>
        <w:t>应收款项按账龄划分组合的坏账准备计提比例如下：</w:t>
      </w:r>
    </w:p>
    <w:p>
      <w:pPr>
        <w:spacing w:line="240" w:lineRule="auto" w:before="8"/>
        <w:rPr>
          <w:rFonts w:ascii="宋体" w:hAnsi="宋体" w:cs="宋体" w:eastAsia="宋体" w:hint="default"/>
          <w:sz w:val="13"/>
          <w:szCs w:val="13"/>
        </w:rPr>
      </w:pPr>
    </w:p>
    <w:tbl>
      <w:tblPr>
        <w:tblW w:w="0" w:type="auto"/>
        <w:jc w:val="left"/>
        <w:tblInd w:w="415" w:type="dxa"/>
        <w:tblLayout w:type="fixed"/>
        <w:tblCellMar>
          <w:top w:w="0" w:type="dxa"/>
          <w:left w:w="0" w:type="dxa"/>
          <w:bottom w:w="0" w:type="dxa"/>
          <w:right w:w="0" w:type="dxa"/>
        </w:tblCellMar>
        <w:tblLook w:val="01E0"/>
      </w:tblPr>
      <w:tblGrid>
        <w:gridCol w:w="2271"/>
        <w:gridCol w:w="3550"/>
        <w:gridCol w:w="2819"/>
      </w:tblGrid>
      <w:tr>
        <w:trPr>
          <w:trHeight w:val="303" w:hRule="exact"/>
        </w:trPr>
        <w:tc>
          <w:tcPr>
            <w:tcW w:w="2271"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3550"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263" w:right="0"/>
              <w:jc w:val="left"/>
              <w:rPr>
                <w:rFonts w:ascii="宋体" w:hAnsi="宋体" w:cs="宋体" w:eastAsia="宋体" w:hint="default"/>
                <w:sz w:val="24"/>
                <w:szCs w:val="24"/>
              </w:rPr>
            </w:pPr>
            <w:r>
              <w:rPr>
                <w:rFonts w:ascii="宋体" w:hAnsi="宋体" w:cs="宋体" w:eastAsia="宋体" w:hint="default"/>
                <w:b/>
                <w:bCs/>
                <w:sz w:val="24"/>
                <w:szCs w:val="24"/>
              </w:rPr>
              <w:t>应收账款计提比例</w:t>
            </w:r>
            <w:r>
              <w:rPr>
                <w:rFonts w:ascii="宋体" w:hAnsi="宋体" w:cs="宋体" w:eastAsia="宋体" w:hint="default"/>
                <w:sz w:val="24"/>
                <w:szCs w:val="24"/>
              </w:rPr>
            </w:r>
          </w:p>
        </w:tc>
        <w:tc>
          <w:tcPr>
            <w:tcW w:w="2819"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357" w:right="0"/>
              <w:jc w:val="left"/>
              <w:rPr>
                <w:rFonts w:ascii="宋体" w:hAnsi="宋体" w:cs="宋体" w:eastAsia="宋体" w:hint="default"/>
                <w:sz w:val="24"/>
                <w:szCs w:val="24"/>
              </w:rPr>
            </w:pPr>
            <w:r>
              <w:rPr>
                <w:rFonts w:ascii="宋体" w:hAnsi="宋体" w:cs="宋体" w:eastAsia="宋体" w:hint="default"/>
                <w:b/>
                <w:bCs/>
                <w:sz w:val="24"/>
                <w:szCs w:val="24"/>
              </w:rPr>
              <w:t>其他应收款计提比例</w:t>
            </w:r>
            <w:r>
              <w:rPr>
                <w:rFonts w:ascii="宋体" w:hAnsi="宋体" w:cs="宋体" w:eastAsia="宋体" w:hint="default"/>
                <w:sz w:val="24"/>
                <w:szCs w:val="24"/>
              </w:rPr>
            </w:r>
          </w:p>
        </w:tc>
      </w:tr>
      <w:tr>
        <w:trPr>
          <w:trHeight w:val="274" w:hRule="exact"/>
        </w:trPr>
        <w:tc>
          <w:tcPr>
            <w:tcW w:w="2271" w:type="dxa"/>
            <w:tcBorders>
              <w:top w:val="single" w:sz="4" w:space="0" w:color="000000"/>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550" w:type="dxa"/>
            <w:tcBorders>
              <w:top w:val="single" w:sz="4" w:space="0" w:color="000000"/>
              <w:left w:val="nil" w:sz="6" w:space="0" w:color="auto"/>
              <w:bottom w:val="nil" w:sz="6" w:space="0" w:color="auto"/>
              <w:right w:val="nil" w:sz="6" w:space="0" w:color="auto"/>
            </w:tcBorders>
          </w:tcPr>
          <w:p>
            <w:pPr>
              <w:pStyle w:val="TableParagraph"/>
              <w:spacing w:line="247" w:lineRule="exact"/>
              <w:ind w:right="804"/>
              <w:jc w:val="right"/>
              <w:rPr>
                <w:rFonts w:ascii="宋体" w:hAnsi="宋体" w:cs="宋体" w:eastAsia="宋体" w:hint="default"/>
                <w:sz w:val="24"/>
                <w:szCs w:val="24"/>
              </w:rPr>
            </w:pPr>
            <w:r>
              <w:rPr>
                <w:rFonts w:ascii="宋体"/>
                <w:sz w:val="24"/>
              </w:rPr>
              <w:t>1%</w:t>
            </w:r>
          </w:p>
        </w:tc>
        <w:tc>
          <w:tcPr>
            <w:tcW w:w="2819" w:type="dxa"/>
            <w:tcBorders>
              <w:top w:val="single" w:sz="4" w:space="0" w:color="000000"/>
              <w:left w:val="nil" w:sz="6" w:space="0" w:color="auto"/>
              <w:bottom w:val="nil" w:sz="6" w:space="0" w:color="auto"/>
              <w:right w:val="nil" w:sz="6" w:space="0" w:color="auto"/>
            </w:tcBorders>
          </w:tcPr>
          <w:p>
            <w:pPr>
              <w:pStyle w:val="TableParagraph"/>
              <w:spacing w:line="247" w:lineRule="exact"/>
              <w:ind w:left="1717" w:right="0"/>
              <w:jc w:val="left"/>
              <w:rPr>
                <w:rFonts w:ascii="宋体" w:hAnsi="宋体" w:cs="宋体" w:eastAsia="宋体" w:hint="default"/>
                <w:sz w:val="24"/>
                <w:szCs w:val="24"/>
              </w:rPr>
            </w:pPr>
            <w:r>
              <w:rPr>
                <w:rFonts w:ascii="宋体"/>
                <w:sz w:val="24"/>
              </w:rPr>
              <w:t>1%</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5%</w:t>
            </w:r>
          </w:p>
        </w:tc>
        <w:tc>
          <w:tcPr>
            <w:tcW w:w="2819" w:type="dxa"/>
            <w:tcBorders>
              <w:top w:val="nil" w:sz="6" w:space="0" w:color="auto"/>
              <w:left w:val="nil" w:sz="6" w:space="0" w:color="auto"/>
              <w:bottom w:val="nil" w:sz="6" w:space="0" w:color="auto"/>
              <w:right w:val="nil" w:sz="6" w:space="0" w:color="auto"/>
            </w:tcBorders>
          </w:tcPr>
          <w:p>
            <w:pPr>
              <w:pStyle w:val="TableParagraph"/>
              <w:spacing w:line="262" w:lineRule="exact"/>
              <w:ind w:left="1717" w:right="0"/>
              <w:jc w:val="left"/>
              <w:rPr>
                <w:rFonts w:ascii="宋体" w:hAnsi="宋体" w:cs="宋体" w:eastAsia="宋体" w:hint="default"/>
                <w:sz w:val="24"/>
                <w:szCs w:val="24"/>
              </w:rPr>
            </w:pPr>
            <w:r>
              <w:rPr>
                <w:rFonts w:ascii="宋体"/>
                <w:sz w:val="24"/>
              </w:rPr>
              <w:t>5%</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15%</w:t>
            </w:r>
          </w:p>
        </w:tc>
        <w:tc>
          <w:tcPr>
            <w:tcW w:w="2819" w:type="dxa"/>
            <w:tcBorders>
              <w:top w:val="nil" w:sz="6" w:space="0" w:color="auto"/>
              <w:left w:val="nil" w:sz="6" w:space="0" w:color="auto"/>
              <w:bottom w:val="nil" w:sz="6" w:space="0" w:color="auto"/>
              <w:right w:val="nil" w:sz="6" w:space="0" w:color="auto"/>
            </w:tcBorders>
          </w:tcPr>
          <w:p>
            <w:pPr>
              <w:pStyle w:val="TableParagraph"/>
              <w:spacing w:line="262" w:lineRule="exact"/>
              <w:ind w:left="1597" w:right="0"/>
              <w:jc w:val="left"/>
              <w:rPr>
                <w:rFonts w:ascii="宋体" w:hAnsi="宋体" w:cs="宋体" w:eastAsia="宋体" w:hint="default"/>
                <w:sz w:val="24"/>
                <w:szCs w:val="24"/>
              </w:rPr>
            </w:pPr>
            <w:r>
              <w:rPr>
                <w:rFonts w:ascii="宋体"/>
                <w:sz w:val="24"/>
              </w:rPr>
              <w:t>15%</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1" w:lineRule="exact"/>
              <w:ind w:right="804"/>
              <w:jc w:val="right"/>
              <w:rPr>
                <w:rFonts w:ascii="宋体" w:hAnsi="宋体" w:cs="宋体" w:eastAsia="宋体" w:hint="default"/>
                <w:sz w:val="24"/>
                <w:szCs w:val="24"/>
              </w:rPr>
            </w:pPr>
            <w:r>
              <w:rPr>
                <w:rFonts w:ascii="宋体"/>
                <w:sz w:val="24"/>
              </w:rPr>
              <w:t>30%</w:t>
            </w:r>
          </w:p>
        </w:tc>
        <w:tc>
          <w:tcPr>
            <w:tcW w:w="2819" w:type="dxa"/>
            <w:tcBorders>
              <w:top w:val="nil" w:sz="6" w:space="0" w:color="auto"/>
              <w:left w:val="nil" w:sz="6" w:space="0" w:color="auto"/>
              <w:bottom w:val="nil" w:sz="6" w:space="0" w:color="auto"/>
              <w:right w:val="nil" w:sz="6" w:space="0" w:color="auto"/>
            </w:tcBorders>
          </w:tcPr>
          <w:p>
            <w:pPr>
              <w:pStyle w:val="TableParagraph"/>
              <w:spacing w:line="261" w:lineRule="exact"/>
              <w:ind w:left="1597" w:right="0"/>
              <w:jc w:val="left"/>
              <w:rPr>
                <w:rFonts w:ascii="宋体" w:hAnsi="宋体" w:cs="宋体" w:eastAsia="宋体" w:hint="default"/>
                <w:sz w:val="24"/>
                <w:szCs w:val="24"/>
              </w:rPr>
            </w:pPr>
            <w:r>
              <w:rPr>
                <w:rFonts w:ascii="宋体"/>
                <w:sz w:val="24"/>
              </w:rPr>
              <w:t>30%</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50%</w:t>
            </w:r>
          </w:p>
        </w:tc>
        <w:tc>
          <w:tcPr>
            <w:tcW w:w="2819" w:type="dxa"/>
            <w:tcBorders>
              <w:top w:val="nil" w:sz="6" w:space="0" w:color="auto"/>
              <w:left w:val="nil" w:sz="6" w:space="0" w:color="auto"/>
              <w:bottom w:val="nil" w:sz="6" w:space="0" w:color="auto"/>
              <w:right w:val="nil" w:sz="6" w:space="0" w:color="auto"/>
            </w:tcBorders>
          </w:tcPr>
          <w:p>
            <w:pPr>
              <w:pStyle w:val="TableParagraph"/>
              <w:spacing w:line="262" w:lineRule="exact"/>
              <w:ind w:left="1597" w:right="0"/>
              <w:jc w:val="left"/>
              <w:rPr>
                <w:rFonts w:ascii="宋体" w:hAnsi="宋体" w:cs="宋体" w:eastAsia="宋体" w:hint="default"/>
                <w:sz w:val="24"/>
                <w:szCs w:val="24"/>
              </w:rPr>
            </w:pPr>
            <w:r>
              <w:rPr>
                <w:rFonts w:ascii="宋体"/>
                <w:sz w:val="24"/>
              </w:rPr>
              <w:t>50%</w:t>
            </w:r>
          </w:p>
        </w:tc>
      </w:tr>
      <w:tr>
        <w:trPr>
          <w:trHeight w:val="312" w:hRule="exact"/>
        </w:trPr>
        <w:tc>
          <w:tcPr>
            <w:tcW w:w="2271" w:type="dxa"/>
            <w:tcBorders>
              <w:top w:val="nil" w:sz="6" w:space="0" w:color="auto"/>
              <w:left w:val="nil" w:sz="6" w:space="0" w:color="auto"/>
              <w:bottom w:val="single" w:sz="12" w:space="0" w:color="000000"/>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550" w:type="dxa"/>
            <w:tcBorders>
              <w:top w:val="nil" w:sz="6" w:space="0" w:color="auto"/>
              <w:left w:val="nil" w:sz="6" w:space="0" w:color="auto"/>
              <w:bottom w:val="single" w:sz="12" w:space="0" w:color="000000"/>
              <w:right w:val="nil" w:sz="6" w:space="0" w:color="auto"/>
            </w:tcBorders>
          </w:tcPr>
          <w:p>
            <w:pPr>
              <w:pStyle w:val="TableParagraph"/>
              <w:spacing w:line="262" w:lineRule="exact"/>
              <w:ind w:left="2263" w:right="0"/>
              <w:jc w:val="left"/>
              <w:rPr>
                <w:rFonts w:ascii="宋体" w:hAnsi="宋体" w:cs="宋体" w:eastAsia="宋体" w:hint="default"/>
                <w:sz w:val="24"/>
                <w:szCs w:val="24"/>
              </w:rPr>
            </w:pPr>
            <w:r>
              <w:rPr>
                <w:rFonts w:ascii="宋体"/>
                <w:sz w:val="24"/>
              </w:rPr>
              <w:t>100%</w:t>
            </w:r>
          </w:p>
        </w:tc>
        <w:tc>
          <w:tcPr>
            <w:tcW w:w="2819" w:type="dxa"/>
            <w:tcBorders>
              <w:top w:val="nil" w:sz="6" w:space="0" w:color="auto"/>
              <w:left w:val="nil" w:sz="6" w:space="0" w:color="auto"/>
              <w:bottom w:val="single" w:sz="12" w:space="0" w:color="000000"/>
              <w:right w:val="nil" w:sz="6" w:space="0" w:color="auto"/>
            </w:tcBorders>
          </w:tcPr>
          <w:p>
            <w:pPr>
              <w:pStyle w:val="TableParagraph"/>
              <w:spacing w:line="262" w:lineRule="exact"/>
              <w:ind w:left="1477" w:right="0"/>
              <w:jc w:val="left"/>
              <w:rPr>
                <w:rFonts w:ascii="宋体" w:hAnsi="宋体" w:cs="宋体" w:eastAsia="宋体" w:hint="default"/>
                <w:sz w:val="24"/>
                <w:szCs w:val="24"/>
              </w:rPr>
            </w:pPr>
            <w:r>
              <w:rPr>
                <w:rFonts w:ascii="宋体"/>
                <w:sz w:val="24"/>
              </w:rPr>
              <w:t>100%</w:t>
            </w:r>
          </w:p>
        </w:tc>
      </w:tr>
    </w:tbl>
    <w:p>
      <w:pPr>
        <w:spacing w:before="79"/>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单项金额虽不重大但单项计提坏账准备的应收款项</w:t>
      </w:r>
    </w:p>
    <w:p>
      <w:pPr>
        <w:pStyle w:val="BodyText"/>
        <w:tabs>
          <w:tab w:pos="4397" w:val="left" w:leader="none"/>
        </w:tabs>
        <w:spacing w:line="337" w:lineRule="exact" w:before="105"/>
        <w:ind w:left="523" w:right="0"/>
        <w:jc w:val="left"/>
      </w:pPr>
      <w:r>
        <w:rPr/>
        <w:pict>
          <v:group style="position:absolute;margin-left:84.779999pt;margin-top:8.915924pt;width:432pt;height:.1pt;mso-position-horizontal-relative:page;mso-position-vertical-relative:paragraph;z-index:-1049224" coordorigin="1696,178" coordsize="8640,2">
            <v:shape style="position:absolute;left:1696;top:178;width:8640;height:2" coordorigin="1696,178" coordsize="8640,0" path="m1696,178l10336,178e" filled="false" stroked="true" strokeweight="1.5pt" strokecolor="#000000">
              <v:path arrowok="t"/>
            </v:shape>
            <w10:wrap type="none"/>
          </v:group>
        </w:pict>
      </w:r>
      <w:r>
        <w:rPr>
          <w:position w:val="-11"/>
        </w:rPr>
        <w:t>单项计提坏账准备的理由</w:t>
        <w:tab/>
      </w:r>
      <w:r>
        <w:rPr>
          <w:spacing w:val="12"/>
        </w:rPr>
        <w:t>单项金额不重大且按照组合计提坏账准备</w:t>
      </w:r>
    </w:p>
    <w:p>
      <w:pPr>
        <w:pStyle w:val="BodyText"/>
        <w:spacing w:line="185" w:lineRule="exact"/>
        <w:ind w:left="4397" w:right="0"/>
        <w:jc w:val="left"/>
      </w:pPr>
      <w:r>
        <w:rPr/>
        <w:t>不能反映其风险特征的应收款项</w:t>
      </w:r>
    </w:p>
    <w:p>
      <w:pPr>
        <w:spacing w:line="240" w:lineRule="auto" w:before="7"/>
        <w:rPr>
          <w:rFonts w:ascii="宋体" w:hAnsi="宋体" w:cs="宋体" w:eastAsia="宋体" w:hint="default"/>
          <w:sz w:val="3"/>
          <w:szCs w:val="3"/>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pStyle w:val="BodyText"/>
        <w:tabs>
          <w:tab w:pos="4397" w:val="left" w:leader="none"/>
        </w:tabs>
        <w:spacing w:line="132" w:lineRule="auto" w:before="27"/>
        <w:ind w:left="4397" w:right="529" w:hanging="3874"/>
        <w:jc w:val="left"/>
      </w:pPr>
      <w:r>
        <w:rPr>
          <w:position w:val="-11"/>
        </w:rPr>
        <w:t>坏账准备的计提方法</w:t>
        <w:tab/>
      </w:r>
      <w:r>
        <w:rPr>
          <w:spacing w:val="12"/>
        </w:rPr>
        <w:t>根据其未来现金流量现值低于其账面价值</w:t>
      </w:r>
      <w:r>
        <w:rPr>
          <w:spacing w:val="-114"/>
        </w:rPr>
        <w:t> </w:t>
      </w:r>
      <w:r>
        <w:rPr>
          <w:spacing w:val="-114"/>
        </w:rPr>
      </w:r>
      <w:r>
        <w:rPr/>
        <w:t>的差额，计提坏账准备</w:t>
      </w:r>
    </w:p>
    <w:p>
      <w:pPr>
        <w:spacing w:line="240" w:lineRule="auto" w:before="3"/>
        <w:rPr>
          <w:rFonts w:ascii="宋体" w:hAnsi="宋体" w:cs="宋体" w:eastAsia="宋体" w:hint="default"/>
          <w:sz w:val="2"/>
          <w:szCs w:val="2"/>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3888;height:2" coordorigin="15,15" coordsize="3888,2">
              <v:shape style="position:absolute;left:15;top:15;width:3888;height:2" coordorigin="15,15" coordsize="3888,0" path="m15,15l3903,15e" filled="false" stroked="true" strokeweight="1.5pt" strokecolor="#000000">
                <v:path arrowok="t"/>
              </v:shape>
            </v:group>
            <v:group style="position:absolute;left:3889;top:15;width:4788;height:2" coordorigin="3889,15" coordsize="4788,2">
              <v:shape style="position:absolute;left:3889;top:15;width:4788;height:2" coordorigin="3889,15" coordsize="4788,0" path="m3889,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67" w:lineRule="auto" w:before="31"/>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存货</w:t>
      </w:r>
      <w:r>
        <w:rPr>
          <w:rFonts w:ascii="宋体" w:hAnsi="宋体" w:cs="宋体" w:eastAsia="宋体" w:hint="default"/>
          <w:w w:val="99"/>
          <w:sz w:val="22"/>
          <w:szCs w:val="22"/>
        </w:rPr>
        <w:t> </w:t>
      </w:r>
      <w:r>
        <w:rPr>
          <w:rFonts w:ascii="宋体" w:hAnsi="宋体" w:cs="宋体" w:eastAsia="宋体" w:hint="default"/>
          <w:spacing w:val="-1"/>
          <w:sz w:val="22"/>
          <w:szCs w:val="22"/>
        </w:rPr>
        <w:t>本公司存货主要包括在途物资、原材料、低值易耗品、包装物、自制半成品、在产品、产成</w:t>
      </w:r>
    </w:p>
    <w:p>
      <w:pPr>
        <w:spacing w:line="273"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品、库存商品、委托代销商品、发出商品和工程施工等，按成本与可变现净值孰低列示。</w:t>
      </w:r>
    </w:p>
    <w:p>
      <w:pPr>
        <w:spacing w:line="324" w:lineRule="auto" w:before="180"/>
        <w:ind w:left="138" w:right="86" w:firstLine="440"/>
        <w:jc w:val="left"/>
        <w:rPr>
          <w:rFonts w:ascii="宋体" w:hAnsi="宋体" w:cs="宋体" w:eastAsia="宋体" w:hint="default"/>
          <w:sz w:val="22"/>
          <w:szCs w:val="22"/>
        </w:rPr>
      </w:pPr>
      <w:r>
        <w:rPr>
          <w:rFonts w:ascii="宋体" w:hAnsi="宋体" w:cs="宋体" w:eastAsia="宋体" w:hint="default"/>
          <w:sz w:val="22"/>
          <w:szCs w:val="22"/>
        </w:rPr>
        <w:t>存货取得和发出的计价方法：公司存货在取得时，按实际成本入账，实行永续盘存制。领用</w:t>
      </w:r>
      <w:r>
        <w:rPr>
          <w:rFonts w:ascii="宋体" w:hAnsi="宋体" w:cs="宋体" w:eastAsia="宋体" w:hint="default"/>
          <w:w w:val="99"/>
          <w:sz w:val="22"/>
          <w:szCs w:val="22"/>
        </w:rPr>
        <w:t> </w:t>
      </w:r>
      <w:r>
        <w:rPr>
          <w:rFonts w:ascii="宋体" w:hAnsi="宋体" w:cs="宋体" w:eastAsia="宋体" w:hint="default"/>
          <w:spacing w:val="-4"/>
          <w:sz w:val="22"/>
          <w:szCs w:val="22"/>
        </w:rPr>
        <w:t>和发出时，包装物、低值易耗品采用一次摊销法，其他各类存货采用加权平均法确定其实际成本。</w:t>
      </w:r>
    </w:p>
    <w:p>
      <w:pPr>
        <w:spacing w:line="324" w:lineRule="auto" w:before="10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生产成本的归集和结转方法：公司主要经营业务大致划分为生产销售各类高新技术和消费电</w:t>
      </w:r>
      <w:r>
        <w:rPr>
          <w:rFonts w:ascii="宋体" w:hAnsi="宋体" w:cs="宋体" w:eastAsia="宋体" w:hint="default"/>
          <w:w w:val="99"/>
          <w:sz w:val="22"/>
          <w:szCs w:val="22"/>
        </w:rPr>
        <w:t> </w:t>
      </w:r>
      <w:r>
        <w:rPr>
          <w:rFonts w:ascii="宋体" w:hAnsi="宋体" w:cs="宋体" w:eastAsia="宋体" w:hint="default"/>
          <w:spacing w:val="-1"/>
          <w:sz w:val="22"/>
          <w:szCs w:val="22"/>
        </w:rPr>
        <w:t>子产品，承接各种信息网络、人工环境、能源环保、机电工程项目，以及提供相关技术支持和咨</w:t>
      </w:r>
      <w:r>
        <w:rPr>
          <w:rFonts w:ascii="宋体" w:hAnsi="宋体" w:cs="宋体" w:eastAsia="宋体" w:hint="default"/>
          <w:w w:val="99"/>
          <w:sz w:val="22"/>
          <w:szCs w:val="22"/>
        </w:rPr>
        <w:t> </w:t>
      </w:r>
      <w:r>
        <w:rPr>
          <w:rFonts w:ascii="宋体" w:hAnsi="宋体" w:cs="宋体" w:eastAsia="宋体" w:hint="default"/>
          <w:spacing w:val="-1"/>
          <w:sz w:val="22"/>
          <w:szCs w:val="22"/>
        </w:rPr>
        <w:t>询服务，其中，各种高新技术产品按照工业企业成本核算流程进行成本的归集和分配；各项工程</w:t>
      </w:r>
      <w:r>
        <w:rPr>
          <w:rFonts w:ascii="宋体" w:hAnsi="宋体" w:cs="宋体" w:eastAsia="宋体" w:hint="default"/>
          <w:w w:val="99"/>
          <w:sz w:val="22"/>
          <w:szCs w:val="22"/>
        </w:rPr>
        <w:t> </w:t>
      </w:r>
      <w:r>
        <w:rPr>
          <w:rFonts w:ascii="宋体" w:hAnsi="宋体" w:cs="宋体" w:eastAsia="宋体" w:hint="default"/>
          <w:sz w:val="22"/>
          <w:szCs w:val="22"/>
        </w:rPr>
        <w:t>区别工程直接与间接费用进行成本的归集和分配。</w:t>
      </w:r>
    </w:p>
    <w:p>
      <w:pPr>
        <w:spacing w:line="324" w:lineRule="auto" w:before="10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期末存货计价原则及存货跌价准备确认标准和计提方法：期末存货按成本与可变现净值孰低</w:t>
      </w:r>
      <w:r>
        <w:rPr>
          <w:rFonts w:ascii="宋体" w:hAnsi="宋体" w:cs="宋体" w:eastAsia="宋体" w:hint="default"/>
          <w:w w:val="99"/>
          <w:sz w:val="22"/>
          <w:szCs w:val="22"/>
        </w:rPr>
        <w:t> </w:t>
      </w:r>
      <w:r>
        <w:rPr>
          <w:rFonts w:ascii="宋体" w:hAnsi="宋体" w:cs="宋体" w:eastAsia="宋体" w:hint="default"/>
          <w:spacing w:val="-1"/>
          <w:sz w:val="22"/>
          <w:szCs w:val="22"/>
        </w:rPr>
        <w:t>原则计价；期末，在对存货进行全面盘点的基础上，对于存货因遭受毁损、全部或部分陈旧过时</w:t>
      </w:r>
      <w:r>
        <w:rPr>
          <w:rFonts w:ascii="宋体" w:hAnsi="宋体" w:cs="宋体" w:eastAsia="宋体" w:hint="default"/>
          <w:w w:val="99"/>
          <w:sz w:val="22"/>
          <w:szCs w:val="22"/>
        </w:rPr>
        <w:t> </w:t>
      </w:r>
      <w:r>
        <w:rPr>
          <w:rFonts w:ascii="宋体" w:hAnsi="宋体" w:cs="宋体" w:eastAsia="宋体" w:hint="default"/>
          <w:spacing w:val="-1"/>
          <w:sz w:val="22"/>
          <w:szCs w:val="22"/>
        </w:rPr>
        <w:t>或销售价格低于成本等原因，预计其成本不可收回的部分，提取存货跌价准备。产成品及大宗原</w:t>
      </w:r>
      <w:r>
        <w:rPr>
          <w:rFonts w:ascii="宋体" w:hAnsi="宋体" w:cs="宋体" w:eastAsia="宋体" w:hint="default"/>
          <w:w w:val="99"/>
          <w:sz w:val="22"/>
          <w:szCs w:val="22"/>
        </w:rPr>
        <w:t> </w:t>
      </w:r>
      <w:r>
        <w:rPr>
          <w:rFonts w:ascii="宋体" w:hAnsi="宋体" w:cs="宋体" w:eastAsia="宋体" w:hint="default"/>
          <w:spacing w:val="-1"/>
          <w:sz w:val="22"/>
          <w:szCs w:val="22"/>
        </w:rPr>
        <w:t>材料的存货跌价准备按单个存货项目的成本高于其可变现净值的差额提取；其他数量繁多、单价</w:t>
      </w:r>
      <w:r>
        <w:rPr>
          <w:rFonts w:ascii="宋体" w:hAnsi="宋体" w:cs="宋体" w:eastAsia="宋体" w:hint="default"/>
          <w:w w:val="99"/>
          <w:sz w:val="22"/>
          <w:szCs w:val="22"/>
        </w:rPr>
        <w:t> </w:t>
      </w:r>
      <w:r>
        <w:rPr>
          <w:rFonts w:ascii="宋体" w:hAnsi="宋体" w:cs="宋体" w:eastAsia="宋体" w:hint="default"/>
          <w:sz w:val="22"/>
          <w:szCs w:val="22"/>
        </w:rPr>
        <w:t>较低的原辅材料按类别提取存货跌价准备。</w:t>
      </w:r>
    </w:p>
    <w:p>
      <w:pPr>
        <w:spacing w:line="324" w:lineRule="auto" w:before="103"/>
        <w:ind w:left="138" w:right="110" w:firstLine="440"/>
        <w:jc w:val="left"/>
        <w:rPr>
          <w:rFonts w:ascii="宋体" w:hAnsi="宋体" w:cs="宋体" w:eastAsia="宋体" w:hint="default"/>
          <w:sz w:val="22"/>
          <w:szCs w:val="22"/>
        </w:rPr>
      </w:pPr>
      <w:r>
        <w:rPr>
          <w:rFonts w:ascii="宋体" w:hAnsi="宋体" w:cs="宋体" w:eastAsia="宋体" w:hint="default"/>
          <w:spacing w:val="-4"/>
          <w:sz w:val="22"/>
          <w:szCs w:val="22"/>
        </w:rPr>
        <w:t>存货可变现净值确定方法：库存商品、在产品和用于出售的材料等直接用于出售的商品存货，</w:t>
      </w:r>
      <w:r>
        <w:rPr>
          <w:rFonts w:ascii="宋体" w:hAnsi="宋体" w:cs="宋体" w:eastAsia="宋体" w:hint="default"/>
          <w:w w:val="99"/>
          <w:sz w:val="22"/>
          <w:szCs w:val="22"/>
        </w:rPr>
        <w:t> </w:t>
      </w:r>
      <w:r>
        <w:rPr>
          <w:rFonts w:ascii="宋体" w:hAnsi="宋体" w:cs="宋体" w:eastAsia="宋体" w:hint="default"/>
          <w:sz w:val="22"/>
          <w:szCs w:val="22"/>
        </w:rPr>
        <w:t>其可变现净值按该存货的估计售价减去估计的销售费用和相关税费后的金额确定；用于生产而持</w:t>
      </w:r>
      <w:r>
        <w:rPr>
          <w:rFonts w:ascii="宋体" w:hAnsi="宋体" w:cs="宋体" w:eastAsia="宋体" w:hint="default"/>
          <w:w w:val="99"/>
          <w:sz w:val="22"/>
          <w:szCs w:val="22"/>
        </w:rPr>
        <w:t> </w:t>
      </w:r>
      <w:r>
        <w:rPr>
          <w:rFonts w:ascii="宋体" w:hAnsi="宋体" w:cs="宋体" w:eastAsia="宋体" w:hint="default"/>
          <w:sz w:val="22"/>
          <w:szCs w:val="22"/>
        </w:rPr>
        <w:t>有的材料存货，其可变现净值按所生产的产成品的估计售价减去至完工时估计将要发生的成本、</w:t>
      </w:r>
      <w:r>
        <w:rPr>
          <w:rFonts w:ascii="宋体" w:hAnsi="宋体" w:cs="宋体" w:eastAsia="宋体" w:hint="default"/>
          <w:w w:val="99"/>
          <w:sz w:val="22"/>
          <w:szCs w:val="22"/>
        </w:rPr>
        <w:t> </w:t>
      </w:r>
      <w:r>
        <w:rPr>
          <w:rFonts w:ascii="宋体" w:hAnsi="宋体" w:cs="宋体" w:eastAsia="宋体" w:hint="default"/>
          <w:sz w:val="22"/>
          <w:szCs w:val="22"/>
        </w:rPr>
        <w:t>估计的销售费用和相关税费后的金额确定。为执行销售合同或者劳务合同而持有的存货，其可变</w:t>
      </w:r>
      <w:r>
        <w:rPr>
          <w:rFonts w:ascii="宋体" w:hAnsi="宋体" w:cs="宋体" w:eastAsia="宋体" w:hint="default"/>
          <w:w w:val="99"/>
          <w:sz w:val="22"/>
          <w:szCs w:val="22"/>
        </w:rPr>
        <w:t> </w:t>
      </w:r>
      <w:r>
        <w:rPr>
          <w:rFonts w:ascii="宋体" w:hAnsi="宋体" w:cs="宋体" w:eastAsia="宋体" w:hint="default"/>
          <w:sz w:val="22"/>
          <w:szCs w:val="22"/>
        </w:rPr>
        <w:t>现净值以合同价格为基础计算；公司持有存货的数量多于销售合同订购数量的，超出部分的存货</w:t>
      </w:r>
      <w:r>
        <w:rPr>
          <w:rFonts w:ascii="宋体" w:hAnsi="宋体" w:cs="宋体" w:eastAsia="宋体" w:hint="default"/>
          <w:w w:val="99"/>
          <w:sz w:val="22"/>
          <w:szCs w:val="22"/>
        </w:rPr>
        <w:t> </w:t>
      </w:r>
      <w:r>
        <w:rPr>
          <w:rFonts w:ascii="宋体" w:hAnsi="宋体" w:cs="宋体" w:eastAsia="宋体" w:hint="default"/>
          <w:sz w:val="22"/>
          <w:szCs w:val="22"/>
        </w:rPr>
        <w:t>可变现净值以一般销售价格为基础计算。</w:t>
      </w:r>
    </w:p>
    <w:p>
      <w:pPr>
        <w:spacing w:before="103"/>
        <w:ind w:left="591" w:right="21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宋体" w:hAnsi="宋体" w:cs="宋体" w:eastAsia="宋体" w:hint="default"/>
          <w:sz w:val="22"/>
          <w:szCs w:val="22"/>
        </w:rPr>
        <w:t>长期股权投资</w:t>
      </w:r>
    </w:p>
    <w:p>
      <w:pPr>
        <w:spacing w:line="391" w:lineRule="auto" w:before="163"/>
        <w:ind w:left="578" w:right="206" w:firstLine="13"/>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0"/>
          <w:sz w:val="22"/>
          <w:szCs w:val="22"/>
        </w:rPr>
        <w:t> </w:t>
      </w:r>
      <w:r>
        <w:rPr>
          <w:rFonts w:ascii="宋体" w:hAnsi="宋体" w:cs="宋体" w:eastAsia="宋体" w:hint="default"/>
          <w:sz w:val="22"/>
          <w:szCs w:val="22"/>
        </w:rPr>
        <w:t>长期股权投资的初始计量</w:t>
      </w:r>
      <w:r>
        <w:rPr>
          <w:rFonts w:ascii="宋体" w:hAnsi="宋体" w:cs="宋体" w:eastAsia="宋体" w:hint="default"/>
          <w:w w:val="99"/>
          <w:sz w:val="22"/>
          <w:szCs w:val="22"/>
        </w:rPr>
        <w:t> </w:t>
      </w:r>
      <w:r>
        <w:rPr>
          <w:rFonts w:ascii="宋体" w:hAnsi="宋体" w:cs="宋体" w:eastAsia="宋体" w:hint="default"/>
          <w:spacing w:val="-1"/>
          <w:sz w:val="22"/>
          <w:szCs w:val="22"/>
        </w:rPr>
        <w:t>通过同一控制下的企业合并取得的长期股权投资，在合并日按照取得被合并方所有者权益账</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pacing w:val="4"/>
          <w:sz w:val="22"/>
          <w:szCs w:val="22"/>
        </w:rPr>
        <w:t>面价值的份额作为长期股权投资的投资成本。通过非同一控制下的企业合并取得的长期股权投</w:t>
      </w:r>
      <w:r>
        <w:rPr>
          <w:rFonts w:ascii="宋体" w:hAnsi="宋体" w:cs="宋体" w:eastAsia="宋体" w:hint="default"/>
          <w:sz w:val="22"/>
          <w:szCs w:val="22"/>
        </w:rPr>
      </w:r>
    </w:p>
    <w:p>
      <w:pPr>
        <w:spacing w:line="324" w:lineRule="auto" w:before="102"/>
        <w:ind w:left="138" w:right="224" w:firstLine="0"/>
        <w:jc w:val="both"/>
        <w:rPr>
          <w:rFonts w:ascii="宋体" w:hAnsi="宋体" w:cs="宋体" w:eastAsia="宋体" w:hint="default"/>
          <w:sz w:val="22"/>
          <w:szCs w:val="22"/>
        </w:rPr>
      </w:pPr>
      <w:r>
        <w:rPr>
          <w:rFonts w:ascii="宋体" w:hAnsi="宋体" w:cs="宋体" w:eastAsia="宋体" w:hint="default"/>
          <w:spacing w:val="-1"/>
          <w:sz w:val="22"/>
          <w:szCs w:val="22"/>
        </w:rPr>
        <w:t>资，以在合并（购买）日为取得对被合并（购买）方的控制权而付出的资产、发生或承担的负债</w:t>
      </w:r>
      <w:r>
        <w:rPr>
          <w:rFonts w:ascii="宋体" w:hAnsi="宋体" w:cs="宋体" w:eastAsia="宋体" w:hint="default"/>
          <w:w w:val="99"/>
          <w:sz w:val="22"/>
          <w:szCs w:val="22"/>
        </w:rPr>
        <w:t> </w:t>
      </w:r>
      <w:r>
        <w:rPr>
          <w:rFonts w:ascii="宋体" w:hAnsi="宋体" w:cs="宋体" w:eastAsia="宋体" w:hint="default"/>
          <w:spacing w:val="-1"/>
          <w:sz w:val="22"/>
          <w:szCs w:val="22"/>
        </w:rPr>
        <w:t>以及发行的权益性证券的公允价值作为合并成本。在合并（购买）日按照合并成本作为长期股权</w:t>
      </w:r>
      <w:r>
        <w:rPr>
          <w:rFonts w:ascii="宋体" w:hAnsi="宋体" w:cs="宋体" w:eastAsia="宋体" w:hint="default"/>
          <w:w w:val="99"/>
          <w:sz w:val="22"/>
          <w:szCs w:val="22"/>
        </w:rPr>
        <w:t> </w:t>
      </w:r>
      <w:r>
        <w:rPr>
          <w:rFonts w:ascii="宋体" w:hAnsi="宋体" w:cs="宋体" w:eastAsia="宋体" w:hint="default"/>
          <w:sz w:val="22"/>
          <w:szCs w:val="22"/>
        </w:rPr>
        <w:t>投资的投资成本。</w:t>
      </w:r>
    </w:p>
    <w:p>
      <w:pPr>
        <w:spacing w:line="324" w:lineRule="auto" w:before="10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除上述通过企业合并取得的长期股权投资外，以支付现金取得的长期股权投资，按照实际支</w:t>
      </w:r>
      <w:r>
        <w:rPr>
          <w:rFonts w:ascii="宋体" w:hAnsi="宋体" w:cs="宋体" w:eastAsia="宋体" w:hint="default"/>
          <w:w w:val="99"/>
          <w:sz w:val="22"/>
          <w:szCs w:val="22"/>
        </w:rPr>
        <w:t> </w:t>
      </w:r>
      <w:r>
        <w:rPr>
          <w:rFonts w:ascii="宋体" w:hAnsi="宋体" w:cs="宋体" w:eastAsia="宋体" w:hint="default"/>
          <w:spacing w:val="-1"/>
          <w:sz w:val="22"/>
          <w:szCs w:val="22"/>
        </w:rPr>
        <w:t>付的购买价款作为投资成本；以发行权益性证券取得的长期股权投资，按照发行权益性证券的公</w:t>
      </w:r>
      <w:r>
        <w:rPr>
          <w:rFonts w:ascii="宋体" w:hAnsi="宋体" w:cs="宋体" w:eastAsia="宋体" w:hint="default"/>
          <w:w w:val="99"/>
          <w:sz w:val="22"/>
          <w:szCs w:val="22"/>
        </w:rPr>
        <w:t> </w:t>
      </w:r>
      <w:r>
        <w:rPr>
          <w:rFonts w:ascii="宋体" w:hAnsi="宋体" w:cs="宋体" w:eastAsia="宋体" w:hint="default"/>
          <w:spacing w:val="-1"/>
          <w:sz w:val="22"/>
          <w:szCs w:val="22"/>
        </w:rPr>
        <w:t>允价值作为投资成本；投资者投入的长期股权投资，按照投资合同或协议约定的价值作为投资成</w:t>
      </w:r>
      <w:r>
        <w:rPr>
          <w:rFonts w:ascii="宋体" w:hAnsi="宋体" w:cs="宋体" w:eastAsia="宋体" w:hint="default"/>
          <w:w w:val="99"/>
          <w:sz w:val="22"/>
          <w:szCs w:val="22"/>
        </w:rPr>
        <w:t> </w:t>
      </w:r>
      <w:r>
        <w:rPr>
          <w:rFonts w:ascii="宋体" w:hAnsi="宋体" w:cs="宋体" w:eastAsia="宋体" w:hint="default"/>
          <w:spacing w:val="-1"/>
          <w:sz w:val="22"/>
          <w:szCs w:val="22"/>
        </w:rPr>
        <w:t>本；以债务重组、非货币性资产交换等方式取得的长期股权投资，按相关会计准则的规定确定投</w:t>
      </w:r>
      <w:r>
        <w:rPr>
          <w:rFonts w:ascii="宋体" w:hAnsi="宋体" w:cs="宋体" w:eastAsia="宋体" w:hint="default"/>
          <w:w w:val="99"/>
          <w:sz w:val="22"/>
          <w:szCs w:val="22"/>
        </w:rPr>
        <w:t> </w:t>
      </w:r>
      <w:r>
        <w:rPr>
          <w:rFonts w:ascii="宋体" w:hAnsi="宋体" w:cs="宋体" w:eastAsia="宋体" w:hint="default"/>
          <w:sz w:val="22"/>
          <w:szCs w:val="22"/>
        </w:rPr>
        <w:t>资成本。</w:t>
      </w:r>
    </w:p>
    <w:p>
      <w:pPr>
        <w:spacing w:before="103"/>
        <w:ind w:left="591" w:right="213"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长期股权投资的后续计量</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本公司对子公司投资采用成本法核算，编制合并财务报表时按权益法进行调整；对合营企业</w:t>
      </w:r>
      <w:r>
        <w:rPr>
          <w:rFonts w:ascii="宋体" w:hAnsi="宋体" w:cs="宋体" w:eastAsia="宋体" w:hint="default"/>
          <w:w w:val="99"/>
          <w:sz w:val="22"/>
          <w:szCs w:val="22"/>
        </w:rPr>
        <w:t> </w:t>
      </w:r>
      <w:r>
        <w:rPr>
          <w:rFonts w:ascii="宋体" w:hAnsi="宋体" w:cs="宋体" w:eastAsia="宋体" w:hint="default"/>
          <w:spacing w:val="-1"/>
          <w:sz w:val="22"/>
          <w:szCs w:val="22"/>
        </w:rPr>
        <w:t>及联营企业投资采用权益法核算；对不具有控制、共同控制或重大影响并且在活跃市场中没有报</w:t>
      </w:r>
      <w:r>
        <w:rPr>
          <w:rFonts w:ascii="宋体" w:hAnsi="宋体" w:cs="宋体" w:eastAsia="宋体" w:hint="default"/>
          <w:w w:val="99"/>
          <w:sz w:val="22"/>
          <w:szCs w:val="22"/>
        </w:rPr>
        <w:t> </w:t>
      </w:r>
      <w:r>
        <w:rPr>
          <w:rFonts w:ascii="宋体" w:hAnsi="宋体" w:cs="宋体" w:eastAsia="宋体" w:hint="default"/>
          <w:sz w:val="22"/>
          <w:szCs w:val="22"/>
        </w:rPr>
        <w:t>价、公允价值不能可靠计量的长期股权投资，采用成本法核算。</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宋体" w:hAnsi="宋体" w:cs="宋体" w:eastAsia="宋体" w:hint="default"/>
          <w:b/>
          <w:bCs/>
          <w:sz w:val="22"/>
          <w:szCs w:val="22"/>
        </w:rPr>
        <w:t>．</w:t>
      </w:r>
      <w:r>
        <w:rPr>
          <w:rFonts w:ascii="宋体" w:hAnsi="宋体" w:cs="宋体" w:eastAsia="宋体" w:hint="default"/>
          <w:sz w:val="22"/>
          <w:szCs w:val="22"/>
        </w:rPr>
        <w:t>投资性房地产</w:t>
      </w:r>
      <w:r>
        <w:rPr>
          <w:rFonts w:ascii="宋体" w:hAnsi="宋体" w:cs="宋体" w:eastAsia="宋体" w:hint="default"/>
          <w:w w:val="99"/>
          <w:sz w:val="22"/>
          <w:szCs w:val="22"/>
        </w:rPr>
        <w:t> </w:t>
      </w:r>
      <w:r>
        <w:rPr>
          <w:rFonts w:ascii="宋体" w:hAnsi="宋体" w:cs="宋体" w:eastAsia="宋体" w:hint="default"/>
          <w:spacing w:val="-1"/>
          <w:sz w:val="22"/>
          <w:szCs w:val="22"/>
        </w:rPr>
        <w:t>本公司投资性房地产包括已出租的土地使用权、持有并准备增值后转让的土地使用权、已出</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租的建筑物。</w:t>
      </w:r>
    </w:p>
    <w:p>
      <w:pPr>
        <w:spacing w:line="324" w:lineRule="auto" w:before="180"/>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本公司投资性房地产按其成本作为入账价值，外购投资性房地产的成本包括购买价款、相关</w:t>
      </w:r>
      <w:r>
        <w:rPr>
          <w:rFonts w:ascii="宋体" w:hAnsi="宋体" w:cs="宋体" w:eastAsia="宋体" w:hint="default"/>
          <w:w w:val="99"/>
          <w:sz w:val="22"/>
          <w:szCs w:val="22"/>
        </w:rPr>
        <w:t> </w:t>
      </w:r>
      <w:r>
        <w:rPr>
          <w:rFonts w:ascii="宋体" w:hAnsi="宋体" w:cs="宋体" w:eastAsia="宋体" w:hint="default"/>
          <w:spacing w:val="-1"/>
          <w:sz w:val="22"/>
          <w:szCs w:val="22"/>
        </w:rPr>
        <w:t>税费和可直接归属于该资产的其他支出；自行建造投资性房地产的成本，由建造该项资产达到预</w:t>
      </w:r>
      <w:r>
        <w:rPr>
          <w:rFonts w:ascii="宋体" w:hAnsi="宋体" w:cs="宋体" w:eastAsia="宋体" w:hint="default"/>
          <w:w w:val="99"/>
          <w:sz w:val="22"/>
          <w:szCs w:val="22"/>
        </w:rPr>
        <w:t> </w:t>
      </w:r>
      <w:r>
        <w:rPr>
          <w:rFonts w:ascii="宋体" w:hAnsi="宋体" w:cs="宋体" w:eastAsia="宋体" w:hint="default"/>
          <w:sz w:val="22"/>
          <w:szCs w:val="22"/>
        </w:rPr>
        <w:t>定可使用状态前所发生的必要支出构成。</w:t>
      </w:r>
    </w:p>
    <w:p>
      <w:pPr>
        <w:spacing w:line="324" w:lineRule="auto" w:before="103"/>
        <w:ind w:left="138" w:right="104" w:firstLine="440"/>
        <w:jc w:val="both"/>
        <w:rPr>
          <w:rFonts w:ascii="宋体" w:hAnsi="宋体" w:cs="宋体" w:eastAsia="宋体" w:hint="default"/>
          <w:sz w:val="22"/>
          <w:szCs w:val="22"/>
        </w:rPr>
      </w:pPr>
      <w:r>
        <w:rPr>
          <w:rFonts w:ascii="宋体" w:hAnsi="宋体" w:cs="宋体" w:eastAsia="宋体" w:hint="default"/>
          <w:w w:val="95"/>
          <w:sz w:val="22"/>
          <w:szCs w:val="22"/>
        </w:rPr>
        <w:t>本公司对投资性房地产采用成本模式进行后续计量，按其预计使用寿命及净残值率对建筑物</w:t>
      </w:r>
      <w:r>
        <w:rPr>
          <w:rFonts w:ascii="宋体" w:hAnsi="宋体" w:cs="宋体" w:eastAsia="宋体" w:hint="default"/>
          <w:w w:val="99"/>
          <w:sz w:val="22"/>
          <w:szCs w:val="22"/>
        </w:rPr>
        <w:t> </w:t>
      </w:r>
      <w:r>
        <w:rPr>
          <w:rFonts w:ascii="宋体" w:hAnsi="宋体" w:cs="宋体" w:eastAsia="宋体" w:hint="default"/>
          <w:sz w:val="22"/>
          <w:szCs w:val="22"/>
        </w:rPr>
        <w:t>和土地使用权计提折旧或摊销。投资性房地产的预计使用寿命、净残值率及年折旧率列示如下：</w:t>
      </w:r>
    </w:p>
    <w:p>
      <w:pPr>
        <w:spacing w:line="240" w:lineRule="auto" w:before="10"/>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2623"/>
        <w:gridCol w:w="2212"/>
        <w:gridCol w:w="1760"/>
        <w:gridCol w:w="2045"/>
      </w:tblGrid>
      <w:tr>
        <w:trPr>
          <w:trHeight w:val="302" w:hRule="exact"/>
        </w:trPr>
        <w:tc>
          <w:tcPr>
            <w:tcW w:w="2623" w:type="dxa"/>
            <w:tcBorders>
              <w:top w:val="single" w:sz="12" w:space="0" w:color="000000"/>
              <w:left w:val="nil" w:sz="6" w:space="0" w:color="auto"/>
              <w:bottom w:val="single" w:sz="2" w:space="0" w:color="000000"/>
              <w:right w:val="nil" w:sz="6" w:space="0" w:color="auto"/>
            </w:tcBorders>
          </w:tcPr>
          <w:p>
            <w:pPr>
              <w:pStyle w:val="TableParagraph"/>
              <w:spacing w:line="247" w:lineRule="exact"/>
              <w:ind w:left="74" w:right="0"/>
              <w:jc w:val="center"/>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2212" w:type="dxa"/>
            <w:tcBorders>
              <w:top w:val="single" w:sz="12" w:space="0" w:color="000000"/>
              <w:left w:val="nil" w:sz="6" w:space="0" w:color="auto"/>
              <w:bottom w:val="single" w:sz="2" w:space="0" w:color="000000"/>
              <w:right w:val="nil" w:sz="6" w:space="0" w:color="auto"/>
            </w:tcBorders>
          </w:tcPr>
          <w:p>
            <w:pPr>
              <w:pStyle w:val="TableParagraph"/>
              <w:spacing w:line="247" w:lineRule="exact"/>
              <w:ind w:left="101" w:right="0"/>
              <w:jc w:val="center"/>
              <w:rPr>
                <w:rFonts w:ascii="宋体" w:hAnsi="宋体" w:cs="宋体" w:eastAsia="宋体" w:hint="default"/>
                <w:sz w:val="24"/>
                <w:szCs w:val="24"/>
              </w:rPr>
            </w:pPr>
            <w:r>
              <w:rPr>
                <w:rFonts w:ascii="宋体" w:hAnsi="宋体" w:cs="宋体" w:eastAsia="宋体" w:hint="default"/>
                <w:b/>
                <w:bCs/>
                <w:sz w:val="24"/>
                <w:szCs w:val="24"/>
              </w:rPr>
              <w:t>折旧年限</w:t>
            </w:r>
            <w:r>
              <w:rPr>
                <w:rFonts w:ascii="宋体" w:hAnsi="宋体" w:cs="宋体" w:eastAsia="宋体" w:hint="default"/>
                <w:sz w:val="24"/>
                <w:szCs w:val="24"/>
              </w:rPr>
            </w:r>
          </w:p>
        </w:tc>
        <w:tc>
          <w:tcPr>
            <w:tcW w:w="1760" w:type="dxa"/>
            <w:tcBorders>
              <w:top w:val="single" w:sz="12" w:space="0" w:color="000000"/>
              <w:left w:val="nil" w:sz="6" w:space="0" w:color="auto"/>
              <w:bottom w:val="single" w:sz="2" w:space="0" w:color="000000"/>
              <w:right w:val="nil" w:sz="6" w:space="0" w:color="auto"/>
            </w:tcBorders>
          </w:tcPr>
          <w:p>
            <w:pPr>
              <w:pStyle w:val="TableParagraph"/>
              <w:spacing w:line="247" w:lineRule="exact"/>
              <w:ind w:left="107" w:right="0"/>
              <w:jc w:val="center"/>
              <w:rPr>
                <w:rFonts w:ascii="宋体" w:hAnsi="宋体" w:cs="宋体" w:eastAsia="宋体" w:hint="default"/>
                <w:sz w:val="24"/>
                <w:szCs w:val="24"/>
              </w:rPr>
            </w:pPr>
            <w:r>
              <w:rPr>
                <w:rFonts w:ascii="宋体" w:hAnsi="宋体" w:cs="宋体" w:eastAsia="宋体" w:hint="default"/>
                <w:b/>
                <w:bCs/>
                <w:sz w:val="24"/>
                <w:szCs w:val="24"/>
              </w:rPr>
              <w:t>残值率</w:t>
            </w:r>
            <w:r>
              <w:rPr>
                <w:rFonts w:ascii="宋体" w:hAnsi="宋体" w:cs="宋体" w:eastAsia="宋体" w:hint="default"/>
                <w:sz w:val="24"/>
                <w:szCs w:val="24"/>
              </w:rPr>
            </w:r>
          </w:p>
        </w:tc>
        <w:tc>
          <w:tcPr>
            <w:tcW w:w="2045" w:type="dxa"/>
            <w:tcBorders>
              <w:top w:val="single" w:sz="12" w:space="0" w:color="000000"/>
              <w:left w:val="nil" w:sz="6" w:space="0" w:color="auto"/>
              <w:bottom w:val="single" w:sz="2" w:space="0" w:color="000000"/>
              <w:right w:val="nil" w:sz="6" w:space="0" w:color="auto"/>
            </w:tcBorders>
          </w:tcPr>
          <w:p>
            <w:pPr>
              <w:pStyle w:val="TableParagraph"/>
              <w:spacing w:line="247" w:lineRule="exact"/>
              <w:ind w:left="84" w:right="0"/>
              <w:jc w:val="center"/>
              <w:rPr>
                <w:rFonts w:ascii="宋体" w:hAnsi="宋体" w:cs="宋体" w:eastAsia="宋体" w:hint="default"/>
                <w:sz w:val="24"/>
                <w:szCs w:val="24"/>
              </w:rPr>
            </w:pPr>
            <w:r>
              <w:rPr>
                <w:rFonts w:ascii="宋体" w:hAnsi="宋体" w:cs="宋体" w:eastAsia="宋体" w:hint="default"/>
                <w:b/>
                <w:bCs/>
                <w:sz w:val="24"/>
                <w:szCs w:val="24"/>
              </w:rPr>
              <w:t>年折旧率</w:t>
            </w:r>
            <w:r>
              <w:rPr>
                <w:rFonts w:ascii="宋体" w:hAnsi="宋体" w:cs="宋体" w:eastAsia="宋体" w:hint="default"/>
                <w:sz w:val="24"/>
                <w:szCs w:val="24"/>
              </w:rPr>
            </w:r>
          </w:p>
        </w:tc>
      </w:tr>
      <w:tr>
        <w:trPr>
          <w:trHeight w:val="302" w:hRule="exact"/>
        </w:trPr>
        <w:tc>
          <w:tcPr>
            <w:tcW w:w="2623" w:type="dxa"/>
            <w:tcBorders>
              <w:top w:val="single" w:sz="2" w:space="0" w:color="000000"/>
              <w:left w:val="nil" w:sz="6" w:space="0" w:color="auto"/>
              <w:bottom w:val="single" w:sz="12" w:space="0" w:color="000000"/>
              <w:right w:val="nil" w:sz="6" w:space="0" w:color="auto"/>
            </w:tcBorders>
          </w:tcPr>
          <w:p>
            <w:pPr>
              <w:pStyle w:val="TableParagraph"/>
              <w:spacing w:line="247" w:lineRule="exact"/>
              <w:ind w:left="74" w:right="0"/>
              <w:jc w:val="center"/>
              <w:rPr>
                <w:rFonts w:ascii="宋体" w:hAnsi="宋体" w:cs="宋体" w:eastAsia="宋体" w:hint="default"/>
                <w:sz w:val="24"/>
                <w:szCs w:val="24"/>
              </w:rPr>
            </w:pPr>
            <w:r>
              <w:rPr>
                <w:rFonts w:ascii="宋体" w:hAnsi="宋体" w:cs="宋体" w:eastAsia="宋体" w:hint="default"/>
                <w:sz w:val="24"/>
                <w:szCs w:val="24"/>
              </w:rPr>
              <w:t>房屋建筑物</w:t>
            </w:r>
          </w:p>
        </w:tc>
        <w:tc>
          <w:tcPr>
            <w:tcW w:w="2212" w:type="dxa"/>
            <w:tcBorders>
              <w:top w:val="single" w:sz="2" w:space="0" w:color="000000"/>
              <w:left w:val="nil" w:sz="6" w:space="0" w:color="auto"/>
              <w:bottom w:val="single" w:sz="12" w:space="0" w:color="000000"/>
              <w:right w:val="nil" w:sz="6" w:space="0" w:color="auto"/>
            </w:tcBorders>
          </w:tcPr>
          <w:p>
            <w:pPr>
              <w:pStyle w:val="TableParagraph"/>
              <w:spacing w:line="247" w:lineRule="exact"/>
              <w:ind w:left="102" w:right="0"/>
              <w:jc w:val="center"/>
              <w:rPr>
                <w:rFonts w:ascii="宋体" w:hAnsi="宋体" w:cs="宋体" w:eastAsia="宋体" w:hint="default"/>
                <w:sz w:val="24"/>
                <w:szCs w:val="24"/>
              </w:rPr>
            </w:pPr>
            <w:r>
              <w:rPr>
                <w:rFonts w:ascii="宋体" w:hAnsi="宋体" w:cs="宋体" w:eastAsia="宋体" w:hint="default"/>
                <w:sz w:val="24"/>
                <w:szCs w:val="24"/>
              </w:rPr>
              <w:t>30-45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60" w:type="dxa"/>
            <w:tcBorders>
              <w:top w:val="single" w:sz="2" w:space="0" w:color="000000"/>
              <w:left w:val="nil" w:sz="6" w:space="0" w:color="auto"/>
              <w:bottom w:val="single" w:sz="12" w:space="0" w:color="000000"/>
              <w:right w:val="nil" w:sz="6" w:space="0" w:color="auto"/>
            </w:tcBorders>
          </w:tcPr>
          <w:p>
            <w:pPr>
              <w:pStyle w:val="TableParagraph"/>
              <w:spacing w:line="247" w:lineRule="exact"/>
              <w:ind w:left="109" w:right="0"/>
              <w:jc w:val="center"/>
              <w:rPr>
                <w:rFonts w:ascii="宋体" w:hAnsi="宋体" w:cs="宋体" w:eastAsia="宋体" w:hint="default"/>
                <w:sz w:val="24"/>
                <w:szCs w:val="24"/>
              </w:rPr>
            </w:pPr>
            <w:r>
              <w:rPr>
                <w:rFonts w:ascii="宋体"/>
                <w:sz w:val="24"/>
              </w:rPr>
              <w:t>3-5%</w:t>
            </w:r>
          </w:p>
        </w:tc>
        <w:tc>
          <w:tcPr>
            <w:tcW w:w="2045" w:type="dxa"/>
            <w:tcBorders>
              <w:top w:val="single" w:sz="2" w:space="0" w:color="000000"/>
              <w:left w:val="nil" w:sz="6" w:space="0" w:color="auto"/>
              <w:bottom w:val="single" w:sz="12" w:space="0" w:color="000000"/>
              <w:right w:val="nil" w:sz="6" w:space="0" w:color="auto"/>
            </w:tcBorders>
          </w:tcPr>
          <w:p>
            <w:pPr>
              <w:pStyle w:val="TableParagraph"/>
              <w:spacing w:line="247" w:lineRule="exact"/>
              <w:ind w:left="84" w:right="0"/>
              <w:jc w:val="center"/>
              <w:rPr>
                <w:rFonts w:ascii="宋体" w:hAnsi="宋体" w:cs="宋体" w:eastAsia="宋体" w:hint="default"/>
                <w:sz w:val="24"/>
                <w:szCs w:val="24"/>
              </w:rPr>
            </w:pPr>
            <w:r>
              <w:rPr>
                <w:rFonts w:ascii="宋体"/>
                <w:sz w:val="24"/>
              </w:rPr>
              <w:t>2.11-3.23%</w:t>
            </w:r>
          </w:p>
        </w:tc>
      </w:tr>
    </w:tbl>
    <w:p>
      <w:pPr>
        <w:spacing w:line="324" w:lineRule="auto" w:before="79"/>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对投资性房地产的预计使用寿命、预计净残值和折旧方法于每年年度终了进行复核并作适当</w:t>
      </w:r>
      <w:r>
        <w:rPr>
          <w:rFonts w:ascii="宋体" w:hAnsi="宋体" w:cs="宋体" w:eastAsia="宋体" w:hint="default"/>
          <w:w w:val="99"/>
          <w:sz w:val="22"/>
          <w:szCs w:val="22"/>
        </w:rPr>
        <w:t> </w:t>
      </w:r>
      <w:r>
        <w:rPr>
          <w:rFonts w:ascii="宋体" w:hAnsi="宋体" w:cs="宋体" w:eastAsia="宋体" w:hint="default"/>
          <w:sz w:val="22"/>
          <w:szCs w:val="22"/>
        </w:rPr>
        <w:t>调整。</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投资性房地产的用途改变为自用时，则自改变之日起，将该投资性房地产转换为固定资产或</w:t>
      </w:r>
      <w:r>
        <w:rPr>
          <w:rFonts w:ascii="宋体" w:hAnsi="宋体" w:cs="宋体" w:eastAsia="宋体" w:hint="default"/>
          <w:w w:val="99"/>
          <w:sz w:val="22"/>
          <w:szCs w:val="22"/>
        </w:rPr>
        <w:t> </w:t>
      </w:r>
      <w:r>
        <w:rPr>
          <w:rFonts w:ascii="宋体" w:hAnsi="宋体" w:cs="宋体" w:eastAsia="宋体" w:hint="default"/>
          <w:spacing w:val="-1"/>
          <w:sz w:val="22"/>
          <w:szCs w:val="22"/>
        </w:rPr>
        <w:t>无形资产。自用房地产的用途改变为赚取租金或资本增值时，则自改变之日起，将固定资产或无</w:t>
      </w:r>
      <w:r>
        <w:rPr>
          <w:rFonts w:ascii="宋体" w:hAnsi="宋体" w:cs="宋体" w:eastAsia="宋体" w:hint="default"/>
          <w:w w:val="99"/>
          <w:sz w:val="22"/>
          <w:szCs w:val="22"/>
        </w:rPr>
        <w:t> </w:t>
      </w:r>
      <w:r>
        <w:rPr>
          <w:rFonts w:ascii="宋体" w:hAnsi="宋体" w:cs="宋体" w:eastAsia="宋体" w:hint="default"/>
          <w:sz w:val="22"/>
          <w:szCs w:val="22"/>
        </w:rPr>
        <w:t>形资产转换为投资性房地产。发生转换时，以转换前的账面价值作为转换后的入账价值。</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当投资性房地产被处置，或者永久退出使用且预计不能从其处置中取得经济利益时，终止确</w:t>
      </w:r>
      <w:r>
        <w:rPr>
          <w:rFonts w:ascii="宋体" w:hAnsi="宋体" w:cs="宋体" w:eastAsia="宋体" w:hint="default"/>
          <w:w w:val="99"/>
          <w:sz w:val="22"/>
          <w:szCs w:val="22"/>
        </w:rPr>
        <w:t> </w:t>
      </w:r>
      <w:r>
        <w:rPr>
          <w:rFonts w:ascii="宋体" w:hAnsi="宋体" w:cs="宋体" w:eastAsia="宋体" w:hint="default"/>
          <w:spacing w:val="-1"/>
          <w:sz w:val="22"/>
          <w:szCs w:val="22"/>
        </w:rPr>
        <w:t>认该项投资性房地产。投资性房地产出售、转让、报废或毁损的处置收入扣除其账面价值和相关</w:t>
      </w:r>
      <w:r>
        <w:rPr>
          <w:rFonts w:ascii="宋体" w:hAnsi="宋体" w:cs="宋体" w:eastAsia="宋体" w:hint="default"/>
          <w:w w:val="99"/>
          <w:sz w:val="22"/>
          <w:szCs w:val="22"/>
        </w:rPr>
        <w:t> </w:t>
      </w:r>
      <w:r>
        <w:rPr>
          <w:rFonts w:ascii="宋体" w:hAnsi="宋体" w:cs="宋体" w:eastAsia="宋体" w:hint="default"/>
          <w:sz w:val="22"/>
          <w:szCs w:val="22"/>
        </w:rPr>
        <w:t>税费后的金额计入当期损益。</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w:t>
      </w:r>
      <w:r>
        <w:rPr>
          <w:rFonts w:ascii="宋体" w:hAnsi="宋体" w:cs="宋体" w:eastAsia="宋体" w:hint="default"/>
          <w:b/>
          <w:bCs/>
          <w:sz w:val="22"/>
          <w:szCs w:val="22"/>
        </w:rPr>
        <w:t>．</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1"/>
          <w:sz w:val="22"/>
          <w:szCs w:val="22"/>
        </w:rPr>
        <w:t>本公司固定资产是指同时具有以下特征，即为生产商品、提供劳务、出租（不包括出租的房</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屋建筑物）或经营管理而持有的，使用年限超过一年的有形资产。</w:t>
      </w:r>
    </w:p>
    <w:p>
      <w:pPr>
        <w:spacing w:line="324" w:lineRule="auto" w:before="180"/>
        <w:ind w:left="138" w:right="143" w:firstLine="440"/>
        <w:jc w:val="both"/>
        <w:rPr>
          <w:rFonts w:ascii="宋体" w:hAnsi="宋体" w:cs="宋体" w:eastAsia="宋体" w:hint="default"/>
          <w:sz w:val="22"/>
          <w:szCs w:val="22"/>
        </w:rPr>
      </w:pPr>
      <w:r>
        <w:rPr>
          <w:rFonts w:ascii="宋体" w:hAnsi="宋体" w:cs="宋体" w:eastAsia="宋体" w:hint="default"/>
          <w:spacing w:val="-2"/>
          <w:sz w:val="22"/>
          <w:szCs w:val="22"/>
        </w:rPr>
        <w:t>固定资产包括房屋建筑物、通用设备、专用设备、运输设备及电子设备，按其取得时的实际</w:t>
      </w:r>
      <w:r>
        <w:rPr>
          <w:rFonts w:ascii="宋体" w:hAnsi="宋体" w:cs="宋体" w:eastAsia="宋体" w:hint="default"/>
          <w:w w:val="99"/>
          <w:sz w:val="22"/>
          <w:szCs w:val="22"/>
        </w:rPr>
        <w:t> </w:t>
      </w:r>
      <w:r>
        <w:rPr>
          <w:rFonts w:ascii="宋体" w:hAnsi="宋体" w:cs="宋体" w:eastAsia="宋体" w:hint="default"/>
          <w:spacing w:val="-1"/>
          <w:sz w:val="22"/>
          <w:szCs w:val="22"/>
        </w:rPr>
        <w:t>成本作为入账价值，其中，外购的固定资产的成本包括买价、增值税、进口关税等相关税费，以</w:t>
      </w:r>
      <w:r>
        <w:rPr>
          <w:rFonts w:ascii="宋体" w:hAnsi="宋体" w:cs="宋体" w:eastAsia="宋体" w:hint="default"/>
          <w:w w:val="99"/>
          <w:sz w:val="22"/>
          <w:szCs w:val="22"/>
        </w:rPr>
        <w:t> </w:t>
      </w:r>
      <w:r>
        <w:rPr>
          <w:rFonts w:ascii="宋体" w:hAnsi="宋体" w:cs="宋体" w:eastAsia="宋体" w:hint="default"/>
          <w:spacing w:val="-1"/>
          <w:sz w:val="22"/>
          <w:szCs w:val="22"/>
        </w:rPr>
        <w:t>及为使固定资产达到预定可使用状态前所发生的可直接归属于该资产的其他支出；自行建造固定</w:t>
      </w:r>
      <w:r>
        <w:rPr>
          <w:rFonts w:ascii="宋体" w:hAnsi="宋体" w:cs="宋体" w:eastAsia="宋体" w:hint="default"/>
          <w:w w:val="99"/>
          <w:sz w:val="22"/>
          <w:szCs w:val="22"/>
        </w:rPr>
        <w:t> </w:t>
      </w:r>
      <w:r>
        <w:rPr>
          <w:rFonts w:ascii="宋体" w:hAnsi="宋体" w:cs="宋体" w:eastAsia="宋体" w:hint="default"/>
          <w:spacing w:val="-1"/>
          <w:sz w:val="22"/>
          <w:szCs w:val="22"/>
        </w:rPr>
        <w:t>资产的成本，由建造该项资产达到预定可使用状态前所发生的必要支出构成；投资者投入的固定</w:t>
      </w:r>
      <w:r>
        <w:rPr>
          <w:rFonts w:ascii="宋体" w:hAnsi="宋体" w:cs="宋体" w:eastAsia="宋体" w:hint="default"/>
          <w:w w:val="99"/>
          <w:sz w:val="22"/>
          <w:szCs w:val="22"/>
        </w:rPr>
        <w:t> </w:t>
      </w:r>
      <w:r>
        <w:rPr>
          <w:rFonts w:ascii="宋体" w:hAnsi="宋体" w:cs="宋体" w:eastAsia="宋体" w:hint="default"/>
          <w:spacing w:val="-1"/>
          <w:sz w:val="22"/>
          <w:szCs w:val="22"/>
        </w:rPr>
        <w:t>资产，按投资合同或协议约定的价值作为入账价值，但合同或协议约定价值不公允的按公允价值</w:t>
      </w:r>
      <w:r>
        <w:rPr>
          <w:rFonts w:ascii="宋体" w:hAnsi="宋体" w:cs="宋体" w:eastAsia="宋体" w:hint="default"/>
          <w:w w:val="99"/>
          <w:sz w:val="22"/>
          <w:szCs w:val="22"/>
        </w:rPr>
        <w:t> </w:t>
      </w:r>
      <w:r>
        <w:rPr>
          <w:rFonts w:ascii="宋体" w:hAnsi="宋体" w:cs="宋体" w:eastAsia="宋体" w:hint="default"/>
          <w:spacing w:val="-1"/>
          <w:sz w:val="22"/>
          <w:szCs w:val="22"/>
        </w:rPr>
        <w:t>入账；融资租赁租入的固定资产，按租赁开始日租赁资产公允价值与最低租赁付款额的现值两者</w:t>
      </w:r>
      <w:r>
        <w:rPr>
          <w:rFonts w:ascii="宋体" w:hAnsi="宋体" w:cs="宋体" w:eastAsia="宋体" w:hint="default"/>
          <w:w w:val="99"/>
          <w:sz w:val="22"/>
          <w:szCs w:val="22"/>
        </w:rPr>
        <w:t> </w:t>
      </w:r>
      <w:r>
        <w:rPr>
          <w:rFonts w:ascii="宋体" w:hAnsi="宋体" w:cs="宋体" w:eastAsia="宋体" w:hint="default"/>
          <w:sz w:val="22"/>
          <w:szCs w:val="22"/>
        </w:rPr>
        <w:t>中较低者，作为入账价值。</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除已提足折旧仍继续使用的固定资产外，公司对所有固定资产计提折旧。固定资产采用平均</w:t>
      </w:r>
      <w:r>
        <w:rPr>
          <w:rFonts w:ascii="宋体" w:hAnsi="宋体" w:cs="宋体" w:eastAsia="宋体" w:hint="default"/>
          <w:w w:val="99"/>
          <w:sz w:val="22"/>
          <w:szCs w:val="22"/>
        </w:rPr>
        <w:t> </w:t>
      </w:r>
      <w:r>
        <w:rPr>
          <w:rFonts w:ascii="宋体" w:hAnsi="宋体" w:cs="宋体" w:eastAsia="宋体" w:hint="default"/>
          <w:spacing w:val="-3"/>
          <w:sz w:val="22"/>
          <w:szCs w:val="22"/>
        </w:rPr>
        <w:t>年限法计提折旧。根据固定资产的类别、估计经济使用年限、预计残值（残值率为</w:t>
      </w:r>
      <w:r>
        <w:rPr>
          <w:rFonts w:ascii="宋体" w:hAnsi="宋体" w:cs="宋体" w:eastAsia="宋体" w:hint="default"/>
          <w:spacing w:val="-35"/>
          <w:sz w:val="22"/>
          <w:szCs w:val="22"/>
        </w:rPr>
        <w:t> </w:t>
      </w:r>
      <w:r>
        <w:rPr>
          <w:rFonts w:ascii="宋体" w:hAnsi="宋体" w:cs="宋体" w:eastAsia="宋体" w:hint="default"/>
          <w:spacing w:val="-3"/>
          <w:sz w:val="22"/>
          <w:szCs w:val="22"/>
        </w:rPr>
        <w:t>3-5%）确定折</w:t>
      </w:r>
    </w:p>
    <w:p>
      <w:pPr>
        <w:spacing w:after="0" w:line="324" w:lineRule="auto"/>
        <w:jc w:val="both"/>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198"/>
        <w:gridCol w:w="2087"/>
        <w:gridCol w:w="2629"/>
        <w:gridCol w:w="2126"/>
        <w:gridCol w:w="912"/>
      </w:tblGrid>
      <w:tr>
        <w:trPr>
          <w:trHeight w:val="497" w:hRule="exact"/>
        </w:trPr>
        <w:tc>
          <w:tcPr>
            <w:tcW w:w="1198"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旧率如下：</w:t>
            </w:r>
          </w:p>
        </w:tc>
        <w:tc>
          <w:tcPr>
            <w:tcW w:w="7754" w:type="dxa"/>
            <w:gridSpan w:val="4"/>
            <w:tcBorders>
              <w:top w:val="nil" w:sz="6" w:space="0" w:color="auto"/>
              <w:left w:val="nil" w:sz="6" w:space="0" w:color="auto"/>
              <w:bottom w:val="single" w:sz="12" w:space="0" w:color="000000"/>
              <w:right w:val="nil" w:sz="6" w:space="0" w:color="auto"/>
            </w:tcBorders>
          </w:tcPr>
          <w:p>
            <w:pPr/>
          </w:p>
        </w:tc>
      </w:tr>
      <w:tr>
        <w:trPr>
          <w:trHeight w:val="304" w:hRule="exact"/>
        </w:trPr>
        <w:tc>
          <w:tcPr>
            <w:tcW w:w="1198" w:type="dxa"/>
            <w:tcBorders>
              <w:top w:val="single" w:sz="12" w:space="0" w:color="000000"/>
              <w:left w:val="nil" w:sz="6" w:space="0" w:color="auto"/>
              <w:bottom w:val="single" w:sz="4" w:space="0" w:color="000000"/>
              <w:right w:val="nil" w:sz="6" w:space="0" w:color="auto"/>
            </w:tcBorders>
          </w:tcPr>
          <w:p>
            <w:pPr/>
          </w:p>
        </w:tc>
        <w:tc>
          <w:tcPr>
            <w:tcW w:w="2087" w:type="dxa"/>
            <w:tcBorders>
              <w:top w:val="single" w:sz="12" w:space="0" w:color="000000"/>
              <w:left w:val="nil" w:sz="6" w:space="0" w:color="auto"/>
              <w:bottom w:val="single" w:sz="4" w:space="0" w:color="000000"/>
              <w:right w:val="nil" w:sz="6" w:space="0" w:color="auto"/>
            </w:tcBorders>
          </w:tcPr>
          <w:p>
            <w:pPr>
              <w:pStyle w:val="TableParagraph"/>
              <w:spacing w:line="242" w:lineRule="exact"/>
              <w:ind w:left="150" w:right="0"/>
              <w:jc w:val="left"/>
              <w:rPr>
                <w:rFonts w:ascii="宋体" w:hAnsi="宋体" w:cs="宋体" w:eastAsia="宋体" w:hint="default"/>
                <w:sz w:val="20"/>
                <w:szCs w:val="20"/>
              </w:rPr>
            </w:pPr>
            <w:r>
              <w:rPr>
                <w:rFonts w:ascii="宋体" w:hAnsi="宋体" w:cs="宋体" w:eastAsia="宋体" w:hint="default"/>
                <w:b/>
                <w:bCs/>
                <w:sz w:val="20"/>
                <w:szCs w:val="20"/>
              </w:rPr>
              <w:t>资产类别</w:t>
            </w:r>
            <w:r>
              <w:rPr>
                <w:rFonts w:ascii="宋体" w:hAnsi="宋体" w:cs="宋体" w:eastAsia="宋体" w:hint="default"/>
                <w:sz w:val="20"/>
                <w:szCs w:val="20"/>
              </w:rPr>
            </w:r>
          </w:p>
        </w:tc>
        <w:tc>
          <w:tcPr>
            <w:tcW w:w="2629" w:type="dxa"/>
            <w:tcBorders>
              <w:top w:val="single" w:sz="12" w:space="0" w:color="000000"/>
              <w:left w:val="nil" w:sz="6" w:space="0" w:color="auto"/>
              <w:bottom w:val="single" w:sz="4" w:space="0" w:color="000000"/>
              <w:right w:val="nil" w:sz="6" w:space="0" w:color="auto"/>
            </w:tcBorders>
          </w:tcPr>
          <w:p>
            <w:pPr>
              <w:pStyle w:val="TableParagraph"/>
              <w:spacing w:line="242" w:lineRule="exact"/>
              <w:ind w:right="966"/>
              <w:jc w:val="right"/>
              <w:rPr>
                <w:rFonts w:ascii="宋体" w:hAnsi="宋体" w:cs="宋体" w:eastAsia="宋体" w:hint="default"/>
                <w:sz w:val="20"/>
                <w:szCs w:val="20"/>
              </w:rPr>
            </w:pPr>
            <w:r>
              <w:rPr>
                <w:rFonts w:ascii="宋体" w:hAnsi="宋体" w:cs="宋体" w:eastAsia="宋体" w:hint="default"/>
                <w:b/>
                <w:bCs/>
                <w:w w:val="95"/>
                <w:sz w:val="20"/>
                <w:szCs w:val="20"/>
              </w:rPr>
              <w:t>折旧年限</w:t>
            </w:r>
            <w:r>
              <w:rPr>
                <w:rFonts w:ascii="宋体" w:hAnsi="宋体" w:cs="宋体" w:eastAsia="宋体" w:hint="default"/>
                <w:sz w:val="20"/>
                <w:szCs w:val="20"/>
              </w:rPr>
            </w:r>
          </w:p>
        </w:tc>
        <w:tc>
          <w:tcPr>
            <w:tcW w:w="2126" w:type="dxa"/>
            <w:tcBorders>
              <w:top w:val="single" w:sz="12" w:space="0" w:color="000000"/>
              <w:left w:val="nil" w:sz="6" w:space="0" w:color="auto"/>
              <w:bottom w:val="single" w:sz="4" w:space="0" w:color="000000"/>
              <w:right w:val="nil" w:sz="6" w:space="0" w:color="auto"/>
            </w:tcBorders>
          </w:tcPr>
          <w:p>
            <w:pPr>
              <w:pStyle w:val="TableParagraph"/>
              <w:spacing w:line="242" w:lineRule="exact"/>
              <w:ind w:left="1113"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c>
          <w:tcPr>
            <w:tcW w:w="912" w:type="dxa"/>
            <w:tcBorders>
              <w:top w:val="single" w:sz="12" w:space="0" w:color="000000"/>
              <w:left w:val="nil" w:sz="6" w:space="0" w:color="auto"/>
              <w:bottom w:val="single" w:sz="4" w:space="0" w:color="000000"/>
              <w:right w:val="nil" w:sz="6" w:space="0" w:color="auto"/>
            </w:tcBorders>
          </w:tcPr>
          <w:p>
            <w:pPr/>
          </w:p>
        </w:tc>
      </w:tr>
      <w:tr>
        <w:trPr>
          <w:trHeight w:val="277" w:hRule="exact"/>
        </w:trPr>
        <w:tc>
          <w:tcPr>
            <w:tcW w:w="1198" w:type="dxa"/>
            <w:tcBorders>
              <w:top w:val="single" w:sz="4" w:space="0" w:color="000000"/>
              <w:left w:val="nil" w:sz="6" w:space="0" w:color="auto"/>
              <w:bottom w:val="nil" w:sz="6" w:space="0" w:color="auto"/>
              <w:right w:val="nil" w:sz="6" w:space="0" w:color="auto"/>
            </w:tcBorders>
          </w:tcPr>
          <w:p>
            <w:pPr/>
          </w:p>
        </w:tc>
        <w:tc>
          <w:tcPr>
            <w:tcW w:w="2087" w:type="dxa"/>
            <w:tcBorders>
              <w:top w:val="single" w:sz="4" w:space="0" w:color="000000"/>
              <w:left w:val="nil" w:sz="6" w:space="0" w:color="auto"/>
              <w:bottom w:val="nil" w:sz="6" w:space="0" w:color="auto"/>
              <w:right w:val="nil" w:sz="6" w:space="0" w:color="auto"/>
            </w:tcBorders>
          </w:tcPr>
          <w:p>
            <w:pPr>
              <w:pStyle w:val="TableParagraph"/>
              <w:spacing w:line="247" w:lineRule="exact"/>
              <w:ind w:left="63"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629" w:type="dxa"/>
            <w:tcBorders>
              <w:top w:val="single" w:sz="4" w:space="0" w:color="000000"/>
              <w:left w:val="nil" w:sz="6" w:space="0" w:color="auto"/>
              <w:bottom w:val="nil" w:sz="6" w:space="0" w:color="auto"/>
              <w:right w:val="nil" w:sz="6" w:space="0" w:color="auto"/>
            </w:tcBorders>
          </w:tcPr>
          <w:p>
            <w:pPr>
              <w:pStyle w:val="TableParagraph"/>
              <w:spacing w:line="247" w:lineRule="exact"/>
              <w:ind w:right="902"/>
              <w:jc w:val="right"/>
              <w:rPr>
                <w:rFonts w:ascii="宋体" w:hAnsi="宋体" w:cs="宋体" w:eastAsia="宋体" w:hint="default"/>
                <w:sz w:val="24"/>
                <w:szCs w:val="24"/>
              </w:rPr>
            </w:pPr>
            <w:r>
              <w:rPr>
                <w:rFonts w:ascii="宋体" w:hAnsi="宋体" w:cs="宋体" w:eastAsia="宋体" w:hint="default"/>
                <w:sz w:val="24"/>
                <w:szCs w:val="24"/>
              </w:rPr>
              <w:t>30-45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single" w:sz="4" w:space="0" w:color="000000"/>
              <w:left w:val="nil" w:sz="6" w:space="0" w:color="auto"/>
              <w:bottom w:val="single" w:sz="6" w:space="0" w:color="000000"/>
              <w:right w:val="nil" w:sz="6" w:space="0" w:color="auto"/>
            </w:tcBorders>
          </w:tcPr>
          <w:p>
            <w:pPr>
              <w:pStyle w:val="TableParagraph"/>
              <w:spacing w:line="223" w:lineRule="exact"/>
              <w:ind w:right="29"/>
              <w:jc w:val="right"/>
              <w:rPr>
                <w:rFonts w:ascii="宋体" w:hAnsi="宋体" w:cs="宋体" w:eastAsia="宋体" w:hint="default"/>
                <w:sz w:val="18"/>
                <w:szCs w:val="18"/>
              </w:rPr>
            </w:pPr>
            <w:r>
              <w:rPr>
                <w:rFonts w:ascii="宋体"/>
                <w:sz w:val="18"/>
              </w:rPr>
              <w:t>2.11-3.23%</w:t>
            </w:r>
          </w:p>
        </w:tc>
        <w:tc>
          <w:tcPr>
            <w:tcW w:w="912" w:type="dxa"/>
            <w:tcBorders>
              <w:top w:val="single" w:sz="4" w:space="0" w:color="000000"/>
              <w:left w:val="nil" w:sz="6" w:space="0" w:color="auto"/>
              <w:bottom w:val="nil" w:sz="6" w:space="0" w:color="auto"/>
              <w:right w:val="nil" w:sz="6" w:space="0" w:color="auto"/>
            </w:tcBorders>
          </w:tcPr>
          <w:p>
            <w:pPr/>
          </w:p>
        </w:tc>
      </w:tr>
      <w:tr>
        <w:trPr>
          <w:trHeight w:val="282" w:hRule="exact"/>
        </w:trPr>
        <w:tc>
          <w:tcPr>
            <w:tcW w:w="1198"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59" w:lineRule="exact"/>
              <w:ind w:left="63" w:right="0"/>
              <w:jc w:val="left"/>
              <w:rPr>
                <w:rFonts w:ascii="宋体" w:hAnsi="宋体" w:cs="宋体" w:eastAsia="宋体" w:hint="default"/>
                <w:sz w:val="24"/>
                <w:szCs w:val="24"/>
              </w:rPr>
            </w:pPr>
            <w:r>
              <w:rPr>
                <w:rFonts w:ascii="宋体" w:hAnsi="宋体" w:cs="宋体" w:eastAsia="宋体" w:hint="default"/>
                <w:sz w:val="24"/>
                <w:szCs w:val="24"/>
              </w:rPr>
              <w:t>通用设备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59" w:lineRule="exact"/>
              <w:ind w:right="902"/>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single" w:sz="6" w:space="0" w:color="000000"/>
              <w:left w:val="nil" w:sz="6" w:space="0" w:color="auto"/>
              <w:bottom w:val="nil" w:sz="6" w:space="0" w:color="auto"/>
              <w:right w:val="nil" w:sz="6" w:space="0" w:color="auto"/>
            </w:tcBorders>
          </w:tcPr>
          <w:p>
            <w:pPr>
              <w:pStyle w:val="TableParagraph"/>
              <w:spacing w:line="252" w:lineRule="exact"/>
              <w:ind w:right="29"/>
              <w:jc w:val="right"/>
              <w:rPr>
                <w:rFonts w:ascii="宋体" w:hAnsi="宋体" w:cs="宋体" w:eastAsia="宋体" w:hint="default"/>
                <w:sz w:val="24"/>
                <w:szCs w:val="24"/>
              </w:rPr>
            </w:pPr>
            <w:r>
              <w:rPr>
                <w:rFonts w:ascii="宋体"/>
                <w:sz w:val="24"/>
              </w:rPr>
              <w:t>9.50-19.40%</w:t>
            </w:r>
          </w:p>
        </w:tc>
        <w:tc>
          <w:tcPr>
            <w:tcW w:w="912" w:type="dxa"/>
            <w:tcBorders>
              <w:top w:val="nil" w:sz="6" w:space="0" w:color="auto"/>
              <w:left w:val="nil" w:sz="6" w:space="0" w:color="auto"/>
              <w:bottom w:val="nil" w:sz="6" w:space="0" w:color="auto"/>
              <w:right w:val="nil" w:sz="6" w:space="0" w:color="auto"/>
            </w:tcBorders>
          </w:tcPr>
          <w:p>
            <w:pPr/>
          </w:p>
        </w:tc>
      </w:tr>
      <w:tr>
        <w:trPr>
          <w:trHeight w:val="284" w:hRule="exact"/>
        </w:trPr>
        <w:tc>
          <w:tcPr>
            <w:tcW w:w="1198"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62" w:lineRule="exact"/>
              <w:ind w:left="63"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nil" w:sz="6" w:space="0" w:color="auto"/>
              <w:left w:val="nil" w:sz="6" w:space="0" w:color="auto"/>
              <w:bottom w:val="nil" w:sz="6" w:space="0" w:color="auto"/>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9.50-19.40%</w:t>
            </w:r>
          </w:p>
        </w:tc>
        <w:tc>
          <w:tcPr>
            <w:tcW w:w="912" w:type="dxa"/>
            <w:tcBorders>
              <w:top w:val="nil" w:sz="6" w:space="0" w:color="auto"/>
              <w:left w:val="nil" w:sz="6" w:space="0" w:color="auto"/>
              <w:bottom w:val="nil" w:sz="6" w:space="0" w:color="auto"/>
              <w:right w:val="nil" w:sz="6" w:space="0" w:color="auto"/>
            </w:tcBorders>
          </w:tcPr>
          <w:p>
            <w:pPr/>
          </w:p>
        </w:tc>
      </w:tr>
      <w:tr>
        <w:trPr>
          <w:trHeight w:val="284" w:hRule="exact"/>
        </w:trPr>
        <w:tc>
          <w:tcPr>
            <w:tcW w:w="1198"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62" w:lineRule="exact"/>
              <w:ind w:left="63"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nil" w:sz="6" w:space="0" w:color="auto"/>
              <w:left w:val="nil" w:sz="6" w:space="0" w:color="auto"/>
              <w:bottom w:val="nil" w:sz="6" w:space="0" w:color="auto"/>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9.50-9.70%</w:t>
            </w:r>
          </w:p>
        </w:tc>
        <w:tc>
          <w:tcPr>
            <w:tcW w:w="912" w:type="dxa"/>
            <w:tcBorders>
              <w:top w:val="nil" w:sz="6" w:space="0" w:color="auto"/>
              <w:left w:val="nil" w:sz="6" w:space="0" w:color="auto"/>
              <w:bottom w:val="nil" w:sz="6" w:space="0" w:color="auto"/>
              <w:right w:val="nil" w:sz="6" w:space="0" w:color="auto"/>
            </w:tcBorders>
          </w:tcPr>
          <w:p>
            <w:pPr/>
          </w:p>
        </w:tc>
      </w:tr>
      <w:tr>
        <w:trPr>
          <w:trHeight w:val="314" w:hRule="exact"/>
        </w:trPr>
        <w:tc>
          <w:tcPr>
            <w:tcW w:w="1198" w:type="dxa"/>
            <w:tcBorders>
              <w:top w:val="nil" w:sz="6" w:space="0" w:color="auto"/>
              <w:left w:val="nil" w:sz="6" w:space="0" w:color="auto"/>
              <w:bottom w:val="single" w:sz="12" w:space="0" w:color="000000"/>
              <w:right w:val="nil" w:sz="6" w:space="0" w:color="auto"/>
            </w:tcBorders>
          </w:tcPr>
          <w:p>
            <w:pPr/>
          </w:p>
        </w:tc>
        <w:tc>
          <w:tcPr>
            <w:tcW w:w="2087" w:type="dxa"/>
            <w:tcBorders>
              <w:top w:val="nil" w:sz="6" w:space="0" w:color="auto"/>
              <w:left w:val="nil" w:sz="6" w:space="0" w:color="auto"/>
              <w:bottom w:val="single" w:sz="12" w:space="0" w:color="000000"/>
              <w:right w:val="nil" w:sz="6" w:space="0" w:color="auto"/>
            </w:tcBorders>
          </w:tcPr>
          <w:p>
            <w:pPr>
              <w:pStyle w:val="TableParagraph"/>
              <w:spacing w:line="262" w:lineRule="exact"/>
              <w:ind w:left="63"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629" w:type="dxa"/>
            <w:tcBorders>
              <w:top w:val="nil" w:sz="6" w:space="0" w:color="auto"/>
              <w:left w:val="nil" w:sz="6" w:space="0" w:color="auto"/>
              <w:bottom w:val="single" w:sz="12" w:space="0" w:color="000000"/>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nil" w:sz="6" w:space="0" w:color="auto"/>
              <w:left w:val="nil" w:sz="6" w:space="0" w:color="auto"/>
              <w:bottom w:val="single" w:sz="12" w:space="0" w:color="000000"/>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19.00-19.40%</w:t>
            </w:r>
          </w:p>
        </w:tc>
        <w:tc>
          <w:tcPr>
            <w:tcW w:w="912" w:type="dxa"/>
            <w:tcBorders>
              <w:top w:val="nil" w:sz="6" w:space="0" w:color="auto"/>
              <w:left w:val="nil" w:sz="6" w:space="0" w:color="auto"/>
              <w:bottom w:val="single" w:sz="12" w:space="0" w:color="000000"/>
              <w:right w:val="nil" w:sz="6" w:space="0" w:color="auto"/>
            </w:tcBorders>
          </w:tcPr>
          <w:p>
            <w:pPr/>
          </w:p>
        </w:tc>
      </w:tr>
    </w:tbl>
    <w:p>
      <w:pPr>
        <w:spacing w:line="324" w:lineRule="auto" w:before="79"/>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固定资产后续支出的处理：固定资产的后续支出主要包括修理支出、更新改良支出及装修支</w:t>
      </w:r>
      <w:r>
        <w:rPr>
          <w:rFonts w:ascii="宋体" w:hAnsi="宋体" w:cs="宋体" w:eastAsia="宋体" w:hint="default"/>
          <w:w w:val="99"/>
          <w:sz w:val="22"/>
          <w:szCs w:val="22"/>
        </w:rPr>
        <w:t> </w:t>
      </w:r>
      <w:r>
        <w:rPr>
          <w:rFonts w:ascii="宋体" w:hAnsi="宋体" w:cs="宋体" w:eastAsia="宋体" w:hint="default"/>
          <w:spacing w:val="-1"/>
          <w:sz w:val="22"/>
          <w:szCs w:val="22"/>
        </w:rPr>
        <w:t>出等内容，在相关的经济利益很可能流入且其成本能够可靠的计量时，计入固定资产成本，对于</w:t>
      </w:r>
      <w:r>
        <w:rPr>
          <w:rFonts w:ascii="宋体" w:hAnsi="宋体" w:cs="宋体" w:eastAsia="宋体" w:hint="default"/>
          <w:w w:val="99"/>
          <w:sz w:val="22"/>
          <w:szCs w:val="22"/>
        </w:rPr>
        <w:t> </w:t>
      </w:r>
      <w:r>
        <w:rPr>
          <w:rFonts w:ascii="宋体" w:hAnsi="宋体" w:cs="宋体" w:eastAsia="宋体" w:hint="default"/>
          <w:sz w:val="22"/>
          <w:szCs w:val="22"/>
        </w:rPr>
        <w:t>被替换的部分，终止确认其账面价值；所有其他后续支出于发生时计入当期损益。</w:t>
      </w:r>
    </w:p>
    <w:p>
      <w:pPr>
        <w:spacing w:line="324" w:lineRule="auto" w:before="10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本公司于每年年度终了，对固定资产的预计使用寿命、预计净残值和折旧方法进行复核，如</w:t>
      </w:r>
      <w:r>
        <w:rPr>
          <w:rFonts w:ascii="宋体" w:hAnsi="宋体" w:cs="宋体" w:eastAsia="宋体" w:hint="default"/>
          <w:w w:val="99"/>
          <w:sz w:val="22"/>
          <w:szCs w:val="22"/>
        </w:rPr>
        <w:t> </w:t>
      </w:r>
      <w:r>
        <w:rPr>
          <w:rFonts w:ascii="宋体" w:hAnsi="宋体" w:cs="宋体" w:eastAsia="宋体" w:hint="default"/>
          <w:sz w:val="22"/>
          <w:szCs w:val="22"/>
        </w:rPr>
        <w:t>发生改变，则作为会计估计变更处理。</w:t>
      </w:r>
    </w:p>
    <w:p>
      <w:pPr>
        <w:spacing w:line="324" w:lineRule="auto" w:before="103"/>
        <w:ind w:left="138" w:right="86" w:firstLine="440"/>
        <w:jc w:val="left"/>
        <w:rPr>
          <w:rFonts w:ascii="宋体" w:hAnsi="宋体" w:cs="宋体" w:eastAsia="宋体" w:hint="default"/>
          <w:sz w:val="22"/>
          <w:szCs w:val="22"/>
        </w:rPr>
      </w:pPr>
      <w:r>
        <w:rPr>
          <w:rFonts w:ascii="宋体" w:hAnsi="宋体" w:cs="宋体" w:eastAsia="宋体" w:hint="default"/>
          <w:sz w:val="22"/>
          <w:szCs w:val="22"/>
        </w:rPr>
        <w:t>当固定资产被处置、或者预期通过使用或处置不能产生经济利益时，终止确认该固定资产。</w:t>
      </w:r>
      <w:r>
        <w:rPr>
          <w:rFonts w:ascii="宋体" w:hAnsi="宋体" w:cs="宋体" w:eastAsia="宋体" w:hint="default"/>
          <w:w w:val="99"/>
          <w:sz w:val="22"/>
          <w:szCs w:val="22"/>
        </w:rPr>
        <w:t> </w:t>
      </w:r>
      <w:r>
        <w:rPr>
          <w:rFonts w:ascii="宋体" w:hAnsi="宋体" w:cs="宋体" w:eastAsia="宋体" w:hint="default"/>
          <w:spacing w:val="-4"/>
          <w:sz w:val="22"/>
          <w:szCs w:val="22"/>
        </w:rPr>
        <w:t>固定资产出售、转让、报废或毁损的处置收入扣除其账面价值和相关税费后的金额计入当期损益。</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1"/>
          <w:sz w:val="22"/>
          <w:szCs w:val="22"/>
        </w:rPr>
        <w:t>在建工程按实际发生的成本计量。自营工程按直接材料、直接工资、直接施工费等计量；出</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包工程按应支付的工程价款等计量；设备安装工程按所安装设备的价值、安装费用、工程试运转</w:t>
      </w:r>
    </w:p>
    <w:p>
      <w:pPr>
        <w:spacing w:line="391" w:lineRule="auto" w:before="102"/>
        <w:ind w:left="578" w:right="206" w:hanging="441"/>
        <w:jc w:val="left"/>
        <w:rPr>
          <w:rFonts w:ascii="宋体" w:hAnsi="宋体" w:cs="宋体" w:eastAsia="宋体" w:hint="default"/>
          <w:sz w:val="22"/>
          <w:szCs w:val="22"/>
        </w:rPr>
      </w:pPr>
      <w:r>
        <w:rPr>
          <w:rFonts w:ascii="宋体" w:hAnsi="宋体" w:cs="宋体" w:eastAsia="宋体" w:hint="default"/>
          <w:sz w:val="22"/>
          <w:szCs w:val="22"/>
        </w:rPr>
        <w:t>等所发生的支出等确定工程成本。在建工程成本还包括应当资本化的借款费用和汇兑损益。</w:t>
      </w:r>
      <w:r>
        <w:rPr>
          <w:rFonts w:ascii="宋体" w:hAnsi="宋体" w:cs="宋体" w:eastAsia="宋体" w:hint="default"/>
          <w:w w:val="99"/>
          <w:sz w:val="22"/>
          <w:szCs w:val="22"/>
        </w:rPr>
        <w:t> </w:t>
      </w:r>
      <w:r>
        <w:rPr>
          <w:rFonts w:ascii="宋体" w:hAnsi="宋体" w:cs="宋体" w:eastAsia="宋体" w:hint="default"/>
          <w:spacing w:val="-1"/>
          <w:sz w:val="22"/>
          <w:szCs w:val="22"/>
        </w:rPr>
        <w:t>本公司建造的固定资产在达到预定可使用状态之日起，根据工程预算、造价或工程实际成本</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等，按估计的价值结转固定资产，次月起开始计提折旧。待办理了竣工决算手续后再对固定资产</w:t>
      </w:r>
    </w:p>
    <w:p>
      <w:pPr>
        <w:spacing w:before="102"/>
        <w:ind w:left="138" w:right="213" w:firstLine="0"/>
        <w:jc w:val="left"/>
        <w:rPr>
          <w:rFonts w:ascii="宋体" w:hAnsi="宋体" w:cs="宋体" w:eastAsia="宋体" w:hint="default"/>
          <w:sz w:val="22"/>
          <w:szCs w:val="22"/>
        </w:rPr>
      </w:pPr>
      <w:r>
        <w:rPr>
          <w:rFonts w:ascii="宋体" w:hAnsi="宋体" w:cs="宋体" w:eastAsia="宋体" w:hint="default"/>
          <w:sz w:val="22"/>
          <w:szCs w:val="22"/>
        </w:rPr>
        <w:t>原值差异作调整。</w:t>
      </w:r>
    </w:p>
    <w:p>
      <w:pPr>
        <w:spacing w:line="369" w:lineRule="auto" w:before="180"/>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w:t>
      </w:r>
      <w:r>
        <w:rPr>
          <w:rFonts w:ascii="宋体" w:hAnsi="宋体" w:cs="宋体" w:eastAsia="宋体" w:hint="default"/>
          <w:b/>
          <w:bCs/>
          <w:sz w:val="22"/>
          <w:szCs w:val="22"/>
        </w:rPr>
        <w:t>．</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1"/>
          <w:sz w:val="22"/>
          <w:szCs w:val="22"/>
        </w:rPr>
        <w:t>借款费用资本化的确认原则：本公司将发生的、可直接归属于符合资本化条件的资产的购建</w:t>
      </w:r>
    </w:p>
    <w:p>
      <w:pPr>
        <w:spacing w:line="271" w:lineRule="exact" w:before="0"/>
        <w:ind w:left="137" w:right="86" w:firstLine="0"/>
        <w:jc w:val="left"/>
        <w:rPr>
          <w:rFonts w:ascii="宋体" w:hAnsi="宋体" w:cs="宋体" w:eastAsia="宋体" w:hint="default"/>
          <w:sz w:val="22"/>
          <w:szCs w:val="22"/>
        </w:rPr>
      </w:pPr>
      <w:r>
        <w:rPr>
          <w:rFonts w:ascii="宋体" w:hAnsi="宋体" w:cs="宋体" w:eastAsia="宋体" w:hint="default"/>
          <w:sz w:val="22"/>
          <w:szCs w:val="22"/>
        </w:rPr>
        <w:t>或者生产的借款费用予以资本化，计入相关资产成本；其他借款费用，在发生时根据其发生额确</w:t>
      </w:r>
    </w:p>
    <w:p>
      <w:pPr>
        <w:spacing w:line="324" w:lineRule="auto" w:before="102"/>
        <w:ind w:left="137" w:right="101" w:firstLine="0"/>
        <w:jc w:val="left"/>
        <w:rPr>
          <w:rFonts w:ascii="宋体" w:hAnsi="宋体" w:cs="宋体" w:eastAsia="宋体" w:hint="default"/>
          <w:sz w:val="22"/>
          <w:szCs w:val="22"/>
        </w:rPr>
      </w:pPr>
      <w:r>
        <w:rPr>
          <w:rFonts w:ascii="宋体" w:hAnsi="宋体" w:cs="宋体" w:eastAsia="宋体" w:hint="default"/>
          <w:spacing w:val="-4"/>
          <w:sz w:val="22"/>
          <w:szCs w:val="22"/>
        </w:rPr>
        <w:t>认为费用，计入当期损益。符合资本化条件的资产，是指需要经过相当长时间（通常指</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年以上）</w:t>
      </w:r>
      <w:r>
        <w:rPr>
          <w:rFonts w:ascii="宋体" w:hAnsi="宋体" w:cs="宋体" w:eastAsia="宋体" w:hint="default"/>
          <w:w w:val="99"/>
          <w:sz w:val="22"/>
          <w:szCs w:val="22"/>
        </w:rPr>
        <w:t> </w:t>
      </w:r>
      <w:r>
        <w:rPr>
          <w:rFonts w:ascii="宋体" w:hAnsi="宋体" w:cs="宋体" w:eastAsia="宋体" w:hint="default"/>
          <w:sz w:val="22"/>
          <w:szCs w:val="22"/>
        </w:rPr>
        <w:t>的购建或者生产活动才能达到预定可使用或者可销售状态的固定资产、投资性房地产和存货等资</w:t>
      </w:r>
      <w:r>
        <w:rPr>
          <w:rFonts w:ascii="宋体" w:hAnsi="宋体" w:cs="宋体" w:eastAsia="宋体" w:hint="default"/>
          <w:w w:val="99"/>
          <w:sz w:val="22"/>
          <w:szCs w:val="22"/>
        </w:rPr>
        <w:t> </w:t>
      </w:r>
      <w:r>
        <w:rPr>
          <w:rFonts w:ascii="宋体" w:hAnsi="宋体" w:cs="宋体" w:eastAsia="宋体" w:hint="default"/>
          <w:sz w:val="22"/>
          <w:szCs w:val="22"/>
        </w:rPr>
        <w:t>产。</w:t>
      </w:r>
    </w:p>
    <w:p>
      <w:pPr>
        <w:spacing w:line="324" w:lineRule="auto" w:before="103"/>
        <w:ind w:left="137" w:right="223" w:firstLine="440"/>
        <w:jc w:val="both"/>
        <w:rPr>
          <w:rFonts w:ascii="宋体" w:hAnsi="宋体" w:cs="宋体" w:eastAsia="宋体" w:hint="default"/>
          <w:sz w:val="22"/>
          <w:szCs w:val="22"/>
        </w:rPr>
      </w:pPr>
      <w:r>
        <w:rPr>
          <w:rFonts w:ascii="宋体" w:hAnsi="宋体" w:cs="宋体" w:eastAsia="宋体" w:hint="default"/>
          <w:spacing w:val="-1"/>
          <w:sz w:val="22"/>
          <w:szCs w:val="22"/>
        </w:rPr>
        <w:t>借款费用资本化的期间：当资产支出已经发生、借款费用已经发生且为使资产达到预定可使</w:t>
      </w:r>
      <w:r>
        <w:rPr>
          <w:rFonts w:ascii="宋体" w:hAnsi="宋体" w:cs="宋体" w:eastAsia="宋体" w:hint="default"/>
          <w:w w:val="99"/>
          <w:sz w:val="22"/>
          <w:szCs w:val="22"/>
        </w:rPr>
        <w:t> </w:t>
      </w:r>
      <w:r>
        <w:rPr>
          <w:rFonts w:ascii="宋体" w:hAnsi="宋体" w:cs="宋体" w:eastAsia="宋体" w:hint="default"/>
          <w:spacing w:val="-1"/>
          <w:sz w:val="22"/>
          <w:szCs w:val="22"/>
        </w:rPr>
        <w:t>用或者可销售状态所必要的购建或者生产活动已经开始时，本公司将与符合资本化条件的资产相</w:t>
      </w:r>
      <w:r>
        <w:rPr>
          <w:rFonts w:ascii="宋体" w:hAnsi="宋体" w:cs="宋体" w:eastAsia="宋体" w:hint="default"/>
          <w:w w:val="99"/>
          <w:sz w:val="22"/>
          <w:szCs w:val="22"/>
        </w:rPr>
        <w:t> </w:t>
      </w:r>
      <w:r>
        <w:rPr>
          <w:rFonts w:ascii="宋体" w:hAnsi="宋体" w:cs="宋体" w:eastAsia="宋体" w:hint="default"/>
          <w:spacing w:val="-1"/>
          <w:sz w:val="22"/>
          <w:szCs w:val="22"/>
        </w:rPr>
        <w:t>关的借款费用开始资本化。若符合资本化条件的资产在购建或者生产过程中发生非正常中断、且</w:t>
      </w:r>
      <w:r>
        <w:rPr>
          <w:rFonts w:ascii="宋体" w:hAnsi="宋体" w:cs="宋体" w:eastAsia="宋体" w:hint="default"/>
          <w:w w:val="99"/>
          <w:sz w:val="22"/>
          <w:szCs w:val="22"/>
        </w:rPr>
        <w:t> </w:t>
      </w:r>
      <w:r>
        <w:rPr>
          <w:rFonts w:ascii="宋体" w:hAnsi="宋体" w:cs="宋体" w:eastAsia="宋体" w:hint="default"/>
          <w:sz w:val="22"/>
          <w:szCs w:val="22"/>
        </w:rPr>
        <w:t>中断时间连续超过</w:t>
      </w:r>
      <w:r>
        <w:rPr>
          <w:rFonts w:ascii="宋体" w:hAnsi="宋体" w:cs="宋体" w:eastAsia="宋体" w:hint="default"/>
          <w:spacing w:val="-75"/>
          <w:sz w:val="22"/>
          <w:szCs w:val="22"/>
        </w:rPr>
        <w:t> </w:t>
      </w:r>
      <w:r>
        <w:rPr>
          <w:rFonts w:ascii="宋体" w:hAnsi="宋体" w:cs="宋体" w:eastAsia="宋体" w:hint="default"/>
          <w:sz w:val="22"/>
          <w:szCs w:val="22"/>
        </w:rPr>
        <w:t>3</w:t>
      </w:r>
      <w:r>
        <w:rPr>
          <w:rFonts w:ascii="宋体" w:hAnsi="宋体" w:cs="宋体" w:eastAsia="宋体" w:hint="default"/>
          <w:spacing w:val="-75"/>
          <w:sz w:val="22"/>
          <w:szCs w:val="22"/>
        </w:rPr>
        <w:t> </w:t>
      </w:r>
      <w:r>
        <w:rPr>
          <w:rFonts w:ascii="宋体" w:hAnsi="宋体" w:cs="宋体" w:eastAsia="宋体" w:hint="default"/>
          <w:sz w:val="22"/>
          <w:szCs w:val="22"/>
        </w:rPr>
        <w:t>个月，则暂停借款费用的资本化；当购建或者生产符合资本化条件的资产达</w:t>
      </w:r>
      <w:r>
        <w:rPr>
          <w:rFonts w:ascii="宋体" w:hAnsi="宋体" w:cs="宋体" w:eastAsia="宋体" w:hint="default"/>
          <w:w w:val="99"/>
          <w:sz w:val="22"/>
          <w:szCs w:val="22"/>
        </w:rPr>
        <w:t> </w:t>
      </w:r>
      <w:r>
        <w:rPr>
          <w:rFonts w:ascii="宋体" w:hAnsi="宋体" w:cs="宋体" w:eastAsia="宋体" w:hint="default"/>
          <w:sz w:val="22"/>
          <w:szCs w:val="22"/>
        </w:rPr>
        <w:t>到预定可使用或者可销售状态时，借款费用停止资本化。</w:t>
      </w:r>
    </w:p>
    <w:p>
      <w:pPr>
        <w:spacing w:line="324" w:lineRule="auto" w:before="103"/>
        <w:ind w:left="138" w:right="219" w:firstLine="440"/>
        <w:jc w:val="both"/>
        <w:rPr>
          <w:rFonts w:ascii="宋体" w:hAnsi="宋体" w:cs="宋体" w:eastAsia="宋体" w:hint="default"/>
          <w:sz w:val="22"/>
          <w:szCs w:val="22"/>
        </w:rPr>
      </w:pPr>
      <w:r>
        <w:rPr>
          <w:rFonts w:ascii="宋体" w:hAnsi="宋体" w:cs="宋体" w:eastAsia="宋体" w:hint="default"/>
          <w:spacing w:val="5"/>
          <w:w w:val="95"/>
          <w:sz w:val="22"/>
          <w:szCs w:val="22"/>
        </w:rPr>
        <w:t>借款费用资本化金额的计算方法：为购建或者生产符合资本化条件的资产而借入专门借款</w:t>
      </w:r>
      <w:r>
        <w:rPr>
          <w:rFonts w:ascii="宋体" w:hAnsi="宋体" w:cs="宋体" w:eastAsia="宋体" w:hint="default"/>
          <w:spacing w:val="5"/>
          <w:w w:val="99"/>
          <w:sz w:val="22"/>
          <w:szCs w:val="22"/>
        </w:rPr>
        <w:t> </w:t>
      </w:r>
      <w:r>
        <w:rPr>
          <w:rFonts w:ascii="宋体" w:hAnsi="宋体" w:cs="宋体" w:eastAsia="宋体" w:hint="default"/>
          <w:spacing w:val="-1"/>
          <w:sz w:val="22"/>
          <w:szCs w:val="22"/>
        </w:rPr>
        <w:t>时，本公司以专门借款当期实际发生的利息费用扣除将尚未动用的借款资金存入银行取得的利息</w:t>
      </w:r>
    </w:p>
    <w:p>
      <w:pPr>
        <w:spacing w:after="0" w:line="324"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84" w:firstLine="0"/>
        <w:jc w:val="both"/>
        <w:rPr>
          <w:rFonts w:ascii="宋体" w:hAnsi="宋体" w:cs="宋体" w:eastAsia="宋体" w:hint="default"/>
          <w:sz w:val="22"/>
          <w:szCs w:val="22"/>
        </w:rPr>
      </w:pPr>
      <w:r>
        <w:rPr>
          <w:rFonts w:ascii="宋体" w:hAnsi="宋体" w:cs="宋体" w:eastAsia="宋体" w:hint="default"/>
          <w:w w:val="95"/>
          <w:sz w:val="22"/>
          <w:szCs w:val="22"/>
        </w:rPr>
        <w:t>收入或进行暂时性投资取得的投资收益后的差额作为专门借款利息的资本化金额。为购建或者生</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产符合资本化条件的资产占用一般借款时，本公司根据累计资产支出超过专门借款部分的资产支</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sz w:val="22"/>
          <w:szCs w:val="22"/>
        </w:rPr>
        <w:t>出加权平均数乘以所占用一般借款的加权平均利率，计算确定一般借款应予资本化的利息金额。</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w:t>
      </w:r>
      <w:r>
        <w:rPr>
          <w:rFonts w:ascii="宋体" w:hAnsi="宋体" w:cs="宋体" w:eastAsia="宋体" w:hint="default"/>
          <w:b/>
          <w:bCs/>
          <w:sz w:val="22"/>
          <w:szCs w:val="22"/>
        </w:rPr>
        <w:t>．</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1"/>
          <w:sz w:val="22"/>
          <w:szCs w:val="22"/>
        </w:rPr>
        <w:t>本公司无形资产主要包括土地使用权、专利技术和非专利技术等。购入的无形资产，按实际</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支付的价款和相关的其他支出作为实际成本。投资者投入的无形资产，按投资合同或协议约定的</w:t>
      </w:r>
    </w:p>
    <w:p>
      <w:pPr>
        <w:spacing w:line="391" w:lineRule="auto" w:before="102"/>
        <w:ind w:left="578" w:right="206" w:hanging="441"/>
        <w:jc w:val="left"/>
        <w:rPr>
          <w:rFonts w:ascii="宋体" w:hAnsi="宋体" w:cs="宋体" w:eastAsia="宋体" w:hint="default"/>
          <w:sz w:val="22"/>
          <w:szCs w:val="22"/>
        </w:rPr>
      </w:pPr>
      <w:r>
        <w:rPr>
          <w:rFonts w:ascii="宋体" w:hAnsi="宋体" w:cs="宋体" w:eastAsia="宋体" w:hint="default"/>
          <w:sz w:val="22"/>
          <w:szCs w:val="22"/>
        </w:rPr>
        <w:t>价值确定实际成本，但合同或协议约定价值不公允的，按公允价值确定实际成本。</w:t>
      </w:r>
      <w:r>
        <w:rPr>
          <w:rFonts w:ascii="宋体" w:hAnsi="宋体" w:cs="宋体" w:eastAsia="宋体" w:hint="default"/>
          <w:w w:val="99"/>
          <w:sz w:val="22"/>
          <w:szCs w:val="22"/>
        </w:rPr>
        <w:t> </w:t>
      </w:r>
      <w:r>
        <w:rPr>
          <w:rFonts w:ascii="宋体" w:hAnsi="宋体" w:cs="宋体" w:eastAsia="宋体" w:hint="default"/>
          <w:spacing w:val="-1"/>
          <w:sz w:val="22"/>
          <w:szCs w:val="22"/>
        </w:rPr>
        <w:t>本公司的土地使用权从出让起始日起，按其出让年限平均摊销；本公司专利技术、非专利技</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术和其他无形资产按预计使用年限、合同规定的受益年限和法律规定的有效年限三者中最短者分</w:t>
      </w:r>
    </w:p>
    <w:p>
      <w:pPr>
        <w:spacing w:line="391" w:lineRule="auto" w:before="102"/>
        <w:ind w:left="578" w:right="166" w:hanging="441"/>
        <w:jc w:val="left"/>
        <w:rPr>
          <w:rFonts w:ascii="宋体" w:hAnsi="宋体" w:cs="宋体" w:eastAsia="宋体" w:hint="default"/>
          <w:sz w:val="22"/>
          <w:szCs w:val="22"/>
        </w:rPr>
      </w:pPr>
      <w:r>
        <w:rPr>
          <w:rFonts w:ascii="宋体" w:hAnsi="宋体" w:cs="宋体" w:eastAsia="宋体" w:hint="default"/>
          <w:sz w:val="22"/>
          <w:szCs w:val="22"/>
        </w:rPr>
        <w:t>期平均摊销。摊销金额按其受益对象计入相关资产成本和当期损益。</w:t>
      </w:r>
      <w:r>
        <w:rPr>
          <w:rFonts w:ascii="宋体" w:hAnsi="宋体" w:cs="宋体" w:eastAsia="宋体" w:hint="default"/>
          <w:w w:val="99"/>
          <w:sz w:val="22"/>
          <w:szCs w:val="22"/>
        </w:rPr>
        <w:t> </w:t>
      </w:r>
      <w:r>
        <w:rPr>
          <w:rFonts w:ascii="宋体" w:hAnsi="宋体" w:cs="宋体" w:eastAsia="宋体" w:hint="default"/>
          <w:sz w:val="22"/>
          <w:szCs w:val="22"/>
        </w:rPr>
        <w:t>本公司于每年年度终了，对使用寿命有限的无形资产的预计使用寿命及摊销方法进行复核，</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如有改变则进行调整。并于每个会计期间，对使用寿命不确定的无形资产的预计使用寿命进行复</w:t>
      </w:r>
    </w:p>
    <w:p>
      <w:pPr>
        <w:spacing w:line="379" w:lineRule="auto" w:before="102"/>
        <w:ind w:left="578" w:right="86" w:hanging="441"/>
        <w:jc w:val="left"/>
        <w:rPr>
          <w:rFonts w:ascii="宋体" w:hAnsi="宋体" w:cs="宋体" w:eastAsia="宋体" w:hint="default"/>
          <w:sz w:val="22"/>
          <w:szCs w:val="22"/>
        </w:rPr>
      </w:pPr>
      <w:r>
        <w:rPr>
          <w:rFonts w:ascii="宋体" w:hAnsi="宋体" w:cs="宋体" w:eastAsia="宋体" w:hint="default"/>
          <w:spacing w:val="-4"/>
          <w:sz w:val="22"/>
          <w:szCs w:val="22"/>
        </w:rPr>
        <w:t>核，对于有证据表明无形资产的使用寿命是有限的，则估计其使用寿命并在预计使用寿命内摊销。</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Times New Roman" w:hAnsi="Times New Roman" w:cs="Times New Roman" w:eastAsia="Times New Roman" w:hint="default"/>
          <w:b/>
          <w:bCs/>
          <w:sz w:val="22"/>
          <w:szCs w:val="22"/>
        </w:rPr>
        <w:t>15</w:t>
      </w:r>
      <w:r>
        <w:rPr>
          <w:rFonts w:ascii="宋体" w:hAnsi="宋体" w:cs="宋体" w:eastAsia="宋体" w:hint="default"/>
          <w:b/>
          <w:bCs/>
          <w:sz w:val="22"/>
          <w:szCs w:val="22"/>
        </w:rPr>
        <w:t>．</w:t>
      </w:r>
      <w:r>
        <w:rPr>
          <w:rFonts w:ascii="宋体" w:hAnsi="宋体" w:cs="宋体" w:eastAsia="宋体" w:hint="default"/>
          <w:sz w:val="22"/>
          <w:szCs w:val="22"/>
        </w:rPr>
        <w:t>研究与开发</w:t>
      </w:r>
      <w:r>
        <w:rPr>
          <w:rFonts w:ascii="宋体" w:hAnsi="宋体" w:cs="宋体" w:eastAsia="宋体" w:hint="default"/>
          <w:w w:val="99"/>
          <w:sz w:val="22"/>
          <w:szCs w:val="22"/>
        </w:rPr>
        <w:t> </w:t>
      </w:r>
      <w:r>
        <w:rPr>
          <w:rFonts w:ascii="宋体" w:hAnsi="宋体" w:cs="宋体" w:eastAsia="宋体" w:hint="default"/>
          <w:spacing w:val="5"/>
          <w:sz w:val="22"/>
          <w:szCs w:val="22"/>
        </w:rPr>
        <w:t>本公司内部研究开发项目支出根据其性质以及研发活动最终形成无形资产是否具有较大不</w:t>
      </w:r>
      <w:r>
        <w:rPr>
          <w:rFonts w:ascii="宋体" w:hAnsi="宋体" w:cs="宋体" w:eastAsia="宋体" w:hint="default"/>
          <w:sz w:val="22"/>
          <w:szCs w:val="22"/>
        </w:rPr>
      </w:r>
    </w:p>
    <w:p>
      <w:pPr>
        <w:spacing w:line="262" w:lineRule="exact" w:before="0"/>
        <w:ind w:left="137" w:right="213" w:firstLine="0"/>
        <w:jc w:val="left"/>
        <w:rPr>
          <w:rFonts w:ascii="宋体" w:hAnsi="宋体" w:cs="宋体" w:eastAsia="宋体" w:hint="default"/>
          <w:sz w:val="22"/>
          <w:szCs w:val="22"/>
        </w:rPr>
      </w:pPr>
      <w:r>
        <w:rPr>
          <w:rFonts w:ascii="宋体" w:hAnsi="宋体" w:cs="宋体" w:eastAsia="宋体" w:hint="default"/>
          <w:sz w:val="22"/>
          <w:szCs w:val="22"/>
        </w:rPr>
        <w:t>确定性，分为研究阶段支出和开发阶段支出。</w:t>
      </w:r>
    </w:p>
    <w:p>
      <w:pPr>
        <w:spacing w:line="324" w:lineRule="auto" w:before="180"/>
        <w:ind w:left="137" w:right="111" w:firstLine="440"/>
        <w:jc w:val="left"/>
        <w:rPr>
          <w:rFonts w:ascii="宋体" w:hAnsi="宋体" w:cs="宋体" w:eastAsia="宋体" w:hint="default"/>
          <w:sz w:val="22"/>
          <w:szCs w:val="22"/>
        </w:rPr>
      </w:pPr>
      <w:r>
        <w:rPr>
          <w:rFonts w:ascii="宋体" w:hAnsi="宋体" w:cs="宋体" w:eastAsia="宋体" w:hint="default"/>
          <w:spacing w:val="-4"/>
          <w:sz w:val="22"/>
          <w:szCs w:val="22"/>
        </w:rPr>
        <w:t>自行研究开发的无形资产，其研究阶段的支出，于发生时计入当期损益；其开发阶段的支出，</w:t>
      </w:r>
      <w:r>
        <w:rPr>
          <w:rFonts w:ascii="宋体" w:hAnsi="宋体" w:cs="宋体" w:eastAsia="宋体" w:hint="default"/>
          <w:w w:val="99"/>
          <w:sz w:val="22"/>
          <w:szCs w:val="22"/>
        </w:rPr>
        <w:t> </w:t>
      </w:r>
      <w:r>
        <w:rPr>
          <w:rFonts w:ascii="宋体" w:hAnsi="宋体" w:cs="宋体" w:eastAsia="宋体" w:hint="default"/>
          <w:sz w:val="22"/>
          <w:szCs w:val="22"/>
        </w:rPr>
        <w:t>同时满足下列条件的，确认为资产：</w:t>
      </w:r>
    </w:p>
    <w:p>
      <w:pPr>
        <w:spacing w:before="103"/>
        <w:ind w:left="591" w:right="21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完成该无形资产以使其能够使用或出售在技术上具有可行性；</w:t>
      </w:r>
    </w:p>
    <w:p>
      <w:pPr>
        <w:spacing w:before="180"/>
        <w:ind w:left="591" w:right="213"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具有完成该无形资产并使用或出售的意图；</w:t>
      </w:r>
    </w:p>
    <w:p>
      <w:pPr>
        <w:spacing w:before="180"/>
        <w:ind w:left="591" w:right="213"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运用该无形资产生产的产品存在市场或无形资产自身存在市场；</w:t>
      </w:r>
    </w:p>
    <w:p>
      <w:pPr>
        <w:spacing w:line="324" w:lineRule="auto" w:before="180"/>
        <w:ind w:left="138" w:right="204" w:firstLine="453"/>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5"/>
          <w:sz w:val="22"/>
          <w:szCs w:val="22"/>
        </w:rPr>
        <w:t> </w:t>
      </w:r>
      <w:r>
        <w:rPr>
          <w:rFonts w:ascii="宋体" w:hAnsi="宋体" w:cs="宋体" w:eastAsia="宋体" w:hint="default"/>
          <w:sz w:val="22"/>
          <w:szCs w:val="22"/>
        </w:rPr>
        <w:t>有足够的技术、财务资源和其他资源支持，以完成该无形资产的开发，并有能力使用或</w:t>
      </w:r>
      <w:r>
        <w:rPr>
          <w:rFonts w:ascii="宋体" w:hAnsi="宋体" w:cs="宋体" w:eastAsia="宋体" w:hint="default"/>
          <w:w w:val="99"/>
          <w:sz w:val="22"/>
          <w:szCs w:val="22"/>
        </w:rPr>
        <w:t> </w:t>
      </w:r>
      <w:r>
        <w:rPr>
          <w:rFonts w:ascii="宋体" w:hAnsi="宋体" w:cs="宋体" w:eastAsia="宋体" w:hint="default"/>
          <w:sz w:val="22"/>
          <w:szCs w:val="22"/>
        </w:rPr>
        <w:t>出售该无形资产；</w:t>
      </w:r>
    </w:p>
    <w:p>
      <w:pPr>
        <w:spacing w:line="391" w:lineRule="auto" w:before="103"/>
        <w:ind w:left="578" w:right="206" w:firstLine="13"/>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10"/>
          <w:sz w:val="22"/>
          <w:szCs w:val="22"/>
        </w:rPr>
        <w:t> </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1"/>
          <w:sz w:val="22"/>
          <w:szCs w:val="22"/>
        </w:rPr>
        <w:t>不满足上述条件的开发阶段的支出，于发生时计入当期损益。前期已计入损益的开发支出不</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在以后期间确认为资产。已资本化的开发阶段的支出在资产负债表上列示为开发支出，自该项目</w:t>
      </w:r>
    </w:p>
    <w:p>
      <w:pPr>
        <w:spacing w:before="102"/>
        <w:ind w:left="138" w:right="213" w:firstLine="0"/>
        <w:jc w:val="left"/>
        <w:rPr>
          <w:rFonts w:ascii="宋体" w:hAnsi="宋体" w:cs="宋体" w:eastAsia="宋体" w:hint="default"/>
          <w:sz w:val="22"/>
          <w:szCs w:val="22"/>
        </w:rPr>
      </w:pPr>
      <w:r>
        <w:rPr>
          <w:rFonts w:ascii="宋体" w:hAnsi="宋体" w:cs="宋体" w:eastAsia="宋体" w:hint="default"/>
          <w:sz w:val="22"/>
          <w:szCs w:val="22"/>
        </w:rPr>
        <w:t>达到预定可使用状态之日起转为无形资产。</w:t>
      </w:r>
    </w:p>
    <w:p>
      <w:pPr>
        <w:spacing w:line="369" w:lineRule="auto" w:before="180"/>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w:t>
      </w:r>
      <w:r>
        <w:rPr>
          <w:rFonts w:ascii="宋体" w:hAnsi="宋体" w:cs="宋体" w:eastAsia="宋体" w:hint="default"/>
          <w:b/>
          <w:bCs/>
          <w:sz w:val="22"/>
          <w:szCs w:val="22"/>
        </w:rPr>
        <w:t>．</w:t>
      </w:r>
      <w:r>
        <w:rPr>
          <w:rFonts w:ascii="宋体" w:hAnsi="宋体" w:cs="宋体" w:eastAsia="宋体" w:hint="default"/>
          <w:sz w:val="22"/>
          <w:szCs w:val="22"/>
        </w:rPr>
        <w:t>非金融资产减值</w:t>
      </w:r>
      <w:r>
        <w:rPr>
          <w:rFonts w:ascii="宋体" w:hAnsi="宋体" w:cs="宋体" w:eastAsia="宋体" w:hint="default"/>
          <w:w w:val="99"/>
          <w:sz w:val="22"/>
          <w:szCs w:val="22"/>
        </w:rPr>
        <w:t> </w:t>
      </w:r>
      <w:r>
        <w:rPr>
          <w:rFonts w:ascii="宋体" w:hAnsi="宋体" w:cs="宋体" w:eastAsia="宋体" w:hint="default"/>
          <w:spacing w:val="-1"/>
          <w:sz w:val="22"/>
          <w:szCs w:val="22"/>
        </w:rPr>
        <w:t>本公司于每一资产负债表日对子公司、合营企业和联营企业的长期股权投资、固定资产、在</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建工程、使用寿命确定的无形资产等项目进行检查，当存在下列迹象时，表明资产可能发生了减</w:t>
      </w:r>
    </w:p>
    <w:p>
      <w:pPr>
        <w:spacing w:line="324" w:lineRule="auto" w:before="102"/>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值，本公司将进行减值测试，对商誉和受益年限不确定的无形资产，无论是否存在减值迹象，每</w:t>
      </w:r>
      <w:r>
        <w:rPr>
          <w:rFonts w:ascii="宋体" w:hAnsi="宋体" w:cs="宋体" w:eastAsia="宋体" w:hint="default"/>
          <w:w w:val="99"/>
          <w:sz w:val="22"/>
          <w:szCs w:val="22"/>
        </w:rPr>
        <w:t> </w:t>
      </w:r>
      <w:r>
        <w:rPr>
          <w:rFonts w:ascii="宋体" w:hAnsi="宋体" w:cs="宋体" w:eastAsia="宋体" w:hint="default"/>
          <w:spacing w:val="-1"/>
          <w:sz w:val="22"/>
          <w:szCs w:val="22"/>
        </w:rPr>
        <w:t>年末均进行减值测试。难以对单项资产的可收回金额进行测试的，以该资产所属的资产组或资产</w:t>
      </w:r>
    </w:p>
    <w:p>
      <w:pPr>
        <w:spacing w:after="0" w:line="324" w:lineRule="auto"/>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88" w:lineRule="auto" w:before="31"/>
        <w:ind w:left="578" w:right="126" w:hanging="441"/>
        <w:jc w:val="left"/>
        <w:rPr>
          <w:rFonts w:ascii="宋体" w:hAnsi="宋体" w:cs="宋体" w:eastAsia="宋体" w:hint="default"/>
          <w:sz w:val="22"/>
          <w:szCs w:val="22"/>
        </w:rPr>
      </w:pPr>
      <w:r>
        <w:rPr>
          <w:rFonts w:ascii="宋体" w:hAnsi="宋体" w:cs="宋体" w:eastAsia="宋体" w:hint="default"/>
          <w:sz w:val="22"/>
          <w:szCs w:val="22"/>
        </w:rPr>
        <w:t>组组合为基础测试。</w:t>
      </w:r>
      <w:r>
        <w:rPr>
          <w:rFonts w:ascii="宋体" w:hAnsi="宋体" w:cs="宋体" w:eastAsia="宋体" w:hint="default"/>
          <w:w w:val="99"/>
          <w:sz w:val="22"/>
          <w:szCs w:val="22"/>
        </w:rPr>
        <w:t> </w:t>
      </w:r>
      <w:r>
        <w:rPr>
          <w:rFonts w:ascii="宋体" w:hAnsi="宋体" w:cs="宋体" w:eastAsia="宋体" w:hint="default"/>
          <w:spacing w:val="-1"/>
          <w:sz w:val="22"/>
          <w:szCs w:val="22"/>
        </w:rPr>
        <w:t>减值测试后，若该资产的账面价值超过其可收回金额，其差额确认为减值损失，上述资产的</w:t>
      </w:r>
    </w:p>
    <w:p>
      <w:pPr>
        <w:spacing w:line="254"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减值损失一经确认，在以后会计期间不予转回。资产的可收回金额是指资产的公允价值减去处置</w:t>
      </w:r>
    </w:p>
    <w:p>
      <w:pPr>
        <w:spacing w:line="391" w:lineRule="auto" w:before="102"/>
        <w:ind w:left="578" w:right="2947" w:hanging="441"/>
        <w:jc w:val="left"/>
        <w:rPr>
          <w:rFonts w:ascii="宋体" w:hAnsi="宋体" w:cs="宋体" w:eastAsia="宋体" w:hint="default"/>
          <w:sz w:val="22"/>
          <w:szCs w:val="22"/>
        </w:rPr>
      </w:pPr>
      <w:r>
        <w:rPr>
          <w:rFonts w:ascii="宋体" w:hAnsi="宋体" w:cs="宋体" w:eastAsia="宋体" w:hint="default"/>
          <w:sz w:val="22"/>
          <w:szCs w:val="22"/>
        </w:rPr>
        <w:t>费用后的净额与资产预计未来现金流量的现值两者之间的较高者。</w:t>
      </w:r>
      <w:r>
        <w:rPr>
          <w:rFonts w:ascii="宋体" w:hAnsi="宋体" w:cs="宋体" w:eastAsia="宋体" w:hint="default"/>
          <w:w w:val="99"/>
          <w:sz w:val="22"/>
          <w:szCs w:val="22"/>
        </w:rPr>
        <w:t> </w:t>
      </w:r>
      <w:r>
        <w:rPr>
          <w:rFonts w:ascii="宋体" w:hAnsi="宋体" w:cs="宋体" w:eastAsia="宋体" w:hint="default"/>
          <w:sz w:val="22"/>
          <w:szCs w:val="22"/>
        </w:rPr>
        <w:t>出现减值的迹象如下：</w:t>
      </w:r>
    </w:p>
    <w:p>
      <w:pPr>
        <w:spacing w:before="41"/>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2"/>
          <w:sz w:val="22"/>
          <w:szCs w:val="22"/>
        </w:rPr>
        <w:t> </w:t>
      </w:r>
      <w:r>
        <w:rPr>
          <w:rFonts w:ascii="宋体" w:hAnsi="宋体" w:cs="宋体" w:eastAsia="宋体" w:hint="default"/>
          <w:spacing w:val="3"/>
          <w:sz w:val="22"/>
          <w:szCs w:val="22"/>
        </w:rPr>
        <w:t>资产的市价当期大幅度下跌，其跌幅明显高于因时间的推移或者正常使用而预计的下</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跌；</w:t>
      </w:r>
    </w:p>
    <w:p>
      <w:pPr>
        <w:spacing w:line="240" w:lineRule="auto" w:before="4"/>
        <w:rPr>
          <w:rFonts w:ascii="宋体" w:hAnsi="宋体" w:cs="宋体" w:eastAsia="宋体" w:hint="default"/>
          <w:sz w:val="11"/>
          <w:szCs w:val="11"/>
        </w:rPr>
      </w:pPr>
    </w:p>
    <w:p>
      <w:pPr>
        <w:spacing w:line="324" w:lineRule="auto" w:before="31"/>
        <w:ind w:left="138" w:right="123" w:firstLine="45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4"/>
          <w:sz w:val="22"/>
          <w:szCs w:val="22"/>
        </w:rPr>
        <w:t> </w:t>
      </w:r>
      <w:r>
        <w:rPr>
          <w:rFonts w:ascii="宋体" w:hAnsi="宋体" w:cs="宋体" w:eastAsia="宋体" w:hint="default"/>
          <w:sz w:val="22"/>
          <w:szCs w:val="22"/>
        </w:rPr>
        <w:t>企业经营所处的经济、技术或者法律等环境以及资产所处的市场在当期或者将在近期发</w:t>
      </w:r>
      <w:r>
        <w:rPr>
          <w:rFonts w:ascii="宋体" w:hAnsi="宋体" w:cs="宋体" w:eastAsia="宋体" w:hint="default"/>
          <w:w w:val="99"/>
          <w:sz w:val="22"/>
          <w:szCs w:val="22"/>
        </w:rPr>
        <w:t> </w:t>
      </w:r>
      <w:r>
        <w:rPr>
          <w:rFonts w:ascii="宋体" w:hAnsi="宋体" w:cs="宋体" w:eastAsia="宋体" w:hint="default"/>
          <w:sz w:val="22"/>
          <w:szCs w:val="22"/>
        </w:rPr>
        <w:t>生重大变化，从而对企业产生不利影响；</w:t>
      </w:r>
    </w:p>
    <w:p>
      <w:pPr>
        <w:spacing w:line="324" w:lineRule="auto" w:before="103"/>
        <w:ind w:left="138" w:right="125" w:firstLine="45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6"/>
          <w:sz w:val="22"/>
          <w:szCs w:val="22"/>
        </w:rPr>
        <w:t> </w:t>
      </w:r>
      <w:r>
        <w:rPr>
          <w:rFonts w:ascii="宋体" w:hAnsi="宋体" w:cs="宋体" w:eastAsia="宋体" w:hint="default"/>
          <w:sz w:val="22"/>
          <w:szCs w:val="22"/>
        </w:rPr>
        <w:t>市场利率或者其他市场投资报酬率在当期已经提高，从而影响企业计算资产预计未来现</w:t>
      </w:r>
      <w:r>
        <w:rPr>
          <w:rFonts w:ascii="宋体" w:hAnsi="宋体" w:cs="宋体" w:eastAsia="宋体" w:hint="default"/>
          <w:w w:val="99"/>
          <w:sz w:val="22"/>
          <w:szCs w:val="22"/>
        </w:rPr>
        <w:t> </w:t>
      </w:r>
      <w:r>
        <w:rPr>
          <w:rFonts w:ascii="宋体" w:hAnsi="宋体" w:cs="宋体" w:eastAsia="宋体" w:hint="default"/>
          <w:sz w:val="22"/>
          <w:szCs w:val="22"/>
        </w:rPr>
        <w:t>金流量现值的折现率，导致资产可收回金额大幅度降低；</w:t>
      </w:r>
    </w:p>
    <w:p>
      <w:pPr>
        <w:spacing w:before="103"/>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有证据表明资产已经陈旧过时或者其实体已经损坏；</w:t>
      </w:r>
    </w:p>
    <w:p>
      <w:pPr>
        <w:spacing w:before="180"/>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7"/>
          <w:sz w:val="22"/>
          <w:szCs w:val="22"/>
        </w:rPr>
        <w:t> </w:t>
      </w:r>
      <w:r>
        <w:rPr>
          <w:rFonts w:ascii="宋体" w:hAnsi="宋体" w:cs="宋体" w:eastAsia="宋体" w:hint="default"/>
          <w:sz w:val="22"/>
          <w:szCs w:val="22"/>
        </w:rPr>
        <w:t>资产已经或者将被闲置、终止使用或者计划提前处置；</w:t>
      </w:r>
    </w:p>
    <w:p>
      <w:pPr>
        <w:spacing w:line="324" w:lineRule="auto" w:before="180"/>
        <w:ind w:left="139" w:right="122" w:firstLine="453"/>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54"/>
          <w:sz w:val="22"/>
          <w:szCs w:val="22"/>
        </w:rPr>
        <w:t> </w:t>
      </w:r>
      <w:r>
        <w:rPr>
          <w:rFonts w:ascii="宋体" w:hAnsi="宋体" w:cs="宋体" w:eastAsia="宋体" w:hint="default"/>
          <w:sz w:val="22"/>
          <w:szCs w:val="22"/>
        </w:rPr>
        <w:t>企业内部报告的证据表明资产的经济绩效已经低于或者将低于预期，如资产所创造的净</w:t>
      </w:r>
      <w:r>
        <w:rPr>
          <w:rFonts w:ascii="宋体" w:hAnsi="宋体" w:cs="宋体" w:eastAsia="宋体" w:hint="default"/>
          <w:w w:val="99"/>
          <w:sz w:val="22"/>
          <w:szCs w:val="22"/>
        </w:rPr>
        <w:t> </w:t>
      </w:r>
      <w:r>
        <w:rPr>
          <w:rFonts w:ascii="宋体" w:hAnsi="宋体" w:cs="宋体" w:eastAsia="宋体" w:hint="default"/>
          <w:sz w:val="22"/>
          <w:szCs w:val="22"/>
        </w:rPr>
        <w:t>现金流量或者实现的营业利润（或者亏损）远远低于（或者高于）预计金额等；</w:t>
      </w:r>
    </w:p>
    <w:p>
      <w:pPr>
        <w:spacing w:before="103"/>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7"/>
          <w:sz w:val="22"/>
          <w:szCs w:val="22"/>
        </w:rPr>
        <w:t> </w:t>
      </w:r>
      <w:r>
        <w:rPr>
          <w:rFonts w:ascii="宋体" w:hAnsi="宋体" w:cs="宋体" w:eastAsia="宋体" w:hint="default"/>
          <w:sz w:val="22"/>
          <w:szCs w:val="22"/>
        </w:rPr>
        <w:t>其他表明资产可能已经发生减值的迹象。</w:t>
      </w:r>
    </w:p>
    <w:p>
      <w:pPr>
        <w:spacing w:line="369" w:lineRule="auto" w:before="180"/>
        <w:ind w:left="579" w:right="0" w:firstLine="13"/>
        <w:jc w:val="left"/>
        <w:rPr>
          <w:rFonts w:ascii="宋体" w:hAnsi="宋体" w:cs="宋体" w:eastAsia="宋体" w:hint="default"/>
          <w:sz w:val="22"/>
          <w:szCs w:val="22"/>
        </w:rPr>
      </w:pPr>
      <w:r>
        <w:rPr>
          <w:rFonts w:ascii="Times New Roman" w:hAnsi="Times New Roman" w:cs="Times New Roman" w:eastAsia="Times New Roman" w:hint="default"/>
          <w:b/>
          <w:bCs/>
          <w:spacing w:val="2"/>
          <w:sz w:val="22"/>
          <w:szCs w:val="22"/>
        </w:rPr>
        <w:t>17</w:t>
      </w:r>
      <w:r>
        <w:rPr>
          <w:rFonts w:ascii="宋体" w:hAnsi="宋体" w:cs="宋体" w:eastAsia="宋体" w:hint="default"/>
          <w:b/>
          <w:bCs/>
          <w:spacing w:val="2"/>
          <w:sz w:val="22"/>
          <w:szCs w:val="22"/>
        </w:rPr>
        <w:t>．</w:t>
      </w:r>
      <w:r>
        <w:rPr>
          <w:rFonts w:ascii="宋体" w:hAnsi="宋体" w:cs="宋体" w:eastAsia="宋体" w:hint="default"/>
          <w:spacing w:val="2"/>
          <w:sz w:val="22"/>
          <w:szCs w:val="22"/>
        </w:rPr>
        <w:t>商誉</w:t>
      </w:r>
      <w:r>
        <w:rPr>
          <w:rFonts w:ascii="宋体" w:hAnsi="宋体" w:cs="宋体" w:eastAsia="宋体" w:hint="default"/>
          <w:w w:val="99"/>
          <w:sz w:val="22"/>
          <w:szCs w:val="22"/>
        </w:rPr>
        <w:t> </w:t>
      </w:r>
      <w:r>
        <w:rPr>
          <w:rFonts w:ascii="宋体" w:hAnsi="宋体" w:cs="宋体" w:eastAsia="宋体" w:hint="default"/>
          <w:spacing w:val="5"/>
          <w:w w:val="95"/>
          <w:sz w:val="22"/>
          <w:szCs w:val="22"/>
        </w:rPr>
        <w:t>商誉为股权投资成本或非同一控制下企业合并成本超过应享有的或企业合并中取得的被投</w:t>
      </w:r>
      <w:r>
        <w:rPr>
          <w:rFonts w:ascii="宋体" w:hAnsi="宋体" w:cs="宋体" w:eastAsia="宋体" w:hint="default"/>
          <w:sz w:val="22"/>
          <w:szCs w:val="22"/>
        </w:rPr>
      </w:r>
    </w:p>
    <w:p>
      <w:pPr>
        <w:spacing w:line="271" w:lineRule="exact" w:before="0"/>
        <w:ind w:left="139" w:right="0" w:firstLine="0"/>
        <w:jc w:val="left"/>
        <w:rPr>
          <w:rFonts w:ascii="宋体" w:hAnsi="宋体" w:cs="宋体" w:eastAsia="宋体" w:hint="default"/>
          <w:sz w:val="22"/>
          <w:szCs w:val="22"/>
        </w:rPr>
      </w:pPr>
      <w:r>
        <w:rPr>
          <w:rFonts w:ascii="宋体" w:hAnsi="宋体" w:cs="宋体" w:eastAsia="宋体" w:hint="default"/>
          <w:sz w:val="22"/>
          <w:szCs w:val="22"/>
        </w:rPr>
        <w:t>资单位或被购买方可辨认净资产于取得日或购买日的公允价值份额的差额。因购买子公司少数股</w:t>
      </w:r>
    </w:p>
    <w:p>
      <w:pPr>
        <w:spacing w:line="324" w:lineRule="auto" w:before="102"/>
        <w:ind w:left="139" w:right="127" w:firstLine="0"/>
        <w:jc w:val="left"/>
        <w:rPr>
          <w:rFonts w:ascii="宋体" w:hAnsi="宋体" w:cs="宋体" w:eastAsia="宋体" w:hint="default"/>
          <w:sz w:val="22"/>
          <w:szCs w:val="22"/>
        </w:rPr>
      </w:pPr>
      <w:r>
        <w:rPr>
          <w:rFonts w:ascii="宋体" w:hAnsi="宋体" w:cs="宋体" w:eastAsia="宋体" w:hint="default"/>
          <w:spacing w:val="-1"/>
          <w:sz w:val="22"/>
          <w:szCs w:val="22"/>
        </w:rPr>
        <w:t>东股权成本大于按照新增持股比例计算应享有自购买日（合并日）开始持续计算的应享有子公司</w:t>
      </w:r>
      <w:r>
        <w:rPr>
          <w:rFonts w:ascii="宋体" w:hAnsi="宋体" w:cs="宋体" w:eastAsia="宋体" w:hint="default"/>
          <w:w w:val="99"/>
          <w:sz w:val="22"/>
          <w:szCs w:val="22"/>
        </w:rPr>
        <w:t> </w:t>
      </w:r>
      <w:r>
        <w:rPr>
          <w:rFonts w:ascii="宋体" w:hAnsi="宋体" w:cs="宋体" w:eastAsia="宋体" w:hint="default"/>
          <w:sz w:val="22"/>
          <w:szCs w:val="22"/>
        </w:rPr>
        <w:t>可辨认净资产公允价值份额之间的差额，不确认商誉。</w:t>
      </w:r>
    </w:p>
    <w:p>
      <w:pPr>
        <w:spacing w:line="324" w:lineRule="auto" w:before="103"/>
        <w:ind w:left="139" w:right="125" w:firstLine="440"/>
        <w:jc w:val="left"/>
        <w:rPr>
          <w:rFonts w:ascii="宋体" w:hAnsi="宋体" w:cs="宋体" w:eastAsia="宋体" w:hint="default"/>
          <w:sz w:val="22"/>
          <w:szCs w:val="22"/>
        </w:rPr>
      </w:pPr>
      <w:r>
        <w:rPr>
          <w:rFonts w:ascii="宋体" w:hAnsi="宋体" w:cs="宋体" w:eastAsia="宋体" w:hint="default"/>
          <w:spacing w:val="-1"/>
          <w:sz w:val="22"/>
          <w:szCs w:val="22"/>
        </w:rPr>
        <w:t>与子公司有关的商誉在合并财务报表上以成本减累计减值准备单独列示，与联营企业和合营</w:t>
      </w:r>
      <w:r>
        <w:rPr>
          <w:rFonts w:ascii="宋体" w:hAnsi="宋体" w:cs="宋体" w:eastAsia="宋体" w:hint="default"/>
          <w:w w:val="99"/>
          <w:sz w:val="22"/>
          <w:szCs w:val="22"/>
        </w:rPr>
        <w:t> </w:t>
      </w:r>
      <w:r>
        <w:rPr>
          <w:rFonts w:ascii="宋体" w:hAnsi="宋体" w:cs="宋体" w:eastAsia="宋体" w:hint="default"/>
          <w:sz w:val="22"/>
          <w:szCs w:val="22"/>
        </w:rPr>
        <w:t>企业有关的商誉，包含在长期股权投资的账面价值中。</w:t>
      </w:r>
    </w:p>
    <w:p>
      <w:pPr>
        <w:spacing w:line="324" w:lineRule="auto" w:before="103"/>
        <w:ind w:left="139" w:right="125" w:firstLine="440"/>
        <w:jc w:val="left"/>
        <w:rPr>
          <w:rFonts w:ascii="宋体" w:hAnsi="宋体" w:cs="宋体" w:eastAsia="宋体" w:hint="default"/>
          <w:sz w:val="22"/>
          <w:szCs w:val="22"/>
        </w:rPr>
      </w:pPr>
      <w:r>
        <w:rPr>
          <w:rFonts w:ascii="宋体" w:hAnsi="宋体" w:cs="宋体" w:eastAsia="宋体" w:hint="default"/>
          <w:spacing w:val="-1"/>
          <w:sz w:val="22"/>
          <w:szCs w:val="22"/>
        </w:rPr>
        <w:t>在财务报表中单独列示的商誉至少每年进行减值测试。减值测试时，商誉的账面价值根据企</w:t>
      </w:r>
      <w:r>
        <w:rPr>
          <w:rFonts w:ascii="宋体" w:hAnsi="宋体" w:cs="宋体" w:eastAsia="宋体" w:hint="default"/>
          <w:w w:val="99"/>
          <w:sz w:val="22"/>
          <w:szCs w:val="22"/>
        </w:rPr>
        <w:t> </w:t>
      </w:r>
      <w:r>
        <w:rPr>
          <w:rFonts w:ascii="宋体" w:hAnsi="宋体" w:cs="宋体" w:eastAsia="宋体" w:hint="default"/>
          <w:sz w:val="22"/>
          <w:szCs w:val="22"/>
        </w:rPr>
        <w:t>业合并的协同效应分摊至受益的资产组或资产组组合。</w:t>
      </w:r>
    </w:p>
    <w:p>
      <w:pPr>
        <w:spacing w:line="369" w:lineRule="auto" w:before="103"/>
        <w:ind w:left="579"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w:t>
      </w:r>
      <w:r>
        <w:rPr>
          <w:rFonts w:ascii="宋体" w:hAnsi="宋体" w:cs="宋体" w:eastAsia="宋体" w:hint="default"/>
          <w:b/>
          <w:bCs/>
          <w:sz w:val="22"/>
          <w:szCs w:val="22"/>
        </w:rPr>
        <w:t>．</w:t>
      </w:r>
      <w:r>
        <w:rPr>
          <w:rFonts w:ascii="宋体" w:hAnsi="宋体" w:cs="宋体" w:eastAsia="宋体" w:hint="default"/>
          <w:sz w:val="22"/>
          <w:szCs w:val="22"/>
        </w:rPr>
        <w:t>长期待摊费用</w:t>
      </w:r>
      <w:r>
        <w:rPr>
          <w:rFonts w:ascii="宋体" w:hAnsi="宋体" w:cs="宋体" w:eastAsia="宋体" w:hint="default"/>
          <w:w w:val="99"/>
          <w:sz w:val="22"/>
          <w:szCs w:val="22"/>
        </w:rPr>
        <w:t> </w:t>
      </w:r>
      <w:r>
        <w:rPr>
          <w:rFonts w:ascii="宋体" w:hAnsi="宋体" w:cs="宋体" w:eastAsia="宋体" w:hint="default"/>
          <w:sz w:val="22"/>
          <w:szCs w:val="22"/>
        </w:rPr>
        <w:t>本公司长期待摊费用是指已经支出，但应由当期及以后各期承担的摊销期限在 1</w:t>
      </w:r>
      <w:r>
        <w:rPr>
          <w:rFonts w:ascii="宋体" w:hAnsi="宋体" w:cs="宋体" w:eastAsia="宋体" w:hint="default"/>
          <w:spacing w:val="-67"/>
          <w:sz w:val="22"/>
          <w:szCs w:val="22"/>
        </w:rPr>
        <w:t> </w:t>
      </w:r>
      <w:r>
        <w:rPr>
          <w:rFonts w:ascii="宋体" w:hAnsi="宋体" w:cs="宋体" w:eastAsia="宋体" w:hint="default"/>
          <w:sz w:val="22"/>
          <w:szCs w:val="22"/>
        </w:rPr>
        <w:t>年以上(不</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含 1</w:t>
      </w:r>
      <w:r>
        <w:rPr>
          <w:rFonts w:ascii="宋体" w:hAnsi="宋体" w:cs="宋体" w:eastAsia="宋体" w:hint="default"/>
          <w:spacing w:val="-44"/>
          <w:sz w:val="22"/>
          <w:szCs w:val="22"/>
        </w:rPr>
        <w:t> </w:t>
      </w:r>
      <w:r>
        <w:rPr>
          <w:rFonts w:ascii="宋体" w:hAnsi="宋体" w:cs="宋体" w:eastAsia="宋体" w:hint="default"/>
          <w:sz w:val="22"/>
          <w:szCs w:val="22"/>
        </w:rPr>
        <w:t>年)的各项费用，该等费用在受益期内平均摊销。如果长期待摊费用项目不能使以后会计期</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间受益，则将尚未摊销的该项目的摊余价值全部转入当期损益。</w:t>
      </w:r>
    </w:p>
    <w:p>
      <w:pPr>
        <w:spacing w:line="369" w:lineRule="auto" w:before="180"/>
        <w:ind w:left="592" w:right="754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w:t>
      </w:r>
      <w:r>
        <w:rPr>
          <w:rFonts w:ascii="宋体" w:hAnsi="宋体" w:cs="宋体" w:eastAsia="宋体" w:hint="default"/>
          <w:b/>
          <w:bCs/>
          <w:sz w:val="22"/>
          <w:szCs w:val="22"/>
        </w:rPr>
        <w:t>．</w:t>
      </w:r>
      <w:r>
        <w:rPr>
          <w:rFonts w:ascii="宋体" w:hAnsi="宋体" w:cs="宋体" w:eastAsia="宋体" w:hint="default"/>
          <w:sz w:val="22"/>
          <w:szCs w:val="22"/>
        </w:rPr>
        <w:t>职工薪酬</w:t>
      </w:r>
      <w:r>
        <w:rPr>
          <w:rFonts w:ascii="宋体" w:hAnsi="宋体" w:cs="宋体" w:eastAsia="宋体" w:hint="default"/>
          <w:spacing w:val="-101"/>
          <w:sz w:val="22"/>
          <w:szCs w:val="22"/>
        </w:rPr>
        <w:t> </w: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职工薪酬</w:t>
      </w:r>
    </w:p>
    <w:p>
      <w:pPr>
        <w:spacing w:after="0" w:line="369" w:lineRule="auto"/>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主要包括工资、奖金、津贴和补贴、职工福利费、社会保险费及住房公积金、工会经费和职</w:t>
      </w:r>
      <w:r>
        <w:rPr>
          <w:rFonts w:ascii="宋体" w:hAnsi="宋体" w:cs="宋体" w:eastAsia="宋体" w:hint="default"/>
          <w:w w:val="99"/>
          <w:sz w:val="22"/>
          <w:szCs w:val="22"/>
        </w:rPr>
        <w:t> </w:t>
      </w:r>
      <w:r>
        <w:rPr>
          <w:rFonts w:ascii="宋体" w:hAnsi="宋体" w:cs="宋体" w:eastAsia="宋体" w:hint="default"/>
          <w:sz w:val="22"/>
          <w:szCs w:val="22"/>
        </w:rPr>
        <w:t>工教育经费等其他与获得职工提供的服务相关的支出。</w:t>
      </w:r>
    </w:p>
    <w:p>
      <w:pPr>
        <w:spacing w:line="324" w:lineRule="auto" w:before="10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本公司在职工提供服务的会计期间，将应付的职工薪酬确认为负债，并根据职工提供服务的</w:t>
      </w:r>
      <w:r>
        <w:rPr>
          <w:rFonts w:ascii="宋体" w:hAnsi="宋体" w:cs="宋体" w:eastAsia="宋体" w:hint="default"/>
          <w:w w:val="99"/>
          <w:sz w:val="22"/>
          <w:szCs w:val="22"/>
        </w:rPr>
        <w:t> </w:t>
      </w:r>
      <w:r>
        <w:rPr>
          <w:rFonts w:ascii="宋体" w:hAnsi="宋体" w:cs="宋体" w:eastAsia="宋体" w:hint="default"/>
          <w:sz w:val="22"/>
          <w:szCs w:val="22"/>
        </w:rPr>
        <w:t>受益对象计入相关资产成本和费用。因解除与职工的劳动关系而给予的补偿，计入当期损益。</w:t>
      </w:r>
    </w:p>
    <w:p>
      <w:pPr>
        <w:spacing w:line="391" w:lineRule="auto" w:before="103"/>
        <w:ind w:left="578" w:right="20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辞退福利</w:t>
      </w:r>
      <w:r>
        <w:rPr>
          <w:rFonts w:ascii="宋体" w:hAnsi="宋体" w:cs="宋体" w:eastAsia="宋体" w:hint="default"/>
          <w:w w:val="99"/>
          <w:sz w:val="22"/>
          <w:szCs w:val="22"/>
        </w:rPr>
        <w:t> </w:t>
      </w:r>
      <w:r>
        <w:rPr>
          <w:rFonts w:ascii="宋体" w:hAnsi="宋体" w:cs="宋体" w:eastAsia="宋体" w:hint="default"/>
          <w:spacing w:val="-1"/>
          <w:sz w:val="22"/>
          <w:szCs w:val="22"/>
        </w:rPr>
        <w:t>辞退福利是指因解除与职工的劳动关系而给予的补偿，包括本公司决定在职工劳动合同到期</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前不论职工愿意与否，解除与职工的劳动关系给予的补偿；本公司在职工劳动合同到期前鼓励职</w:t>
      </w:r>
    </w:p>
    <w:p>
      <w:pPr>
        <w:spacing w:line="391" w:lineRule="auto" w:before="102"/>
        <w:ind w:left="578" w:right="3027" w:hanging="441"/>
        <w:jc w:val="left"/>
        <w:rPr>
          <w:rFonts w:ascii="宋体" w:hAnsi="宋体" w:cs="宋体" w:eastAsia="宋体" w:hint="default"/>
          <w:sz w:val="22"/>
          <w:szCs w:val="22"/>
        </w:rPr>
      </w:pPr>
      <w:r>
        <w:rPr>
          <w:rFonts w:ascii="宋体" w:hAnsi="宋体" w:cs="宋体" w:eastAsia="宋体" w:hint="default"/>
          <w:sz w:val="22"/>
          <w:szCs w:val="22"/>
        </w:rPr>
        <w:t>工自愿接受裁减而给予的补偿；以及本公司实施的内部退休计划。</w:t>
      </w:r>
      <w:r>
        <w:rPr>
          <w:rFonts w:ascii="宋体" w:hAnsi="宋体" w:cs="宋体" w:eastAsia="宋体" w:hint="default"/>
          <w:w w:val="99"/>
          <w:sz w:val="22"/>
          <w:szCs w:val="22"/>
        </w:rPr>
        <w:t> </w:t>
      </w:r>
      <w:r>
        <w:rPr>
          <w:rFonts w:ascii="宋体" w:hAnsi="宋体" w:cs="宋体" w:eastAsia="宋体" w:hint="default"/>
          <w:sz w:val="22"/>
          <w:szCs w:val="22"/>
        </w:rPr>
        <w:t>辞退福利的确认原则：</w:t>
      </w:r>
    </w:p>
    <w:p>
      <w:pPr>
        <w:spacing w:before="41"/>
        <w:ind w:left="705" w:right="21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企业已经制定正式的解除劳动关系计划或提出自愿裁减建议，并即将实施；</w:t>
      </w:r>
    </w:p>
    <w:p>
      <w:pPr>
        <w:spacing w:line="391" w:lineRule="auto" w:before="180"/>
        <w:ind w:left="578" w:right="3442" w:firstLine="127"/>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企业不能单方面撤回解除劳动关系计划或裁减建议。</w:t>
      </w:r>
      <w:r>
        <w:rPr>
          <w:rFonts w:ascii="宋体" w:hAnsi="宋体" w:cs="宋体" w:eastAsia="宋体" w:hint="default"/>
          <w:w w:val="99"/>
          <w:sz w:val="22"/>
          <w:szCs w:val="22"/>
        </w:rPr>
        <w:t> </w:t>
      </w:r>
      <w:r>
        <w:rPr>
          <w:rFonts w:ascii="宋体" w:hAnsi="宋体" w:cs="宋体" w:eastAsia="宋体" w:hint="default"/>
          <w:sz w:val="22"/>
          <w:szCs w:val="22"/>
        </w:rPr>
        <w:t>辞退福利的计量方法：</w:t>
      </w:r>
    </w:p>
    <w:p>
      <w:pPr>
        <w:spacing w:line="324" w:lineRule="auto" w:before="41"/>
        <w:ind w:left="138" w:right="222" w:firstLine="567"/>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对于职工没有选择权的辞退计划，根据计划条款规定拟解除劳动关系的职工数量、每一</w:t>
      </w:r>
      <w:r>
        <w:rPr>
          <w:rFonts w:ascii="宋体" w:hAnsi="宋体" w:cs="宋体" w:eastAsia="宋体" w:hint="default"/>
          <w:w w:val="99"/>
          <w:sz w:val="22"/>
          <w:szCs w:val="22"/>
        </w:rPr>
        <w:t> </w:t>
      </w:r>
      <w:r>
        <w:rPr>
          <w:rFonts w:ascii="宋体" w:hAnsi="宋体" w:cs="宋体" w:eastAsia="宋体" w:hint="default"/>
          <w:sz w:val="22"/>
          <w:szCs w:val="22"/>
        </w:rPr>
        <w:t>职工的辞退补偿等计提应付职工薪酬；</w:t>
      </w:r>
    </w:p>
    <w:p>
      <w:pPr>
        <w:spacing w:line="324" w:lineRule="auto" w:before="103"/>
        <w:ind w:left="138" w:right="223"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7"/>
          <w:sz w:val="22"/>
          <w:szCs w:val="22"/>
        </w:rPr>
        <w:t> </w:t>
      </w:r>
      <w:r>
        <w:rPr>
          <w:rFonts w:ascii="宋体" w:hAnsi="宋体" w:cs="宋体" w:eastAsia="宋体" w:hint="default"/>
          <w:sz w:val="22"/>
          <w:szCs w:val="22"/>
        </w:rPr>
        <w:t>对于自愿接受裁减的建议，首先预计将会接受裁减建议的职工数量，再根据预计的职工</w:t>
      </w:r>
      <w:r>
        <w:rPr>
          <w:rFonts w:ascii="宋体" w:hAnsi="宋体" w:cs="宋体" w:eastAsia="宋体" w:hint="default"/>
          <w:w w:val="99"/>
          <w:sz w:val="22"/>
          <w:szCs w:val="22"/>
        </w:rPr>
        <w:t> </w:t>
      </w:r>
      <w:r>
        <w:rPr>
          <w:rFonts w:ascii="宋体" w:hAnsi="宋体" w:cs="宋体" w:eastAsia="宋体" w:hint="default"/>
          <w:sz w:val="22"/>
          <w:szCs w:val="22"/>
        </w:rPr>
        <w:t>数量和每一职工的辞退补偿等计提应付职工薪酬。</w:t>
      </w:r>
    </w:p>
    <w:p>
      <w:pPr>
        <w:spacing w:before="103"/>
        <w:ind w:left="578" w:right="213" w:firstLine="0"/>
        <w:jc w:val="left"/>
        <w:rPr>
          <w:rFonts w:ascii="宋体" w:hAnsi="宋体" w:cs="宋体" w:eastAsia="宋体" w:hint="default"/>
          <w:sz w:val="22"/>
          <w:szCs w:val="22"/>
        </w:rPr>
      </w:pPr>
      <w:r>
        <w:rPr>
          <w:rFonts w:ascii="宋体" w:hAnsi="宋体" w:cs="宋体" w:eastAsia="宋体" w:hint="default"/>
          <w:sz w:val="22"/>
          <w:szCs w:val="22"/>
        </w:rPr>
        <w:t>辞退福利的确认标准：</w:t>
      </w:r>
    </w:p>
    <w:p>
      <w:pPr>
        <w:spacing w:line="324" w:lineRule="auto" w:before="180"/>
        <w:ind w:left="138" w:right="222" w:firstLine="567"/>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8"/>
          <w:sz w:val="22"/>
          <w:szCs w:val="22"/>
        </w:rPr>
        <w:t> </w:t>
      </w:r>
      <w:r>
        <w:rPr>
          <w:rFonts w:ascii="宋体" w:hAnsi="宋体" w:cs="宋体" w:eastAsia="宋体" w:hint="default"/>
          <w:sz w:val="22"/>
          <w:szCs w:val="22"/>
        </w:rPr>
        <w:t>对于分期或分阶段实施的解除劳动关系计划或自愿裁减建议，在每期或每阶段计划符合</w:t>
      </w:r>
      <w:r>
        <w:rPr>
          <w:rFonts w:ascii="宋体" w:hAnsi="宋体" w:cs="宋体" w:eastAsia="宋体" w:hint="default"/>
          <w:w w:val="99"/>
          <w:sz w:val="22"/>
          <w:szCs w:val="22"/>
        </w:rPr>
        <w:t> </w:t>
      </w:r>
      <w:r>
        <w:rPr>
          <w:rFonts w:ascii="宋体" w:hAnsi="宋体" w:cs="宋体" w:eastAsia="宋体" w:hint="default"/>
          <w:spacing w:val="-1"/>
          <w:sz w:val="22"/>
          <w:szCs w:val="22"/>
        </w:rPr>
        <w:t>预计负债确认条件时，将该期或该阶段计划中由提供辞退职工福利产生的预计负债予以确认，计</w:t>
      </w:r>
      <w:r>
        <w:rPr>
          <w:rFonts w:ascii="宋体" w:hAnsi="宋体" w:cs="宋体" w:eastAsia="宋体" w:hint="default"/>
          <w:w w:val="99"/>
          <w:sz w:val="22"/>
          <w:szCs w:val="22"/>
        </w:rPr>
        <w:t> </w:t>
      </w:r>
      <w:r>
        <w:rPr>
          <w:rFonts w:ascii="宋体" w:hAnsi="宋体" w:cs="宋体" w:eastAsia="宋体" w:hint="default"/>
          <w:sz w:val="22"/>
          <w:szCs w:val="22"/>
        </w:rPr>
        <w:t>入该部分计划满足预计负债确认条件的当期管理费用；</w:t>
      </w:r>
    </w:p>
    <w:p>
      <w:pPr>
        <w:spacing w:line="324" w:lineRule="auto" w:before="103"/>
        <w:ind w:left="138" w:right="223"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7"/>
          <w:sz w:val="22"/>
          <w:szCs w:val="22"/>
        </w:rPr>
        <w:t> </w:t>
      </w:r>
      <w:r>
        <w:rPr>
          <w:rFonts w:ascii="宋体" w:hAnsi="宋体" w:cs="宋体" w:eastAsia="宋体" w:hint="default"/>
          <w:sz w:val="22"/>
          <w:szCs w:val="22"/>
        </w:rPr>
        <w:t>对于符合规定的内退计划，按照内退计划规定，将自职工停止提供服务日至正常退休日</w:t>
      </w:r>
      <w:r>
        <w:rPr>
          <w:rFonts w:ascii="宋体" w:hAnsi="宋体" w:cs="宋体" w:eastAsia="宋体" w:hint="default"/>
          <w:w w:val="99"/>
          <w:sz w:val="22"/>
          <w:szCs w:val="22"/>
        </w:rPr>
        <w:t> </w:t>
      </w:r>
      <w:r>
        <w:rPr>
          <w:rFonts w:ascii="宋体" w:hAnsi="宋体" w:cs="宋体" w:eastAsia="宋体" w:hint="default"/>
          <w:spacing w:val="-1"/>
          <w:sz w:val="22"/>
          <w:szCs w:val="22"/>
        </w:rPr>
        <w:t>之间期间、企业拟支付的内退人员工资和缴纳的社会保险费等，确认为预计负债，计入当期管理</w:t>
      </w:r>
      <w:r>
        <w:rPr>
          <w:rFonts w:ascii="宋体" w:hAnsi="宋体" w:cs="宋体" w:eastAsia="宋体" w:hint="default"/>
          <w:w w:val="99"/>
          <w:sz w:val="22"/>
          <w:szCs w:val="22"/>
        </w:rPr>
        <w:t> </w:t>
      </w:r>
      <w:r>
        <w:rPr>
          <w:rFonts w:ascii="宋体" w:hAnsi="宋体" w:cs="宋体" w:eastAsia="宋体" w:hint="default"/>
          <w:sz w:val="22"/>
          <w:szCs w:val="22"/>
        </w:rPr>
        <w:t>费用。</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w:t>
      </w:r>
      <w:r>
        <w:rPr>
          <w:rFonts w:ascii="宋体" w:hAnsi="宋体" w:cs="宋体" w:eastAsia="宋体" w:hint="default"/>
          <w:b/>
          <w:bCs/>
          <w:sz w:val="22"/>
          <w:szCs w:val="22"/>
        </w:rPr>
        <w:t>．</w:t>
      </w:r>
      <w:r>
        <w:rPr>
          <w:rFonts w:ascii="宋体" w:hAnsi="宋体" w:cs="宋体" w:eastAsia="宋体" w:hint="default"/>
          <w:sz w:val="22"/>
          <w:szCs w:val="22"/>
        </w:rPr>
        <w:t>预计负债及或有负债</w:t>
      </w:r>
      <w:r>
        <w:rPr>
          <w:rFonts w:ascii="宋体" w:hAnsi="宋体" w:cs="宋体" w:eastAsia="宋体" w:hint="default"/>
          <w:w w:val="99"/>
          <w:sz w:val="22"/>
          <w:szCs w:val="22"/>
        </w:rPr>
        <w:t> </w:t>
      </w:r>
      <w:r>
        <w:rPr>
          <w:rFonts w:ascii="宋体" w:hAnsi="宋体" w:cs="宋体" w:eastAsia="宋体" w:hint="default"/>
          <w:spacing w:val="-1"/>
          <w:sz w:val="22"/>
          <w:szCs w:val="22"/>
        </w:rPr>
        <w:t>当与对外担保、未决诉讼或仲裁、产品质量保证、裁员计划、亏损合同、重组义务、固定资</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产弃置义务等或有事项相关的业务同时符合以下条件时，本公司将其确认为负债：该义务是本公</w:t>
      </w:r>
    </w:p>
    <w:p>
      <w:pPr>
        <w:spacing w:line="324" w:lineRule="auto" w:before="102"/>
        <w:ind w:left="138" w:right="86" w:hanging="1"/>
        <w:jc w:val="left"/>
        <w:rPr>
          <w:rFonts w:ascii="宋体" w:hAnsi="宋体" w:cs="宋体" w:eastAsia="宋体" w:hint="default"/>
          <w:sz w:val="22"/>
          <w:szCs w:val="22"/>
        </w:rPr>
      </w:pPr>
      <w:r>
        <w:rPr>
          <w:rFonts w:ascii="宋体" w:hAnsi="宋体" w:cs="宋体" w:eastAsia="宋体" w:hint="default"/>
          <w:spacing w:val="-4"/>
          <w:sz w:val="22"/>
          <w:szCs w:val="22"/>
        </w:rPr>
        <w:t>司承担的现时义务；该义务的履行很可能导致经济利益流出企业；该义务的金额能够可靠地计量；</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该义务是本公司承担的现时义务；该义务的履行很可能导致经济利益流出企业；该义务的金额能</w:t>
      </w:r>
      <w:r>
        <w:rPr>
          <w:rFonts w:ascii="宋体" w:hAnsi="宋体" w:cs="宋体" w:eastAsia="宋体" w:hint="default"/>
          <w:w w:val="99"/>
          <w:sz w:val="22"/>
          <w:szCs w:val="22"/>
        </w:rPr>
        <w:t> </w:t>
      </w:r>
      <w:r>
        <w:rPr>
          <w:rFonts w:ascii="宋体" w:hAnsi="宋体" w:cs="宋体" w:eastAsia="宋体" w:hint="default"/>
          <w:sz w:val="22"/>
          <w:szCs w:val="22"/>
        </w:rPr>
        <w:t>够可靠地计量。</w:t>
      </w:r>
    </w:p>
    <w:p>
      <w:pPr>
        <w:spacing w:line="324" w:lineRule="auto" w:before="10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预计负债按照履行相关现时义务所需支出的最佳估计数进行初始计量，并综合考虑与或有事</w:t>
      </w:r>
      <w:r>
        <w:rPr>
          <w:rFonts w:ascii="宋体" w:hAnsi="宋体" w:cs="宋体" w:eastAsia="宋体" w:hint="default"/>
          <w:w w:val="99"/>
          <w:sz w:val="22"/>
          <w:szCs w:val="22"/>
        </w:rPr>
        <w:t> </w:t>
      </w:r>
      <w:r>
        <w:rPr>
          <w:rFonts w:ascii="宋体" w:hAnsi="宋体" w:cs="宋体" w:eastAsia="宋体" w:hint="default"/>
          <w:spacing w:val="-1"/>
          <w:sz w:val="22"/>
          <w:szCs w:val="22"/>
        </w:rPr>
        <w:t>项有关的风险、不确定性和货币时间价值等因素。货币时间价值影响重大的，通过对相关未来现</w:t>
      </w:r>
      <w:r>
        <w:rPr>
          <w:rFonts w:ascii="宋体" w:hAnsi="宋体" w:cs="宋体" w:eastAsia="宋体" w:hint="default"/>
          <w:w w:val="99"/>
          <w:sz w:val="22"/>
          <w:szCs w:val="22"/>
        </w:rPr>
        <w:t> </w:t>
      </w:r>
      <w:r>
        <w:rPr>
          <w:rFonts w:ascii="宋体" w:hAnsi="宋体" w:cs="宋体" w:eastAsia="宋体" w:hint="default"/>
          <w:spacing w:val="-1"/>
          <w:sz w:val="22"/>
          <w:szCs w:val="22"/>
        </w:rPr>
        <w:t>金流出进行折现后确定最佳估计数。于资产负债表日对预计负债的账面价值进行复核，如有改变</w:t>
      </w:r>
    </w:p>
    <w:p>
      <w:pPr>
        <w:spacing w:after="0" w:line="324"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88" w:lineRule="auto" w:before="31"/>
        <w:ind w:left="578" w:right="166" w:hanging="441"/>
        <w:jc w:val="left"/>
        <w:rPr>
          <w:rFonts w:ascii="宋体" w:hAnsi="宋体" w:cs="宋体" w:eastAsia="宋体" w:hint="default"/>
          <w:sz w:val="22"/>
          <w:szCs w:val="22"/>
        </w:rPr>
      </w:pPr>
      <w:r>
        <w:rPr>
          <w:rFonts w:ascii="宋体" w:hAnsi="宋体" w:cs="宋体" w:eastAsia="宋体" w:hint="default"/>
          <w:sz w:val="22"/>
          <w:szCs w:val="22"/>
        </w:rPr>
        <w:t>则对账面价值进行调整以反映当前最佳估计数。</w:t>
      </w:r>
      <w:r>
        <w:rPr>
          <w:rFonts w:ascii="宋体" w:hAnsi="宋体" w:cs="宋体" w:eastAsia="宋体" w:hint="default"/>
          <w:w w:val="99"/>
          <w:sz w:val="22"/>
          <w:szCs w:val="22"/>
        </w:rPr>
        <w:t> </w:t>
      </w:r>
      <w:r>
        <w:rPr>
          <w:rFonts w:ascii="宋体" w:hAnsi="宋体" w:cs="宋体" w:eastAsia="宋体" w:hint="default"/>
          <w:spacing w:val="-1"/>
          <w:sz w:val="22"/>
          <w:szCs w:val="22"/>
        </w:rPr>
        <w:t>对过去的交易或事项形成的潜在义务，其存在需通过未来不确定事项的发生或不发生予以证</w:t>
      </w:r>
    </w:p>
    <w:p>
      <w:pPr>
        <w:spacing w:line="254"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实；或过去的交易或者事项形成的现时义务，履行该义务不是很可能导致经济利益流出本公司或</w:t>
      </w:r>
    </w:p>
    <w:p>
      <w:pPr>
        <w:spacing w:line="379" w:lineRule="auto" w:before="102"/>
        <w:ind w:left="578" w:right="166" w:hanging="441"/>
        <w:jc w:val="left"/>
        <w:rPr>
          <w:rFonts w:ascii="宋体" w:hAnsi="宋体" w:cs="宋体" w:eastAsia="宋体" w:hint="default"/>
          <w:sz w:val="22"/>
          <w:szCs w:val="22"/>
        </w:rPr>
      </w:pPr>
      <w:r>
        <w:rPr>
          <w:rFonts w:ascii="宋体" w:hAnsi="宋体" w:cs="宋体" w:eastAsia="宋体" w:hint="default"/>
          <w:sz w:val="22"/>
          <w:szCs w:val="22"/>
        </w:rPr>
        <w:t>该义务的金额不能可靠计量，则本公司会将该潜在义务或现时义务披露为或有负债。</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21</w:t>
      </w:r>
      <w:r>
        <w:rPr>
          <w:rFonts w:ascii="宋体" w:hAnsi="宋体" w:cs="宋体" w:eastAsia="宋体" w:hint="default"/>
          <w:b/>
          <w:bCs/>
          <w:sz w:val="22"/>
          <w:szCs w:val="22"/>
        </w:rPr>
        <w:t>．</w:t>
      </w:r>
      <w:r>
        <w:rPr>
          <w:rFonts w:ascii="宋体" w:hAnsi="宋体" w:cs="宋体" w:eastAsia="宋体" w:hint="default"/>
          <w:sz w:val="22"/>
          <w:szCs w:val="22"/>
        </w:rPr>
        <w:t>收入确认方法</w:t>
      </w:r>
      <w:r>
        <w:rPr>
          <w:rFonts w:ascii="宋体" w:hAnsi="宋体" w:cs="宋体" w:eastAsia="宋体" w:hint="default"/>
          <w:w w:val="99"/>
          <w:sz w:val="22"/>
          <w:szCs w:val="22"/>
        </w:rPr>
        <w:t> </w:t>
      </w:r>
      <w:r>
        <w:rPr>
          <w:rFonts w:ascii="宋体" w:hAnsi="宋体" w:cs="宋体" w:eastAsia="宋体" w:hint="default"/>
          <w:spacing w:val="-1"/>
          <w:sz w:val="22"/>
          <w:szCs w:val="22"/>
        </w:rPr>
        <w:t>本公司的营业收入主要包括销售商品收入、提供劳务收入和让渡资产使用权收入。与交易相</w:t>
      </w:r>
    </w:p>
    <w:p>
      <w:pPr>
        <w:spacing w:line="262"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关的经济利益能够流入本公司，相关的收入能够可靠计量且满足下列各项经营活动的特定收入确</w:t>
      </w:r>
    </w:p>
    <w:p>
      <w:pPr>
        <w:spacing w:line="391" w:lineRule="auto" w:before="102"/>
        <w:ind w:left="591" w:right="6507" w:hanging="454"/>
        <w:jc w:val="left"/>
        <w:rPr>
          <w:rFonts w:ascii="宋体" w:hAnsi="宋体" w:cs="宋体" w:eastAsia="宋体" w:hint="default"/>
          <w:sz w:val="22"/>
          <w:szCs w:val="22"/>
        </w:rPr>
      </w:pPr>
      <w:r>
        <w:rPr>
          <w:rFonts w:ascii="宋体" w:hAnsi="宋体" w:cs="宋体" w:eastAsia="宋体" w:hint="default"/>
          <w:sz w:val="22"/>
          <w:szCs w:val="22"/>
        </w:rPr>
        <w:t>认标准时，确认相关的收入。</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销售商品收入</w:t>
      </w:r>
    </w:p>
    <w:p>
      <w:pPr>
        <w:spacing w:line="324" w:lineRule="auto" w:before="41"/>
        <w:ind w:left="138" w:right="183" w:firstLine="440"/>
        <w:jc w:val="both"/>
        <w:rPr>
          <w:rFonts w:ascii="宋体" w:hAnsi="宋体" w:cs="宋体" w:eastAsia="宋体" w:hint="default"/>
          <w:sz w:val="22"/>
          <w:szCs w:val="22"/>
        </w:rPr>
      </w:pPr>
      <w:r>
        <w:rPr>
          <w:rFonts w:ascii="宋体" w:hAnsi="宋体" w:cs="宋体" w:eastAsia="宋体" w:hint="default"/>
          <w:spacing w:val="-1"/>
          <w:sz w:val="22"/>
          <w:szCs w:val="22"/>
        </w:rPr>
        <w:t>公司在商品所有权上的主要风险和报酬转移给买方、公司不再对该商品实施继续管理权和实</w:t>
      </w:r>
      <w:r>
        <w:rPr>
          <w:rFonts w:ascii="宋体" w:hAnsi="宋体" w:cs="宋体" w:eastAsia="宋体" w:hint="default"/>
          <w:w w:val="99"/>
          <w:sz w:val="22"/>
          <w:szCs w:val="22"/>
        </w:rPr>
        <w:t> </w:t>
      </w:r>
      <w:r>
        <w:rPr>
          <w:rFonts w:ascii="宋体" w:hAnsi="宋体" w:cs="宋体" w:eastAsia="宋体" w:hint="default"/>
          <w:spacing w:val="-1"/>
          <w:sz w:val="22"/>
          <w:szCs w:val="22"/>
        </w:rPr>
        <w:t>际控制权、与交易相关的经济利益能够流入企业、并且相关收入和成本能够可靠地计量时确认收</w:t>
      </w:r>
      <w:r>
        <w:rPr>
          <w:rFonts w:ascii="宋体" w:hAnsi="宋体" w:cs="宋体" w:eastAsia="宋体" w:hint="default"/>
          <w:w w:val="99"/>
          <w:sz w:val="22"/>
          <w:szCs w:val="22"/>
        </w:rPr>
        <w:t> </w:t>
      </w:r>
      <w:r>
        <w:rPr>
          <w:rFonts w:ascii="宋体" w:hAnsi="宋体" w:cs="宋体" w:eastAsia="宋体" w:hint="default"/>
          <w:sz w:val="22"/>
          <w:szCs w:val="22"/>
        </w:rPr>
        <w:t>入的实现。</w:t>
      </w:r>
    </w:p>
    <w:p>
      <w:pPr>
        <w:spacing w:line="391" w:lineRule="auto" w:before="103"/>
        <w:ind w:left="578" w:right="16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提供劳务收入</w:t>
      </w:r>
      <w:r>
        <w:rPr>
          <w:rFonts w:ascii="宋体" w:hAnsi="宋体" w:cs="宋体" w:eastAsia="宋体" w:hint="default"/>
          <w:w w:val="99"/>
          <w:sz w:val="22"/>
          <w:szCs w:val="22"/>
        </w:rPr>
        <w:t> </w:t>
      </w:r>
      <w:r>
        <w:rPr>
          <w:rFonts w:ascii="宋体" w:hAnsi="宋体" w:cs="宋体" w:eastAsia="宋体" w:hint="default"/>
          <w:spacing w:val="-1"/>
          <w:sz w:val="22"/>
          <w:szCs w:val="22"/>
        </w:rPr>
        <w:t>提供劳务在同一年度内开始并完成的，应当在完成劳务时确认收入。如劳务的开始和完成分</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属不同的会计年度，在提供劳务交易的结果能够可靠估计的情况下，公司在资产负债表日按完工</w:t>
      </w:r>
    </w:p>
    <w:p>
      <w:pPr>
        <w:spacing w:line="324" w:lineRule="auto" w:before="102"/>
        <w:ind w:left="138" w:right="168" w:firstLine="0"/>
        <w:jc w:val="left"/>
        <w:rPr>
          <w:rFonts w:ascii="宋体" w:hAnsi="宋体" w:cs="宋体" w:eastAsia="宋体" w:hint="default"/>
          <w:sz w:val="22"/>
          <w:szCs w:val="22"/>
        </w:rPr>
      </w:pPr>
      <w:r>
        <w:rPr>
          <w:rFonts w:ascii="宋体" w:hAnsi="宋体" w:cs="宋体" w:eastAsia="宋体" w:hint="default"/>
          <w:spacing w:val="-1"/>
          <w:sz w:val="22"/>
          <w:szCs w:val="22"/>
        </w:rPr>
        <w:t>百分比法确认相关的劳务收入；在提供劳务交易的结果不能可靠估计的情况下，公司在资产负债</w:t>
      </w:r>
      <w:r>
        <w:rPr>
          <w:rFonts w:ascii="宋体" w:hAnsi="宋体" w:cs="宋体" w:eastAsia="宋体" w:hint="default"/>
          <w:w w:val="99"/>
          <w:sz w:val="22"/>
          <w:szCs w:val="22"/>
        </w:rPr>
        <w:t> </w:t>
      </w:r>
      <w:r>
        <w:rPr>
          <w:rFonts w:ascii="宋体" w:hAnsi="宋体" w:cs="宋体" w:eastAsia="宋体" w:hint="default"/>
          <w:sz w:val="22"/>
          <w:szCs w:val="22"/>
        </w:rPr>
        <w:t>表日对收入分别以下情况予以确认和计量：</w:t>
      </w:r>
    </w:p>
    <w:p>
      <w:pPr>
        <w:spacing w:line="324" w:lineRule="auto" w:before="103"/>
        <w:ind w:left="138" w:right="182" w:firstLine="567"/>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如果已经发生的劳务成本预计能够得到补偿，按已经发生的劳务成本金额确认收入，并</w:t>
      </w:r>
      <w:r>
        <w:rPr>
          <w:rFonts w:ascii="宋体" w:hAnsi="宋体" w:cs="宋体" w:eastAsia="宋体" w:hint="default"/>
          <w:w w:val="99"/>
          <w:sz w:val="22"/>
          <w:szCs w:val="22"/>
        </w:rPr>
        <w:t> </w:t>
      </w:r>
      <w:r>
        <w:rPr>
          <w:rFonts w:ascii="宋体" w:hAnsi="宋体" w:cs="宋体" w:eastAsia="宋体" w:hint="default"/>
          <w:sz w:val="22"/>
          <w:szCs w:val="22"/>
        </w:rPr>
        <w:t>按相同金额结转成本；</w:t>
      </w:r>
    </w:p>
    <w:p>
      <w:pPr>
        <w:spacing w:line="324" w:lineRule="auto" w:before="103"/>
        <w:ind w:left="138" w:right="144"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2"/>
          <w:sz w:val="22"/>
          <w:szCs w:val="22"/>
        </w:rPr>
        <w:t> </w:t>
      </w:r>
      <w:r>
        <w:rPr>
          <w:rFonts w:ascii="宋体" w:hAnsi="宋体" w:cs="宋体" w:eastAsia="宋体" w:hint="default"/>
          <w:sz w:val="22"/>
          <w:szCs w:val="22"/>
        </w:rPr>
        <w:t>如果已经发生的劳务成本预计不能全部得到补偿，按能够得到补偿的劳务成本金额确认</w:t>
      </w:r>
      <w:r>
        <w:rPr>
          <w:rFonts w:ascii="宋体" w:hAnsi="宋体" w:cs="宋体" w:eastAsia="宋体" w:hint="default"/>
          <w:w w:val="99"/>
          <w:sz w:val="22"/>
          <w:szCs w:val="22"/>
        </w:rPr>
        <w:t> </w:t>
      </w:r>
      <w:r>
        <w:rPr>
          <w:rFonts w:ascii="宋体" w:hAnsi="宋体" w:cs="宋体" w:eastAsia="宋体" w:hint="default"/>
          <w:sz w:val="22"/>
          <w:szCs w:val="22"/>
        </w:rPr>
        <w:t>收入，并按已经发生的劳务成本，结转当期成本，确认的金额小于已经发生的劳务成本的差额，</w:t>
      </w:r>
      <w:r>
        <w:rPr>
          <w:rFonts w:ascii="宋体" w:hAnsi="宋体" w:cs="宋体" w:eastAsia="宋体" w:hint="default"/>
          <w:w w:val="99"/>
          <w:sz w:val="22"/>
          <w:szCs w:val="22"/>
        </w:rPr>
        <w:t> </w:t>
      </w:r>
      <w:r>
        <w:rPr>
          <w:rFonts w:ascii="宋体" w:hAnsi="宋体" w:cs="宋体" w:eastAsia="宋体" w:hint="default"/>
          <w:sz w:val="22"/>
          <w:szCs w:val="22"/>
        </w:rPr>
        <w:t>作为当期损失；</w:t>
      </w:r>
    </w:p>
    <w:p>
      <w:pPr>
        <w:spacing w:line="324" w:lineRule="auto" w:before="103"/>
        <w:ind w:left="138" w:right="117" w:firstLine="567"/>
        <w:jc w:val="both"/>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如果已经发生的劳务成本全部不能得到补偿，应按已经发生的劳务成本作为当期费用，</w:t>
      </w:r>
      <w:r>
        <w:rPr>
          <w:rFonts w:ascii="宋体" w:hAnsi="宋体" w:cs="宋体" w:eastAsia="宋体" w:hint="default"/>
          <w:w w:val="99"/>
          <w:sz w:val="22"/>
          <w:szCs w:val="22"/>
        </w:rPr>
        <w:t> </w:t>
      </w:r>
      <w:r>
        <w:rPr>
          <w:rFonts w:ascii="宋体" w:hAnsi="宋体" w:cs="宋体" w:eastAsia="宋体" w:hint="default"/>
          <w:sz w:val="22"/>
          <w:szCs w:val="22"/>
        </w:rPr>
        <w:t>不确认收入。</w:t>
      </w:r>
    </w:p>
    <w:p>
      <w:pPr>
        <w:spacing w:line="391" w:lineRule="auto" w:before="103"/>
        <w:ind w:left="578" w:right="166"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0"/>
          <w:sz w:val="22"/>
          <w:szCs w:val="22"/>
        </w:rPr>
        <w:t> </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1"/>
          <w:sz w:val="22"/>
          <w:szCs w:val="22"/>
        </w:rPr>
        <w:t>以与交易相关的经济利益能够流入本公司，收入的金额能够可靠地计量时，确认让渡资产使</w:t>
      </w:r>
    </w:p>
    <w:p>
      <w:pPr>
        <w:spacing w:line="251" w:lineRule="exact" w:before="0"/>
        <w:ind w:left="138" w:right="5604" w:firstLine="0"/>
        <w:jc w:val="left"/>
        <w:rPr>
          <w:rFonts w:ascii="宋体" w:hAnsi="宋体" w:cs="宋体" w:eastAsia="宋体" w:hint="default"/>
          <w:sz w:val="22"/>
          <w:szCs w:val="22"/>
        </w:rPr>
      </w:pPr>
      <w:r>
        <w:rPr>
          <w:rFonts w:ascii="宋体" w:hAnsi="宋体" w:cs="宋体" w:eastAsia="宋体" w:hint="default"/>
          <w:sz w:val="22"/>
          <w:szCs w:val="22"/>
        </w:rPr>
        <w:t>用权收入的实现。</w:t>
      </w:r>
    </w:p>
    <w:p>
      <w:pPr>
        <w:spacing w:before="180"/>
        <w:ind w:left="706" w:right="104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利息收入按照他人使用本公司货币资金的时间和实际利率计算确定；</w:t>
      </w:r>
    </w:p>
    <w:p>
      <w:pPr>
        <w:spacing w:before="180"/>
        <w:ind w:left="706" w:right="1888"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使用费收入按照有关合同或协议约定的收费时间和方法计算确定；</w:t>
      </w:r>
    </w:p>
    <w:p>
      <w:pPr>
        <w:spacing w:before="180"/>
        <w:ind w:left="706" w:right="384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经营租赁收入按照直线法在租赁期内确认。</w:t>
      </w:r>
    </w:p>
    <w:p>
      <w:pPr>
        <w:spacing w:before="180"/>
        <w:ind w:left="592" w:right="384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建造合同收入参见附注四、22。</w:t>
      </w:r>
    </w:p>
    <w:p>
      <w:pPr>
        <w:spacing w:after="0"/>
        <w:jc w:val="left"/>
        <w:rPr>
          <w:rFonts w:ascii="宋体" w:hAnsi="宋体" w:cs="宋体" w:eastAsia="宋体" w:hint="default"/>
          <w:sz w:val="22"/>
          <w:szCs w:val="22"/>
        </w:rPr>
        <w:sectPr>
          <w:pgSz w:w="11910" w:h="16840"/>
          <w:pgMar w:header="610" w:footer="784" w:top="1080" w:bottom="980" w:left="1280" w:right="1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67" w:lineRule="auto" w:before="31"/>
        <w:ind w:left="578"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w:t>
      </w:r>
      <w:r>
        <w:rPr>
          <w:rFonts w:ascii="宋体" w:hAnsi="宋体" w:cs="宋体" w:eastAsia="宋体" w:hint="default"/>
          <w:b/>
          <w:bCs/>
          <w:sz w:val="22"/>
          <w:szCs w:val="22"/>
        </w:rPr>
        <w:t>．</w:t>
      </w:r>
      <w:r>
        <w:rPr>
          <w:rFonts w:ascii="宋体" w:hAnsi="宋体" w:cs="宋体" w:eastAsia="宋体" w:hint="default"/>
          <w:sz w:val="22"/>
          <w:szCs w:val="22"/>
        </w:rPr>
        <w:t>建造合同</w:t>
      </w:r>
      <w:r>
        <w:rPr>
          <w:rFonts w:ascii="宋体" w:hAnsi="宋体" w:cs="宋体" w:eastAsia="宋体" w:hint="default"/>
          <w:w w:val="99"/>
          <w:sz w:val="22"/>
          <w:szCs w:val="22"/>
        </w:rPr>
        <w:t> </w:t>
      </w:r>
      <w:r>
        <w:rPr>
          <w:rFonts w:ascii="宋体" w:hAnsi="宋体" w:cs="宋体" w:eastAsia="宋体" w:hint="default"/>
          <w:spacing w:val="5"/>
          <w:w w:val="95"/>
          <w:sz w:val="22"/>
          <w:szCs w:val="22"/>
        </w:rPr>
        <w:t>建造合同的结果能够可靠估计的，于资产负债表日按完工百分比法确认合同收入和合同费</w:t>
      </w:r>
      <w:r>
        <w:rPr>
          <w:rFonts w:ascii="宋体" w:hAnsi="宋体" w:cs="宋体" w:eastAsia="宋体" w:hint="default"/>
          <w:sz w:val="22"/>
          <w:szCs w:val="22"/>
        </w:rPr>
      </w:r>
    </w:p>
    <w:p>
      <w:pPr>
        <w:spacing w:line="273"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用；在建造合同的结果不能可靠地估计时，如果合同成本能够收回的，合同收入根据能够收回的</w:t>
      </w:r>
    </w:p>
    <w:p>
      <w:pPr>
        <w:spacing w:line="324" w:lineRule="auto" w:before="102"/>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实际合同成本加以确认，合同成本在其发生的当期确认为费用。如果合同成本不可能收回的，应</w:t>
      </w:r>
      <w:r>
        <w:rPr>
          <w:rFonts w:ascii="宋体" w:hAnsi="宋体" w:cs="宋体" w:eastAsia="宋体" w:hint="default"/>
          <w:w w:val="99"/>
          <w:sz w:val="22"/>
          <w:szCs w:val="22"/>
        </w:rPr>
        <w:t> </w:t>
      </w:r>
      <w:r>
        <w:rPr>
          <w:rFonts w:ascii="宋体" w:hAnsi="宋体" w:cs="宋体" w:eastAsia="宋体" w:hint="default"/>
          <w:sz w:val="22"/>
          <w:szCs w:val="22"/>
        </w:rPr>
        <w:t>在发生时立即确认为费用，不确认收入。</w:t>
      </w:r>
    </w:p>
    <w:p>
      <w:pPr>
        <w:spacing w:before="103"/>
        <w:ind w:left="578" w:right="0" w:firstLine="0"/>
        <w:jc w:val="left"/>
        <w:rPr>
          <w:rFonts w:ascii="宋体" w:hAnsi="宋体" w:cs="宋体" w:eastAsia="宋体" w:hint="default"/>
          <w:sz w:val="22"/>
          <w:szCs w:val="22"/>
        </w:rPr>
      </w:pPr>
      <w:r>
        <w:rPr>
          <w:rFonts w:ascii="宋体" w:hAnsi="宋体" w:cs="宋体" w:eastAsia="宋体" w:hint="default"/>
          <w:sz w:val="22"/>
          <w:szCs w:val="22"/>
        </w:rPr>
        <w:t>合同预计总成本将超过合同预计总收入时，将预计损失确认为当期费用。</w:t>
      </w:r>
    </w:p>
    <w:p>
      <w:pPr>
        <w:spacing w:before="18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w:t>
      </w:r>
      <w:r>
        <w:rPr>
          <w:rFonts w:ascii="宋体" w:hAnsi="宋体" w:cs="宋体" w:eastAsia="宋体" w:hint="default"/>
          <w:b/>
          <w:bCs/>
          <w:sz w:val="22"/>
          <w:szCs w:val="22"/>
        </w:rPr>
        <w:t>．</w:t>
      </w:r>
      <w:r>
        <w:rPr>
          <w:rFonts w:ascii="宋体" w:hAnsi="宋体" w:cs="宋体" w:eastAsia="宋体" w:hint="default"/>
          <w:sz w:val="22"/>
          <w:szCs w:val="22"/>
        </w:rPr>
        <w:t>采用建设经营移交方式（BOT）参与公共基础设施建设业务</w:t>
      </w:r>
    </w:p>
    <w:p>
      <w:pPr>
        <w:spacing w:line="324" w:lineRule="auto" w:before="163"/>
        <w:ind w:left="138" w:right="142" w:firstLine="453"/>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0"/>
          <w:sz w:val="22"/>
          <w:szCs w:val="22"/>
        </w:rPr>
        <w:t> </w:t>
      </w:r>
      <w:r>
        <w:rPr>
          <w:rFonts w:ascii="宋体" w:hAnsi="宋体" w:cs="宋体" w:eastAsia="宋体" w:hint="default"/>
          <w:sz w:val="22"/>
          <w:szCs w:val="22"/>
        </w:rPr>
        <w:t>本公司采用建设经营移交方式（BOT）参与公共基础设施建设业务，将基础设施建造发</w:t>
      </w:r>
      <w:r>
        <w:rPr>
          <w:rFonts w:ascii="宋体" w:hAnsi="宋体" w:cs="宋体" w:eastAsia="宋体" w:hint="default"/>
          <w:spacing w:val="1"/>
          <w:w w:val="99"/>
          <w:sz w:val="22"/>
          <w:szCs w:val="22"/>
        </w:rPr>
        <w:t> </w:t>
      </w:r>
      <w:r>
        <w:rPr>
          <w:rFonts w:ascii="宋体" w:hAnsi="宋体" w:cs="宋体" w:eastAsia="宋体" w:hint="default"/>
          <w:spacing w:val="-1"/>
          <w:sz w:val="22"/>
          <w:szCs w:val="22"/>
        </w:rPr>
        <w:t>包给其他方未提供实际建造服务的，本公司不确认建造服务收入，按照建造过程中支付的工程价</w:t>
      </w:r>
      <w:r>
        <w:rPr>
          <w:rFonts w:ascii="宋体" w:hAnsi="宋体" w:cs="宋体" w:eastAsia="宋体" w:hint="default"/>
          <w:w w:val="99"/>
          <w:sz w:val="22"/>
          <w:szCs w:val="22"/>
        </w:rPr>
        <w:t> </w:t>
      </w:r>
      <w:r>
        <w:rPr>
          <w:rFonts w:ascii="宋体" w:hAnsi="宋体" w:cs="宋体" w:eastAsia="宋体" w:hint="default"/>
          <w:spacing w:val="-1"/>
          <w:sz w:val="22"/>
          <w:szCs w:val="22"/>
        </w:rPr>
        <w:t>款等考虑合同规定，确认金融资产或无形资产。合同规定本公司在有关基础设施建成后，在从事</w:t>
      </w:r>
      <w:r>
        <w:rPr>
          <w:rFonts w:ascii="宋体" w:hAnsi="宋体" w:cs="宋体" w:eastAsia="宋体" w:hint="default"/>
          <w:w w:val="99"/>
          <w:sz w:val="22"/>
          <w:szCs w:val="22"/>
        </w:rPr>
        <w:t> </w:t>
      </w:r>
      <w:r>
        <w:rPr>
          <w:rFonts w:ascii="宋体" w:hAnsi="宋体" w:cs="宋体" w:eastAsia="宋体" w:hint="default"/>
          <w:spacing w:val="-1"/>
          <w:sz w:val="22"/>
          <w:szCs w:val="22"/>
        </w:rPr>
        <w:t>经营的一定期间内可以自合同授予方收取确定金额的货币资金或其他金融资产的，或在项目公司</w:t>
      </w:r>
      <w:r>
        <w:rPr>
          <w:rFonts w:ascii="宋体" w:hAnsi="宋体" w:cs="宋体" w:eastAsia="宋体" w:hint="default"/>
          <w:w w:val="99"/>
          <w:sz w:val="22"/>
          <w:szCs w:val="22"/>
        </w:rPr>
        <w:t> </w:t>
      </w:r>
      <w:r>
        <w:rPr>
          <w:rFonts w:ascii="宋体" w:hAnsi="宋体" w:cs="宋体" w:eastAsia="宋体" w:hint="default"/>
          <w:spacing w:val="-1"/>
          <w:sz w:val="22"/>
          <w:szCs w:val="22"/>
        </w:rPr>
        <w:t>提供经营服务的收费低于某一限定金额的情况下，合同授予方按照合同规定负责将有关差价补偿</w:t>
      </w:r>
      <w:r>
        <w:rPr>
          <w:rFonts w:ascii="宋体" w:hAnsi="宋体" w:cs="宋体" w:eastAsia="宋体" w:hint="default"/>
          <w:w w:val="99"/>
          <w:sz w:val="22"/>
          <w:szCs w:val="22"/>
        </w:rPr>
        <w:t> </w:t>
      </w:r>
      <w:r>
        <w:rPr>
          <w:rFonts w:ascii="宋体" w:hAnsi="宋体" w:cs="宋体" w:eastAsia="宋体" w:hint="default"/>
          <w:sz w:val="22"/>
          <w:szCs w:val="22"/>
        </w:rPr>
        <w:t>给项目公司的，确认为金融资产；如收费金额不确定的，确认为无形资产。</w:t>
      </w:r>
    </w:p>
    <w:p>
      <w:pPr>
        <w:spacing w:line="324" w:lineRule="auto" w:before="103"/>
        <w:ind w:left="138" w:right="141" w:firstLine="453"/>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以 BOT</w:t>
      </w:r>
      <w:r>
        <w:rPr>
          <w:rFonts w:ascii="宋体" w:hAnsi="宋体" w:cs="宋体" w:eastAsia="宋体" w:hint="default"/>
          <w:spacing w:val="43"/>
          <w:sz w:val="22"/>
          <w:szCs w:val="22"/>
        </w:rPr>
        <w:t> </w:t>
      </w:r>
      <w:r>
        <w:rPr>
          <w:rFonts w:ascii="宋体" w:hAnsi="宋体" w:cs="宋体" w:eastAsia="宋体" w:hint="default"/>
          <w:sz w:val="22"/>
          <w:szCs w:val="22"/>
        </w:rPr>
        <w:t>方式建设公共基础设施，基础设施建成后的会计处理，分别二种情况确认运营</w:t>
      </w:r>
      <w:r>
        <w:rPr>
          <w:rFonts w:ascii="宋体" w:hAnsi="宋体" w:cs="宋体" w:eastAsia="宋体" w:hint="default"/>
          <w:spacing w:val="1"/>
          <w:w w:val="99"/>
          <w:sz w:val="22"/>
          <w:szCs w:val="22"/>
        </w:rPr>
        <w:t> </w:t>
      </w:r>
      <w:r>
        <w:rPr>
          <w:rFonts w:ascii="宋体" w:hAnsi="宋体" w:cs="宋体" w:eastAsia="宋体" w:hint="default"/>
          <w:sz w:val="22"/>
          <w:szCs w:val="22"/>
        </w:rPr>
        <w:t>收入：</w:t>
      </w:r>
    </w:p>
    <w:p>
      <w:pPr>
        <w:spacing w:before="103"/>
        <w:ind w:left="70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特许经营权确认为无形资产的项目，运营期间内获得的收入均为运营收入；</w:t>
      </w:r>
    </w:p>
    <w:p>
      <w:pPr>
        <w:spacing w:line="324" w:lineRule="auto" w:before="180"/>
        <w:ind w:left="138" w:right="142"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7"/>
          <w:sz w:val="22"/>
          <w:szCs w:val="22"/>
        </w:rPr>
        <w:t> </w:t>
      </w:r>
      <w:r>
        <w:rPr>
          <w:rFonts w:ascii="宋体" w:hAnsi="宋体" w:cs="宋体" w:eastAsia="宋体" w:hint="default"/>
          <w:sz w:val="22"/>
          <w:szCs w:val="22"/>
        </w:rPr>
        <w:t>运营后不直接向获取服务的对象收费而由政府偿付确认为金融资产的项目，先根据合理</w:t>
      </w:r>
      <w:r>
        <w:rPr>
          <w:rFonts w:ascii="宋体" w:hAnsi="宋体" w:cs="宋体" w:eastAsia="宋体" w:hint="default"/>
          <w:w w:val="99"/>
          <w:sz w:val="22"/>
          <w:szCs w:val="22"/>
        </w:rPr>
        <w:t> </w:t>
      </w:r>
      <w:r>
        <w:rPr>
          <w:rFonts w:ascii="宋体" w:hAnsi="宋体" w:cs="宋体" w:eastAsia="宋体" w:hint="default"/>
          <w:spacing w:val="-1"/>
          <w:sz w:val="22"/>
          <w:szCs w:val="22"/>
        </w:rPr>
        <w:t>的成本、报酬率，确认该项运营收入，再采用实际利率法对长期应收款以摊余成本计量，该项金</w:t>
      </w:r>
      <w:r>
        <w:rPr>
          <w:rFonts w:ascii="宋体" w:hAnsi="宋体" w:cs="宋体" w:eastAsia="宋体" w:hint="default"/>
          <w:w w:val="99"/>
          <w:sz w:val="22"/>
          <w:szCs w:val="22"/>
        </w:rPr>
        <w:t> </w:t>
      </w:r>
      <w:r>
        <w:rPr>
          <w:rFonts w:ascii="宋体" w:hAnsi="宋体" w:cs="宋体" w:eastAsia="宋体" w:hint="default"/>
          <w:sz w:val="22"/>
          <w:szCs w:val="22"/>
        </w:rPr>
        <w:t>融资产的利息收益在投资收益中反映。</w:t>
      </w:r>
    </w:p>
    <w:p>
      <w:pPr>
        <w:spacing w:before="103"/>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1"/>
          <w:sz w:val="22"/>
          <w:szCs w:val="22"/>
        </w:rPr>
        <w:t> </w:t>
      </w:r>
      <w:r>
        <w:rPr>
          <w:rFonts w:ascii="宋体" w:hAnsi="宋体" w:cs="宋体" w:eastAsia="宋体" w:hint="default"/>
          <w:sz w:val="22"/>
          <w:szCs w:val="22"/>
        </w:rPr>
        <w:t>按照合同规定，本公司为使有关基础设施保持一定的服务能力或在移交给合同授予方之</w:t>
      </w:r>
    </w:p>
    <w:p>
      <w:pPr>
        <w:spacing w:line="324" w:lineRule="auto"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前保持一定的使用状态，预计将发生的支出，按照《企业会计准则第 13</w:t>
      </w:r>
      <w:r>
        <w:rPr>
          <w:rFonts w:ascii="宋体" w:hAnsi="宋体" w:cs="宋体" w:eastAsia="宋体" w:hint="default"/>
          <w:spacing w:val="-53"/>
          <w:sz w:val="22"/>
          <w:szCs w:val="22"/>
        </w:rPr>
        <w:t> </w:t>
      </w:r>
      <w:r>
        <w:rPr>
          <w:rFonts w:ascii="宋体" w:hAnsi="宋体" w:cs="宋体" w:eastAsia="宋体" w:hint="default"/>
          <w:sz w:val="22"/>
          <w:szCs w:val="22"/>
        </w:rPr>
        <w:t>号—或有事项》的规定</w:t>
      </w:r>
      <w:r>
        <w:rPr>
          <w:rFonts w:ascii="宋体" w:hAnsi="宋体" w:cs="宋体" w:eastAsia="宋体" w:hint="default"/>
          <w:w w:val="99"/>
          <w:sz w:val="22"/>
          <w:szCs w:val="22"/>
        </w:rPr>
        <w:t> </w:t>
      </w:r>
      <w:r>
        <w:rPr>
          <w:rFonts w:ascii="宋体" w:hAnsi="宋体" w:cs="宋体" w:eastAsia="宋体" w:hint="default"/>
          <w:sz w:val="22"/>
          <w:szCs w:val="22"/>
        </w:rPr>
        <w:t>确认预计负债。</w:t>
      </w:r>
    </w:p>
    <w:p>
      <w:pPr>
        <w:spacing w:line="324" w:lineRule="auto" w:before="103"/>
        <w:ind w:left="138" w:right="143" w:firstLine="453"/>
        <w:jc w:val="both"/>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4"/>
          <w:sz w:val="22"/>
          <w:szCs w:val="22"/>
        </w:rPr>
        <w:t> </w:t>
      </w:r>
      <w:r>
        <w:rPr>
          <w:rFonts w:ascii="宋体" w:hAnsi="宋体" w:cs="宋体" w:eastAsia="宋体" w:hint="default"/>
          <w:sz w:val="22"/>
          <w:szCs w:val="22"/>
        </w:rPr>
        <w:t>本公司对于相关服务协议规定的，属于提供日常维护管理费的，直接计入提供服务期间</w:t>
      </w:r>
      <w:r>
        <w:rPr>
          <w:rFonts w:ascii="宋体" w:hAnsi="宋体" w:cs="宋体" w:eastAsia="宋体" w:hint="default"/>
          <w:w w:val="99"/>
          <w:sz w:val="22"/>
          <w:szCs w:val="22"/>
        </w:rPr>
        <w:t> </w:t>
      </w:r>
      <w:r>
        <w:rPr>
          <w:rFonts w:ascii="宋体" w:hAnsi="宋体" w:cs="宋体" w:eastAsia="宋体" w:hint="default"/>
          <w:spacing w:val="-1"/>
          <w:sz w:val="22"/>
          <w:szCs w:val="22"/>
        </w:rPr>
        <w:t>的损益。如果确定可收到或收到政府对相关维护管理费补偿时，在提供服务时计入营业收人，与</w:t>
      </w:r>
      <w:r>
        <w:rPr>
          <w:rFonts w:ascii="宋体" w:hAnsi="宋体" w:cs="宋体" w:eastAsia="宋体" w:hint="default"/>
          <w:w w:val="99"/>
          <w:sz w:val="22"/>
          <w:szCs w:val="22"/>
        </w:rPr>
        <w:t> </w:t>
      </w:r>
      <w:r>
        <w:rPr>
          <w:rFonts w:ascii="宋体" w:hAnsi="宋体" w:cs="宋体" w:eastAsia="宋体" w:hint="default"/>
          <w:sz w:val="22"/>
          <w:szCs w:val="22"/>
        </w:rPr>
        <w:t>相关的费用配比。</w:t>
      </w:r>
    </w:p>
    <w:p>
      <w:pPr>
        <w:spacing w:line="324" w:lineRule="auto" w:before="103"/>
        <w:ind w:left="139" w:right="143" w:firstLine="453"/>
        <w:jc w:val="both"/>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55"/>
          <w:sz w:val="22"/>
          <w:szCs w:val="22"/>
        </w:rPr>
        <w:t> </w:t>
      </w:r>
      <w:r>
        <w:rPr>
          <w:rFonts w:ascii="宋体" w:hAnsi="宋体" w:cs="宋体" w:eastAsia="宋体" w:hint="default"/>
          <w:sz w:val="22"/>
          <w:szCs w:val="22"/>
        </w:rPr>
        <w:t>某些情况下，本公司为了服务协议目的建造或从第三方购买的基础设施，或合同授予方</w:t>
      </w:r>
      <w:r>
        <w:rPr>
          <w:rFonts w:ascii="宋体" w:hAnsi="宋体" w:cs="宋体" w:eastAsia="宋体" w:hint="default"/>
          <w:w w:val="99"/>
          <w:sz w:val="22"/>
          <w:szCs w:val="22"/>
        </w:rPr>
        <w:t> </w:t>
      </w:r>
      <w:r>
        <w:rPr>
          <w:rFonts w:ascii="宋体" w:hAnsi="宋体" w:cs="宋体" w:eastAsia="宋体" w:hint="default"/>
          <w:sz w:val="22"/>
          <w:szCs w:val="22"/>
        </w:rPr>
        <w:t>基于服务协议目的提供给本公司经营的现有基础设施，也比照 BOT</w:t>
      </w:r>
      <w:r>
        <w:rPr>
          <w:rFonts w:ascii="宋体" w:hAnsi="宋体" w:cs="宋体" w:eastAsia="宋体" w:hint="default"/>
          <w:spacing w:val="-72"/>
          <w:sz w:val="22"/>
          <w:szCs w:val="22"/>
        </w:rPr>
        <w:t> </w:t>
      </w:r>
      <w:r>
        <w:rPr>
          <w:rFonts w:ascii="宋体" w:hAnsi="宋体" w:cs="宋体" w:eastAsia="宋体" w:hint="default"/>
          <w:sz w:val="22"/>
          <w:szCs w:val="22"/>
        </w:rPr>
        <w:t>业务的处理原则。</w:t>
      </w:r>
    </w:p>
    <w:p>
      <w:pPr>
        <w:spacing w:line="369" w:lineRule="auto" w:before="103"/>
        <w:ind w:left="579" w:right="125" w:firstLine="13"/>
        <w:jc w:val="left"/>
        <w:rPr>
          <w:rFonts w:ascii="宋体" w:hAnsi="宋体" w:cs="宋体" w:eastAsia="宋体" w:hint="default"/>
          <w:sz w:val="22"/>
          <w:szCs w:val="22"/>
        </w:rPr>
      </w:pPr>
      <w:r>
        <w:rPr>
          <w:rFonts w:ascii="Times New Roman" w:hAnsi="Times New Roman" w:cs="Times New Roman" w:eastAsia="Times New Roman" w:hint="default"/>
          <w:b/>
          <w:bCs/>
          <w:spacing w:val="2"/>
          <w:sz w:val="22"/>
          <w:szCs w:val="22"/>
        </w:rPr>
        <w:t>24</w:t>
      </w:r>
      <w:r>
        <w:rPr>
          <w:rFonts w:ascii="宋体" w:hAnsi="宋体" w:cs="宋体" w:eastAsia="宋体" w:hint="default"/>
          <w:b/>
          <w:bCs/>
          <w:spacing w:val="2"/>
          <w:sz w:val="22"/>
          <w:szCs w:val="22"/>
        </w:rPr>
        <w:t>．</w:t>
      </w:r>
      <w:r>
        <w:rPr>
          <w:rFonts w:ascii="宋体" w:hAnsi="宋体" w:cs="宋体" w:eastAsia="宋体" w:hint="default"/>
          <w:spacing w:val="2"/>
          <w:sz w:val="22"/>
          <w:szCs w:val="22"/>
        </w:rPr>
        <w:t>租赁</w:t>
      </w:r>
      <w:r>
        <w:rPr>
          <w:rFonts w:ascii="宋体" w:hAnsi="宋体" w:cs="宋体" w:eastAsia="宋体" w:hint="default"/>
          <w:w w:val="99"/>
          <w:sz w:val="22"/>
          <w:szCs w:val="22"/>
        </w:rPr>
        <w:t> </w:t>
      </w:r>
      <w:r>
        <w:rPr>
          <w:rFonts w:ascii="宋体" w:hAnsi="宋体" w:cs="宋体" w:eastAsia="宋体" w:hint="default"/>
          <w:spacing w:val="-1"/>
          <w:sz w:val="22"/>
          <w:szCs w:val="22"/>
        </w:rPr>
        <w:t>本公司租赁分为经营租赁和融资租赁。实质上转移了与资产所有权有关的全部风险和报酬的</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租赁为融资租赁。其他的租赁为经营租赁。</w:t>
      </w:r>
    </w:p>
    <w:p>
      <w:pPr>
        <w:spacing w:line="391" w:lineRule="auto" w:before="180"/>
        <w:ind w:left="579" w:right="0" w:firstLine="0"/>
        <w:jc w:val="left"/>
        <w:rPr>
          <w:rFonts w:ascii="宋体" w:hAnsi="宋体" w:cs="宋体" w:eastAsia="宋体" w:hint="default"/>
          <w:sz w:val="22"/>
          <w:szCs w:val="22"/>
        </w:rPr>
      </w:pPr>
      <w:r>
        <w:rPr>
          <w:rFonts w:ascii="宋体" w:hAnsi="宋体" w:cs="宋体" w:eastAsia="宋体" w:hint="default"/>
          <w:sz w:val="22"/>
          <w:szCs w:val="22"/>
        </w:rPr>
        <w:t>经营租赁的租金收入或支出在租赁期内按照直线法计入相关资产成本或当期损益。</w:t>
      </w:r>
      <w:r>
        <w:rPr>
          <w:rFonts w:ascii="宋体" w:hAnsi="宋体" w:cs="宋体" w:eastAsia="宋体" w:hint="default"/>
          <w:w w:val="99"/>
          <w:sz w:val="22"/>
          <w:szCs w:val="22"/>
        </w:rPr>
        <w:t> </w:t>
      </w:r>
      <w:r>
        <w:rPr>
          <w:rFonts w:ascii="宋体" w:hAnsi="宋体" w:cs="宋体" w:eastAsia="宋体" w:hint="default"/>
          <w:spacing w:val="5"/>
          <w:w w:val="95"/>
          <w:sz w:val="22"/>
          <w:szCs w:val="22"/>
        </w:rPr>
        <w:t>融资租赁按租赁资产的公允价值与最低租赁付款额的现值两者中较低者作为租入资产的入</w:t>
      </w:r>
      <w:r>
        <w:rPr>
          <w:rFonts w:ascii="宋体" w:hAnsi="宋体" w:cs="宋体" w:eastAsia="宋体" w:hint="default"/>
          <w:sz w:val="22"/>
          <w:szCs w:val="22"/>
        </w:rPr>
      </w:r>
    </w:p>
    <w:p>
      <w:pPr>
        <w:spacing w:after="0" w:line="391" w:lineRule="auto"/>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账价值，租入资产的入账价值与最低租赁付款额之间的差额为未确认融资费用，在租赁期内按实</w:t>
      </w:r>
      <w:r>
        <w:rPr>
          <w:rFonts w:ascii="宋体" w:hAnsi="宋体" w:cs="宋体" w:eastAsia="宋体" w:hint="default"/>
          <w:w w:val="99"/>
          <w:sz w:val="22"/>
          <w:szCs w:val="22"/>
        </w:rPr>
        <w:t> </w:t>
      </w:r>
      <w:r>
        <w:rPr>
          <w:rFonts w:ascii="宋体" w:hAnsi="宋体" w:cs="宋体" w:eastAsia="宋体" w:hint="default"/>
          <w:sz w:val="22"/>
          <w:szCs w:val="22"/>
        </w:rPr>
        <w:t>际利率法摊销。最低租赁付款额扣除未确认融资费用后的余额以长期应付款列示。</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w:t>
      </w:r>
      <w:r>
        <w:rPr>
          <w:rFonts w:ascii="宋体" w:hAnsi="宋体" w:cs="宋体" w:eastAsia="宋体" w:hint="default"/>
          <w:b/>
          <w:bCs/>
          <w:sz w:val="22"/>
          <w:szCs w:val="22"/>
        </w:rPr>
        <w:t>．</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1"/>
          <w:sz w:val="22"/>
          <w:szCs w:val="22"/>
        </w:rPr>
        <w:t>政府补助在本公司能够满足其所附的条件以及能够收到时，予以确认。政府补助为货币性资</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产的，按照实际收到的金额计量；对于按照固定的定额标准拨付的补助，按照应收的金额计量。</w:t>
      </w:r>
    </w:p>
    <w:p>
      <w:pPr>
        <w:spacing w:line="324" w:lineRule="auto" w:before="102"/>
        <w:ind w:left="138" w:right="213" w:firstLine="0"/>
        <w:jc w:val="left"/>
        <w:rPr>
          <w:rFonts w:ascii="宋体" w:hAnsi="宋体" w:cs="宋体" w:eastAsia="宋体" w:hint="default"/>
          <w:sz w:val="22"/>
          <w:szCs w:val="22"/>
        </w:rPr>
      </w:pPr>
      <w:r>
        <w:rPr>
          <w:rFonts w:ascii="宋体" w:hAnsi="宋体" w:cs="宋体" w:eastAsia="宋体" w:hint="default"/>
          <w:sz w:val="22"/>
          <w:szCs w:val="22"/>
        </w:rPr>
        <w:t>政府补助为非货币性资产的，按照公允价值计量；公允价值不能可靠取得的，按照名义金额（1</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元）计量。</w:t>
      </w:r>
    </w:p>
    <w:p>
      <w:pPr>
        <w:spacing w:line="324" w:lineRule="auto" w:before="103"/>
        <w:ind w:left="138" w:right="110" w:firstLine="440"/>
        <w:jc w:val="left"/>
        <w:rPr>
          <w:rFonts w:ascii="宋体" w:hAnsi="宋体" w:cs="宋体" w:eastAsia="宋体" w:hint="default"/>
          <w:sz w:val="22"/>
          <w:szCs w:val="22"/>
        </w:rPr>
      </w:pPr>
      <w:r>
        <w:rPr>
          <w:rFonts w:ascii="宋体" w:hAnsi="宋体" w:cs="宋体" w:eastAsia="宋体" w:hint="default"/>
          <w:spacing w:val="-4"/>
          <w:sz w:val="22"/>
          <w:szCs w:val="22"/>
        </w:rPr>
        <w:t>与资产相关的政府补助确认为递延收益，并在相关资产使用寿命内平均分配，计入当期损益。</w:t>
      </w:r>
      <w:r>
        <w:rPr>
          <w:rFonts w:ascii="宋体" w:hAnsi="宋体" w:cs="宋体" w:eastAsia="宋体" w:hint="default"/>
          <w:w w:val="99"/>
          <w:sz w:val="22"/>
          <w:szCs w:val="22"/>
        </w:rPr>
        <w:t> </w:t>
      </w:r>
      <w:r>
        <w:rPr>
          <w:rFonts w:ascii="宋体" w:hAnsi="宋体" w:cs="宋体" w:eastAsia="宋体" w:hint="default"/>
          <w:sz w:val="22"/>
          <w:szCs w:val="22"/>
        </w:rPr>
        <w:t>与收益相关的政府补助，用于补偿本公司以后期间的相关费用或损失的，确认为递延收益，并在</w:t>
      </w:r>
      <w:r>
        <w:rPr>
          <w:rFonts w:ascii="宋体" w:hAnsi="宋体" w:cs="宋体" w:eastAsia="宋体" w:hint="default"/>
          <w:w w:val="99"/>
          <w:sz w:val="22"/>
          <w:szCs w:val="22"/>
        </w:rPr>
        <w:t> </w:t>
      </w:r>
      <w:r>
        <w:rPr>
          <w:rFonts w:ascii="宋体" w:hAnsi="宋体" w:cs="宋体" w:eastAsia="宋体" w:hint="default"/>
          <w:sz w:val="22"/>
          <w:szCs w:val="22"/>
        </w:rPr>
        <w:t>确认相关费用的期间，计入当期损益；用于补偿本公司已发生的相关费用或损失的，直接计入当</w:t>
      </w:r>
      <w:r>
        <w:rPr>
          <w:rFonts w:ascii="宋体" w:hAnsi="宋体" w:cs="宋体" w:eastAsia="宋体" w:hint="default"/>
          <w:w w:val="99"/>
          <w:sz w:val="22"/>
          <w:szCs w:val="22"/>
        </w:rPr>
        <w:t> </w:t>
      </w:r>
      <w:r>
        <w:rPr>
          <w:rFonts w:ascii="宋体" w:hAnsi="宋体" w:cs="宋体" w:eastAsia="宋体" w:hint="default"/>
          <w:sz w:val="22"/>
          <w:szCs w:val="22"/>
        </w:rPr>
        <w:t>期损益。</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w:t>
      </w:r>
      <w:r>
        <w:rPr>
          <w:rFonts w:ascii="宋体" w:hAnsi="宋体" w:cs="宋体" w:eastAsia="宋体" w:hint="default"/>
          <w:b/>
          <w:bCs/>
          <w:sz w:val="22"/>
          <w:szCs w:val="22"/>
        </w:rPr>
        <w:t>．</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1"/>
          <w:sz w:val="22"/>
          <w:szCs w:val="22"/>
        </w:rPr>
        <w:t>递延所得税资产和递延所得税负债根据资产和负债的计税基础与其账面价值的差额（暂时性</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pacing w:val="-4"/>
          <w:sz w:val="22"/>
          <w:szCs w:val="22"/>
        </w:rPr>
        <w:t>差异）计算确认。对于按照税法规定能够于以后年度抵减应纳税所得额的可抵扣亏损和税款抵减，</w:t>
      </w:r>
    </w:p>
    <w:p>
      <w:pPr>
        <w:spacing w:line="324" w:lineRule="auto" w:before="102"/>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视同暂时性差异确认相应的递延所得税资产。于资产负债表日，递延所得税资产和递延所得税负</w:t>
      </w:r>
      <w:r>
        <w:rPr>
          <w:rFonts w:ascii="宋体" w:hAnsi="宋体" w:cs="宋体" w:eastAsia="宋体" w:hint="default"/>
          <w:w w:val="99"/>
          <w:sz w:val="22"/>
          <w:szCs w:val="22"/>
        </w:rPr>
        <w:t> </w:t>
      </w:r>
      <w:r>
        <w:rPr>
          <w:rFonts w:ascii="宋体" w:hAnsi="宋体" w:cs="宋体" w:eastAsia="宋体" w:hint="default"/>
          <w:sz w:val="22"/>
          <w:szCs w:val="22"/>
        </w:rPr>
        <w:t>债，按照预期收回该资产或清偿该负债期间的适用税率计量。</w:t>
      </w:r>
    </w:p>
    <w:p>
      <w:pPr>
        <w:spacing w:line="324" w:lineRule="auto" w:before="10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本公司以很可能取得用来抵扣可抵扣暂时性差异的应纳税所得额为限，确认由可抵扣暂时性</w:t>
      </w:r>
      <w:r>
        <w:rPr>
          <w:rFonts w:ascii="宋体" w:hAnsi="宋体" w:cs="宋体" w:eastAsia="宋体" w:hint="default"/>
          <w:w w:val="99"/>
          <w:sz w:val="22"/>
          <w:szCs w:val="22"/>
        </w:rPr>
        <w:t> </w:t>
      </w:r>
      <w:r>
        <w:rPr>
          <w:rFonts w:ascii="宋体" w:hAnsi="宋体" w:cs="宋体" w:eastAsia="宋体" w:hint="default"/>
          <w:spacing w:val="-1"/>
          <w:sz w:val="22"/>
          <w:szCs w:val="22"/>
        </w:rPr>
        <w:t>差异产生的递延所得税资产。对已确认的递延所得税资产，当预计到未来期间很可能无法获得足</w:t>
      </w:r>
      <w:r>
        <w:rPr>
          <w:rFonts w:ascii="宋体" w:hAnsi="宋体" w:cs="宋体" w:eastAsia="宋体" w:hint="default"/>
          <w:w w:val="99"/>
          <w:sz w:val="22"/>
          <w:szCs w:val="22"/>
        </w:rPr>
        <w:t> </w:t>
      </w:r>
      <w:r>
        <w:rPr>
          <w:rFonts w:ascii="宋体" w:hAnsi="宋体" w:cs="宋体" w:eastAsia="宋体" w:hint="default"/>
          <w:spacing w:val="-1"/>
          <w:sz w:val="22"/>
          <w:szCs w:val="22"/>
        </w:rPr>
        <w:t>够的应纳税所得额用以抵扣递延所得税资产时，应当减记递延所得税资产的账面价值。在很可能</w:t>
      </w:r>
      <w:r>
        <w:rPr>
          <w:rFonts w:ascii="宋体" w:hAnsi="宋体" w:cs="宋体" w:eastAsia="宋体" w:hint="default"/>
          <w:w w:val="99"/>
          <w:sz w:val="22"/>
          <w:szCs w:val="22"/>
        </w:rPr>
        <w:t> </w:t>
      </w:r>
      <w:r>
        <w:rPr>
          <w:rFonts w:ascii="宋体" w:hAnsi="宋体" w:cs="宋体" w:eastAsia="宋体" w:hint="default"/>
          <w:sz w:val="22"/>
          <w:szCs w:val="22"/>
        </w:rPr>
        <w:t>获得足够的应纳税所得额时，减记的金额予以转回。</w:t>
      </w:r>
    </w:p>
    <w:p>
      <w:pPr>
        <w:spacing w:line="324" w:lineRule="auto" w:before="103"/>
        <w:ind w:left="138" w:right="219" w:firstLine="440"/>
        <w:jc w:val="both"/>
        <w:rPr>
          <w:rFonts w:ascii="宋体" w:hAnsi="宋体" w:cs="宋体" w:eastAsia="宋体" w:hint="default"/>
          <w:sz w:val="22"/>
          <w:szCs w:val="22"/>
        </w:rPr>
      </w:pPr>
      <w:r>
        <w:rPr>
          <w:rFonts w:ascii="宋体" w:hAnsi="宋体" w:cs="宋体" w:eastAsia="宋体" w:hint="default"/>
          <w:spacing w:val="-1"/>
          <w:sz w:val="22"/>
          <w:szCs w:val="22"/>
        </w:rPr>
        <w:t>如果不属于企业合并交易且交易发生时既不影响会计利润也不影响应纳税所得额（或可抵扣</w:t>
      </w:r>
      <w:r>
        <w:rPr>
          <w:rFonts w:ascii="宋体" w:hAnsi="宋体" w:cs="宋体" w:eastAsia="宋体" w:hint="default"/>
          <w:w w:val="99"/>
          <w:sz w:val="22"/>
          <w:szCs w:val="22"/>
        </w:rPr>
        <w:t> </w:t>
      </w:r>
      <w:r>
        <w:rPr>
          <w:rFonts w:ascii="宋体" w:hAnsi="宋体" w:cs="宋体" w:eastAsia="宋体" w:hint="default"/>
          <w:spacing w:val="-1"/>
          <w:w w:val="99"/>
          <w:sz w:val="22"/>
          <w:szCs w:val="22"/>
        </w:rPr>
        <w:t>亏损），则该项交易中产生的相关暂时性差异不会产生递延所得税。商誉的初始确认导致的暂时</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性差异不产生相关的递延所得税。</w:t>
      </w:r>
    </w:p>
    <w:p>
      <w:pPr>
        <w:spacing w:line="324" w:lineRule="auto" w:before="103"/>
        <w:ind w:left="138" w:right="217" w:firstLine="440"/>
        <w:jc w:val="both"/>
        <w:rPr>
          <w:rFonts w:ascii="宋体" w:hAnsi="宋体" w:cs="宋体" w:eastAsia="宋体" w:hint="default"/>
          <w:sz w:val="22"/>
          <w:szCs w:val="22"/>
        </w:rPr>
      </w:pPr>
      <w:r>
        <w:rPr>
          <w:rFonts w:ascii="宋体" w:hAnsi="宋体" w:cs="宋体" w:eastAsia="宋体" w:hint="default"/>
          <w:spacing w:val="-1"/>
          <w:sz w:val="22"/>
          <w:szCs w:val="22"/>
        </w:rPr>
        <w:t>资产负债表日，递延所得税资产及递延所得税负债在同时满足以下条件时以抵销后的净额列</w:t>
      </w:r>
      <w:r>
        <w:rPr>
          <w:rFonts w:ascii="宋体" w:hAnsi="宋体" w:cs="宋体" w:eastAsia="宋体" w:hint="default"/>
          <w:w w:val="99"/>
          <w:sz w:val="22"/>
          <w:szCs w:val="22"/>
        </w:rPr>
        <w:t> </w:t>
      </w:r>
      <w:r>
        <w:rPr>
          <w:rFonts w:ascii="宋体" w:hAnsi="宋体" w:cs="宋体" w:eastAsia="宋体" w:hint="default"/>
          <w:spacing w:val="-1"/>
          <w:sz w:val="22"/>
          <w:szCs w:val="22"/>
        </w:rPr>
        <w:t>示：纳税主体拥有以净额结算当期所得税资产及当期所得税负债的法定权利；递延所得税资产及</w:t>
      </w:r>
      <w:r>
        <w:rPr>
          <w:rFonts w:ascii="宋体" w:hAnsi="宋体" w:cs="宋体" w:eastAsia="宋体" w:hint="default"/>
          <w:w w:val="99"/>
          <w:sz w:val="22"/>
          <w:szCs w:val="22"/>
        </w:rPr>
        <w:t> </w:t>
      </w:r>
      <w:r>
        <w:rPr>
          <w:rFonts w:ascii="宋体" w:hAnsi="宋体" w:cs="宋体" w:eastAsia="宋体" w:hint="default"/>
          <w:spacing w:val="4"/>
          <w:sz w:val="22"/>
          <w:szCs w:val="22"/>
        </w:rPr>
        <w:t>递延所得税负债是与同一税收征管部门对同一纳税主体征收的所得税相关或者是对不同的纳税</w:t>
      </w:r>
      <w:r>
        <w:rPr>
          <w:rFonts w:ascii="宋体" w:hAnsi="宋体" w:cs="宋体" w:eastAsia="宋体" w:hint="default"/>
          <w:spacing w:val="6"/>
          <w:w w:val="99"/>
          <w:sz w:val="22"/>
          <w:szCs w:val="22"/>
        </w:rPr>
        <w:t> </w:t>
      </w:r>
      <w:r>
        <w:rPr>
          <w:rFonts w:ascii="宋体" w:hAnsi="宋体" w:cs="宋体" w:eastAsia="宋体" w:hint="default"/>
          <w:spacing w:val="-1"/>
          <w:sz w:val="22"/>
          <w:szCs w:val="22"/>
        </w:rPr>
        <w:t>主体相关，但在未来每一具有重要性的递延所得税资产及负债转回的期间内，涉及的纳税主体意</w:t>
      </w:r>
      <w:r>
        <w:rPr>
          <w:rFonts w:ascii="宋体" w:hAnsi="宋体" w:cs="宋体" w:eastAsia="宋体" w:hint="default"/>
          <w:w w:val="99"/>
          <w:sz w:val="22"/>
          <w:szCs w:val="22"/>
        </w:rPr>
        <w:t> </w:t>
      </w:r>
      <w:r>
        <w:rPr>
          <w:rFonts w:ascii="宋体" w:hAnsi="宋体" w:cs="宋体" w:eastAsia="宋体" w:hint="default"/>
          <w:sz w:val="22"/>
          <w:szCs w:val="22"/>
        </w:rPr>
        <w:t>图以净额结算当期所得税资产和负债或是同时取得资产、清偿负债。</w:t>
      </w:r>
    </w:p>
    <w:p>
      <w:pPr>
        <w:spacing w:line="369" w:lineRule="auto" w:before="103"/>
        <w:ind w:left="578" w:right="21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w:t>
      </w:r>
      <w:r>
        <w:rPr>
          <w:rFonts w:ascii="宋体" w:hAnsi="宋体" w:cs="宋体" w:eastAsia="宋体" w:hint="default"/>
          <w:b/>
          <w:bCs/>
          <w:sz w:val="22"/>
          <w:szCs w:val="22"/>
        </w:rPr>
        <w:t>．</w:t>
      </w:r>
      <w:r>
        <w:rPr>
          <w:rFonts w:ascii="宋体" w:hAnsi="宋体" w:cs="宋体" w:eastAsia="宋体" w:hint="default"/>
          <w:sz w:val="22"/>
          <w:szCs w:val="22"/>
        </w:rPr>
        <w:t>所得税的会计核算</w:t>
      </w:r>
      <w:r>
        <w:rPr>
          <w:rFonts w:ascii="宋体" w:hAnsi="宋体" w:cs="宋体" w:eastAsia="宋体" w:hint="default"/>
          <w:w w:val="99"/>
          <w:sz w:val="22"/>
          <w:szCs w:val="22"/>
        </w:rPr>
        <w:t> </w:t>
      </w:r>
      <w:r>
        <w:rPr>
          <w:rFonts w:ascii="宋体" w:hAnsi="宋体" w:cs="宋体" w:eastAsia="宋体" w:hint="default"/>
          <w:spacing w:val="5"/>
          <w:w w:val="95"/>
          <w:sz w:val="22"/>
          <w:szCs w:val="22"/>
        </w:rPr>
        <w:t>本公司所得税的会计核算采用资产负债表债务法。所得税费用包括当期所得税和递延所得</w:t>
      </w:r>
      <w:r>
        <w:rPr>
          <w:rFonts w:ascii="宋体" w:hAnsi="宋体" w:cs="宋体" w:eastAsia="宋体" w:hint="default"/>
          <w:sz w:val="22"/>
          <w:szCs w:val="22"/>
        </w:rPr>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税。将与直接计入股东权益的交易和事项相关的当期所得税和递延所得税计入股东权益，以及企</w:t>
      </w:r>
    </w:p>
    <w:p>
      <w:pPr>
        <w:spacing w:line="324" w:lineRule="auto" w:before="102"/>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业合并产生的递延所得税调整商誉的账面价值外，其余的当期所得税和递延所得税费用或收益计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after="0" w:line="324" w:lineRule="auto"/>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当期所得税费用是指企业按照税务规定计算确定的针对当期发生的交易和事项，应纳给税务</w:t>
      </w:r>
      <w:r>
        <w:rPr>
          <w:rFonts w:ascii="宋体" w:hAnsi="宋体" w:cs="宋体" w:eastAsia="宋体" w:hint="default"/>
          <w:w w:val="99"/>
          <w:sz w:val="22"/>
          <w:szCs w:val="22"/>
        </w:rPr>
        <w:t> </w:t>
      </w:r>
      <w:r>
        <w:rPr>
          <w:rFonts w:ascii="宋体" w:hAnsi="宋体" w:cs="宋体" w:eastAsia="宋体" w:hint="default"/>
          <w:spacing w:val="-1"/>
          <w:sz w:val="22"/>
          <w:szCs w:val="22"/>
        </w:rPr>
        <w:t>部门的金额，即应交所得税；递延所得税是指按照资产负债表债务法应予确认的递延所得税资产</w:t>
      </w:r>
      <w:r>
        <w:rPr>
          <w:rFonts w:ascii="宋体" w:hAnsi="宋体" w:cs="宋体" w:eastAsia="宋体" w:hint="default"/>
          <w:w w:val="99"/>
          <w:sz w:val="22"/>
          <w:szCs w:val="22"/>
        </w:rPr>
        <w:t> </w:t>
      </w:r>
      <w:r>
        <w:rPr>
          <w:rFonts w:ascii="宋体" w:hAnsi="宋体" w:cs="宋体" w:eastAsia="宋体" w:hint="default"/>
          <w:sz w:val="22"/>
          <w:szCs w:val="22"/>
        </w:rPr>
        <w:t>和递延所得税负债在期末应有的金额相对于原已确认金额之间的差额。</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w:t>
      </w:r>
      <w:r>
        <w:rPr>
          <w:rFonts w:ascii="宋体" w:hAnsi="宋体" w:cs="宋体" w:eastAsia="宋体" w:hint="default"/>
          <w:b/>
          <w:bCs/>
          <w:sz w:val="22"/>
          <w:szCs w:val="22"/>
        </w:rPr>
        <w:t>．</w:t>
      </w:r>
      <w:r>
        <w:rPr>
          <w:rFonts w:ascii="宋体" w:hAnsi="宋体" w:cs="宋体" w:eastAsia="宋体" w:hint="default"/>
          <w:sz w:val="22"/>
          <w:szCs w:val="22"/>
        </w:rPr>
        <w:t>企业合并</w:t>
      </w:r>
      <w:r>
        <w:rPr>
          <w:rFonts w:ascii="宋体" w:hAnsi="宋体" w:cs="宋体" w:eastAsia="宋体" w:hint="default"/>
          <w:w w:val="99"/>
          <w:sz w:val="22"/>
          <w:szCs w:val="22"/>
        </w:rPr>
        <w:t> </w:t>
      </w:r>
      <w:r>
        <w:rPr>
          <w:rFonts w:ascii="宋体" w:hAnsi="宋体" w:cs="宋体" w:eastAsia="宋体" w:hint="default"/>
          <w:spacing w:val="-1"/>
          <w:sz w:val="22"/>
          <w:szCs w:val="22"/>
        </w:rPr>
        <w:t>企业合并是指将两个或两个以上单独的企业合并形成一个报告主体的交易或事项。本公司在</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合并日或购买日确认因企业合并取得的资产、负债，合并日或购买日为实际取得被合并方或被购</w:t>
      </w:r>
    </w:p>
    <w:p>
      <w:pPr>
        <w:spacing w:line="391" w:lineRule="auto" w:before="102"/>
        <w:ind w:left="578" w:right="126" w:hanging="441"/>
        <w:jc w:val="left"/>
        <w:rPr>
          <w:rFonts w:ascii="宋体" w:hAnsi="宋体" w:cs="宋体" w:eastAsia="宋体" w:hint="default"/>
          <w:sz w:val="22"/>
          <w:szCs w:val="22"/>
        </w:rPr>
      </w:pPr>
      <w:r>
        <w:rPr>
          <w:rFonts w:ascii="宋体" w:hAnsi="宋体" w:cs="宋体" w:eastAsia="宋体" w:hint="default"/>
          <w:sz w:val="22"/>
          <w:szCs w:val="22"/>
        </w:rPr>
        <w:t>买方控制权的日期。</w:t>
      </w:r>
      <w:r>
        <w:rPr>
          <w:rFonts w:ascii="宋体" w:hAnsi="宋体" w:cs="宋体" w:eastAsia="宋体" w:hint="default"/>
          <w:w w:val="99"/>
          <w:sz w:val="22"/>
          <w:szCs w:val="22"/>
        </w:rPr>
        <w:t> </w:t>
      </w:r>
      <w:r>
        <w:rPr>
          <w:rFonts w:ascii="宋体" w:hAnsi="宋体" w:cs="宋体" w:eastAsia="宋体" w:hint="default"/>
          <w:spacing w:val="-1"/>
          <w:sz w:val="22"/>
          <w:szCs w:val="22"/>
        </w:rPr>
        <w:t>对于同一控制下的企业合并，合并方在企业合并中取得的资产和负债，按照合并日在被合并</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方的账面价值计量，合并方取得的净资产账面价值与支付的合并对价账面价值的差额，调整资本</w:t>
      </w:r>
    </w:p>
    <w:p>
      <w:pPr>
        <w:spacing w:line="324" w:lineRule="auto" w:before="102"/>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公积；资本公积不足冲减的，调整留存收益。为进行企业合并发生的直接相关费用于发生时计入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对于非同一控制下企业合并，合并成本为购买方在购买日为取得对被购买方的控制权而付出</w:t>
      </w:r>
      <w:r>
        <w:rPr>
          <w:rFonts w:ascii="宋体" w:hAnsi="宋体" w:cs="宋体" w:eastAsia="宋体" w:hint="default"/>
          <w:w w:val="99"/>
          <w:sz w:val="22"/>
          <w:szCs w:val="22"/>
        </w:rPr>
        <w:t> </w:t>
      </w:r>
      <w:r>
        <w:rPr>
          <w:rFonts w:ascii="宋体" w:hAnsi="宋体" w:cs="宋体" w:eastAsia="宋体" w:hint="default"/>
          <w:spacing w:val="-1"/>
          <w:sz w:val="22"/>
          <w:szCs w:val="22"/>
        </w:rPr>
        <w:t>的资产、发生或承担的负债以及发行的权益性证券的公允价值。合并成本大于合并中取得的被购</w:t>
      </w:r>
      <w:r>
        <w:rPr>
          <w:rFonts w:ascii="宋体" w:hAnsi="宋体" w:cs="宋体" w:eastAsia="宋体" w:hint="default"/>
          <w:w w:val="99"/>
          <w:sz w:val="22"/>
          <w:szCs w:val="22"/>
        </w:rPr>
        <w:t> </w:t>
      </w:r>
      <w:r>
        <w:rPr>
          <w:rFonts w:ascii="宋体" w:hAnsi="宋体" w:cs="宋体" w:eastAsia="宋体" w:hint="default"/>
          <w:spacing w:val="-1"/>
          <w:sz w:val="22"/>
          <w:szCs w:val="22"/>
        </w:rPr>
        <w:t>买方可辨认净资产公允价值份额的差额，确认为商誉；合并成本小于合并中取得的被购买方可辨</w:t>
      </w:r>
      <w:r>
        <w:rPr>
          <w:rFonts w:ascii="宋体" w:hAnsi="宋体" w:cs="宋体" w:eastAsia="宋体" w:hint="default"/>
          <w:w w:val="99"/>
          <w:sz w:val="22"/>
          <w:szCs w:val="22"/>
        </w:rPr>
        <w:t> </w:t>
      </w:r>
      <w:r>
        <w:rPr>
          <w:rFonts w:ascii="宋体" w:hAnsi="宋体" w:cs="宋体" w:eastAsia="宋体" w:hint="default"/>
          <w:spacing w:val="-1"/>
          <w:sz w:val="22"/>
          <w:szCs w:val="22"/>
        </w:rPr>
        <w:t>认净资产公允价值份额的，经复核确认后，计入当期损益。为进行企业合并发生的直接相关费用</w:t>
      </w:r>
      <w:r>
        <w:rPr>
          <w:rFonts w:ascii="宋体" w:hAnsi="宋体" w:cs="宋体" w:eastAsia="宋体" w:hint="default"/>
          <w:w w:val="99"/>
          <w:sz w:val="22"/>
          <w:szCs w:val="22"/>
        </w:rPr>
        <w:t> </w:t>
      </w:r>
      <w:r>
        <w:rPr>
          <w:rFonts w:ascii="宋体" w:hAnsi="宋体" w:cs="宋体" w:eastAsia="宋体" w:hint="default"/>
          <w:sz w:val="22"/>
          <w:szCs w:val="22"/>
        </w:rPr>
        <w:t>于发生时计入当期损益。</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w:t>
      </w:r>
      <w:r>
        <w:rPr>
          <w:rFonts w:ascii="宋体" w:hAnsi="宋体" w:cs="宋体" w:eastAsia="宋体" w:hint="default"/>
          <w:b/>
          <w:bCs/>
          <w:sz w:val="22"/>
          <w:szCs w:val="22"/>
        </w:rPr>
        <w:t>．</w:t>
      </w:r>
      <w:r>
        <w:rPr>
          <w:rFonts w:ascii="宋体" w:hAnsi="宋体" w:cs="宋体" w:eastAsia="宋体" w:hint="default"/>
          <w:sz w:val="22"/>
          <w:szCs w:val="22"/>
        </w:rPr>
        <w:t>金融工具的公允价值确定</w:t>
      </w:r>
      <w:r>
        <w:rPr>
          <w:rFonts w:ascii="宋体" w:hAnsi="宋体" w:cs="宋体" w:eastAsia="宋体" w:hint="default"/>
          <w:w w:val="99"/>
          <w:sz w:val="22"/>
          <w:szCs w:val="22"/>
        </w:rPr>
        <w:t> </w:t>
      </w:r>
      <w:r>
        <w:rPr>
          <w:rFonts w:ascii="宋体" w:hAnsi="宋体" w:cs="宋体" w:eastAsia="宋体" w:hint="default"/>
          <w:spacing w:val="-1"/>
          <w:sz w:val="22"/>
          <w:szCs w:val="22"/>
        </w:rPr>
        <w:t>存在活跃市场的金融工具，以活跃市场中的先行出价确定其公允价值。不存在活跃市场的金</w:t>
      </w:r>
    </w:p>
    <w:p>
      <w:pPr>
        <w:spacing w:line="271" w:lineRule="exact" w:before="0"/>
        <w:ind w:left="137" w:right="0" w:firstLine="0"/>
        <w:jc w:val="left"/>
        <w:rPr>
          <w:rFonts w:ascii="宋体" w:hAnsi="宋体" w:cs="宋体" w:eastAsia="宋体" w:hint="default"/>
          <w:sz w:val="22"/>
          <w:szCs w:val="22"/>
        </w:rPr>
      </w:pPr>
      <w:r>
        <w:rPr>
          <w:rFonts w:ascii="宋体" w:hAnsi="宋体" w:cs="宋体" w:eastAsia="宋体" w:hint="default"/>
          <w:sz w:val="22"/>
          <w:szCs w:val="22"/>
        </w:rPr>
        <w:t>融工具，采用估值技术确定其公允价值。估值技术包括参考熟悉情况并自愿交易的各方最近进行</w:t>
      </w:r>
    </w:p>
    <w:p>
      <w:pPr>
        <w:spacing w:line="324" w:lineRule="auto" w:before="102"/>
        <w:ind w:left="137" w:right="87" w:firstLine="0"/>
        <w:jc w:val="left"/>
        <w:rPr>
          <w:rFonts w:ascii="宋体" w:hAnsi="宋体" w:cs="宋体" w:eastAsia="宋体" w:hint="default"/>
          <w:sz w:val="22"/>
          <w:szCs w:val="22"/>
        </w:rPr>
      </w:pPr>
      <w:r>
        <w:rPr>
          <w:rFonts w:ascii="宋体" w:hAnsi="宋体" w:cs="宋体" w:eastAsia="宋体" w:hint="default"/>
          <w:w w:val="95"/>
          <w:sz w:val="22"/>
          <w:szCs w:val="22"/>
        </w:rPr>
        <w:t>的市场交易中使用的价格、参照实质上相同的其他金融资产的当前公允价值、现金流量折现法和</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sz w:val="22"/>
          <w:szCs w:val="22"/>
        </w:rPr>
        <w:t>期权定价模型等。采用估值技术时，尽可能多使用市场参数，不使用与本公司特定相关的参数。</w:t>
      </w:r>
    </w:p>
    <w:p>
      <w:pPr>
        <w:spacing w:before="103"/>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w:t>
      </w:r>
      <w:r>
        <w:rPr>
          <w:rFonts w:ascii="宋体" w:hAnsi="宋体" w:cs="宋体" w:eastAsia="宋体" w:hint="default"/>
          <w:b/>
          <w:bCs/>
          <w:sz w:val="22"/>
          <w:szCs w:val="22"/>
        </w:rPr>
        <w:t>．</w:t>
      </w:r>
      <w:r>
        <w:rPr>
          <w:rFonts w:ascii="宋体" w:hAnsi="宋体" w:cs="宋体" w:eastAsia="宋体" w:hint="default"/>
          <w:sz w:val="22"/>
          <w:szCs w:val="22"/>
        </w:rPr>
        <w:t>合并财务报表的编制方法</w:t>
      </w:r>
    </w:p>
    <w:p>
      <w:pPr>
        <w:spacing w:before="163"/>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合并范围的确定原则：合并财务报表的合并范围包括本公司及全部子公司；</w:t>
      </w:r>
    </w:p>
    <w:p>
      <w:pPr>
        <w:spacing w:before="18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合并财务报表所采用的会计方法：本公司合并财务报表是按照《企业会计准则第 33</w:t>
      </w:r>
      <w:r>
        <w:rPr>
          <w:rFonts w:ascii="宋体" w:hAnsi="宋体" w:cs="宋体" w:eastAsia="宋体" w:hint="default"/>
          <w:spacing w:val="-61"/>
          <w:sz w:val="22"/>
          <w:szCs w:val="22"/>
        </w:rPr>
        <w:t> </w:t>
      </w:r>
      <w:r>
        <w:rPr>
          <w:rFonts w:ascii="宋体" w:hAnsi="宋体" w:cs="宋体" w:eastAsia="宋体" w:hint="default"/>
          <w:sz w:val="22"/>
          <w:szCs w:val="22"/>
        </w:rPr>
        <w:t>号</w:t>
      </w:r>
    </w:p>
    <w:p>
      <w:pPr>
        <w:spacing w:line="391" w:lineRule="auto" w:before="102"/>
        <w:ind w:left="578" w:right="0" w:hanging="441"/>
        <w:jc w:val="left"/>
        <w:rPr>
          <w:rFonts w:ascii="宋体" w:hAnsi="宋体" w:cs="宋体" w:eastAsia="宋体" w:hint="default"/>
          <w:sz w:val="22"/>
          <w:szCs w:val="22"/>
        </w:rPr>
      </w:pPr>
      <w:r>
        <w:rPr>
          <w:rFonts w:ascii="宋体" w:hAnsi="宋体" w:cs="宋体" w:eastAsia="宋体" w:hint="default"/>
          <w:sz w:val="22"/>
          <w:szCs w:val="22"/>
        </w:rPr>
        <w:t>－合并财务报表》及相关规定的要求编制。</w:t>
      </w:r>
      <w:r>
        <w:rPr>
          <w:rFonts w:ascii="宋体" w:hAnsi="宋体" w:cs="宋体" w:eastAsia="宋体" w:hint="default"/>
          <w:w w:val="99"/>
          <w:sz w:val="22"/>
          <w:szCs w:val="22"/>
        </w:rPr>
        <w:t> </w:t>
      </w:r>
      <w:r>
        <w:rPr>
          <w:rFonts w:ascii="宋体" w:hAnsi="宋体" w:cs="宋体" w:eastAsia="宋体" w:hint="default"/>
          <w:spacing w:val="5"/>
          <w:w w:val="95"/>
          <w:sz w:val="22"/>
          <w:szCs w:val="22"/>
        </w:rPr>
        <w:t>子公司少数股东应占有的权益和损益分别在合并资产负债表中股东权益项目下和合并利润</w:t>
      </w:r>
      <w:r>
        <w:rPr>
          <w:rFonts w:ascii="宋体" w:hAnsi="宋体" w:cs="宋体" w:eastAsia="宋体" w:hint="default"/>
          <w:sz w:val="22"/>
          <w:szCs w:val="22"/>
        </w:rPr>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表净利润项目下进行列示。</w:t>
      </w:r>
    </w:p>
    <w:p>
      <w:pPr>
        <w:spacing w:line="324" w:lineRule="auto" w:before="180"/>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子公司与本公司采用的会计政策或会计期间不一致的，在编制合并财务报表时，按照本公司</w:t>
      </w:r>
      <w:r>
        <w:rPr>
          <w:rFonts w:ascii="宋体" w:hAnsi="宋体" w:cs="宋体" w:eastAsia="宋体" w:hint="default"/>
          <w:w w:val="99"/>
          <w:sz w:val="22"/>
          <w:szCs w:val="22"/>
        </w:rPr>
        <w:t> </w:t>
      </w:r>
      <w:r>
        <w:rPr>
          <w:rFonts w:ascii="宋体" w:hAnsi="宋体" w:cs="宋体" w:eastAsia="宋体" w:hint="default"/>
          <w:spacing w:val="-1"/>
          <w:sz w:val="22"/>
          <w:szCs w:val="22"/>
        </w:rPr>
        <w:t>的会计政策或会计期间对子公司财务报表进行必要的调整。合并时合并范围内的所有重大内部交</w:t>
      </w:r>
      <w:r>
        <w:rPr>
          <w:rFonts w:ascii="宋体" w:hAnsi="宋体" w:cs="宋体" w:eastAsia="宋体" w:hint="default"/>
          <w:w w:val="99"/>
          <w:sz w:val="22"/>
          <w:szCs w:val="22"/>
        </w:rPr>
        <w:t> </w:t>
      </w:r>
      <w:r>
        <w:rPr>
          <w:rFonts w:ascii="宋体" w:hAnsi="宋体" w:cs="宋体" w:eastAsia="宋体" w:hint="default"/>
          <w:spacing w:val="-1"/>
          <w:sz w:val="22"/>
          <w:szCs w:val="22"/>
        </w:rPr>
        <w:t>易和往来业已抵销。内部交易发生的未实现损失，有证据表明该损失是相关资产减值损失的，则</w:t>
      </w:r>
      <w:r>
        <w:rPr>
          <w:rFonts w:ascii="宋体" w:hAnsi="宋体" w:cs="宋体" w:eastAsia="宋体" w:hint="default"/>
          <w:w w:val="99"/>
          <w:sz w:val="22"/>
          <w:szCs w:val="22"/>
        </w:rPr>
        <w:t> </w:t>
      </w:r>
      <w:r>
        <w:rPr>
          <w:rFonts w:ascii="宋体" w:hAnsi="宋体" w:cs="宋体" w:eastAsia="宋体" w:hint="default"/>
          <w:sz w:val="22"/>
          <w:szCs w:val="22"/>
        </w:rPr>
        <w:t>全额确认该损失。</w:t>
      </w:r>
    </w:p>
    <w:p>
      <w:pPr>
        <w:spacing w:before="103"/>
        <w:ind w:left="578" w:right="0" w:firstLine="0"/>
        <w:jc w:val="left"/>
        <w:rPr>
          <w:rFonts w:ascii="宋体" w:hAnsi="宋体" w:cs="宋体" w:eastAsia="宋体" w:hint="default"/>
          <w:sz w:val="22"/>
          <w:szCs w:val="22"/>
        </w:rPr>
      </w:pPr>
      <w:r>
        <w:rPr>
          <w:rFonts w:ascii="宋体" w:hAnsi="宋体" w:cs="宋体" w:eastAsia="宋体" w:hint="default"/>
          <w:sz w:val="22"/>
          <w:szCs w:val="22"/>
        </w:rPr>
        <w:t>本公司自少数股东处购买股权，因购买少数股东股权的长期投资成本与按照新增持股比例计</w:t>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0" w:firstLine="0"/>
        <w:jc w:val="left"/>
        <w:rPr>
          <w:rFonts w:ascii="宋体" w:hAnsi="宋体" w:cs="宋体" w:eastAsia="宋体" w:hint="default"/>
          <w:sz w:val="22"/>
          <w:szCs w:val="22"/>
        </w:rPr>
      </w:pPr>
      <w:r>
        <w:rPr>
          <w:rFonts w:ascii="宋体" w:hAnsi="宋体" w:cs="宋体" w:eastAsia="宋体" w:hint="default"/>
          <w:spacing w:val="-2"/>
          <w:sz w:val="22"/>
          <w:szCs w:val="22"/>
        </w:rPr>
        <w:t>算的应享有子公司自购买日（合并日）开始持续计算的可辨认净资产份额之间的差额，调整合并</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资产负债表中的资本公积，资本公积不足冲减的，调整留存收益。</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如果少数股东的亏损超过少数股东在该子公司所有者权益中的份额，其余额仍应当冲减少数</w:t>
      </w:r>
      <w:r>
        <w:rPr>
          <w:rFonts w:ascii="宋体" w:hAnsi="宋体" w:cs="宋体" w:eastAsia="宋体" w:hint="default"/>
          <w:w w:val="99"/>
          <w:sz w:val="22"/>
          <w:szCs w:val="22"/>
        </w:rPr>
        <w:t> </w:t>
      </w:r>
      <w:r>
        <w:rPr>
          <w:rFonts w:ascii="宋体" w:hAnsi="宋体" w:cs="宋体" w:eastAsia="宋体" w:hint="default"/>
          <w:sz w:val="22"/>
          <w:szCs w:val="22"/>
        </w:rPr>
        <w:t>股东权益。</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对于非同一控制下企业合并取得的子公司，在编制合并财务报表时，以购买日可辨认净资产</w:t>
      </w:r>
      <w:r>
        <w:rPr>
          <w:rFonts w:ascii="宋体" w:hAnsi="宋体" w:cs="宋体" w:eastAsia="宋体" w:hint="default"/>
          <w:w w:val="99"/>
          <w:sz w:val="22"/>
          <w:szCs w:val="22"/>
        </w:rPr>
        <w:t> </w:t>
      </w:r>
      <w:r>
        <w:rPr>
          <w:rFonts w:ascii="宋体" w:hAnsi="宋体" w:cs="宋体" w:eastAsia="宋体" w:hint="default"/>
          <w:spacing w:val="-1"/>
          <w:sz w:val="22"/>
          <w:szCs w:val="22"/>
        </w:rPr>
        <w:t>公允价值为基础对其个别财务报表进行调整，并自购买日起将被购买子公司的资产、负债、经营</w:t>
      </w:r>
      <w:r>
        <w:rPr>
          <w:rFonts w:ascii="宋体" w:hAnsi="宋体" w:cs="宋体" w:eastAsia="宋体" w:hint="default"/>
          <w:w w:val="99"/>
          <w:sz w:val="22"/>
          <w:szCs w:val="22"/>
        </w:rPr>
        <w:t> </w:t>
      </w:r>
      <w:r>
        <w:rPr>
          <w:rFonts w:ascii="宋体" w:hAnsi="宋体" w:cs="宋体" w:eastAsia="宋体" w:hint="default"/>
          <w:spacing w:val="-1"/>
          <w:sz w:val="22"/>
          <w:szCs w:val="22"/>
        </w:rPr>
        <w:t>成果和现金流量合并纳入本公司财务报表中；对于同一控制下企业合并取得的子公司，视同该企</w:t>
      </w:r>
      <w:r>
        <w:rPr>
          <w:rFonts w:ascii="宋体" w:hAnsi="宋体" w:cs="宋体" w:eastAsia="宋体" w:hint="default"/>
          <w:w w:val="99"/>
          <w:sz w:val="22"/>
          <w:szCs w:val="22"/>
        </w:rPr>
        <w:t> </w:t>
      </w:r>
      <w:r>
        <w:rPr>
          <w:rFonts w:ascii="宋体" w:hAnsi="宋体" w:cs="宋体" w:eastAsia="宋体" w:hint="default"/>
          <w:spacing w:val="-1"/>
          <w:sz w:val="22"/>
          <w:szCs w:val="22"/>
        </w:rPr>
        <w:t>业于合并当期的年初已经存在，从合并当期的年初起将其资产、负债、经营成果和现金流量，按</w:t>
      </w:r>
      <w:r>
        <w:rPr>
          <w:rFonts w:ascii="宋体" w:hAnsi="宋体" w:cs="宋体" w:eastAsia="宋体" w:hint="default"/>
          <w:w w:val="99"/>
          <w:sz w:val="22"/>
          <w:szCs w:val="22"/>
        </w:rPr>
        <w:t> </w:t>
      </w:r>
      <w:r>
        <w:rPr>
          <w:rFonts w:ascii="宋体" w:hAnsi="宋体" w:cs="宋体" w:eastAsia="宋体" w:hint="default"/>
          <w:sz w:val="22"/>
          <w:szCs w:val="22"/>
        </w:rPr>
        <w:t>原账面价值纳入合并财务报表，并对前期比较报表进行相应调整。</w:t>
      </w:r>
    </w:p>
    <w:p>
      <w:pPr>
        <w:tabs>
          <w:tab w:pos="1397" w:val="left" w:leader="none"/>
        </w:tabs>
        <w:spacing w:line="369" w:lineRule="auto" w:before="87"/>
        <w:ind w:left="578" w:right="3264" w:firstLine="42"/>
        <w:jc w:val="left"/>
        <w:rPr>
          <w:rFonts w:ascii="宋体" w:hAnsi="宋体" w:cs="宋体" w:eastAsia="宋体" w:hint="default"/>
          <w:sz w:val="22"/>
          <w:szCs w:val="22"/>
        </w:rPr>
      </w:pPr>
      <w:bookmarkStart w:name="五、 会计政策、会计估计变更和重要前期差错更正 " w:id="8"/>
      <w:bookmarkEnd w:id="8"/>
      <w:r>
        <w:rPr/>
      </w:r>
      <w:r>
        <w:rPr>
          <w:rFonts w:ascii="宋体" w:hAnsi="宋体" w:cs="宋体" w:eastAsia="宋体" w:hint="default"/>
          <w:b/>
          <w:bCs/>
          <w:w w:val="95"/>
          <w:sz w:val="24"/>
          <w:szCs w:val="24"/>
        </w:rPr>
        <w:t>五、</w:t>
        <w:tab/>
      </w:r>
      <w:r>
        <w:rPr>
          <w:rFonts w:ascii="宋体" w:hAnsi="宋体" w:cs="宋体" w:eastAsia="宋体" w:hint="default"/>
          <w:b/>
          <w:bCs/>
          <w:sz w:val="24"/>
          <w:szCs w:val="24"/>
        </w:rPr>
        <w:t>会计政策、会计估计变更和重要前期差错更正</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25"/>
          <w:sz w:val="22"/>
          <w:szCs w:val="22"/>
        </w:rPr>
        <w:t> </w:t>
      </w:r>
      <w:r>
        <w:rPr>
          <w:rFonts w:ascii="宋体" w:hAnsi="宋体" w:cs="宋体" w:eastAsia="宋体" w:hint="default"/>
          <w:sz w:val="22"/>
          <w:szCs w:val="22"/>
        </w:rPr>
        <w:t>会计政策、会计估计变更</w:t>
      </w:r>
      <w:r>
        <w:rPr>
          <w:rFonts w:ascii="宋体" w:hAnsi="宋体" w:cs="宋体" w:eastAsia="宋体" w:hint="default"/>
          <w:w w:val="99"/>
          <w:sz w:val="22"/>
          <w:szCs w:val="22"/>
        </w:rPr>
        <w:t> </w:t>
      </w:r>
      <w:r>
        <w:rPr>
          <w:rFonts w:ascii="宋体" w:hAnsi="宋体" w:cs="宋体" w:eastAsia="宋体" w:hint="default"/>
          <w:sz w:val="22"/>
          <w:szCs w:val="22"/>
        </w:rPr>
        <w:t>本公司报告期无会计政策、会计估计变更。</w:t>
      </w:r>
    </w:p>
    <w:p>
      <w:pPr>
        <w:tabs>
          <w:tab w:pos="1356" w:val="left" w:leader="none"/>
        </w:tabs>
        <w:spacing w:line="376" w:lineRule="auto" w:before="61"/>
        <w:ind w:left="578" w:right="538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25"/>
          <w:sz w:val="22"/>
          <w:szCs w:val="22"/>
        </w:rPr>
        <w:t> </w:t>
      </w:r>
      <w:r>
        <w:rPr>
          <w:rFonts w:ascii="宋体" w:hAnsi="宋体" w:cs="宋体" w:eastAsia="宋体" w:hint="default"/>
          <w:sz w:val="22"/>
          <w:szCs w:val="22"/>
        </w:rPr>
        <w:t>重要前期差错更正</w:t>
      </w:r>
      <w:r>
        <w:rPr>
          <w:rFonts w:ascii="宋体" w:hAnsi="宋体" w:cs="宋体" w:eastAsia="宋体" w:hint="default"/>
          <w:w w:val="99"/>
          <w:sz w:val="22"/>
          <w:szCs w:val="22"/>
        </w:rPr>
        <w:t> </w:t>
      </w:r>
      <w:r>
        <w:rPr>
          <w:rFonts w:ascii="宋体" w:hAnsi="宋体" w:cs="宋体" w:eastAsia="宋体" w:hint="default"/>
          <w:sz w:val="22"/>
          <w:szCs w:val="22"/>
        </w:rPr>
        <w:t>本公司报告期无重要前期差错更正。</w:t>
      </w:r>
      <w:r>
        <w:rPr>
          <w:rFonts w:ascii="宋体" w:hAnsi="宋体" w:cs="宋体" w:eastAsia="宋体" w:hint="default"/>
          <w:w w:val="99"/>
          <w:sz w:val="22"/>
          <w:szCs w:val="22"/>
        </w:rPr>
        <w:t> </w:t>
      </w:r>
      <w:bookmarkStart w:name="六、 税项 " w:id="9"/>
      <w:bookmarkEnd w:id="9"/>
      <w:r>
        <w:rPr>
          <w:rFonts w:ascii="宋体" w:hAnsi="宋体" w:cs="宋体" w:eastAsia="宋体" w:hint="default"/>
          <w:w w:val="99"/>
          <w:sz w:val="22"/>
          <w:szCs w:val="22"/>
        </w:rPr>
      </w:r>
      <w:r>
        <w:rPr>
          <w:rFonts w:ascii="宋体" w:hAnsi="宋体" w:cs="宋体" w:eastAsia="宋体" w:hint="default"/>
          <w:b/>
          <w:bCs/>
          <w:w w:val="95"/>
          <w:sz w:val="24"/>
          <w:szCs w:val="24"/>
        </w:rPr>
        <w:t>六、</w:t>
        <w:tab/>
      </w:r>
      <w:r>
        <w:rPr>
          <w:rFonts w:ascii="宋体" w:hAnsi="宋体" w:cs="宋体" w:eastAsia="宋体" w:hint="default"/>
          <w:b/>
          <w:bCs/>
          <w:sz w:val="24"/>
          <w:szCs w:val="24"/>
        </w:rPr>
        <w:t>税项</w:t>
      </w:r>
      <w:r>
        <w:rPr>
          <w:rFonts w:ascii="宋体" w:hAnsi="宋体" w:cs="宋体" w:eastAsia="宋体" w:hint="default"/>
          <w:b/>
          <w:bCs/>
          <w:spacing w:val="1"/>
          <w:w w:val="99"/>
          <w:sz w:val="24"/>
          <w:szCs w:val="24"/>
        </w:rPr>
        <w:t> </w:t>
      </w:r>
      <w:r>
        <w:rPr>
          <w:rFonts w:ascii="宋体" w:hAnsi="宋体" w:cs="宋体" w:eastAsia="宋体" w:hint="default"/>
          <w:sz w:val="22"/>
          <w:szCs w:val="22"/>
        </w:rPr>
        <w:t>本公司适用的主要税种及税率如下：</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企业所得税</w:t>
      </w:r>
    </w:p>
    <w:p>
      <w:pPr>
        <w:spacing w:before="24"/>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除下述公司外，本公司及境内各子公司适用的所得税率为</w:t>
      </w:r>
      <w:r>
        <w:rPr>
          <w:rFonts w:ascii="宋体" w:hAnsi="宋体" w:cs="宋体" w:eastAsia="宋体" w:hint="default"/>
          <w:spacing w:val="-57"/>
          <w:sz w:val="22"/>
          <w:szCs w:val="22"/>
        </w:rPr>
        <w:t> </w:t>
      </w:r>
      <w:r>
        <w:rPr>
          <w:rFonts w:ascii="宋体" w:hAnsi="宋体" w:cs="宋体" w:eastAsia="宋体" w:hint="default"/>
          <w:sz w:val="22"/>
          <w:szCs w:val="22"/>
        </w:rPr>
        <w:t>25%。</w:t>
      </w:r>
    </w:p>
    <w:p>
      <w:pPr>
        <w:spacing w:before="180"/>
        <w:ind w:left="578" w:right="0" w:firstLine="0"/>
        <w:jc w:val="left"/>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61"/>
          <w:sz w:val="22"/>
          <w:szCs w:val="22"/>
        </w:rPr>
        <w:t> </w:t>
      </w:r>
      <w:r>
        <w:rPr>
          <w:rFonts w:ascii="宋体" w:hAnsi="宋体" w:cs="宋体" w:eastAsia="宋体" w:hint="default"/>
          <w:sz w:val="22"/>
          <w:szCs w:val="22"/>
        </w:rPr>
        <w:t>2010</w:t>
      </w:r>
      <w:r>
        <w:rPr>
          <w:rFonts w:ascii="宋体" w:hAnsi="宋体" w:cs="宋体" w:eastAsia="宋体" w:hint="default"/>
          <w:spacing w:val="-62"/>
          <w:sz w:val="22"/>
          <w:szCs w:val="22"/>
        </w:rPr>
        <w:t> </w:t>
      </w:r>
      <w:r>
        <w:rPr>
          <w:rFonts w:ascii="宋体" w:hAnsi="宋体" w:cs="宋体" w:eastAsia="宋体" w:hint="default"/>
          <w:sz w:val="22"/>
          <w:szCs w:val="22"/>
        </w:rPr>
        <w:t>年度享受税收优惠的主要子公司的税率列示如下：</w:t>
      </w:r>
    </w:p>
    <w:p>
      <w:pPr>
        <w:spacing w:line="240" w:lineRule="auto" w:before="8"/>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4036"/>
        <w:gridCol w:w="1329"/>
        <w:gridCol w:w="2138"/>
        <w:gridCol w:w="1135"/>
      </w:tblGrid>
      <w:tr>
        <w:trPr>
          <w:trHeight w:val="302" w:hRule="exact"/>
        </w:trPr>
        <w:tc>
          <w:tcPr>
            <w:tcW w:w="4036" w:type="dxa"/>
            <w:tcBorders>
              <w:top w:val="single" w:sz="12" w:space="0" w:color="000000"/>
              <w:left w:val="nil" w:sz="6" w:space="0" w:color="auto"/>
              <w:bottom w:val="single" w:sz="4" w:space="0" w:color="000000"/>
              <w:right w:val="nil" w:sz="6" w:space="0" w:color="auto"/>
            </w:tcBorders>
          </w:tcPr>
          <w:p>
            <w:pPr>
              <w:pStyle w:val="TableParagraph"/>
              <w:spacing w:line="229" w:lineRule="exact"/>
              <w:ind w:right="142"/>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329" w:type="dxa"/>
            <w:tcBorders>
              <w:top w:val="single" w:sz="12" w:space="0" w:color="000000"/>
              <w:left w:val="nil" w:sz="6" w:space="0" w:color="auto"/>
              <w:bottom w:val="single" w:sz="4" w:space="0" w:color="000000"/>
              <w:right w:val="nil" w:sz="6" w:space="0" w:color="auto"/>
            </w:tcBorders>
          </w:tcPr>
          <w:p>
            <w:pPr>
              <w:pStyle w:val="TableParagraph"/>
              <w:spacing w:line="229" w:lineRule="exact"/>
              <w:ind w:right="153"/>
              <w:jc w:val="center"/>
              <w:rPr>
                <w:rFonts w:ascii="宋体" w:hAnsi="宋体" w:cs="宋体" w:eastAsia="宋体" w:hint="default"/>
                <w:sz w:val="20"/>
                <w:szCs w:val="20"/>
              </w:rPr>
            </w:pPr>
            <w:r>
              <w:rPr>
                <w:rFonts w:ascii="宋体" w:hAnsi="宋体" w:cs="宋体" w:eastAsia="宋体" w:hint="default"/>
                <w:b/>
                <w:bCs/>
                <w:sz w:val="20"/>
                <w:szCs w:val="20"/>
              </w:rPr>
              <w:t>优惠税率</w:t>
            </w:r>
            <w:r>
              <w:rPr>
                <w:rFonts w:ascii="宋体" w:hAnsi="宋体" w:cs="宋体" w:eastAsia="宋体" w:hint="default"/>
                <w:sz w:val="20"/>
                <w:szCs w:val="20"/>
              </w:rPr>
            </w:r>
          </w:p>
        </w:tc>
        <w:tc>
          <w:tcPr>
            <w:tcW w:w="2138" w:type="dxa"/>
            <w:tcBorders>
              <w:top w:val="single" w:sz="12" w:space="0" w:color="000000"/>
              <w:left w:val="nil" w:sz="6" w:space="0" w:color="auto"/>
              <w:bottom w:val="single" w:sz="4" w:space="0" w:color="000000"/>
              <w:right w:val="nil" w:sz="6" w:space="0" w:color="auto"/>
            </w:tcBorders>
          </w:tcPr>
          <w:p>
            <w:pPr>
              <w:pStyle w:val="TableParagraph"/>
              <w:spacing w:line="229" w:lineRule="exact"/>
              <w:ind w:right="137"/>
              <w:jc w:val="center"/>
              <w:rPr>
                <w:rFonts w:ascii="宋体" w:hAnsi="宋体" w:cs="宋体" w:eastAsia="宋体" w:hint="default"/>
                <w:sz w:val="20"/>
                <w:szCs w:val="20"/>
              </w:rPr>
            </w:pPr>
            <w:r>
              <w:rPr>
                <w:rFonts w:ascii="宋体" w:hAnsi="宋体" w:cs="宋体" w:eastAsia="宋体" w:hint="default"/>
                <w:b/>
                <w:bCs/>
                <w:sz w:val="20"/>
                <w:szCs w:val="20"/>
              </w:rPr>
              <w:t>优惠原因</w:t>
            </w:r>
            <w:r>
              <w:rPr>
                <w:rFonts w:ascii="宋体" w:hAnsi="宋体" w:cs="宋体" w:eastAsia="宋体" w:hint="default"/>
                <w:sz w:val="20"/>
                <w:szCs w:val="20"/>
              </w:rPr>
            </w:r>
          </w:p>
        </w:tc>
        <w:tc>
          <w:tcPr>
            <w:tcW w:w="1135" w:type="dxa"/>
            <w:tcBorders>
              <w:top w:val="single" w:sz="12" w:space="0" w:color="000000"/>
              <w:left w:val="nil" w:sz="6" w:space="0" w:color="auto"/>
              <w:bottom w:val="single" w:sz="4" w:space="0" w:color="000000"/>
              <w:right w:val="nil" w:sz="6" w:space="0" w:color="auto"/>
            </w:tcBorders>
          </w:tcPr>
          <w:p>
            <w:pPr>
              <w:pStyle w:val="TableParagraph"/>
              <w:spacing w:line="229" w:lineRule="exact"/>
              <w:ind w:left="306" w:right="0"/>
              <w:jc w:val="left"/>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258" w:hRule="exact"/>
        </w:trPr>
        <w:tc>
          <w:tcPr>
            <w:tcW w:w="4036" w:type="dxa"/>
            <w:tcBorders>
              <w:top w:val="single" w:sz="4" w:space="0" w:color="000000"/>
              <w:left w:val="nil" w:sz="6" w:space="0" w:color="auto"/>
              <w:bottom w:val="nil" w:sz="6" w:space="0" w:color="auto"/>
              <w:right w:val="nil" w:sz="6" w:space="0" w:color="auto"/>
            </w:tcBorders>
          </w:tcPr>
          <w:p>
            <w:pPr>
              <w:pStyle w:val="TableParagraph"/>
              <w:spacing w:line="234" w:lineRule="exact"/>
              <w:ind w:left="41"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c>
          <w:tcPr>
            <w:tcW w:w="1329" w:type="dxa"/>
            <w:tcBorders>
              <w:top w:val="single" w:sz="4" w:space="0" w:color="000000"/>
              <w:left w:val="nil" w:sz="6" w:space="0" w:color="auto"/>
              <w:bottom w:val="nil" w:sz="6" w:space="0" w:color="auto"/>
              <w:right w:val="nil" w:sz="6" w:space="0" w:color="auto"/>
            </w:tcBorders>
          </w:tcPr>
          <w:p>
            <w:pPr>
              <w:pStyle w:val="TableParagraph"/>
              <w:spacing w:line="234" w:lineRule="exact"/>
              <w:ind w:right="152"/>
              <w:jc w:val="center"/>
              <w:rPr>
                <w:rFonts w:ascii="宋体" w:hAnsi="宋体" w:cs="宋体" w:eastAsia="宋体" w:hint="default"/>
                <w:sz w:val="24"/>
                <w:szCs w:val="24"/>
              </w:rPr>
            </w:pPr>
            <w:r>
              <w:rPr>
                <w:rFonts w:ascii="宋体"/>
                <w:sz w:val="24"/>
              </w:rPr>
              <w:t>15%</w:t>
            </w:r>
          </w:p>
        </w:tc>
        <w:tc>
          <w:tcPr>
            <w:tcW w:w="2138" w:type="dxa"/>
            <w:tcBorders>
              <w:top w:val="single" w:sz="4" w:space="0" w:color="000000"/>
              <w:left w:val="nil" w:sz="6" w:space="0" w:color="auto"/>
              <w:bottom w:val="single" w:sz="6" w:space="0" w:color="000000"/>
              <w:right w:val="nil" w:sz="6" w:space="0" w:color="auto"/>
            </w:tcBorders>
          </w:tcPr>
          <w:p>
            <w:pPr>
              <w:pStyle w:val="TableParagraph"/>
              <w:spacing w:line="210" w:lineRule="exact"/>
              <w:ind w:right="136"/>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135" w:type="dxa"/>
            <w:tcBorders>
              <w:top w:val="single" w:sz="4" w:space="0" w:color="000000"/>
              <w:left w:val="nil" w:sz="6" w:space="0" w:color="auto"/>
              <w:bottom w:val="single" w:sz="6" w:space="0" w:color="000000"/>
              <w:right w:val="nil" w:sz="6" w:space="0" w:color="auto"/>
            </w:tcBorders>
          </w:tcPr>
          <w:p>
            <w:pPr>
              <w:pStyle w:val="TableParagraph"/>
              <w:spacing w:line="210" w:lineRule="exact"/>
              <w:ind w:left="350"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5" w:lineRule="exact"/>
              <w:ind w:left="41" w:right="0"/>
              <w:jc w:val="left"/>
              <w:rPr>
                <w:rFonts w:ascii="宋体" w:hAnsi="宋体" w:cs="宋体" w:eastAsia="宋体" w:hint="default"/>
                <w:sz w:val="24"/>
                <w:szCs w:val="24"/>
              </w:rPr>
            </w:pPr>
            <w:r>
              <w:rPr>
                <w:rFonts w:ascii="宋体" w:hAnsi="宋体" w:cs="宋体" w:eastAsia="宋体" w:hint="default"/>
                <w:sz w:val="24"/>
                <w:szCs w:val="24"/>
              </w:rPr>
              <w:t>泰豪科技股份有限公司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5" w:lineRule="exact"/>
              <w:ind w:right="152"/>
              <w:jc w:val="center"/>
              <w:rPr>
                <w:rFonts w:ascii="宋体" w:hAnsi="宋体" w:cs="宋体" w:eastAsia="宋体" w:hint="default"/>
                <w:sz w:val="24"/>
                <w:szCs w:val="24"/>
              </w:rPr>
            </w:pPr>
            <w:r>
              <w:rPr>
                <w:rFonts w:ascii="宋体"/>
                <w:sz w:val="24"/>
              </w:rPr>
              <w:t>15%</w:t>
            </w:r>
          </w:p>
        </w:tc>
        <w:tc>
          <w:tcPr>
            <w:tcW w:w="2138"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136"/>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350"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5" w:lineRule="exact"/>
              <w:ind w:left="41" w:right="0"/>
              <w:jc w:val="left"/>
              <w:rPr>
                <w:rFonts w:ascii="宋体" w:hAnsi="宋体" w:cs="宋体" w:eastAsia="宋体" w:hint="default"/>
                <w:sz w:val="24"/>
                <w:szCs w:val="24"/>
              </w:rPr>
            </w:pPr>
            <w:r>
              <w:rPr>
                <w:rFonts w:ascii="宋体" w:hAnsi="宋体" w:cs="宋体" w:eastAsia="宋体" w:hint="default"/>
                <w:sz w:val="24"/>
                <w:szCs w:val="24"/>
              </w:rPr>
              <w:t>唐山晶源裕丰电子股份有限公司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5" w:lineRule="exact"/>
              <w:ind w:right="152"/>
              <w:jc w:val="center"/>
              <w:rPr>
                <w:rFonts w:ascii="宋体" w:hAnsi="宋体" w:cs="宋体" w:eastAsia="宋体" w:hint="default"/>
                <w:sz w:val="24"/>
                <w:szCs w:val="24"/>
              </w:rPr>
            </w:pPr>
            <w:r>
              <w:rPr>
                <w:rFonts w:ascii="宋体"/>
                <w:sz w:val="24"/>
              </w:rPr>
              <w:t>15%</w:t>
            </w:r>
          </w:p>
        </w:tc>
        <w:tc>
          <w:tcPr>
            <w:tcW w:w="2138"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136"/>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350"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5" w:lineRule="exact"/>
              <w:ind w:left="41" w:right="0"/>
              <w:jc w:val="left"/>
              <w:rPr>
                <w:rFonts w:ascii="宋体" w:hAnsi="宋体" w:cs="宋体" w:eastAsia="宋体" w:hint="default"/>
                <w:sz w:val="24"/>
                <w:szCs w:val="24"/>
              </w:rPr>
            </w:pPr>
            <w:r>
              <w:rPr>
                <w:rFonts w:ascii="宋体" w:hAnsi="宋体" w:cs="宋体" w:eastAsia="宋体" w:hint="default"/>
                <w:sz w:val="24"/>
                <w:szCs w:val="24"/>
              </w:rPr>
              <w:t>同方威视技术股份有限公司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5" w:lineRule="exact"/>
              <w:ind w:right="152"/>
              <w:jc w:val="center"/>
              <w:rPr>
                <w:rFonts w:ascii="宋体" w:hAnsi="宋体" w:cs="宋体" w:eastAsia="宋体" w:hint="default"/>
                <w:sz w:val="24"/>
                <w:szCs w:val="24"/>
              </w:rPr>
            </w:pPr>
            <w:r>
              <w:rPr>
                <w:rFonts w:ascii="宋体"/>
                <w:sz w:val="24"/>
              </w:rPr>
              <w:t>15%</w:t>
            </w:r>
          </w:p>
        </w:tc>
        <w:tc>
          <w:tcPr>
            <w:tcW w:w="2138"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136"/>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350"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5" w:lineRule="exact"/>
              <w:ind w:left="41" w:right="0"/>
              <w:jc w:val="left"/>
              <w:rPr>
                <w:rFonts w:ascii="宋体" w:hAnsi="宋体" w:cs="宋体" w:eastAsia="宋体" w:hint="default"/>
                <w:sz w:val="24"/>
                <w:szCs w:val="24"/>
              </w:rPr>
            </w:pPr>
            <w:r>
              <w:rPr>
                <w:rFonts w:ascii="宋体" w:hAnsi="宋体" w:cs="宋体" w:eastAsia="宋体" w:hint="default"/>
                <w:sz w:val="24"/>
                <w:szCs w:val="24"/>
              </w:rPr>
              <w:t>北京同方微电子有限公司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5" w:lineRule="exact"/>
              <w:ind w:right="152"/>
              <w:jc w:val="center"/>
              <w:rPr>
                <w:rFonts w:ascii="宋体" w:hAnsi="宋体" w:cs="宋体" w:eastAsia="宋体" w:hint="default"/>
                <w:sz w:val="24"/>
                <w:szCs w:val="24"/>
              </w:rPr>
            </w:pPr>
            <w:r>
              <w:rPr>
                <w:rFonts w:ascii="宋体"/>
                <w:sz w:val="24"/>
              </w:rPr>
              <w:t>15%</w:t>
            </w:r>
          </w:p>
        </w:tc>
        <w:tc>
          <w:tcPr>
            <w:tcW w:w="2138"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136"/>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350"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5" w:lineRule="exact"/>
              <w:ind w:left="41" w:right="0"/>
              <w:jc w:val="left"/>
              <w:rPr>
                <w:rFonts w:ascii="宋体" w:hAnsi="宋体" w:cs="宋体" w:eastAsia="宋体" w:hint="default"/>
                <w:sz w:val="24"/>
                <w:szCs w:val="24"/>
              </w:rPr>
            </w:pPr>
            <w:r>
              <w:rPr>
                <w:rFonts w:ascii="宋体" w:hAnsi="宋体" w:cs="宋体" w:eastAsia="宋体" w:hint="default"/>
                <w:sz w:val="24"/>
                <w:szCs w:val="24"/>
              </w:rPr>
              <w:t>同方光盘股份有限公司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5" w:lineRule="exact"/>
              <w:ind w:right="152"/>
              <w:jc w:val="center"/>
              <w:rPr>
                <w:rFonts w:ascii="宋体" w:hAnsi="宋体" w:cs="宋体" w:eastAsia="宋体" w:hint="default"/>
                <w:sz w:val="24"/>
                <w:szCs w:val="24"/>
              </w:rPr>
            </w:pPr>
            <w:r>
              <w:rPr>
                <w:rFonts w:ascii="宋体"/>
                <w:sz w:val="24"/>
              </w:rPr>
              <w:t>15%</w:t>
            </w:r>
          </w:p>
        </w:tc>
        <w:tc>
          <w:tcPr>
            <w:tcW w:w="2138"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136"/>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350"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6"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5" w:lineRule="exact"/>
              <w:ind w:left="41" w:right="0"/>
              <w:jc w:val="left"/>
              <w:rPr>
                <w:rFonts w:ascii="宋体" w:hAnsi="宋体" w:cs="宋体" w:eastAsia="宋体" w:hint="default"/>
                <w:sz w:val="24"/>
                <w:szCs w:val="24"/>
              </w:rPr>
            </w:pPr>
            <w:r>
              <w:rPr>
                <w:rFonts w:ascii="宋体" w:hAnsi="宋体" w:cs="宋体" w:eastAsia="宋体" w:hint="default"/>
                <w:sz w:val="24"/>
                <w:szCs w:val="24"/>
              </w:rPr>
              <w:t>中国学术期刊（光盘版）电子杂志社</w:t>
            </w:r>
          </w:p>
        </w:tc>
        <w:tc>
          <w:tcPr>
            <w:tcW w:w="1329" w:type="dxa"/>
            <w:tcBorders>
              <w:top w:val="nil" w:sz="6" w:space="0" w:color="auto"/>
              <w:left w:val="nil" w:sz="6" w:space="0" w:color="auto"/>
              <w:bottom w:val="nil" w:sz="6" w:space="0" w:color="auto"/>
              <w:right w:val="nil" w:sz="6" w:space="0" w:color="auto"/>
            </w:tcBorders>
          </w:tcPr>
          <w:p>
            <w:pPr>
              <w:pStyle w:val="TableParagraph"/>
              <w:spacing w:line="265" w:lineRule="exact"/>
              <w:ind w:right="152"/>
              <w:jc w:val="center"/>
              <w:rPr>
                <w:rFonts w:ascii="宋体" w:hAnsi="宋体" w:cs="宋体" w:eastAsia="宋体" w:hint="default"/>
                <w:sz w:val="24"/>
                <w:szCs w:val="24"/>
              </w:rPr>
            </w:pPr>
            <w:r>
              <w:rPr>
                <w:rFonts w:ascii="宋体"/>
                <w:sz w:val="24"/>
              </w:rPr>
              <w:t>15%</w:t>
            </w:r>
          </w:p>
        </w:tc>
        <w:tc>
          <w:tcPr>
            <w:tcW w:w="2138" w:type="dxa"/>
            <w:tcBorders>
              <w:top w:val="single" w:sz="6" w:space="0" w:color="000000"/>
              <w:left w:val="nil" w:sz="6" w:space="0" w:color="auto"/>
              <w:bottom w:val="nil" w:sz="6" w:space="0" w:color="auto"/>
              <w:right w:val="nil" w:sz="6" w:space="0" w:color="auto"/>
            </w:tcBorders>
          </w:tcPr>
          <w:p>
            <w:pPr>
              <w:pStyle w:val="TableParagraph"/>
              <w:spacing w:line="258" w:lineRule="exact"/>
              <w:ind w:right="136"/>
              <w:jc w:val="center"/>
              <w:rPr>
                <w:rFonts w:ascii="宋体" w:hAnsi="宋体" w:cs="宋体" w:eastAsia="宋体" w:hint="default"/>
                <w:sz w:val="24"/>
                <w:szCs w:val="24"/>
              </w:rPr>
            </w:pPr>
            <w:r>
              <w:rPr>
                <w:rFonts w:ascii="宋体" w:hAnsi="宋体" w:cs="宋体" w:eastAsia="宋体" w:hint="default"/>
                <w:sz w:val="24"/>
                <w:szCs w:val="24"/>
              </w:rPr>
              <w:t>高新技术企业</w:t>
            </w:r>
          </w:p>
        </w:tc>
        <w:tc>
          <w:tcPr>
            <w:tcW w:w="1135" w:type="dxa"/>
            <w:tcBorders>
              <w:top w:val="single" w:sz="6" w:space="0" w:color="000000"/>
              <w:left w:val="nil" w:sz="6" w:space="0" w:color="auto"/>
              <w:bottom w:val="nil" w:sz="6" w:space="0" w:color="auto"/>
              <w:right w:val="nil" w:sz="6" w:space="0" w:color="auto"/>
            </w:tcBorders>
          </w:tcPr>
          <w:p>
            <w:pPr>
              <w:pStyle w:val="TableParagraph"/>
              <w:spacing w:line="258"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1" w:lineRule="exact"/>
              <w:ind w:left="41" w:right="0"/>
              <w:jc w:val="left"/>
              <w:rPr>
                <w:rFonts w:ascii="宋体" w:hAnsi="宋体" w:cs="宋体" w:eastAsia="宋体" w:hint="default"/>
                <w:sz w:val="24"/>
                <w:szCs w:val="24"/>
              </w:rPr>
            </w:pPr>
            <w:r>
              <w:rPr>
                <w:rFonts w:ascii="宋体" w:hAnsi="宋体" w:cs="宋体" w:eastAsia="宋体" w:hint="default"/>
                <w:sz w:val="24"/>
                <w:szCs w:val="24"/>
              </w:rPr>
              <w:t>同方健康科技（北京）有限公司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1" w:lineRule="exact"/>
              <w:ind w:right="152"/>
              <w:jc w:val="center"/>
              <w:rPr>
                <w:rFonts w:ascii="宋体" w:hAnsi="宋体" w:cs="宋体" w:eastAsia="宋体" w:hint="default"/>
                <w:sz w:val="24"/>
                <w:szCs w:val="24"/>
              </w:rPr>
            </w:pPr>
            <w:r>
              <w:rPr>
                <w:rFonts w:ascii="宋体"/>
                <w:sz w:val="24"/>
              </w:rPr>
              <w:t>15%</w:t>
            </w:r>
          </w:p>
        </w:tc>
        <w:tc>
          <w:tcPr>
            <w:tcW w:w="2138"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center"/>
              <w:rPr>
                <w:rFonts w:ascii="宋体" w:hAnsi="宋体" w:cs="宋体" w:eastAsia="宋体" w:hint="default"/>
                <w:sz w:val="24"/>
                <w:szCs w:val="24"/>
              </w:rPr>
            </w:pPr>
            <w:r>
              <w:rPr>
                <w:rFonts w:ascii="宋体" w:hAnsi="宋体" w:cs="宋体" w:eastAsia="宋体" w:hint="default"/>
                <w:sz w:val="24"/>
                <w:szCs w:val="24"/>
              </w:rPr>
              <w:t>高新技术企业</w:t>
            </w:r>
          </w:p>
        </w:tc>
        <w:tc>
          <w:tcPr>
            <w:tcW w:w="1135" w:type="dxa"/>
            <w:tcBorders>
              <w:top w:val="nil" w:sz="6" w:space="0" w:color="auto"/>
              <w:left w:val="nil" w:sz="6" w:space="0" w:color="auto"/>
              <w:bottom w:val="nil" w:sz="6" w:space="0" w:color="auto"/>
              <w:right w:val="nil" w:sz="6" w:space="0" w:color="auto"/>
            </w:tcBorders>
          </w:tcPr>
          <w:p>
            <w:pPr>
              <w:pStyle w:val="TableParagraph"/>
              <w:spacing w:line="261"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2" w:lineRule="exact"/>
              <w:ind w:left="41" w:right="0"/>
              <w:jc w:val="left"/>
              <w:rPr>
                <w:rFonts w:ascii="宋体" w:hAnsi="宋体" w:cs="宋体" w:eastAsia="宋体" w:hint="default"/>
                <w:sz w:val="24"/>
                <w:szCs w:val="24"/>
              </w:rPr>
            </w:pPr>
            <w:r>
              <w:rPr>
                <w:rFonts w:ascii="宋体" w:hAnsi="宋体" w:cs="宋体" w:eastAsia="宋体" w:hint="default"/>
                <w:sz w:val="24"/>
                <w:szCs w:val="24"/>
              </w:rPr>
              <w:t>山东同方鲁颖电子有限公司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2" w:lineRule="exact"/>
              <w:ind w:right="152"/>
              <w:jc w:val="center"/>
              <w:rPr>
                <w:rFonts w:ascii="宋体" w:hAnsi="宋体" w:cs="宋体" w:eastAsia="宋体" w:hint="default"/>
                <w:sz w:val="24"/>
                <w:szCs w:val="24"/>
              </w:rPr>
            </w:pPr>
            <w:r>
              <w:rPr>
                <w:rFonts w:ascii="宋体"/>
                <w:sz w:val="24"/>
              </w:rPr>
              <w:t>15%</w:t>
            </w:r>
          </w:p>
        </w:tc>
        <w:tc>
          <w:tcPr>
            <w:tcW w:w="2138" w:type="dxa"/>
            <w:tcBorders>
              <w:top w:val="nil" w:sz="6" w:space="0" w:color="auto"/>
              <w:left w:val="nil" w:sz="6" w:space="0" w:color="auto"/>
              <w:bottom w:val="nil" w:sz="6" w:space="0" w:color="auto"/>
              <w:right w:val="nil" w:sz="6" w:space="0" w:color="auto"/>
            </w:tcBorders>
          </w:tcPr>
          <w:p>
            <w:pPr>
              <w:pStyle w:val="TableParagraph"/>
              <w:spacing w:line="262" w:lineRule="exact"/>
              <w:ind w:right="136"/>
              <w:jc w:val="center"/>
              <w:rPr>
                <w:rFonts w:ascii="宋体" w:hAnsi="宋体" w:cs="宋体" w:eastAsia="宋体" w:hint="default"/>
                <w:sz w:val="24"/>
                <w:szCs w:val="24"/>
              </w:rPr>
            </w:pPr>
            <w:r>
              <w:rPr>
                <w:rFonts w:ascii="宋体" w:hAnsi="宋体" w:cs="宋体" w:eastAsia="宋体" w:hint="default"/>
                <w:sz w:val="24"/>
                <w:szCs w:val="24"/>
              </w:rPr>
              <w:t>高新技术企业</w:t>
            </w:r>
          </w:p>
        </w:tc>
        <w:tc>
          <w:tcPr>
            <w:tcW w:w="1135" w:type="dxa"/>
            <w:tcBorders>
              <w:top w:val="nil" w:sz="6" w:space="0" w:color="auto"/>
              <w:left w:val="nil" w:sz="6" w:space="0" w:color="auto"/>
              <w:bottom w:val="nil" w:sz="6" w:space="0" w:color="auto"/>
              <w:right w:val="nil" w:sz="6" w:space="0" w:color="auto"/>
            </w:tcBorders>
          </w:tcPr>
          <w:p>
            <w:pPr>
              <w:pStyle w:val="TableParagraph"/>
              <w:spacing w:line="262"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2" w:lineRule="exact"/>
              <w:ind w:left="41" w:right="0"/>
              <w:jc w:val="left"/>
              <w:rPr>
                <w:rFonts w:ascii="宋体" w:hAnsi="宋体" w:cs="宋体" w:eastAsia="宋体" w:hint="default"/>
                <w:sz w:val="24"/>
                <w:szCs w:val="24"/>
              </w:rPr>
            </w:pPr>
            <w:r>
              <w:rPr>
                <w:rFonts w:ascii="宋体" w:hAnsi="宋体" w:cs="宋体" w:eastAsia="宋体" w:hint="default"/>
                <w:sz w:val="24"/>
                <w:szCs w:val="24"/>
              </w:rPr>
              <w:t>北京同方软件股份有限公司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2" w:lineRule="exact"/>
              <w:ind w:right="152"/>
              <w:jc w:val="center"/>
              <w:rPr>
                <w:rFonts w:ascii="宋体" w:hAnsi="宋体" w:cs="宋体" w:eastAsia="宋体" w:hint="default"/>
                <w:sz w:val="24"/>
                <w:szCs w:val="24"/>
              </w:rPr>
            </w:pPr>
            <w:r>
              <w:rPr>
                <w:rFonts w:ascii="宋体"/>
                <w:sz w:val="24"/>
              </w:rPr>
              <w:t>15%</w:t>
            </w:r>
          </w:p>
        </w:tc>
        <w:tc>
          <w:tcPr>
            <w:tcW w:w="2138" w:type="dxa"/>
            <w:tcBorders>
              <w:top w:val="nil" w:sz="6" w:space="0" w:color="auto"/>
              <w:left w:val="nil" w:sz="6" w:space="0" w:color="auto"/>
              <w:bottom w:val="nil" w:sz="6" w:space="0" w:color="auto"/>
              <w:right w:val="nil" w:sz="6" w:space="0" w:color="auto"/>
            </w:tcBorders>
          </w:tcPr>
          <w:p>
            <w:pPr>
              <w:pStyle w:val="TableParagraph"/>
              <w:spacing w:line="262" w:lineRule="exact"/>
              <w:ind w:right="136"/>
              <w:jc w:val="center"/>
              <w:rPr>
                <w:rFonts w:ascii="宋体" w:hAnsi="宋体" w:cs="宋体" w:eastAsia="宋体" w:hint="default"/>
                <w:sz w:val="24"/>
                <w:szCs w:val="24"/>
              </w:rPr>
            </w:pPr>
            <w:r>
              <w:rPr>
                <w:rFonts w:ascii="宋体" w:hAnsi="宋体" w:cs="宋体" w:eastAsia="宋体" w:hint="default"/>
                <w:sz w:val="24"/>
                <w:szCs w:val="24"/>
              </w:rPr>
              <w:t>高新技术企业</w:t>
            </w:r>
          </w:p>
        </w:tc>
        <w:tc>
          <w:tcPr>
            <w:tcW w:w="1135" w:type="dxa"/>
            <w:tcBorders>
              <w:top w:val="nil" w:sz="6" w:space="0" w:color="auto"/>
              <w:left w:val="nil" w:sz="6" w:space="0" w:color="auto"/>
              <w:bottom w:val="nil" w:sz="6" w:space="0" w:color="auto"/>
              <w:right w:val="nil" w:sz="6" w:space="0" w:color="auto"/>
            </w:tcBorders>
          </w:tcPr>
          <w:p>
            <w:pPr>
              <w:pStyle w:val="TableParagraph"/>
              <w:spacing w:line="262"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2" w:lineRule="exact"/>
              <w:ind w:left="41" w:right="0"/>
              <w:jc w:val="left"/>
              <w:rPr>
                <w:rFonts w:ascii="宋体" w:hAnsi="宋体" w:cs="宋体" w:eastAsia="宋体" w:hint="default"/>
                <w:sz w:val="24"/>
                <w:szCs w:val="24"/>
              </w:rPr>
            </w:pPr>
            <w:r>
              <w:rPr>
                <w:rFonts w:ascii="宋体" w:hAnsi="宋体" w:cs="宋体" w:eastAsia="宋体" w:hint="default"/>
                <w:sz w:val="24"/>
                <w:szCs w:val="24"/>
              </w:rPr>
              <w:t>北京同方吉兆科技有限公司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2" w:lineRule="exact"/>
              <w:ind w:right="152"/>
              <w:jc w:val="center"/>
              <w:rPr>
                <w:rFonts w:ascii="宋体" w:hAnsi="宋体" w:cs="宋体" w:eastAsia="宋体" w:hint="default"/>
                <w:sz w:val="24"/>
                <w:szCs w:val="24"/>
              </w:rPr>
            </w:pPr>
            <w:r>
              <w:rPr>
                <w:rFonts w:ascii="宋体"/>
                <w:sz w:val="24"/>
              </w:rPr>
              <w:t>15%</w:t>
            </w:r>
          </w:p>
        </w:tc>
        <w:tc>
          <w:tcPr>
            <w:tcW w:w="2138" w:type="dxa"/>
            <w:tcBorders>
              <w:top w:val="nil" w:sz="6" w:space="0" w:color="auto"/>
              <w:left w:val="nil" w:sz="6" w:space="0" w:color="auto"/>
              <w:bottom w:val="nil" w:sz="6" w:space="0" w:color="auto"/>
              <w:right w:val="nil" w:sz="6" w:space="0" w:color="auto"/>
            </w:tcBorders>
          </w:tcPr>
          <w:p>
            <w:pPr>
              <w:pStyle w:val="TableParagraph"/>
              <w:spacing w:line="262" w:lineRule="exact"/>
              <w:ind w:right="136"/>
              <w:jc w:val="center"/>
              <w:rPr>
                <w:rFonts w:ascii="宋体" w:hAnsi="宋体" w:cs="宋体" w:eastAsia="宋体" w:hint="default"/>
                <w:sz w:val="24"/>
                <w:szCs w:val="24"/>
              </w:rPr>
            </w:pPr>
            <w:r>
              <w:rPr>
                <w:rFonts w:ascii="宋体" w:hAnsi="宋体" w:cs="宋体" w:eastAsia="宋体" w:hint="default"/>
                <w:sz w:val="24"/>
                <w:szCs w:val="24"/>
              </w:rPr>
              <w:t>高新技术企业</w:t>
            </w:r>
          </w:p>
        </w:tc>
        <w:tc>
          <w:tcPr>
            <w:tcW w:w="1135" w:type="dxa"/>
            <w:tcBorders>
              <w:top w:val="nil" w:sz="6" w:space="0" w:color="auto"/>
              <w:left w:val="nil" w:sz="6" w:space="0" w:color="auto"/>
              <w:bottom w:val="nil" w:sz="6" w:space="0" w:color="auto"/>
              <w:right w:val="nil" w:sz="6" w:space="0" w:color="auto"/>
            </w:tcBorders>
          </w:tcPr>
          <w:p>
            <w:pPr>
              <w:pStyle w:val="TableParagraph"/>
              <w:spacing w:line="262"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2" w:lineRule="exact"/>
              <w:ind w:left="41" w:right="0"/>
              <w:jc w:val="left"/>
              <w:rPr>
                <w:rFonts w:ascii="宋体" w:hAnsi="宋体" w:cs="宋体" w:eastAsia="宋体" w:hint="default"/>
                <w:sz w:val="24"/>
                <w:szCs w:val="24"/>
              </w:rPr>
            </w:pPr>
            <w:r>
              <w:rPr>
                <w:rFonts w:ascii="宋体" w:hAnsi="宋体" w:cs="宋体" w:eastAsia="宋体" w:hint="default"/>
                <w:sz w:val="24"/>
                <w:szCs w:val="24"/>
              </w:rPr>
              <w:t>同方锐安科技有限公司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2" w:lineRule="exact"/>
              <w:ind w:right="152"/>
              <w:jc w:val="center"/>
              <w:rPr>
                <w:rFonts w:ascii="宋体" w:hAnsi="宋体" w:cs="宋体" w:eastAsia="宋体" w:hint="default"/>
                <w:sz w:val="24"/>
                <w:szCs w:val="24"/>
              </w:rPr>
            </w:pPr>
            <w:r>
              <w:rPr>
                <w:rFonts w:ascii="宋体"/>
                <w:sz w:val="24"/>
              </w:rPr>
              <w:t>15%</w:t>
            </w:r>
          </w:p>
        </w:tc>
        <w:tc>
          <w:tcPr>
            <w:tcW w:w="2138" w:type="dxa"/>
            <w:tcBorders>
              <w:top w:val="nil" w:sz="6" w:space="0" w:color="auto"/>
              <w:left w:val="nil" w:sz="6" w:space="0" w:color="auto"/>
              <w:bottom w:val="nil" w:sz="6" w:space="0" w:color="auto"/>
              <w:right w:val="nil" w:sz="6" w:space="0" w:color="auto"/>
            </w:tcBorders>
          </w:tcPr>
          <w:p>
            <w:pPr>
              <w:pStyle w:val="TableParagraph"/>
              <w:spacing w:line="262" w:lineRule="exact"/>
              <w:ind w:right="136"/>
              <w:jc w:val="center"/>
              <w:rPr>
                <w:rFonts w:ascii="宋体" w:hAnsi="宋体" w:cs="宋体" w:eastAsia="宋体" w:hint="default"/>
                <w:sz w:val="24"/>
                <w:szCs w:val="24"/>
              </w:rPr>
            </w:pPr>
            <w:r>
              <w:rPr>
                <w:rFonts w:ascii="宋体" w:hAnsi="宋体" w:cs="宋体" w:eastAsia="宋体" w:hint="default"/>
                <w:sz w:val="24"/>
                <w:szCs w:val="24"/>
              </w:rPr>
              <w:t>高新技术企业</w:t>
            </w:r>
          </w:p>
        </w:tc>
        <w:tc>
          <w:tcPr>
            <w:tcW w:w="1135" w:type="dxa"/>
            <w:tcBorders>
              <w:top w:val="nil" w:sz="6" w:space="0" w:color="auto"/>
              <w:left w:val="nil" w:sz="6" w:space="0" w:color="auto"/>
              <w:bottom w:val="nil" w:sz="6" w:space="0" w:color="auto"/>
              <w:right w:val="nil" w:sz="6" w:space="0" w:color="auto"/>
            </w:tcBorders>
          </w:tcPr>
          <w:p>
            <w:pPr>
              <w:pStyle w:val="TableParagraph"/>
              <w:spacing w:line="262"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2" w:lineRule="exact"/>
              <w:ind w:left="41" w:right="0"/>
              <w:jc w:val="left"/>
              <w:rPr>
                <w:rFonts w:ascii="宋体" w:hAnsi="宋体" w:cs="宋体" w:eastAsia="宋体" w:hint="default"/>
                <w:sz w:val="24"/>
                <w:szCs w:val="24"/>
              </w:rPr>
            </w:pPr>
            <w:r>
              <w:rPr>
                <w:rFonts w:ascii="宋体" w:hAnsi="宋体" w:cs="宋体" w:eastAsia="宋体" w:hint="default"/>
                <w:sz w:val="24"/>
                <w:szCs w:val="24"/>
              </w:rPr>
              <w:t>同方工业有限公司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2" w:lineRule="exact"/>
              <w:ind w:right="152"/>
              <w:jc w:val="center"/>
              <w:rPr>
                <w:rFonts w:ascii="宋体" w:hAnsi="宋体" w:cs="宋体" w:eastAsia="宋体" w:hint="default"/>
                <w:sz w:val="24"/>
                <w:szCs w:val="24"/>
              </w:rPr>
            </w:pPr>
            <w:r>
              <w:rPr>
                <w:rFonts w:ascii="宋体"/>
                <w:sz w:val="24"/>
              </w:rPr>
              <w:t>7.5%</w:t>
            </w:r>
          </w:p>
        </w:tc>
        <w:tc>
          <w:tcPr>
            <w:tcW w:w="2138" w:type="dxa"/>
            <w:tcBorders>
              <w:top w:val="nil" w:sz="6" w:space="0" w:color="auto"/>
              <w:left w:val="nil" w:sz="6" w:space="0" w:color="auto"/>
              <w:bottom w:val="nil" w:sz="6" w:space="0" w:color="auto"/>
              <w:right w:val="nil" w:sz="6" w:space="0" w:color="auto"/>
            </w:tcBorders>
          </w:tcPr>
          <w:p>
            <w:pPr>
              <w:pStyle w:val="TableParagraph"/>
              <w:spacing w:line="262" w:lineRule="exact"/>
              <w:ind w:right="136"/>
              <w:jc w:val="center"/>
              <w:rPr>
                <w:rFonts w:ascii="宋体" w:hAnsi="宋体" w:cs="宋体" w:eastAsia="宋体" w:hint="default"/>
                <w:sz w:val="24"/>
                <w:szCs w:val="24"/>
              </w:rPr>
            </w:pPr>
            <w:r>
              <w:rPr>
                <w:rFonts w:ascii="宋体" w:hAnsi="宋体" w:cs="宋体" w:eastAsia="宋体" w:hint="default"/>
                <w:sz w:val="24"/>
                <w:szCs w:val="24"/>
              </w:rPr>
              <w:t>高新技术企业</w:t>
            </w:r>
          </w:p>
        </w:tc>
        <w:tc>
          <w:tcPr>
            <w:tcW w:w="1135" w:type="dxa"/>
            <w:tcBorders>
              <w:top w:val="nil" w:sz="6" w:space="0" w:color="auto"/>
              <w:left w:val="nil" w:sz="6" w:space="0" w:color="auto"/>
              <w:bottom w:val="nil" w:sz="6" w:space="0" w:color="auto"/>
              <w:right w:val="nil" w:sz="6" w:space="0" w:color="auto"/>
            </w:tcBorders>
          </w:tcPr>
          <w:p>
            <w:pPr>
              <w:pStyle w:val="TableParagraph"/>
              <w:spacing w:line="262"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p>
        </w:tc>
      </w:tr>
      <w:tr>
        <w:trPr>
          <w:trHeight w:val="28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1" w:lineRule="exact"/>
              <w:ind w:left="41" w:right="0"/>
              <w:jc w:val="left"/>
              <w:rPr>
                <w:rFonts w:ascii="宋体" w:hAnsi="宋体" w:cs="宋体" w:eastAsia="宋体" w:hint="default"/>
                <w:sz w:val="24"/>
                <w:szCs w:val="24"/>
              </w:rPr>
            </w:pPr>
            <w:r>
              <w:rPr>
                <w:rFonts w:ascii="宋体" w:hAnsi="宋体" w:cs="宋体" w:eastAsia="宋体" w:hint="default"/>
                <w:sz w:val="24"/>
                <w:szCs w:val="24"/>
              </w:rPr>
              <w:t>同方鼎欣信息技术有限公司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61" w:lineRule="exact"/>
              <w:ind w:right="152"/>
              <w:jc w:val="center"/>
              <w:rPr>
                <w:rFonts w:ascii="宋体" w:hAnsi="宋体" w:cs="宋体" w:eastAsia="宋体" w:hint="default"/>
                <w:sz w:val="24"/>
                <w:szCs w:val="24"/>
              </w:rPr>
            </w:pPr>
            <w:r>
              <w:rPr>
                <w:rFonts w:ascii="宋体"/>
                <w:sz w:val="24"/>
              </w:rPr>
              <w:t>10%</w:t>
            </w:r>
          </w:p>
        </w:tc>
        <w:tc>
          <w:tcPr>
            <w:tcW w:w="2138"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center"/>
              <w:rPr>
                <w:rFonts w:ascii="宋体" w:hAnsi="宋体" w:cs="宋体" w:eastAsia="宋体" w:hint="default"/>
                <w:sz w:val="24"/>
                <w:szCs w:val="24"/>
              </w:rPr>
            </w:pPr>
            <w:r>
              <w:rPr>
                <w:rFonts w:ascii="宋体" w:hAnsi="宋体" w:cs="宋体" w:eastAsia="宋体" w:hint="default"/>
                <w:sz w:val="24"/>
                <w:szCs w:val="24"/>
              </w:rPr>
              <w:t>重点软件企业</w:t>
            </w:r>
          </w:p>
        </w:tc>
        <w:tc>
          <w:tcPr>
            <w:tcW w:w="1135" w:type="dxa"/>
            <w:tcBorders>
              <w:top w:val="nil" w:sz="6" w:space="0" w:color="auto"/>
              <w:left w:val="nil" w:sz="6" w:space="0" w:color="auto"/>
              <w:bottom w:val="nil" w:sz="6" w:space="0" w:color="auto"/>
              <w:right w:val="nil" w:sz="6" w:space="0" w:color="auto"/>
            </w:tcBorders>
          </w:tcPr>
          <w:p>
            <w:pPr>
              <w:pStyle w:val="TableParagraph"/>
              <w:spacing w:line="261"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3</w:t>
            </w:r>
          </w:p>
        </w:tc>
      </w:tr>
      <w:tr>
        <w:trPr>
          <w:trHeight w:val="326" w:hRule="exact"/>
        </w:trPr>
        <w:tc>
          <w:tcPr>
            <w:tcW w:w="4036" w:type="dxa"/>
            <w:tcBorders>
              <w:top w:val="nil" w:sz="6" w:space="0" w:color="auto"/>
              <w:left w:val="nil" w:sz="6" w:space="0" w:color="auto"/>
              <w:bottom w:val="single" w:sz="12" w:space="0" w:color="000000"/>
              <w:right w:val="nil" w:sz="6" w:space="0" w:color="auto"/>
            </w:tcBorders>
          </w:tcPr>
          <w:p>
            <w:pPr>
              <w:pStyle w:val="TableParagraph"/>
              <w:spacing w:line="262" w:lineRule="exact"/>
              <w:ind w:left="41" w:right="0"/>
              <w:jc w:val="left"/>
              <w:rPr>
                <w:rFonts w:ascii="宋体" w:hAnsi="宋体" w:cs="宋体" w:eastAsia="宋体" w:hint="default"/>
                <w:sz w:val="24"/>
                <w:szCs w:val="24"/>
              </w:rPr>
            </w:pPr>
            <w:r>
              <w:rPr>
                <w:rFonts w:ascii="宋体" w:hAnsi="宋体" w:cs="宋体" w:eastAsia="宋体" w:hint="default"/>
                <w:sz w:val="24"/>
                <w:szCs w:val="24"/>
              </w:rPr>
              <w:t>深圳市同方多媒体科技有限公司</w:t>
            </w:r>
          </w:p>
        </w:tc>
        <w:tc>
          <w:tcPr>
            <w:tcW w:w="1329" w:type="dxa"/>
            <w:tcBorders>
              <w:top w:val="nil" w:sz="6" w:space="0" w:color="auto"/>
              <w:left w:val="nil" w:sz="6" w:space="0" w:color="auto"/>
              <w:bottom w:val="single" w:sz="12" w:space="0" w:color="000000"/>
              <w:right w:val="nil" w:sz="6" w:space="0" w:color="auto"/>
            </w:tcBorders>
          </w:tcPr>
          <w:p>
            <w:pPr>
              <w:pStyle w:val="TableParagraph"/>
              <w:spacing w:line="262" w:lineRule="exact"/>
              <w:ind w:right="152"/>
              <w:jc w:val="center"/>
              <w:rPr>
                <w:rFonts w:ascii="宋体" w:hAnsi="宋体" w:cs="宋体" w:eastAsia="宋体" w:hint="default"/>
                <w:sz w:val="24"/>
                <w:szCs w:val="24"/>
              </w:rPr>
            </w:pPr>
            <w:r>
              <w:rPr>
                <w:rFonts w:ascii="宋体"/>
                <w:sz w:val="24"/>
              </w:rPr>
              <w:t>22%</w:t>
            </w:r>
          </w:p>
        </w:tc>
        <w:tc>
          <w:tcPr>
            <w:tcW w:w="2138" w:type="dxa"/>
            <w:tcBorders>
              <w:top w:val="nil" w:sz="6" w:space="0" w:color="auto"/>
              <w:left w:val="nil" w:sz="6" w:space="0" w:color="auto"/>
              <w:bottom w:val="single" w:sz="12" w:space="0" w:color="000000"/>
              <w:right w:val="nil" w:sz="6" w:space="0" w:color="auto"/>
            </w:tcBorders>
          </w:tcPr>
          <w:p>
            <w:pPr>
              <w:pStyle w:val="TableParagraph"/>
              <w:spacing w:line="262" w:lineRule="exact"/>
              <w:ind w:right="136"/>
              <w:jc w:val="center"/>
              <w:rPr>
                <w:rFonts w:ascii="宋体" w:hAnsi="宋体" w:cs="宋体" w:eastAsia="宋体" w:hint="default"/>
                <w:sz w:val="24"/>
                <w:szCs w:val="24"/>
              </w:rPr>
            </w:pPr>
            <w:r>
              <w:rPr>
                <w:rFonts w:ascii="宋体" w:hAnsi="宋体" w:cs="宋体" w:eastAsia="宋体" w:hint="default"/>
                <w:sz w:val="24"/>
                <w:szCs w:val="24"/>
              </w:rPr>
              <w:t>税收优惠过渡期</w:t>
            </w:r>
          </w:p>
        </w:tc>
        <w:tc>
          <w:tcPr>
            <w:tcW w:w="1135" w:type="dxa"/>
            <w:tcBorders>
              <w:top w:val="nil" w:sz="6" w:space="0" w:color="auto"/>
              <w:left w:val="nil" w:sz="6" w:space="0" w:color="auto"/>
              <w:bottom w:val="single" w:sz="12" w:space="0" w:color="000000"/>
              <w:right w:val="nil" w:sz="6" w:space="0" w:color="auto"/>
            </w:tcBorders>
          </w:tcPr>
          <w:p>
            <w:pPr>
              <w:pStyle w:val="TableParagraph"/>
              <w:spacing w:line="262" w:lineRule="exact"/>
              <w:ind w:left="298"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4</w:t>
            </w:r>
          </w:p>
        </w:tc>
      </w:tr>
    </w:tbl>
    <w:p>
      <w:pPr>
        <w:spacing w:before="79"/>
        <w:ind w:left="578" w:right="0" w:firstLine="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10"/>
          <w:w w:val="99"/>
          <w:sz w:val="22"/>
          <w:szCs w:val="22"/>
        </w:rPr>
        <w:t>：</w:t>
      </w:r>
      <w:r>
        <w:rPr>
          <w:rFonts w:ascii="宋体" w:hAnsi="宋体" w:cs="宋体" w:eastAsia="宋体" w:hint="default"/>
          <w:w w:val="99"/>
          <w:sz w:val="22"/>
          <w:szCs w:val="22"/>
        </w:rPr>
        <w:t>公</w:t>
      </w:r>
      <w:r>
        <w:rPr>
          <w:rFonts w:ascii="宋体" w:hAnsi="宋体" w:cs="宋体" w:eastAsia="宋体" w:hint="default"/>
          <w:spacing w:val="1"/>
          <w:w w:val="99"/>
          <w:sz w:val="22"/>
          <w:szCs w:val="22"/>
        </w:rPr>
        <w:t>司</w:t>
      </w:r>
      <w:r>
        <w:rPr>
          <w:rFonts w:ascii="宋体" w:hAnsi="宋体" w:cs="宋体" w:eastAsia="宋体" w:hint="default"/>
          <w:w w:val="99"/>
          <w:sz w:val="22"/>
          <w:szCs w:val="22"/>
        </w:rPr>
        <w:t>为根</w:t>
      </w:r>
      <w:r>
        <w:rPr>
          <w:rFonts w:ascii="宋体" w:hAnsi="宋体" w:cs="宋体" w:eastAsia="宋体" w:hint="default"/>
          <w:spacing w:val="-10"/>
          <w:w w:val="99"/>
          <w:sz w:val="22"/>
          <w:szCs w:val="22"/>
        </w:rPr>
        <w:t>据</w:t>
      </w:r>
      <w:r>
        <w:rPr>
          <w:rFonts w:ascii="宋体" w:hAnsi="宋体" w:cs="宋体" w:eastAsia="宋体" w:hint="default"/>
          <w:spacing w:val="1"/>
          <w:w w:val="99"/>
          <w:sz w:val="22"/>
          <w:szCs w:val="22"/>
        </w:rPr>
        <w:t>《高</w:t>
      </w:r>
      <w:r>
        <w:rPr>
          <w:rFonts w:ascii="宋体" w:hAnsi="宋体" w:cs="宋体" w:eastAsia="宋体" w:hint="default"/>
          <w:w w:val="99"/>
          <w:sz w:val="22"/>
          <w:szCs w:val="22"/>
        </w:rPr>
        <w:t>新技术</w:t>
      </w:r>
      <w:r>
        <w:rPr>
          <w:rFonts w:ascii="宋体" w:hAnsi="宋体" w:cs="宋体" w:eastAsia="宋体" w:hint="default"/>
          <w:spacing w:val="1"/>
          <w:w w:val="99"/>
          <w:sz w:val="22"/>
          <w:szCs w:val="22"/>
        </w:rPr>
        <w:t>企业</w:t>
      </w:r>
      <w:r>
        <w:rPr>
          <w:rFonts w:ascii="宋体" w:hAnsi="宋体" w:cs="宋体" w:eastAsia="宋体" w:hint="default"/>
          <w:w w:val="99"/>
          <w:sz w:val="22"/>
          <w:szCs w:val="22"/>
        </w:rPr>
        <w:t>认定管</w:t>
      </w:r>
      <w:r>
        <w:rPr>
          <w:rFonts w:ascii="宋体" w:hAnsi="宋体" w:cs="宋体" w:eastAsia="宋体" w:hint="default"/>
          <w:spacing w:val="1"/>
          <w:w w:val="99"/>
          <w:sz w:val="22"/>
          <w:szCs w:val="22"/>
        </w:rPr>
        <w:t>理办</w:t>
      </w:r>
      <w:r>
        <w:rPr>
          <w:rFonts w:ascii="宋体" w:hAnsi="宋体" w:cs="宋体" w:eastAsia="宋体" w:hint="default"/>
          <w:w w:val="99"/>
          <w:sz w:val="22"/>
          <w:szCs w:val="22"/>
        </w:rPr>
        <w:t>法</w:t>
      </w:r>
      <w:r>
        <w:rPr>
          <w:rFonts w:ascii="宋体" w:hAnsi="宋体" w:cs="宋体" w:eastAsia="宋体" w:hint="default"/>
          <w:spacing w:val="-120"/>
          <w:w w:val="99"/>
          <w:sz w:val="22"/>
          <w:szCs w:val="22"/>
        </w:rPr>
        <w:t>》</w:t>
      </w:r>
      <w:r>
        <w:rPr>
          <w:rFonts w:ascii="宋体" w:hAnsi="宋体" w:cs="宋体" w:eastAsia="宋体" w:hint="default"/>
          <w:w w:val="99"/>
          <w:sz w:val="22"/>
          <w:szCs w:val="22"/>
        </w:rPr>
        <w:t>（国科发火[2008]172</w:t>
      </w:r>
      <w:r>
        <w:rPr>
          <w:rFonts w:ascii="宋体" w:hAnsi="宋体" w:cs="宋体" w:eastAsia="宋体" w:hint="default"/>
          <w:spacing w:val="-55"/>
          <w:sz w:val="22"/>
          <w:szCs w:val="22"/>
        </w:rPr>
        <w:t> </w:t>
      </w:r>
      <w:r>
        <w:rPr>
          <w:rFonts w:ascii="宋体" w:hAnsi="宋体" w:cs="宋体" w:eastAsia="宋体" w:hint="default"/>
          <w:w w:val="99"/>
          <w:sz w:val="22"/>
          <w:szCs w:val="22"/>
        </w:rPr>
        <w:t>号</w:t>
      </w:r>
      <w:r>
        <w:rPr>
          <w:rFonts w:ascii="宋体" w:hAnsi="宋体" w:cs="宋体" w:eastAsia="宋体" w:hint="default"/>
          <w:spacing w:val="-10"/>
          <w:w w:val="99"/>
          <w:sz w:val="22"/>
          <w:szCs w:val="22"/>
        </w:rPr>
        <w:t>）</w:t>
      </w:r>
      <w:r>
        <w:rPr>
          <w:rFonts w:ascii="宋体" w:hAnsi="宋体" w:cs="宋体" w:eastAsia="宋体" w:hint="default"/>
          <w:w w:val="99"/>
          <w:sz w:val="22"/>
          <w:szCs w:val="22"/>
        </w:rPr>
        <w:t>获得认定的高新</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20" w:firstLine="0"/>
        <w:jc w:val="left"/>
        <w:rPr>
          <w:rFonts w:ascii="宋体" w:hAnsi="宋体" w:cs="宋体" w:eastAsia="宋体" w:hint="default"/>
          <w:sz w:val="22"/>
          <w:szCs w:val="22"/>
        </w:rPr>
      </w:pPr>
      <w:r>
        <w:rPr>
          <w:rFonts w:ascii="宋体" w:hAnsi="宋体" w:cs="宋体" w:eastAsia="宋体" w:hint="default"/>
          <w:sz w:val="22"/>
          <w:szCs w:val="22"/>
        </w:rPr>
        <w:t>技术企业，已获得“高新技术企业证书”并在税务部门办理了备案登记，本年度适用</w:t>
      </w:r>
      <w:r>
        <w:rPr>
          <w:rFonts w:ascii="宋体" w:hAnsi="宋体" w:cs="宋体" w:eastAsia="宋体" w:hint="default"/>
          <w:spacing w:val="-54"/>
          <w:sz w:val="22"/>
          <w:szCs w:val="22"/>
        </w:rPr>
        <w:t> </w:t>
      </w:r>
      <w:r>
        <w:rPr>
          <w:rFonts w:ascii="宋体" w:hAnsi="宋体" w:cs="宋体" w:eastAsia="宋体" w:hint="default"/>
          <w:sz w:val="22"/>
          <w:szCs w:val="22"/>
        </w:rPr>
        <w:t>15%的企业</w:t>
      </w:r>
      <w:r>
        <w:rPr>
          <w:rFonts w:ascii="宋体" w:hAnsi="宋体" w:cs="宋体" w:eastAsia="宋体" w:hint="default"/>
          <w:w w:val="99"/>
          <w:sz w:val="22"/>
          <w:szCs w:val="22"/>
        </w:rPr>
        <w:t> </w:t>
      </w:r>
      <w:r>
        <w:rPr>
          <w:rFonts w:ascii="宋体" w:hAnsi="宋体" w:cs="宋体" w:eastAsia="宋体" w:hint="default"/>
          <w:sz w:val="22"/>
          <w:szCs w:val="22"/>
        </w:rPr>
        <w:t>所得税税率。</w:t>
      </w:r>
    </w:p>
    <w:p>
      <w:pPr>
        <w:spacing w:line="324" w:lineRule="auto" w:before="103"/>
        <w:ind w:left="138" w:right="220"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pacing w:val="-3"/>
          <w:sz w:val="22"/>
          <w:szCs w:val="22"/>
        </w:rPr>
        <w:t>2：同方工业有限公司于</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24</w:t>
      </w:r>
      <w:r>
        <w:rPr>
          <w:rFonts w:ascii="宋体" w:hAnsi="宋体" w:cs="宋体" w:eastAsia="宋体" w:hint="default"/>
          <w:spacing w:val="-56"/>
          <w:sz w:val="22"/>
          <w:szCs w:val="22"/>
        </w:rPr>
        <w:t> </w:t>
      </w:r>
      <w:r>
        <w:rPr>
          <w:rFonts w:ascii="宋体" w:hAnsi="宋体" w:cs="宋体" w:eastAsia="宋体" w:hint="default"/>
          <w:spacing w:val="-4"/>
          <w:sz w:val="22"/>
          <w:szCs w:val="22"/>
        </w:rPr>
        <w:t>日被北京市科学技术委员会、北京市财政局、北</w:t>
      </w:r>
      <w:r>
        <w:rPr>
          <w:rFonts w:ascii="宋体" w:hAnsi="宋体" w:cs="宋体" w:eastAsia="宋体" w:hint="default"/>
          <w:w w:val="99"/>
          <w:sz w:val="22"/>
          <w:szCs w:val="22"/>
        </w:rPr>
        <w:t> </w:t>
      </w:r>
      <w:r>
        <w:rPr>
          <w:rFonts w:ascii="宋体" w:hAnsi="宋体" w:cs="宋体" w:eastAsia="宋体" w:hint="default"/>
          <w:spacing w:val="-3"/>
          <w:sz w:val="22"/>
          <w:szCs w:val="22"/>
        </w:rPr>
        <w:t>京市国家税务局、北京市地方税务局批准认定为高新技术企业，证书编号</w:t>
      </w:r>
      <w:r>
        <w:rPr>
          <w:rFonts w:ascii="宋体" w:hAnsi="宋体" w:cs="宋体" w:eastAsia="宋体" w:hint="default"/>
          <w:spacing w:val="-38"/>
          <w:sz w:val="22"/>
          <w:szCs w:val="22"/>
        </w:rPr>
        <w:t> </w:t>
      </w:r>
      <w:r>
        <w:rPr>
          <w:rFonts w:ascii="宋体" w:hAnsi="宋体" w:cs="宋体" w:eastAsia="宋体" w:hint="default"/>
          <w:spacing w:val="-3"/>
          <w:sz w:val="22"/>
          <w:szCs w:val="22"/>
        </w:rPr>
        <w:t>GR200811002382，适用</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15%的企业所得税税率。根据北京市海淀区国家税务局的批复，根据北京市海淀区国家税务局的</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批复，自</w:t>
      </w:r>
      <w:r>
        <w:rPr>
          <w:rFonts w:ascii="宋体" w:hAnsi="宋体" w:cs="宋体" w:eastAsia="宋体" w:hint="default"/>
          <w:spacing w:val="-56"/>
          <w:sz w:val="22"/>
          <w:szCs w:val="22"/>
        </w:rPr>
        <w:t> </w:t>
      </w:r>
      <w:r>
        <w:rPr>
          <w:rFonts w:ascii="宋体" w:hAnsi="宋体" w:cs="宋体" w:eastAsia="宋体" w:hint="default"/>
          <w:sz w:val="22"/>
          <w:szCs w:val="22"/>
        </w:rPr>
        <w:t>2007</w:t>
      </w:r>
      <w:r>
        <w:rPr>
          <w:rFonts w:ascii="宋体" w:hAnsi="宋体" w:cs="宋体" w:eastAsia="宋体" w:hint="default"/>
          <w:spacing w:val="-55"/>
          <w:sz w:val="22"/>
          <w:szCs w:val="22"/>
        </w:rPr>
        <w:t> </w:t>
      </w:r>
      <w:r>
        <w:rPr>
          <w:rFonts w:ascii="宋体" w:hAnsi="宋体" w:cs="宋体" w:eastAsia="宋体" w:hint="default"/>
          <w:sz w:val="22"/>
          <w:szCs w:val="22"/>
        </w:rPr>
        <w:t>年至</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年免缴企业所得税，2010</w:t>
      </w:r>
      <w:r>
        <w:rPr>
          <w:rFonts w:ascii="宋体" w:hAnsi="宋体" w:cs="宋体" w:eastAsia="宋体" w:hint="default"/>
          <w:spacing w:val="-55"/>
          <w:sz w:val="22"/>
          <w:szCs w:val="22"/>
        </w:rPr>
        <w:t> </w:t>
      </w:r>
      <w:r>
        <w:rPr>
          <w:rFonts w:ascii="宋体" w:hAnsi="宋体" w:cs="宋体" w:eastAsia="宋体" w:hint="default"/>
          <w:sz w:val="22"/>
          <w:szCs w:val="22"/>
        </w:rPr>
        <w:t>年至</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减半缴纳企业所得税，本年度所得</w:t>
      </w:r>
      <w:r>
        <w:rPr>
          <w:rFonts w:ascii="宋体" w:hAnsi="宋体" w:cs="宋体" w:eastAsia="宋体" w:hint="default"/>
          <w:w w:val="99"/>
          <w:sz w:val="22"/>
          <w:szCs w:val="22"/>
        </w:rPr>
        <w:t> </w:t>
      </w:r>
      <w:r>
        <w:rPr>
          <w:rFonts w:ascii="宋体" w:hAnsi="宋体" w:cs="宋体" w:eastAsia="宋体" w:hint="default"/>
          <w:sz w:val="22"/>
          <w:szCs w:val="22"/>
        </w:rPr>
        <w:t>税率为</w:t>
      </w:r>
      <w:r>
        <w:rPr>
          <w:rFonts w:ascii="宋体" w:hAnsi="宋体" w:cs="宋体" w:eastAsia="宋体" w:hint="default"/>
          <w:spacing w:val="-59"/>
          <w:sz w:val="22"/>
          <w:szCs w:val="22"/>
        </w:rPr>
        <w:t> </w:t>
      </w:r>
      <w:r>
        <w:rPr>
          <w:rFonts w:ascii="宋体" w:hAnsi="宋体" w:cs="宋体" w:eastAsia="宋体" w:hint="default"/>
          <w:sz w:val="22"/>
          <w:szCs w:val="22"/>
        </w:rPr>
        <w:t>7.5%。</w:t>
      </w:r>
    </w:p>
    <w:p>
      <w:pPr>
        <w:spacing w:line="324" w:lineRule="auto" w:before="103"/>
        <w:ind w:left="138" w:right="220"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4"/>
          <w:sz w:val="22"/>
          <w:szCs w:val="22"/>
        </w:rPr>
        <w:t> </w:t>
      </w:r>
      <w:r>
        <w:rPr>
          <w:rFonts w:ascii="宋体" w:hAnsi="宋体" w:cs="宋体" w:eastAsia="宋体" w:hint="default"/>
          <w:sz w:val="22"/>
          <w:szCs w:val="22"/>
        </w:rPr>
        <w:t>3：同方鼎欣信息技术有限公司于</w:t>
      </w:r>
      <w:r>
        <w:rPr>
          <w:rFonts w:ascii="宋体" w:hAnsi="宋体" w:cs="宋体" w:eastAsia="宋体" w:hint="default"/>
          <w:spacing w:val="-54"/>
          <w:sz w:val="22"/>
          <w:szCs w:val="22"/>
        </w:rPr>
        <w:t> </w:t>
      </w: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3"/>
          <w:sz w:val="22"/>
          <w:szCs w:val="22"/>
        </w:rPr>
        <w:t> </w:t>
      </w:r>
      <w:r>
        <w:rPr>
          <w:rFonts w:ascii="宋体" w:hAnsi="宋体" w:cs="宋体" w:eastAsia="宋体" w:hint="default"/>
          <w:sz w:val="22"/>
          <w:szCs w:val="22"/>
        </w:rPr>
        <w:t>日被国家发展和改革委员会、工业和信</w:t>
      </w:r>
      <w:r>
        <w:rPr>
          <w:rFonts w:ascii="宋体" w:hAnsi="宋体" w:cs="宋体" w:eastAsia="宋体" w:hint="default"/>
          <w:w w:val="99"/>
          <w:sz w:val="22"/>
          <w:szCs w:val="22"/>
        </w:rPr>
        <w:t> </w:t>
      </w:r>
      <w:r>
        <w:rPr>
          <w:rFonts w:ascii="宋体" w:hAnsi="宋体" w:cs="宋体" w:eastAsia="宋体" w:hint="default"/>
          <w:sz w:val="22"/>
          <w:szCs w:val="22"/>
        </w:rPr>
        <w:t>息化部、商务部、国家税务总局认定为国家规划布局内重点软件企业（发改高技【2011】342</w:t>
      </w:r>
      <w:r>
        <w:rPr>
          <w:rFonts w:ascii="宋体" w:hAnsi="宋体" w:cs="宋体" w:eastAsia="宋体" w:hint="default"/>
          <w:spacing w:val="-53"/>
          <w:sz w:val="22"/>
          <w:szCs w:val="22"/>
        </w:rPr>
        <w:t> </w:t>
      </w:r>
      <w:r>
        <w:rPr>
          <w:rFonts w:ascii="宋体" w:hAnsi="宋体" w:cs="宋体" w:eastAsia="宋体" w:hint="default"/>
          <w:sz w:val="22"/>
          <w:szCs w:val="22"/>
        </w:rPr>
        <w:t>号</w:t>
      </w:r>
      <w:r>
        <w:rPr>
          <w:rFonts w:ascii="宋体" w:hAnsi="宋体" w:cs="宋体" w:eastAsia="宋体" w:hint="default"/>
          <w:w w:val="99"/>
          <w:sz w:val="22"/>
          <w:szCs w:val="22"/>
        </w:rPr>
        <w:t> 文件关于发布</w:t>
      </w:r>
      <w:r>
        <w:rPr>
          <w:rFonts w:ascii="宋体" w:hAnsi="宋体" w:cs="宋体" w:eastAsia="宋体" w:hint="default"/>
          <w:spacing w:val="-55"/>
          <w:w w:val="99"/>
          <w:sz w:val="22"/>
          <w:szCs w:val="22"/>
        </w:rPr>
        <w:t> </w:t>
      </w:r>
      <w:r>
        <w:rPr>
          <w:rFonts w:ascii="宋体" w:hAnsi="宋体" w:cs="宋体" w:eastAsia="宋体" w:hint="default"/>
          <w:w w:val="99"/>
          <w:sz w:val="22"/>
          <w:szCs w:val="22"/>
        </w:rPr>
        <w:t>2010</w:t>
      </w:r>
      <w:r>
        <w:rPr>
          <w:rFonts w:ascii="宋体" w:hAnsi="宋体" w:cs="宋体" w:eastAsia="宋体" w:hint="default"/>
          <w:spacing w:val="-55"/>
          <w:w w:val="99"/>
          <w:sz w:val="22"/>
          <w:szCs w:val="22"/>
        </w:rPr>
        <w:t> </w:t>
      </w:r>
      <w:r>
        <w:rPr>
          <w:rFonts w:ascii="宋体" w:hAnsi="宋体" w:cs="宋体" w:eastAsia="宋体" w:hint="default"/>
          <w:spacing w:val="-9"/>
          <w:w w:val="99"/>
          <w:sz w:val="22"/>
          <w:szCs w:val="22"/>
        </w:rPr>
        <w:t>年度国家规划布局内重点软件企业名单的通知），在</w:t>
      </w:r>
      <w:r>
        <w:rPr>
          <w:rFonts w:ascii="宋体" w:hAnsi="宋体" w:cs="宋体" w:eastAsia="宋体" w:hint="default"/>
          <w:spacing w:val="-54"/>
          <w:w w:val="99"/>
          <w:sz w:val="22"/>
          <w:szCs w:val="22"/>
        </w:rPr>
        <w:t> </w:t>
      </w:r>
      <w:r>
        <w:rPr>
          <w:rFonts w:ascii="宋体" w:hAnsi="宋体" w:cs="宋体" w:eastAsia="宋体" w:hint="default"/>
          <w:w w:val="99"/>
          <w:sz w:val="22"/>
          <w:szCs w:val="22"/>
        </w:rPr>
        <w:t>2010</w:t>
      </w:r>
      <w:r>
        <w:rPr>
          <w:rFonts w:ascii="宋体" w:hAnsi="宋体" w:cs="宋体" w:eastAsia="宋体" w:hint="default"/>
          <w:spacing w:val="-55"/>
          <w:w w:val="99"/>
          <w:sz w:val="22"/>
          <w:szCs w:val="22"/>
        </w:rPr>
        <w:t> </w:t>
      </w:r>
      <w:r>
        <w:rPr>
          <w:rFonts w:ascii="宋体" w:hAnsi="宋体" w:cs="宋体" w:eastAsia="宋体" w:hint="default"/>
          <w:w w:val="99"/>
          <w:sz w:val="22"/>
          <w:szCs w:val="22"/>
        </w:rPr>
        <w:t>年度适用</w:t>
      </w:r>
      <w:r>
        <w:rPr>
          <w:rFonts w:ascii="宋体" w:hAnsi="宋体" w:cs="宋体" w:eastAsia="宋体" w:hint="default"/>
          <w:spacing w:val="-55"/>
          <w:w w:val="99"/>
          <w:sz w:val="22"/>
          <w:szCs w:val="22"/>
        </w:rPr>
        <w:t> </w:t>
      </w:r>
      <w:r>
        <w:rPr>
          <w:rFonts w:ascii="宋体" w:hAnsi="宋体" w:cs="宋体" w:eastAsia="宋体" w:hint="default"/>
          <w:w w:val="99"/>
          <w:sz w:val="22"/>
          <w:szCs w:val="22"/>
        </w:rPr>
        <w:t>10%的企业</w:t>
      </w:r>
      <w:r>
        <w:rPr>
          <w:rFonts w:ascii="宋体" w:hAnsi="宋体" w:cs="宋体" w:eastAsia="宋体" w:hint="default"/>
          <w:w w:val="99"/>
          <w:sz w:val="22"/>
          <w:szCs w:val="22"/>
        </w:rPr>
        <w:t> </w:t>
      </w:r>
      <w:r>
        <w:rPr>
          <w:rFonts w:ascii="宋体" w:hAnsi="宋体" w:cs="宋体" w:eastAsia="宋体" w:hint="default"/>
          <w:sz w:val="22"/>
          <w:szCs w:val="22"/>
        </w:rPr>
        <w:t>所得税税率。</w:t>
      </w:r>
    </w:p>
    <w:p>
      <w:pPr>
        <w:spacing w:line="324" w:lineRule="auto" w:before="103"/>
        <w:ind w:left="138" w:right="110"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2"/>
          <w:w w:val="99"/>
          <w:sz w:val="22"/>
          <w:szCs w:val="22"/>
        </w:rPr>
        <w:t> </w:t>
      </w:r>
      <w:r>
        <w:rPr>
          <w:rFonts w:ascii="宋体" w:hAnsi="宋体" w:cs="宋体" w:eastAsia="宋体" w:hint="default"/>
          <w:spacing w:val="-4"/>
          <w:w w:val="99"/>
          <w:sz w:val="22"/>
          <w:szCs w:val="22"/>
        </w:rPr>
        <w:t>4：根据企业所得税法的规定：自</w:t>
      </w:r>
      <w:r>
        <w:rPr>
          <w:rFonts w:ascii="宋体" w:hAnsi="宋体" w:cs="宋体" w:eastAsia="宋体" w:hint="default"/>
          <w:spacing w:val="-52"/>
          <w:w w:val="99"/>
          <w:sz w:val="22"/>
          <w:szCs w:val="22"/>
        </w:rPr>
        <w:t> </w:t>
      </w:r>
      <w:r>
        <w:rPr>
          <w:rFonts w:ascii="宋体" w:hAnsi="宋体" w:cs="宋体" w:eastAsia="宋体" w:hint="default"/>
          <w:w w:val="99"/>
          <w:sz w:val="22"/>
          <w:szCs w:val="22"/>
        </w:rPr>
        <w:t>2008</w:t>
      </w:r>
      <w:r>
        <w:rPr>
          <w:rFonts w:ascii="宋体" w:hAnsi="宋体" w:cs="宋体" w:eastAsia="宋体" w:hint="default"/>
          <w:spacing w:val="-52"/>
          <w:w w:val="99"/>
          <w:sz w:val="22"/>
          <w:szCs w:val="22"/>
        </w:rPr>
        <w:t> </w:t>
      </w:r>
      <w:r>
        <w:rPr>
          <w:rFonts w:ascii="宋体" w:hAnsi="宋体" w:cs="宋体" w:eastAsia="宋体" w:hint="default"/>
          <w:w w:val="99"/>
          <w:sz w:val="22"/>
          <w:szCs w:val="22"/>
        </w:rPr>
        <w:t>年</w:t>
      </w:r>
      <w:r>
        <w:rPr>
          <w:rFonts w:ascii="宋体" w:hAnsi="宋体" w:cs="宋体" w:eastAsia="宋体" w:hint="default"/>
          <w:spacing w:val="-53"/>
          <w:w w:val="99"/>
          <w:sz w:val="22"/>
          <w:szCs w:val="22"/>
        </w:rPr>
        <w:t> </w:t>
      </w:r>
      <w:r>
        <w:rPr>
          <w:rFonts w:ascii="宋体" w:hAnsi="宋体" w:cs="宋体" w:eastAsia="宋体" w:hint="default"/>
          <w:w w:val="99"/>
          <w:sz w:val="22"/>
          <w:szCs w:val="22"/>
        </w:rPr>
        <w:t>1</w:t>
      </w:r>
      <w:r>
        <w:rPr>
          <w:rFonts w:ascii="宋体" w:hAnsi="宋体" w:cs="宋体" w:eastAsia="宋体" w:hint="default"/>
          <w:spacing w:val="-53"/>
          <w:w w:val="99"/>
          <w:sz w:val="22"/>
          <w:szCs w:val="22"/>
        </w:rPr>
        <w:t> </w:t>
      </w:r>
      <w:r>
        <w:rPr>
          <w:rFonts w:ascii="宋体" w:hAnsi="宋体" w:cs="宋体" w:eastAsia="宋体" w:hint="default"/>
          <w:w w:val="99"/>
          <w:sz w:val="22"/>
          <w:szCs w:val="22"/>
        </w:rPr>
        <w:t>月</w:t>
      </w:r>
      <w:r>
        <w:rPr>
          <w:rFonts w:ascii="宋体" w:hAnsi="宋体" w:cs="宋体" w:eastAsia="宋体" w:hint="default"/>
          <w:spacing w:val="-52"/>
          <w:w w:val="99"/>
          <w:sz w:val="22"/>
          <w:szCs w:val="22"/>
        </w:rPr>
        <w:t> </w:t>
      </w:r>
      <w:r>
        <w:rPr>
          <w:rFonts w:ascii="宋体" w:hAnsi="宋体" w:cs="宋体" w:eastAsia="宋体" w:hint="default"/>
          <w:w w:val="99"/>
          <w:sz w:val="22"/>
          <w:szCs w:val="22"/>
        </w:rPr>
        <w:t>1</w:t>
      </w:r>
      <w:r>
        <w:rPr>
          <w:rFonts w:ascii="宋体" w:hAnsi="宋体" w:cs="宋体" w:eastAsia="宋体" w:hint="default"/>
          <w:spacing w:val="-52"/>
          <w:w w:val="99"/>
          <w:sz w:val="22"/>
          <w:szCs w:val="22"/>
        </w:rPr>
        <w:t> </w:t>
      </w:r>
      <w:r>
        <w:rPr>
          <w:rFonts w:ascii="宋体" w:hAnsi="宋体" w:cs="宋体" w:eastAsia="宋体" w:hint="default"/>
          <w:spacing w:val="-9"/>
          <w:w w:val="99"/>
          <w:sz w:val="22"/>
          <w:szCs w:val="22"/>
        </w:rPr>
        <w:t>日起，原享受企业所得税“两免三减半”、</w:t>
      </w:r>
      <w:r>
        <w:rPr>
          <w:rFonts w:ascii="宋体" w:hAnsi="宋体" w:cs="宋体" w:eastAsia="宋体" w:hint="default"/>
          <w:w w:val="99"/>
          <w:sz w:val="22"/>
          <w:szCs w:val="22"/>
        </w:rPr>
        <w:t> </w:t>
      </w:r>
      <w:r>
        <w:rPr>
          <w:rFonts w:ascii="宋体" w:hAnsi="宋体" w:cs="宋体" w:eastAsia="宋体" w:hint="default"/>
          <w:sz w:val="22"/>
          <w:szCs w:val="22"/>
        </w:rPr>
        <w:t>“五免五减半”等定期减免税优惠的企业，新税法施行后继续按原税收法律、行政法规及相关文</w:t>
      </w:r>
      <w:r>
        <w:rPr>
          <w:rFonts w:ascii="宋体" w:hAnsi="宋体" w:cs="宋体" w:eastAsia="宋体" w:hint="default"/>
          <w:w w:val="99"/>
          <w:sz w:val="22"/>
          <w:szCs w:val="22"/>
        </w:rPr>
        <w:t> </w:t>
      </w:r>
      <w:r>
        <w:rPr>
          <w:rFonts w:ascii="宋体" w:hAnsi="宋体" w:cs="宋体" w:eastAsia="宋体" w:hint="default"/>
          <w:sz w:val="22"/>
          <w:szCs w:val="22"/>
        </w:rPr>
        <w:t>件规定的优惠办法及年限享受至期满为止。但深圳市同方多媒体科技有限公司因未获利而尚未享</w:t>
      </w:r>
      <w:r>
        <w:rPr>
          <w:rFonts w:ascii="宋体" w:hAnsi="宋体" w:cs="宋体" w:eastAsia="宋体" w:hint="default"/>
          <w:w w:val="99"/>
          <w:sz w:val="22"/>
          <w:szCs w:val="22"/>
        </w:rPr>
        <w:t> </w:t>
      </w:r>
      <w:r>
        <w:rPr>
          <w:rFonts w:ascii="宋体" w:hAnsi="宋体" w:cs="宋体" w:eastAsia="宋体" w:hint="default"/>
          <w:sz w:val="22"/>
          <w:szCs w:val="22"/>
        </w:rPr>
        <w:t>受税收优惠，其优惠期限从</w:t>
      </w:r>
      <w:r>
        <w:rPr>
          <w:rFonts w:ascii="宋体" w:hAnsi="宋体" w:cs="宋体" w:eastAsia="宋体" w:hint="default"/>
          <w:spacing w:val="-64"/>
          <w:sz w:val="22"/>
          <w:szCs w:val="22"/>
        </w:rPr>
        <w:t> </w:t>
      </w:r>
      <w:r>
        <w:rPr>
          <w:rFonts w:ascii="宋体" w:hAnsi="宋体" w:cs="宋体" w:eastAsia="宋体" w:hint="default"/>
          <w:sz w:val="22"/>
          <w:szCs w:val="22"/>
        </w:rPr>
        <w:t>2008</w:t>
      </w:r>
      <w:r>
        <w:rPr>
          <w:rFonts w:ascii="宋体" w:hAnsi="宋体" w:cs="宋体" w:eastAsia="宋体" w:hint="default"/>
          <w:spacing w:val="-64"/>
          <w:sz w:val="22"/>
          <w:szCs w:val="22"/>
        </w:rPr>
        <w:t> </w:t>
      </w:r>
      <w:r>
        <w:rPr>
          <w:rFonts w:ascii="宋体" w:hAnsi="宋体" w:cs="宋体" w:eastAsia="宋体" w:hint="default"/>
          <w:sz w:val="22"/>
          <w:szCs w:val="22"/>
        </w:rPr>
        <w:t>年度起计算，2008</w:t>
      </w:r>
      <w:r>
        <w:rPr>
          <w:rFonts w:ascii="宋体" w:hAnsi="宋体" w:cs="宋体" w:eastAsia="宋体" w:hint="default"/>
          <w:spacing w:val="-64"/>
          <w:sz w:val="22"/>
          <w:szCs w:val="22"/>
        </w:rPr>
        <w:t> </w:t>
      </w:r>
      <w:r>
        <w:rPr>
          <w:rFonts w:ascii="宋体" w:hAnsi="宋体" w:cs="宋体" w:eastAsia="宋体" w:hint="default"/>
          <w:sz w:val="22"/>
          <w:szCs w:val="22"/>
        </w:rPr>
        <w:t>年按</w:t>
      </w:r>
      <w:r>
        <w:rPr>
          <w:rFonts w:ascii="宋体" w:hAnsi="宋体" w:cs="宋体" w:eastAsia="宋体" w:hint="default"/>
          <w:spacing w:val="-64"/>
          <w:sz w:val="22"/>
          <w:szCs w:val="22"/>
        </w:rPr>
        <w:t> </w:t>
      </w:r>
      <w:r>
        <w:rPr>
          <w:rFonts w:ascii="宋体" w:hAnsi="宋体" w:cs="宋体" w:eastAsia="宋体" w:hint="default"/>
          <w:sz w:val="22"/>
          <w:szCs w:val="22"/>
        </w:rPr>
        <w:t>18%税率执行，2009</w:t>
      </w:r>
      <w:r>
        <w:rPr>
          <w:rFonts w:ascii="宋体" w:hAnsi="宋体" w:cs="宋体" w:eastAsia="宋体" w:hint="default"/>
          <w:spacing w:val="-64"/>
          <w:sz w:val="22"/>
          <w:szCs w:val="22"/>
        </w:rPr>
        <w:t> </w:t>
      </w:r>
      <w:r>
        <w:rPr>
          <w:rFonts w:ascii="宋体" w:hAnsi="宋体" w:cs="宋体" w:eastAsia="宋体" w:hint="default"/>
          <w:sz w:val="22"/>
          <w:szCs w:val="22"/>
        </w:rPr>
        <w:t>年按</w:t>
      </w:r>
      <w:r>
        <w:rPr>
          <w:rFonts w:ascii="宋体" w:hAnsi="宋体" w:cs="宋体" w:eastAsia="宋体" w:hint="default"/>
          <w:spacing w:val="-64"/>
          <w:sz w:val="22"/>
          <w:szCs w:val="22"/>
        </w:rPr>
        <w:t> </w:t>
      </w:r>
      <w:r>
        <w:rPr>
          <w:rFonts w:ascii="宋体" w:hAnsi="宋体" w:cs="宋体" w:eastAsia="宋体" w:hint="default"/>
          <w:sz w:val="22"/>
          <w:szCs w:val="22"/>
        </w:rPr>
        <w:t>20%税率执行，</w:t>
      </w:r>
      <w:r>
        <w:rPr>
          <w:rFonts w:ascii="宋体" w:hAnsi="宋体" w:cs="宋体" w:eastAsia="宋体" w:hint="default"/>
          <w:w w:val="99"/>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年按</w:t>
      </w:r>
      <w:r>
        <w:rPr>
          <w:rFonts w:ascii="宋体" w:hAnsi="宋体" w:cs="宋体" w:eastAsia="宋体" w:hint="default"/>
          <w:spacing w:val="-57"/>
          <w:sz w:val="22"/>
          <w:szCs w:val="22"/>
        </w:rPr>
        <w:t> </w:t>
      </w:r>
      <w:r>
        <w:rPr>
          <w:rFonts w:ascii="宋体" w:hAnsi="宋体" w:cs="宋体" w:eastAsia="宋体" w:hint="default"/>
          <w:sz w:val="22"/>
          <w:szCs w:val="22"/>
        </w:rPr>
        <w:t>22%税率执行，2011</w:t>
      </w:r>
      <w:r>
        <w:rPr>
          <w:rFonts w:ascii="宋体" w:hAnsi="宋体" w:cs="宋体" w:eastAsia="宋体" w:hint="default"/>
          <w:spacing w:val="-57"/>
          <w:sz w:val="22"/>
          <w:szCs w:val="22"/>
        </w:rPr>
        <w:t> </w:t>
      </w:r>
      <w:r>
        <w:rPr>
          <w:rFonts w:ascii="宋体" w:hAnsi="宋体" w:cs="宋体" w:eastAsia="宋体" w:hint="default"/>
          <w:sz w:val="22"/>
          <w:szCs w:val="22"/>
        </w:rPr>
        <w:t>年按</w:t>
      </w:r>
      <w:r>
        <w:rPr>
          <w:rFonts w:ascii="宋体" w:hAnsi="宋体" w:cs="宋体" w:eastAsia="宋体" w:hint="default"/>
          <w:spacing w:val="-57"/>
          <w:sz w:val="22"/>
          <w:szCs w:val="22"/>
        </w:rPr>
        <w:t> </w:t>
      </w:r>
      <w:r>
        <w:rPr>
          <w:rFonts w:ascii="宋体" w:hAnsi="宋体" w:cs="宋体" w:eastAsia="宋体" w:hint="default"/>
          <w:sz w:val="22"/>
          <w:szCs w:val="22"/>
        </w:rPr>
        <w:t>24%税率执行，2012</w:t>
      </w:r>
      <w:r>
        <w:rPr>
          <w:rFonts w:ascii="宋体" w:hAnsi="宋体" w:cs="宋体" w:eastAsia="宋体" w:hint="default"/>
          <w:spacing w:val="-57"/>
          <w:sz w:val="22"/>
          <w:szCs w:val="22"/>
        </w:rPr>
        <w:t> </w:t>
      </w:r>
      <w:r>
        <w:rPr>
          <w:rFonts w:ascii="宋体" w:hAnsi="宋体" w:cs="宋体" w:eastAsia="宋体" w:hint="default"/>
          <w:sz w:val="22"/>
          <w:szCs w:val="22"/>
        </w:rPr>
        <w:t>年按</w:t>
      </w:r>
      <w:r>
        <w:rPr>
          <w:rFonts w:ascii="宋体" w:hAnsi="宋体" w:cs="宋体" w:eastAsia="宋体" w:hint="default"/>
          <w:spacing w:val="-57"/>
          <w:sz w:val="22"/>
          <w:szCs w:val="22"/>
        </w:rPr>
        <w:t> </w:t>
      </w:r>
      <w:r>
        <w:rPr>
          <w:rFonts w:ascii="宋体" w:hAnsi="宋体" w:cs="宋体" w:eastAsia="宋体" w:hint="default"/>
          <w:sz w:val="22"/>
          <w:szCs w:val="22"/>
        </w:rPr>
        <w:t>25%税率执行。</w:t>
      </w:r>
    </w:p>
    <w:p>
      <w:pPr>
        <w:spacing w:before="103"/>
        <w:ind w:left="592" w:right="213"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
          <w:sz w:val="22"/>
          <w:szCs w:val="22"/>
        </w:rPr>
        <w:t> </w:t>
      </w:r>
      <w:r>
        <w:rPr>
          <w:rFonts w:ascii="宋体" w:hAnsi="宋体" w:cs="宋体" w:eastAsia="宋体" w:hint="default"/>
          <w:sz w:val="22"/>
          <w:szCs w:val="22"/>
        </w:rPr>
        <w:t>本公司</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9"/>
          <w:sz w:val="22"/>
          <w:szCs w:val="22"/>
        </w:rPr>
        <w:t> </w:t>
      </w:r>
      <w:r>
        <w:rPr>
          <w:rFonts w:ascii="宋体" w:hAnsi="宋体" w:cs="宋体" w:eastAsia="宋体" w:hint="default"/>
          <w:sz w:val="22"/>
          <w:szCs w:val="22"/>
        </w:rPr>
        <w:t>年度境外子公司所得税税率列示如下：</w:t>
      </w:r>
    </w:p>
    <w:p>
      <w:pPr>
        <w:spacing w:line="240" w:lineRule="auto" w:before="8"/>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6335"/>
        <w:gridCol w:w="2303"/>
      </w:tblGrid>
      <w:tr>
        <w:trPr>
          <w:trHeight w:val="303" w:hRule="exact"/>
        </w:trPr>
        <w:tc>
          <w:tcPr>
            <w:tcW w:w="633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0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257" w:hRule="exact"/>
        </w:trPr>
        <w:tc>
          <w:tcPr>
            <w:tcW w:w="6335" w:type="dxa"/>
            <w:tcBorders>
              <w:top w:val="single" w:sz="4" w:space="0" w:color="000000"/>
              <w:left w:val="nil" w:sz="6" w:space="0" w:color="auto"/>
              <w:bottom w:val="nil" w:sz="6" w:space="0" w:color="auto"/>
              <w:right w:val="nil" w:sz="6" w:space="0" w:color="auto"/>
            </w:tcBorders>
          </w:tcPr>
          <w:p>
            <w:pPr>
              <w:pStyle w:val="TableParagraph"/>
              <w:spacing w:line="226" w:lineRule="exact"/>
              <w:ind w:left="41" w:right="0"/>
              <w:jc w:val="left"/>
              <w:rPr>
                <w:rFonts w:ascii="宋体" w:hAnsi="宋体" w:cs="宋体" w:eastAsia="宋体" w:hint="default"/>
                <w:sz w:val="18"/>
                <w:szCs w:val="18"/>
              </w:rPr>
            </w:pPr>
            <w:r>
              <w:rPr>
                <w:rFonts w:ascii="宋体"/>
                <w:sz w:val="18"/>
              </w:rPr>
              <w:t>Resuccess Investments Ltd.</w:t>
            </w:r>
          </w:p>
        </w:tc>
        <w:tc>
          <w:tcPr>
            <w:tcW w:w="2303" w:type="dxa"/>
            <w:tcBorders>
              <w:top w:val="single" w:sz="4" w:space="0" w:color="000000"/>
              <w:left w:val="nil" w:sz="6" w:space="0" w:color="auto"/>
              <w:bottom w:val="single" w:sz="6" w:space="0" w:color="000000"/>
              <w:right w:val="nil" w:sz="6" w:space="0" w:color="auto"/>
            </w:tcBorders>
          </w:tcPr>
          <w:p>
            <w:pPr>
              <w:pStyle w:val="TableParagraph"/>
              <w:spacing w:line="210" w:lineRule="exact"/>
              <w:ind w:right="5"/>
              <w:jc w:val="center"/>
              <w:rPr>
                <w:rFonts w:ascii="宋体" w:hAnsi="宋体" w:cs="宋体" w:eastAsia="宋体" w:hint="default"/>
                <w:sz w:val="18"/>
                <w:szCs w:val="18"/>
              </w:rPr>
            </w:pPr>
            <w:r>
              <w:rPr>
                <w:rFonts w:ascii="宋体"/>
                <w:sz w:val="18"/>
              </w:rPr>
              <w:t>0%</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Technovator Int Private Ltd.</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17%</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16.5%</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THTF U.S.A. Inc.</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31%</w:t>
            </w:r>
          </w:p>
        </w:tc>
      </w:tr>
      <w:tr>
        <w:trPr>
          <w:trHeight w:val="329" w:hRule="exact"/>
        </w:trPr>
        <w:tc>
          <w:tcPr>
            <w:tcW w:w="6335"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TongFang Asia Pacific (R&amp;D Center) Pte Ltd.</w:t>
            </w:r>
          </w:p>
        </w:tc>
        <w:tc>
          <w:tcPr>
            <w:tcW w:w="2303"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2"/>
              <w:jc w:val="center"/>
              <w:rPr>
                <w:rFonts w:ascii="宋体" w:hAnsi="宋体" w:cs="宋体" w:eastAsia="宋体" w:hint="default"/>
                <w:sz w:val="18"/>
                <w:szCs w:val="18"/>
              </w:rPr>
            </w:pPr>
            <w:r>
              <w:rPr>
                <w:rFonts w:ascii="宋体"/>
                <w:sz w:val="18"/>
              </w:rPr>
              <w:t>17%</w:t>
            </w:r>
          </w:p>
        </w:tc>
      </w:tr>
    </w:tbl>
    <w:p>
      <w:pPr>
        <w:spacing w:line="369" w:lineRule="auto" w:before="79"/>
        <w:ind w:left="578" w:right="24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增值税</w:t>
      </w:r>
      <w:r>
        <w:rPr>
          <w:rFonts w:ascii="宋体" w:hAnsi="宋体" w:cs="宋体" w:eastAsia="宋体" w:hint="default"/>
          <w:w w:val="99"/>
          <w:sz w:val="22"/>
          <w:szCs w:val="22"/>
        </w:rPr>
        <w:t> </w:t>
      </w:r>
      <w:r>
        <w:rPr>
          <w:rFonts w:ascii="宋体" w:hAnsi="宋体" w:cs="宋体" w:eastAsia="宋体" w:hint="default"/>
          <w:sz w:val="22"/>
          <w:szCs w:val="22"/>
        </w:rPr>
        <w:t>本公司商品销售收入适用增值税。其中：内销商品销项税率为</w:t>
      </w:r>
      <w:r>
        <w:rPr>
          <w:rFonts w:ascii="宋体" w:hAnsi="宋体" w:cs="宋体" w:eastAsia="宋体" w:hint="default"/>
          <w:spacing w:val="-67"/>
          <w:sz w:val="22"/>
          <w:szCs w:val="22"/>
        </w:rPr>
        <w:t> </w:t>
      </w:r>
      <w:r>
        <w:rPr>
          <w:rFonts w:ascii="宋体" w:hAnsi="宋体" w:cs="宋体" w:eastAsia="宋体" w:hint="default"/>
          <w:sz w:val="22"/>
          <w:szCs w:val="22"/>
        </w:rPr>
        <w:t>17%。</w:t>
      </w:r>
    </w:p>
    <w:p>
      <w:pPr>
        <w:spacing w:line="324" w:lineRule="auto" w:before="61"/>
        <w:ind w:left="138" w:right="210" w:firstLine="440"/>
        <w:jc w:val="left"/>
        <w:rPr>
          <w:rFonts w:ascii="宋体" w:hAnsi="宋体" w:cs="宋体" w:eastAsia="宋体" w:hint="default"/>
          <w:sz w:val="22"/>
          <w:szCs w:val="22"/>
        </w:rPr>
      </w:pPr>
      <w:r>
        <w:rPr>
          <w:rFonts w:ascii="宋体" w:hAnsi="宋体" w:cs="宋体" w:eastAsia="宋体" w:hint="default"/>
          <w:sz w:val="22"/>
          <w:szCs w:val="22"/>
        </w:rPr>
        <w:t>购买原材料等所支付的增值税进项税额可以抵扣销项税，税率为</w:t>
      </w:r>
      <w:r>
        <w:rPr>
          <w:rFonts w:ascii="宋体" w:hAnsi="宋体" w:cs="宋体" w:eastAsia="宋体" w:hint="default"/>
          <w:spacing w:val="-44"/>
          <w:sz w:val="22"/>
          <w:szCs w:val="22"/>
        </w:rPr>
        <w:t> </w:t>
      </w:r>
      <w:r>
        <w:rPr>
          <w:rFonts w:ascii="宋体" w:hAnsi="宋体" w:cs="宋体" w:eastAsia="宋体" w:hint="default"/>
          <w:sz w:val="22"/>
          <w:szCs w:val="22"/>
        </w:rPr>
        <w:t>17%。其中：为出口产品而</w:t>
      </w:r>
      <w:r>
        <w:rPr>
          <w:rFonts w:ascii="宋体" w:hAnsi="宋体" w:cs="宋体" w:eastAsia="宋体" w:hint="default"/>
          <w:w w:val="99"/>
          <w:sz w:val="22"/>
          <w:szCs w:val="22"/>
        </w:rPr>
        <w:t> </w:t>
      </w:r>
      <w:r>
        <w:rPr>
          <w:rFonts w:ascii="宋体" w:hAnsi="宋体" w:cs="宋体" w:eastAsia="宋体" w:hint="default"/>
          <w:sz w:val="22"/>
          <w:szCs w:val="22"/>
        </w:rPr>
        <w:t>支付的进项税可以申请退税。</w:t>
      </w:r>
    </w:p>
    <w:p>
      <w:pPr>
        <w:spacing w:before="103"/>
        <w:ind w:left="578" w:right="213" w:firstLine="0"/>
        <w:jc w:val="left"/>
        <w:rPr>
          <w:rFonts w:ascii="宋体" w:hAnsi="宋体" w:cs="宋体" w:eastAsia="宋体" w:hint="default"/>
          <w:sz w:val="22"/>
          <w:szCs w:val="22"/>
        </w:rPr>
      </w:pPr>
      <w:r>
        <w:rPr>
          <w:rFonts w:ascii="宋体" w:hAnsi="宋体" w:cs="宋体" w:eastAsia="宋体" w:hint="default"/>
          <w:sz w:val="22"/>
          <w:szCs w:val="22"/>
        </w:rPr>
        <w:t>增值税应纳税额为当期销项税抵减当期进项税后的余额。</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r>
        <w:rPr/>
        <w:pict>
          <v:group style="position:absolute;margin-left:22.23pt;margin-top:758.159973pt;width:556.65pt;height:1.5pt;mso-position-horizontal-relative:page;mso-position-vertical-relative:page;z-index:-1049176" coordorigin="445,15163" coordsize="11133,30">
            <v:group style="position:absolute;left:460;top:15178;width:3671;height:2" coordorigin="460,15178" coordsize="3671,2">
              <v:shape style="position:absolute;left:460;top:15178;width:3671;height:2" coordorigin="460,15178" coordsize="3671,0" path="m460,15178l4130,15178e" filled="false" stroked="true" strokeweight="1.5pt" strokecolor="#000000">
                <v:path arrowok="t"/>
              </v:shape>
            </v:group>
            <v:group style="position:absolute;left:4116;top:15178;width:454;height:2" coordorigin="4116,15178" coordsize="454,2">
              <v:shape style="position:absolute;left:4116;top:15178;width:454;height:2" coordorigin="4116,15178" coordsize="454,0" path="m4116,15178l4570,15178e" filled="false" stroked="true" strokeweight="1.5pt" strokecolor="#000000">
                <v:path arrowok="t"/>
              </v:shape>
            </v:group>
            <v:group style="position:absolute;left:4555;top:15178;width:1208;height:2" coordorigin="4555,15178" coordsize="1208,2">
              <v:shape style="position:absolute;left:4555;top:15178;width:1208;height:2" coordorigin="4555,15178" coordsize="1208,0" path="m4555,15178l5762,15178e" filled="false" stroked="true" strokeweight="1.5pt" strokecolor="#000000">
                <v:path arrowok="t"/>
              </v:shape>
            </v:group>
            <v:group style="position:absolute;left:5748;top:15178;width:722;height:2" coordorigin="5748,15178" coordsize="722,2">
              <v:shape style="position:absolute;left:5748;top:15178;width:722;height:2" coordorigin="5748,15178" coordsize="722,0" path="m5748,15178l6469,15178e" filled="false" stroked="true" strokeweight="1.5pt" strokecolor="#000000">
                <v:path arrowok="t"/>
              </v:shape>
            </v:group>
            <v:group style="position:absolute;left:6455;top:15178;width:963;height:2" coordorigin="6455,15178" coordsize="963,2">
              <v:shape style="position:absolute;left:6455;top:15178;width:963;height:2" coordorigin="6455,15178" coordsize="963,0" path="m6455,15178l7417,15178e" filled="false" stroked="true" strokeweight="1.5pt" strokecolor="#000000">
                <v:path arrowok="t"/>
              </v:shape>
            </v:group>
            <v:group style="position:absolute;left:7403;top:15178;width:30;height:2" coordorigin="7403,15178" coordsize="30,2">
              <v:shape style="position:absolute;left:7403;top:15178;width:30;height:2" coordorigin="7403,15178" coordsize="30,0" path="m7403,15178l7433,15178e" filled="false" stroked="true" strokeweight="1.5pt" strokecolor="#000000">
                <v:path arrowok="t"/>
              </v:shape>
            </v:group>
            <v:group style="position:absolute;left:7433;top:15178;width:3842;height:2" coordorigin="7433,15178" coordsize="3842,2">
              <v:shape style="position:absolute;left:7433;top:15178;width:3842;height:2" coordorigin="7433,15178" coordsize="3842,0" path="m7433,15178l11274,15178e" filled="false" stroked="true" strokeweight="1.5pt" strokecolor="#000000">
                <v:path arrowok="t"/>
              </v:shape>
            </v:group>
            <v:group style="position:absolute;left:11260;top:15178;width:303;height:2" coordorigin="11260,15178" coordsize="303,2">
              <v:shape style="position:absolute;left:11260;top:15178;width:303;height:2" coordorigin="11260,15178" coordsize="303,0" path="m11260,15178l11562,15178e" filled="false" stroked="true" strokeweight="1.5pt" strokecolor="#000000">
                <v:path arrowok="t"/>
              </v:shape>
            </v:group>
            <w10:wrap type="none"/>
          </v:group>
        </w:pict>
      </w:r>
    </w:p>
    <w:p>
      <w:pPr>
        <w:spacing w:line="240" w:lineRule="auto" w:before="4"/>
        <w:rPr>
          <w:rFonts w:ascii="宋体" w:hAnsi="宋体" w:cs="宋体" w:eastAsia="宋体" w:hint="default"/>
          <w:sz w:val="25"/>
          <w:szCs w:val="25"/>
        </w:rPr>
      </w:pPr>
    </w:p>
    <w:p>
      <w:pPr>
        <w:spacing w:before="31"/>
        <w:ind w:left="1532" w:right="13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营业税</w:t>
      </w:r>
    </w:p>
    <w:p>
      <w:pPr>
        <w:spacing w:line="391" w:lineRule="auto" w:before="162"/>
        <w:ind w:left="1518" w:right="1394" w:firstLine="0"/>
        <w:jc w:val="left"/>
        <w:rPr>
          <w:rFonts w:ascii="宋体" w:hAnsi="宋体" w:cs="宋体" w:eastAsia="宋体" w:hint="default"/>
          <w:sz w:val="22"/>
          <w:szCs w:val="22"/>
        </w:rPr>
      </w:pPr>
      <w:r>
        <w:rPr>
          <w:rFonts w:ascii="宋体" w:hAnsi="宋体" w:cs="宋体" w:eastAsia="宋体" w:hint="default"/>
          <w:sz w:val="22"/>
          <w:szCs w:val="22"/>
        </w:rPr>
        <w:t>本公司的工程收入按应税收入的</w:t>
      </w:r>
      <w:r>
        <w:rPr>
          <w:rFonts w:ascii="宋体" w:hAnsi="宋体" w:cs="宋体" w:eastAsia="宋体" w:hint="default"/>
          <w:spacing w:val="-56"/>
          <w:sz w:val="22"/>
          <w:szCs w:val="22"/>
        </w:rPr>
        <w:t> </w:t>
      </w:r>
      <w:r>
        <w:rPr>
          <w:rFonts w:ascii="宋体" w:hAnsi="宋体" w:cs="宋体" w:eastAsia="宋体" w:hint="default"/>
          <w:sz w:val="22"/>
          <w:szCs w:val="22"/>
        </w:rPr>
        <w:t>3%计缴营业税；</w:t>
      </w:r>
      <w:r>
        <w:rPr>
          <w:rFonts w:ascii="宋体" w:hAnsi="宋体" w:cs="宋体" w:eastAsia="宋体" w:hint="default"/>
          <w:w w:val="99"/>
          <w:sz w:val="22"/>
          <w:szCs w:val="22"/>
        </w:rPr>
        <w:t> </w:t>
      </w:r>
      <w:r>
        <w:rPr>
          <w:rFonts w:ascii="宋体" w:hAnsi="宋体" w:cs="宋体" w:eastAsia="宋体" w:hint="default"/>
          <w:sz w:val="22"/>
          <w:szCs w:val="22"/>
        </w:rPr>
        <w:t>本公司的软件开发、网络数据信息加工与服务收入按应税收入的</w:t>
      </w:r>
      <w:r>
        <w:rPr>
          <w:rFonts w:ascii="宋体" w:hAnsi="宋体" w:cs="宋体" w:eastAsia="宋体" w:hint="default"/>
          <w:spacing w:val="-56"/>
          <w:sz w:val="22"/>
          <w:szCs w:val="22"/>
        </w:rPr>
        <w:t> </w:t>
      </w:r>
      <w:r>
        <w:rPr>
          <w:rFonts w:ascii="宋体" w:hAnsi="宋体" w:cs="宋体" w:eastAsia="宋体" w:hint="default"/>
          <w:sz w:val="22"/>
          <w:szCs w:val="22"/>
        </w:rPr>
        <w:t>5%计缴营业税；</w:t>
      </w:r>
      <w:r>
        <w:rPr>
          <w:rFonts w:ascii="宋体" w:hAnsi="宋体" w:cs="宋体" w:eastAsia="宋体" w:hint="default"/>
          <w:w w:val="99"/>
          <w:sz w:val="22"/>
          <w:szCs w:val="22"/>
        </w:rPr>
        <w:t> </w:t>
      </w:r>
      <w:r>
        <w:rPr>
          <w:rFonts w:ascii="宋体" w:hAnsi="宋体" w:cs="宋体" w:eastAsia="宋体" w:hint="default"/>
          <w:sz w:val="22"/>
          <w:szCs w:val="22"/>
        </w:rPr>
        <w:t>本公司的技术开发、技术转让、技术咨询、技术培训收入按应税收入的</w:t>
      </w:r>
      <w:r>
        <w:rPr>
          <w:rFonts w:ascii="宋体" w:hAnsi="宋体" w:cs="宋体" w:eastAsia="宋体" w:hint="default"/>
          <w:spacing w:val="-58"/>
          <w:sz w:val="22"/>
          <w:szCs w:val="22"/>
        </w:rPr>
        <w:t> </w:t>
      </w:r>
      <w:r>
        <w:rPr>
          <w:rFonts w:ascii="宋体" w:hAnsi="宋体" w:cs="宋体" w:eastAsia="宋体" w:hint="default"/>
          <w:sz w:val="22"/>
          <w:szCs w:val="22"/>
        </w:rPr>
        <w:t>5%计缴营业税；</w:t>
      </w:r>
      <w:r>
        <w:rPr>
          <w:rFonts w:ascii="宋体" w:hAnsi="宋体" w:cs="宋体" w:eastAsia="宋体" w:hint="default"/>
          <w:w w:val="99"/>
          <w:sz w:val="22"/>
          <w:szCs w:val="22"/>
        </w:rPr>
        <w:t> </w:t>
      </w:r>
      <w:r>
        <w:rPr>
          <w:rFonts w:ascii="宋体" w:hAnsi="宋体" w:cs="宋体" w:eastAsia="宋体" w:hint="default"/>
          <w:sz w:val="22"/>
          <w:szCs w:val="22"/>
        </w:rPr>
        <w:t>本公司的房屋租赁收入按应税收入的</w:t>
      </w:r>
      <w:r>
        <w:rPr>
          <w:rFonts w:ascii="宋体" w:hAnsi="宋体" w:cs="宋体" w:eastAsia="宋体" w:hint="default"/>
          <w:spacing w:val="-59"/>
          <w:sz w:val="22"/>
          <w:szCs w:val="22"/>
        </w:rPr>
        <w:t> </w:t>
      </w:r>
      <w:r>
        <w:rPr>
          <w:rFonts w:ascii="宋体" w:hAnsi="宋体" w:cs="宋体" w:eastAsia="宋体" w:hint="default"/>
          <w:sz w:val="22"/>
          <w:szCs w:val="22"/>
        </w:rPr>
        <w:t>5%计缴营业税。</w:t>
      </w:r>
    </w:p>
    <w:p>
      <w:pPr>
        <w:spacing w:line="369" w:lineRule="auto" w:before="41"/>
        <w:ind w:left="1518" w:right="1054"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城建税及教育费附加</w:t>
      </w:r>
      <w:r>
        <w:rPr>
          <w:rFonts w:ascii="宋体" w:hAnsi="宋体" w:cs="宋体" w:eastAsia="宋体" w:hint="default"/>
          <w:w w:val="99"/>
          <w:sz w:val="22"/>
          <w:szCs w:val="22"/>
        </w:rPr>
        <w:t> </w:t>
      </w:r>
      <w:r>
        <w:rPr>
          <w:rFonts w:ascii="宋体" w:hAnsi="宋体" w:cs="宋体" w:eastAsia="宋体" w:hint="default"/>
          <w:spacing w:val="-2"/>
          <w:sz w:val="22"/>
          <w:szCs w:val="22"/>
        </w:rPr>
        <w:t>本公司城建税、教育费附加均以应纳增值税、营业税额为计税依据，适用税率分别为</w:t>
      </w:r>
      <w:r>
        <w:rPr>
          <w:rFonts w:ascii="宋体" w:hAnsi="宋体" w:cs="宋体" w:eastAsia="宋体" w:hint="default"/>
          <w:spacing w:val="-59"/>
          <w:sz w:val="22"/>
          <w:szCs w:val="22"/>
        </w:rPr>
        <w:t> </w:t>
      </w:r>
      <w:r>
        <w:rPr>
          <w:rFonts w:ascii="宋体" w:hAnsi="宋体" w:cs="宋体" w:eastAsia="宋体" w:hint="default"/>
          <w:spacing w:val="-5"/>
          <w:sz w:val="22"/>
          <w:szCs w:val="22"/>
        </w:rPr>
        <w:t>7%、5%</w:t>
      </w:r>
    </w:p>
    <w:p>
      <w:pPr>
        <w:spacing w:line="271" w:lineRule="exact" w:before="0"/>
        <w:ind w:left="1078" w:right="1394" w:firstLine="0"/>
        <w:jc w:val="left"/>
        <w:rPr>
          <w:rFonts w:ascii="宋体" w:hAnsi="宋体" w:cs="宋体" w:eastAsia="宋体" w:hint="default"/>
          <w:sz w:val="22"/>
          <w:szCs w:val="22"/>
        </w:rPr>
      </w:pPr>
      <w:r>
        <w:rPr>
          <w:rFonts w:ascii="宋体" w:hAnsi="宋体" w:cs="宋体" w:eastAsia="宋体" w:hint="default"/>
          <w:sz w:val="22"/>
          <w:szCs w:val="22"/>
        </w:rPr>
        <w:t>和</w:t>
      </w:r>
      <w:r>
        <w:rPr>
          <w:rFonts w:ascii="宋体" w:hAnsi="宋体" w:cs="宋体" w:eastAsia="宋体" w:hint="default"/>
          <w:spacing w:val="-57"/>
          <w:sz w:val="22"/>
          <w:szCs w:val="22"/>
        </w:rPr>
        <w:t> </w:t>
      </w:r>
      <w:r>
        <w:rPr>
          <w:rFonts w:ascii="宋体" w:hAnsi="宋体" w:cs="宋体" w:eastAsia="宋体" w:hint="default"/>
          <w:sz w:val="22"/>
          <w:szCs w:val="22"/>
        </w:rPr>
        <w:t>3%。</w:t>
      </w:r>
    </w:p>
    <w:p>
      <w:pPr>
        <w:spacing w:before="180"/>
        <w:ind w:left="1531" w:right="13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房产税</w:t>
      </w:r>
    </w:p>
    <w:p>
      <w:pPr>
        <w:spacing w:line="391" w:lineRule="auto" w:before="163"/>
        <w:ind w:left="1518" w:right="2780" w:firstLine="0"/>
        <w:jc w:val="left"/>
        <w:rPr>
          <w:rFonts w:ascii="宋体" w:hAnsi="宋体" w:cs="宋体" w:eastAsia="宋体" w:hint="default"/>
          <w:sz w:val="22"/>
          <w:szCs w:val="22"/>
        </w:rPr>
      </w:pPr>
      <w:r>
        <w:rPr>
          <w:rFonts w:ascii="宋体" w:hAnsi="宋体" w:cs="宋体" w:eastAsia="宋体" w:hint="default"/>
          <w:sz w:val="22"/>
          <w:szCs w:val="22"/>
        </w:rPr>
        <w:t>公司自用房产以房产原值的</w:t>
      </w:r>
      <w:r>
        <w:rPr>
          <w:rFonts w:ascii="宋体" w:hAnsi="宋体" w:cs="宋体" w:eastAsia="宋体" w:hint="default"/>
          <w:spacing w:val="-62"/>
          <w:sz w:val="22"/>
          <w:szCs w:val="22"/>
        </w:rPr>
        <w:t> </w:t>
      </w:r>
      <w:r>
        <w:rPr>
          <w:rFonts w:ascii="宋体" w:hAnsi="宋体" w:cs="宋体" w:eastAsia="宋体" w:hint="default"/>
          <w:sz w:val="22"/>
          <w:szCs w:val="22"/>
        </w:rPr>
        <w:t>70%为计税依据，按</w:t>
      </w:r>
      <w:r>
        <w:rPr>
          <w:rFonts w:ascii="宋体" w:hAnsi="宋体" w:cs="宋体" w:eastAsia="宋体" w:hint="default"/>
          <w:spacing w:val="-62"/>
          <w:sz w:val="22"/>
          <w:szCs w:val="22"/>
        </w:rPr>
        <w:t> </w:t>
      </w:r>
      <w:r>
        <w:rPr>
          <w:rFonts w:ascii="宋体" w:hAnsi="宋体" w:cs="宋体" w:eastAsia="宋体" w:hint="default"/>
          <w:sz w:val="22"/>
          <w:szCs w:val="22"/>
        </w:rPr>
        <w:t>1.2%的税率计缴房产税。</w:t>
      </w:r>
      <w:r>
        <w:rPr>
          <w:rFonts w:ascii="宋体" w:hAnsi="宋体" w:cs="宋体" w:eastAsia="宋体" w:hint="default"/>
          <w:w w:val="99"/>
          <w:sz w:val="22"/>
          <w:szCs w:val="22"/>
        </w:rPr>
        <w:t> </w:t>
      </w:r>
      <w:r>
        <w:rPr>
          <w:rFonts w:ascii="宋体" w:hAnsi="宋体" w:cs="宋体" w:eastAsia="宋体" w:hint="default"/>
          <w:sz w:val="22"/>
          <w:szCs w:val="22"/>
        </w:rPr>
        <w:t>公司出租房产以租金为计税依据，按</w:t>
      </w:r>
      <w:r>
        <w:rPr>
          <w:rFonts w:ascii="宋体" w:hAnsi="宋体" w:cs="宋体" w:eastAsia="宋体" w:hint="default"/>
          <w:spacing w:val="-58"/>
          <w:sz w:val="22"/>
          <w:szCs w:val="22"/>
        </w:rPr>
        <w:t> </w:t>
      </w:r>
      <w:r>
        <w:rPr>
          <w:rFonts w:ascii="宋体" w:hAnsi="宋体" w:cs="宋体" w:eastAsia="宋体" w:hint="default"/>
          <w:sz w:val="22"/>
          <w:szCs w:val="22"/>
        </w:rPr>
        <w:t>12%的税率计缴房产税。</w:t>
      </w:r>
    </w:p>
    <w:p>
      <w:pPr>
        <w:tabs>
          <w:tab w:pos="2295" w:val="left" w:leader="none"/>
        </w:tabs>
        <w:spacing w:line="372" w:lineRule="auto" w:before="41"/>
        <w:ind w:left="1518" w:right="5645" w:firstLine="13"/>
        <w:jc w:val="left"/>
        <w:rPr>
          <w:rFonts w:ascii="宋体" w:hAnsi="宋体" w:cs="宋体" w:eastAsia="宋体" w:hint="default"/>
          <w:sz w:val="24"/>
          <w:szCs w:val="24"/>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其他税项</w:t>
      </w:r>
      <w:r>
        <w:rPr>
          <w:rFonts w:ascii="宋体" w:hAnsi="宋体" w:cs="宋体" w:eastAsia="宋体" w:hint="default"/>
          <w:w w:val="99"/>
          <w:sz w:val="22"/>
          <w:szCs w:val="22"/>
        </w:rPr>
        <w:t> </w:t>
      </w:r>
      <w:r>
        <w:rPr>
          <w:rFonts w:ascii="宋体" w:hAnsi="宋体" w:cs="宋体" w:eastAsia="宋体" w:hint="default"/>
          <w:sz w:val="22"/>
          <w:szCs w:val="22"/>
        </w:rPr>
        <w:t>公司的其他税项按国家有关规定计算缴纳。</w:t>
      </w:r>
      <w:r>
        <w:rPr>
          <w:rFonts w:ascii="宋体" w:hAnsi="宋体" w:cs="宋体" w:eastAsia="宋体" w:hint="default"/>
          <w:w w:val="99"/>
          <w:sz w:val="22"/>
          <w:szCs w:val="22"/>
        </w:rPr>
        <w:t> </w:t>
      </w:r>
      <w:bookmarkStart w:name="七、 企业合并及合并财务报表 " w:id="10"/>
      <w:bookmarkEnd w:id="10"/>
      <w:r>
        <w:rPr>
          <w:rFonts w:ascii="宋体" w:hAnsi="宋体" w:cs="宋体" w:eastAsia="宋体" w:hint="default"/>
          <w:w w:val="99"/>
          <w:sz w:val="22"/>
          <w:szCs w:val="22"/>
        </w:rPr>
      </w:r>
      <w:r>
        <w:rPr>
          <w:rFonts w:ascii="宋体" w:hAnsi="宋体" w:cs="宋体" w:eastAsia="宋体" w:hint="default"/>
          <w:b/>
          <w:bCs/>
          <w:w w:val="95"/>
          <w:sz w:val="24"/>
          <w:szCs w:val="24"/>
        </w:rPr>
        <w:t>七、</w:t>
        <w:tab/>
      </w:r>
      <w:r>
        <w:rPr>
          <w:rFonts w:ascii="宋体" w:hAnsi="宋体" w:cs="宋体" w:eastAsia="宋体" w:hint="default"/>
          <w:b/>
          <w:bCs/>
          <w:sz w:val="24"/>
          <w:szCs w:val="24"/>
        </w:rPr>
        <w:t>企业合并及合并财务报表</w:t>
      </w:r>
      <w:r>
        <w:rPr>
          <w:rFonts w:ascii="宋体" w:hAnsi="宋体" w:cs="宋体" w:eastAsia="宋体" w:hint="default"/>
          <w:sz w:val="24"/>
          <w:szCs w:val="24"/>
        </w:rPr>
      </w:r>
    </w:p>
    <w:p>
      <w:pPr>
        <w:spacing w:before="38"/>
        <w:ind w:left="1518" w:right="1394" w:firstLine="0"/>
        <w:jc w:val="left"/>
        <w:rPr>
          <w:rFonts w:ascii="宋体" w:hAnsi="宋体" w:cs="宋体" w:eastAsia="宋体" w:hint="default"/>
          <w:sz w:val="22"/>
          <w:szCs w:val="22"/>
        </w:rPr>
      </w:pPr>
      <w:r>
        <w:rPr/>
        <w:pict>
          <v:group style="position:absolute;margin-left:23.700001pt;margin-top:25.217968pt;width:554.050pt;height:.1pt;mso-position-horizontal-relative:page;mso-position-vertical-relative:paragraph;z-index:-1049200" coordorigin="474,504" coordsize="11081,2">
            <v:shape style="position:absolute;left:474;top:504;width:11081;height:2" coordorigin="474,504" coordsize="11081,0" path="m474,504l11555,504e" filled="false" stroked="true" strokeweight="1.5pt" strokecolor="#000000">
              <v:path arrowok="t"/>
            </v:shape>
            <w10:wrap type="none"/>
          </v:group>
        </w:pict>
      </w:r>
      <w:r>
        <w:rPr>
          <w:rFonts w:ascii="宋体" w:hAnsi="宋体" w:cs="宋体" w:eastAsia="宋体" w:hint="default"/>
          <w:b/>
          <w:bCs/>
          <w:sz w:val="22"/>
          <w:szCs w:val="22"/>
        </w:rPr>
        <w:t>(一)</w:t>
      </w:r>
      <w:r>
        <w:rPr>
          <w:rFonts w:ascii="宋体" w:hAnsi="宋体" w:cs="宋体" w:eastAsia="宋体" w:hint="default"/>
          <w:b/>
          <w:bCs/>
          <w:spacing w:val="24"/>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日，本公司纳入合并范围的子公司资料列示如下：</w:t>
      </w:r>
    </w:p>
    <w:p>
      <w:pPr>
        <w:spacing w:line="240" w:lineRule="auto" w:before="1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89"/>
        <w:gridCol w:w="790"/>
        <w:gridCol w:w="1181"/>
        <w:gridCol w:w="736"/>
        <w:gridCol w:w="848"/>
        <w:gridCol w:w="3713"/>
        <w:gridCol w:w="431"/>
      </w:tblGrid>
      <w:tr>
        <w:trPr>
          <w:trHeight w:val="483" w:hRule="exact"/>
        </w:trPr>
        <w:tc>
          <w:tcPr>
            <w:tcW w:w="338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66" w:right="0"/>
              <w:jc w:val="left"/>
              <w:rPr>
                <w:rFonts w:ascii="宋体" w:hAnsi="宋体" w:cs="宋体" w:eastAsia="宋体" w:hint="default"/>
                <w:sz w:val="16"/>
                <w:szCs w:val="16"/>
              </w:rPr>
            </w:pPr>
            <w:r>
              <w:rPr>
                <w:rFonts w:ascii="宋体" w:hAnsi="宋体" w:cs="宋体" w:eastAsia="宋体" w:hint="default"/>
                <w:b/>
                <w:bCs/>
                <w:sz w:val="16"/>
                <w:szCs w:val="16"/>
              </w:rPr>
              <w:t>控股子公司名称</w:t>
            </w:r>
            <w:r>
              <w:rPr>
                <w:rFonts w:ascii="宋体" w:hAnsi="宋体" w:cs="宋体" w:eastAsia="宋体" w:hint="default"/>
                <w:sz w:val="16"/>
                <w:szCs w:val="16"/>
              </w:rPr>
            </w:r>
          </w:p>
        </w:tc>
        <w:tc>
          <w:tcPr>
            <w:tcW w:w="79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6"/>
              <w:jc w:val="right"/>
              <w:rPr>
                <w:rFonts w:ascii="宋体" w:hAnsi="宋体" w:cs="宋体" w:eastAsia="宋体" w:hint="default"/>
                <w:sz w:val="16"/>
                <w:szCs w:val="16"/>
              </w:rPr>
            </w:pPr>
            <w:r>
              <w:rPr>
                <w:rFonts w:ascii="宋体" w:hAnsi="宋体" w:cs="宋体" w:eastAsia="宋体" w:hint="default"/>
                <w:b/>
                <w:bCs/>
                <w:w w:val="95"/>
                <w:sz w:val="16"/>
                <w:szCs w:val="16"/>
              </w:rPr>
              <w:t>级次</w:t>
            </w:r>
            <w:r>
              <w:rPr>
                <w:rFonts w:ascii="宋体" w:hAnsi="宋体" w:cs="宋体" w:eastAsia="宋体" w:hint="default"/>
                <w:sz w:val="16"/>
                <w:szCs w:val="16"/>
              </w:rPr>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45"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36" w:type="dxa"/>
            <w:tcBorders>
              <w:top w:val="nil" w:sz="6" w:space="0" w:color="auto"/>
              <w:left w:val="nil" w:sz="6" w:space="0" w:color="auto"/>
              <w:bottom w:val="single" w:sz="4" w:space="0" w:color="000000"/>
              <w:right w:val="nil" w:sz="6" w:space="0" w:color="auto"/>
            </w:tcBorders>
          </w:tcPr>
          <w:p>
            <w:pPr>
              <w:pStyle w:val="TableParagraph"/>
              <w:spacing w:line="200" w:lineRule="exact" w:before="77"/>
              <w:ind w:left="174" w:right="238"/>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71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29"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c>
          <w:tcPr>
            <w:tcW w:w="431" w:type="dxa"/>
            <w:tcBorders>
              <w:top w:val="nil" w:sz="6" w:space="0" w:color="auto"/>
              <w:left w:val="nil" w:sz="6" w:space="0" w:color="auto"/>
              <w:bottom w:val="single" w:sz="4" w:space="0" w:color="000000"/>
              <w:right w:val="nil" w:sz="6" w:space="0" w:color="auto"/>
            </w:tcBorders>
          </w:tcPr>
          <w:p>
            <w:pPr>
              <w:pStyle w:val="TableParagraph"/>
              <w:spacing w:line="200" w:lineRule="exact" w:before="77"/>
              <w:ind w:left="250" w:right="18"/>
              <w:jc w:val="left"/>
              <w:rPr>
                <w:rFonts w:ascii="宋体" w:hAnsi="宋体" w:cs="宋体" w:eastAsia="宋体" w:hint="default"/>
                <w:sz w:val="16"/>
                <w:szCs w:val="16"/>
              </w:rPr>
            </w:pPr>
            <w:r>
              <w:rPr>
                <w:rFonts w:ascii="宋体" w:hAnsi="宋体" w:cs="宋体" w:eastAsia="宋体" w:hint="default"/>
                <w:b/>
                <w:bCs/>
                <w:sz w:val="16"/>
                <w:szCs w:val="16"/>
              </w:rPr>
              <w:t>合</w:t>
            </w:r>
            <w:r>
              <w:rPr>
                <w:rFonts w:ascii="宋体" w:hAnsi="宋体" w:cs="宋体" w:eastAsia="宋体" w:hint="default"/>
                <w:b/>
                <w:bCs/>
                <w:w w:val="99"/>
                <w:sz w:val="16"/>
                <w:szCs w:val="16"/>
              </w:rPr>
              <w:t> </w:t>
            </w:r>
            <w:r>
              <w:rPr>
                <w:rFonts w:ascii="宋体" w:hAnsi="宋体" w:cs="宋体" w:eastAsia="宋体" w:hint="default"/>
                <w:b/>
                <w:bCs/>
                <w:sz w:val="16"/>
                <w:szCs w:val="16"/>
              </w:rPr>
              <w:t>并</w:t>
            </w:r>
            <w:r>
              <w:rPr>
                <w:rFonts w:ascii="宋体" w:hAnsi="宋体" w:cs="宋体" w:eastAsia="宋体" w:hint="default"/>
                <w:sz w:val="16"/>
                <w:szCs w:val="16"/>
              </w:rPr>
            </w:r>
          </w:p>
        </w:tc>
      </w:tr>
      <w:tr>
        <w:trPr>
          <w:trHeight w:val="291"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6"/>
                <w:szCs w:val="16"/>
              </w:rPr>
            </w:pPr>
            <w:r>
              <w:rPr>
                <w:rFonts w:ascii="宋体" w:hAnsi="宋体" w:cs="宋体" w:eastAsia="宋体" w:hint="default"/>
                <w:sz w:val="16"/>
                <w:szCs w:val="16"/>
              </w:rPr>
              <w:t>泰豪科技股份有限公司(SH600590)</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72"/>
              <w:jc w:val="right"/>
              <w:rPr>
                <w:rFonts w:ascii="宋体" w:hAnsi="宋体" w:cs="宋体" w:eastAsia="宋体" w:hint="default"/>
                <w:sz w:val="16"/>
                <w:szCs w:val="16"/>
              </w:rPr>
            </w:pPr>
            <w:r>
              <w:rPr>
                <w:rFonts w:ascii="宋体" w:hAnsi="宋体" w:cs="宋体" w:eastAsia="宋体" w:hint="default"/>
                <w:sz w:val="16"/>
                <w:szCs w:val="16"/>
              </w:rPr>
              <w:t>￥45532.57</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73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45" w:right="0"/>
              <w:jc w:val="center"/>
              <w:rPr>
                <w:rFonts w:ascii="宋体" w:hAnsi="宋体" w:cs="宋体" w:eastAsia="宋体" w:hint="default"/>
                <w:sz w:val="16"/>
                <w:szCs w:val="16"/>
              </w:rPr>
            </w:pPr>
            <w:r>
              <w:rPr>
                <w:rFonts w:ascii="宋体"/>
                <w:sz w:val="16"/>
              </w:rPr>
              <w:t>22.71%</w:t>
            </w:r>
          </w:p>
        </w:tc>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371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智能建筑电气、发电机及机组、装备信息产品</w:t>
            </w:r>
          </w:p>
        </w:tc>
        <w:tc>
          <w:tcPr>
            <w:tcW w:w="43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深圳市泰豪晟大创业投资有限公司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0" w:right="0"/>
              <w:jc w:val="center"/>
              <w:rPr>
                <w:rFonts w:ascii="宋体" w:hAnsi="宋体" w:cs="宋体" w:eastAsia="宋体" w:hint="default"/>
                <w:sz w:val="16"/>
                <w:szCs w:val="16"/>
              </w:rPr>
            </w:pPr>
            <w:r>
              <w:rPr>
                <w:rFonts w:ascii="宋体"/>
                <w:sz w:val="16"/>
              </w:rPr>
              <w:t>80.00%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创业投资业务</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江西清华泰豪三波电机有限公司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电源、电机及成套设备</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北京泰豪太阳能电源技术有限公司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北京亦庄</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建筑太阳能电源系统的设计、制造、销售和服务</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江西泰豪科技进出口有限公司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自营或代理种类商品和技术进出口</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上海泰豪智能节能技术有限公司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上海张江</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建筑弱电、中央空调、电气自动化和环保工程</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衡阳泰豪通信车辆有限公司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宋体" w:hAnsi="宋体" w:cs="宋体" w:eastAsia="宋体" w:hint="default"/>
                <w:sz w:val="16"/>
                <w:szCs w:val="16"/>
              </w:rPr>
            </w:pP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0" w:right="0"/>
              <w:jc w:val="center"/>
              <w:rPr>
                <w:rFonts w:ascii="宋体" w:hAnsi="宋体" w:cs="宋体" w:eastAsia="宋体" w:hint="default"/>
                <w:sz w:val="16"/>
                <w:szCs w:val="16"/>
              </w:rPr>
            </w:pPr>
            <w:r>
              <w:rPr>
                <w:rFonts w:ascii="宋体"/>
                <w:sz w:val="16"/>
              </w:rPr>
              <w:t>90.19%</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湖南衡阳</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车载通信系统</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江西清华泰豪微电机有限公司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9" w:right="0"/>
              <w:jc w:val="center"/>
              <w:rPr>
                <w:rFonts w:ascii="宋体" w:hAnsi="宋体" w:cs="宋体" w:eastAsia="宋体" w:hint="default"/>
                <w:sz w:val="16"/>
                <w:szCs w:val="16"/>
              </w:rPr>
            </w:pPr>
            <w:r>
              <w:rPr>
                <w:rFonts w:ascii="宋体"/>
                <w:sz w:val="16"/>
              </w:rPr>
              <w:t>80.00%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发电机及机组、其他机电设备</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江西泰豪特种电机有限公司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江西高安</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水轮/风力发电机组、特种电机及成套设备</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长春泰豪电子装备有限公司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￥3000.00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8" w:right="0"/>
              <w:jc w:val="center"/>
              <w:rPr>
                <w:rFonts w:ascii="宋体" w:hAnsi="宋体" w:cs="宋体" w:eastAsia="宋体" w:hint="default"/>
                <w:sz w:val="16"/>
                <w:szCs w:val="16"/>
              </w:rPr>
            </w:pPr>
            <w:r>
              <w:rPr>
                <w:rFonts w:ascii="宋体"/>
                <w:sz w:val="16"/>
              </w:rPr>
              <w:t>85.00%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吉林长春</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天线、雷达、光机电一体化产品</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北京泰豪智能科技有限公司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7" w:right="0"/>
              <w:jc w:val="center"/>
              <w:rPr>
                <w:rFonts w:ascii="宋体" w:hAnsi="宋体" w:cs="宋体" w:eastAsia="宋体" w:hint="default"/>
                <w:sz w:val="16"/>
                <w:szCs w:val="16"/>
              </w:rPr>
            </w:pPr>
            <w:r>
              <w:rPr>
                <w:rFonts w:ascii="宋体"/>
                <w:sz w:val="16"/>
              </w:rPr>
              <w:t>51.00%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北京亦庄</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智能建筑产品和系统集成解决方案</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1"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hAnsi="宋体" w:cs="宋体" w:eastAsia="宋体" w:hint="default"/>
                <w:sz w:val="16"/>
                <w:szCs w:val="16"/>
              </w:rPr>
              <w:t>北京泰豪智能工程有限公司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￥10000.00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智能建筑产品的设计、安装调试和售后服务</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13" w:hRule="exact"/>
        </w:trPr>
        <w:tc>
          <w:tcPr>
            <w:tcW w:w="11088" w:type="dxa"/>
            <w:gridSpan w:val="7"/>
            <w:tcBorders>
              <w:top w:val="nil" w:sz="6" w:space="0" w:color="auto"/>
              <w:left w:val="nil" w:sz="6" w:space="0" w:color="auto"/>
              <w:bottom w:val="nil" w:sz="6" w:space="0" w:color="auto"/>
              <w:right w:val="nil" w:sz="6" w:space="0" w:color="auto"/>
            </w:tcBorders>
          </w:tcPr>
          <w:p>
            <w:pPr>
              <w:pStyle w:val="TableParagraph"/>
              <w:tabs>
                <w:tab w:pos="3791" w:val="left" w:leader="none"/>
                <w:tab w:pos="4370" w:val="left" w:leader="none"/>
                <w:tab w:pos="5514" w:val="left" w:leader="none"/>
                <w:tab w:pos="6203" w:val="left" w:leader="none"/>
                <w:tab w:pos="7050" w:val="left" w:leader="none"/>
                <w:tab w:pos="10907" w:val="left" w:leader="none"/>
              </w:tabs>
              <w:spacing w:line="240" w:lineRule="auto" w:before="32"/>
              <w:ind w:left="587" w:right="0"/>
              <w:jc w:val="left"/>
              <w:rPr>
                <w:rFonts w:ascii="宋体" w:hAnsi="宋体" w:cs="宋体" w:eastAsia="宋体" w:hint="default"/>
                <w:sz w:val="16"/>
                <w:szCs w:val="16"/>
              </w:rPr>
            </w:pPr>
            <w:r>
              <w:rPr>
                <w:rFonts w:ascii="宋体" w:hAnsi="宋体" w:cs="宋体" w:eastAsia="宋体" w:hint="default"/>
                <w:w w:val="95"/>
                <w:sz w:val="16"/>
                <w:szCs w:val="16"/>
              </w:rPr>
              <w:t>上海信业智能科技股份有限公司</w:t>
              <w:tab/>
            </w:r>
            <w:r>
              <w:rPr>
                <w:rFonts w:ascii="宋体" w:hAnsi="宋体" w:cs="宋体" w:eastAsia="宋体" w:hint="default"/>
                <w:sz w:val="16"/>
                <w:szCs w:val="16"/>
              </w:rPr>
              <w:t>4</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￥5000.00</w:t>
            </w:r>
            <w:r>
              <w:rPr>
                <w:rFonts w:ascii="宋体" w:hAnsi="宋体" w:cs="宋体" w:eastAsia="宋体" w:hint="default"/>
                <w:spacing w:val="-36"/>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87.40%</w:t>
              <w:tab/>
            </w:r>
            <w:r>
              <w:rPr>
                <w:rFonts w:ascii="宋体" w:hAnsi="宋体" w:cs="宋体" w:eastAsia="宋体" w:hint="default"/>
                <w:w w:val="95"/>
                <w:sz w:val="16"/>
                <w:szCs w:val="16"/>
              </w:rPr>
              <w:t>上海卢湾</w:t>
              <w:tab/>
            </w:r>
            <w:r>
              <w:rPr>
                <w:rFonts w:ascii="宋体" w:hAnsi="宋体" w:cs="宋体" w:eastAsia="宋体" w:hint="default"/>
                <w:w w:val="95"/>
                <w:position w:val="10"/>
                <w:sz w:val="16"/>
                <w:szCs w:val="16"/>
              </w:rPr>
              <w:t>智能建筑与安防工程施工，</w:t>
              <w:tab/>
            </w:r>
            <w:r>
              <w:rPr>
                <w:rFonts w:ascii="宋体" w:hAnsi="宋体" w:cs="宋体" w:eastAsia="宋体" w:hint="default"/>
                <w:sz w:val="16"/>
                <w:szCs w:val="16"/>
              </w:rPr>
              <w:t>是</w:t>
            </w:r>
          </w:p>
        </w:tc>
      </w:tr>
      <w:tr>
        <w:trPr>
          <w:trHeight w:val="171" w:hRule="exact"/>
        </w:trPr>
        <w:tc>
          <w:tcPr>
            <w:tcW w:w="3389"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3713" w:type="dxa"/>
            <w:tcBorders>
              <w:top w:val="nil" w:sz="6" w:space="0" w:color="auto"/>
              <w:left w:val="nil" w:sz="6" w:space="0" w:color="auto"/>
              <w:bottom w:val="nil" w:sz="6" w:space="0" w:color="auto"/>
              <w:right w:val="nil" w:sz="6" w:space="0" w:color="auto"/>
            </w:tcBorders>
          </w:tcPr>
          <w:p>
            <w:pPr>
              <w:pStyle w:val="TableParagraph"/>
              <w:spacing w:line="130" w:lineRule="exact"/>
              <w:ind w:left="106" w:right="0"/>
              <w:jc w:val="left"/>
              <w:rPr>
                <w:rFonts w:ascii="宋体" w:hAnsi="宋体" w:cs="宋体" w:eastAsia="宋体" w:hint="default"/>
                <w:sz w:val="16"/>
                <w:szCs w:val="16"/>
              </w:rPr>
            </w:pPr>
            <w:r>
              <w:rPr>
                <w:rFonts w:ascii="宋体" w:hAnsi="宋体" w:cs="宋体" w:eastAsia="宋体" w:hint="default"/>
                <w:sz w:val="16"/>
                <w:szCs w:val="16"/>
              </w:rPr>
              <w:t>计算机网络通讯设备经销</w:t>
            </w:r>
          </w:p>
        </w:tc>
        <w:tc>
          <w:tcPr>
            <w:tcW w:w="431" w:type="dxa"/>
            <w:tcBorders>
              <w:top w:val="nil" w:sz="6" w:space="0" w:color="auto"/>
              <w:left w:val="nil" w:sz="6" w:space="0" w:color="auto"/>
              <w:bottom w:val="nil" w:sz="6" w:space="0" w:color="auto"/>
              <w:right w:val="nil" w:sz="6" w:space="0" w:color="auto"/>
            </w:tcBorders>
          </w:tcPr>
          <w:p>
            <w:pPr/>
          </w:p>
        </w:tc>
      </w:tr>
      <w:tr>
        <w:trPr>
          <w:trHeight w:val="263"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00" w:lineRule="exact"/>
              <w:ind w:left="428" w:right="0"/>
              <w:jc w:val="left"/>
              <w:rPr>
                <w:rFonts w:ascii="宋体" w:hAnsi="宋体" w:cs="宋体" w:eastAsia="宋体" w:hint="default"/>
                <w:sz w:val="16"/>
                <w:szCs w:val="16"/>
              </w:rPr>
            </w:pPr>
            <w:r>
              <w:rPr>
                <w:rFonts w:ascii="宋体" w:hAnsi="宋体" w:cs="宋体" w:eastAsia="宋体" w:hint="default"/>
                <w:sz w:val="16"/>
                <w:szCs w:val="16"/>
              </w:rPr>
              <w:t>泰豪科技（深圳）电力技术有限公司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00" w:lineRule="exact"/>
              <w:ind w:right="106"/>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00" w:lineRule="exact"/>
              <w:ind w:right="70"/>
              <w:jc w:val="right"/>
              <w:rPr>
                <w:rFonts w:ascii="宋体" w:hAnsi="宋体" w:cs="宋体" w:eastAsia="宋体" w:hint="default"/>
                <w:sz w:val="16"/>
                <w:szCs w:val="16"/>
              </w:rPr>
            </w:pP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00" w:lineRule="exact"/>
              <w:ind w:left="48" w:right="0"/>
              <w:jc w:val="center"/>
              <w:rPr>
                <w:rFonts w:ascii="宋体" w:hAnsi="宋体" w:cs="宋体" w:eastAsia="宋体" w:hint="default"/>
                <w:sz w:val="16"/>
                <w:szCs w:val="16"/>
              </w:rPr>
            </w:pPr>
            <w:r>
              <w:rPr>
                <w:rFonts w:ascii="宋体"/>
                <w:sz w:val="16"/>
              </w:rPr>
              <w:t>62.50%</w:t>
            </w:r>
          </w:p>
        </w:tc>
        <w:tc>
          <w:tcPr>
            <w:tcW w:w="848" w:type="dxa"/>
            <w:tcBorders>
              <w:top w:val="nil" w:sz="6" w:space="0" w:color="auto"/>
              <w:left w:val="nil" w:sz="6" w:space="0" w:color="auto"/>
              <w:bottom w:val="nil" w:sz="6" w:space="0" w:color="auto"/>
              <w:right w:val="nil" w:sz="6" w:space="0" w:color="auto"/>
            </w:tcBorders>
          </w:tcPr>
          <w:p>
            <w:pPr>
              <w:pStyle w:val="TableParagraph"/>
              <w:spacing w:line="200" w:lineRule="exact"/>
              <w:ind w:left="104"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3713" w:type="dxa"/>
            <w:tcBorders>
              <w:top w:val="nil" w:sz="6" w:space="0" w:color="auto"/>
              <w:left w:val="nil" w:sz="6" w:space="0" w:color="auto"/>
              <w:bottom w:val="nil" w:sz="6" w:space="0" w:color="auto"/>
              <w:right w:val="nil" w:sz="6" w:space="0" w:color="auto"/>
            </w:tcBorders>
          </w:tcPr>
          <w:p>
            <w:pPr>
              <w:pStyle w:val="TableParagraph"/>
              <w:spacing w:line="200" w:lineRule="exact"/>
              <w:ind w:left="104" w:right="0"/>
              <w:jc w:val="left"/>
              <w:rPr>
                <w:rFonts w:ascii="宋体" w:hAnsi="宋体" w:cs="宋体" w:eastAsia="宋体" w:hint="default"/>
                <w:sz w:val="16"/>
                <w:szCs w:val="16"/>
              </w:rPr>
            </w:pPr>
            <w:r>
              <w:rPr>
                <w:rFonts w:ascii="宋体" w:hAnsi="宋体" w:cs="宋体" w:eastAsia="宋体" w:hint="default"/>
                <w:sz w:val="16"/>
                <w:szCs w:val="16"/>
              </w:rPr>
              <w:t>电力设备、仪器仪表、自动化系统</w:t>
            </w:r>
          </w:p>
        </w:tc>
        <w:tc>
          <w:tcPr>
            <w:tcW w:w="431" w:type="dxa"/>
            <w:tcBorders>
              <w:top w:val="nil" w:sz="6" w:space="0" w:color="auto"/>
              <w:left w:val="nil" w:sz="6" w:space="0" w:color="auto"/>
              <w:bottom w:val="nil" w:sz="6" w:space="0" w:color="auto"/>
              <w:right w:val="nil" w:sz="6" w:space="0" w:color="auto"/>
            </w:tcBorders>
          </w:tcPr>
          <w:p>
            <w:pPr>
              <w:pStyle w:val="TableParagraph"/>
              <w:spacing w:line="200" w:lineRule="exact"/>
              <w:ind w:right="19"/>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江西泰豪电源技术有限公司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2" w:right="0"/>
              <w:jc w:val="left"/>
              <w:rPr>
                <w:rFonts w:ascii="宋体" w:hAnsi="宋体" w:cs="宋体" w:eastAsia="宋体" w:hint="default"/>
                <w:sz w:val="16"/>
                <w:szCs w:val="16"/>
              </w:rPr>
            </w:pPr>
            <w:r>
              <w:rPr>
                <w:rFonts w:ascii="宋体" w:hAnsi="宋体" w:cs="宋体" w:eastAsia="宋体" w:hint="default"/>
                <w:sz w:val="16"/>
                <w:szCs w:val="16"/>
              </w:rPr>
              <w:t>发电机及机组的设计、制造、销售与售后服务</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山东吉美乐有限公司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￥3640.00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9" w:right="0"/>
              <w:jc w:val="center"/>
              <w:rPr>
                <w:rFonts w:ascii="宋体" w:hAnsi="宋体" w:cs="宋体" w:eastAsia="宋体" w:hint="default"/>
                <w:sz w:val="16"/>
                <w:szCs w:val="16"/>
              </w:rPr>
            </w:pPr>
            <w:r>
              <w:rPr>
                <w:rFonts w:ascii="宋体"/>
                <w:sz w:val="16"/>
              </w:rPr>
              <w:t>82.42%</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山东济南</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发电机、办公设备产销</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hAnsi="宋体" w:cs="宋体" w:eastAsia="宋体" w:hint="default"/>
                <w:sz w:val="16"/>
                <w:szCs w:val="16"/>
              </w:rPr>
              <w:t>山东大东科技城有限公司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￥300.00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山东济南</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计算机外围设备、办公设备及配件批发零售</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济南吉美乐电源技术有限公司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山东济南</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电源设备新技术开发及技术服务</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￥24900.00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
              <w:jc w:val="center"/>
              <w:rPr>
                <w:rFonts w:ascii="宋体" w:hAnsi="宋体" w:cs="宋体" w:eastAsia="宋体" w:hint="default"/>
                <w:sz w:val="16"/>
                <w:szCs w:val="16"/>
              </w:rPr>
            </w:pPr>
            <w:r>
              <w:rPr>
                <w:rFonts w:ascii="宋体"/>
                <w:sz w:val="16"/>
              </w:rPr>
              <w:t>91.968%</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中央空调机组、空气和水净化系统</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hAnsi="宋体" w:cs="宋体" w:eastAsia="宋体" w:hint="default"/>
                <w:sz w:val="16"/>
                <w:szCs w:val="16"/>
              </w:rPr>
              <w:t>同方节能工程技术有限公司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4" w:right="0"/>
              <w:jc w:val="left"/>
              <w:rPr>
                <w:rFonts w:ascii="宋体" w:hAnsi="宋体" w:cs="宋体" w:eastAsia="宋体" w:hint="default"/>
                <w:sz w:val="16"/>
                <w:szCs w:val="16"/>
              </w:rPr>
            </w:pPr>
            <w:r>
              <w:rPr>
                <w:rFonts w:ascii="宋体" w:hAnsi="宋体" w:cs="宋体" w:eastAsia="宋体" w:hint="default"/>
                <w:sz w:val="16"/>
                <w:szCs w:val="16"/>
              </w:rPr>
              <w:t>人工环境系统工程的设计、安装</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98"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hAnsi="宋体" w:cs="宋体" w:eastAsia="宋体" w:hint="default"/>
                <w:sz w:val="16"/>
                <w:szCs w:val="16"/>
              </w:rPr>
              <w:t>无锡同方人工环境有限公司</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宋体" w:hAnsi="宋体" w:cs="宋体" w:eastAsia="宋体" w:hint="default"/>
                <w:sz w:val="16"/>
                <w:szCs w:val="16"/>
              </w:rPr>
            </w:pP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
              <w:jc w:val="center"/>
              <w:rPr>
                <w:rFonts w:ascii="宋体" w:hAnsi="宋体" w:cs="宋体" w:eastAsia="宋体" w:hint="default"/>
                <w:sz w:val="16"/>
                <w:szCs w:val="16"/>
              </w:rPr>
            </w:pPr>
            <w:r>
              <w:rPr>
                <w:rFonts w:ascii="宋体"/>
                <w:sz w:val="16"/>
              </w:rPr>
              <w:t>100.00%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江苏无锡</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5" w:right="0"/>
              <w:jc w:val="left"/>
              <w:rPr>
                <w:rFonts w:ascii="宋体" w:hAnsi="宋体" w:cs="宋体" w:eastAsia="宋体" w:hint="default"/>
                <w:sz w:val="16"/>
                <w:szCs w:val="16"/>
              </w:rPr>
            </w:pPr>
            <w:r>
              <w:rPr>
                <w:rFonts w:ascii="宋体" w:hAnsi="宋体" w:cs="宋体" w:eastAsia="宋体" w:hint="default"/>
                <w:sz w:val="16"/>
                <w:szCs w:val="16"/>
              </w:rPr>
              <w:t>户式空调机组</w:t>
            </w: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spacing w:after="0" w:line="240" w:lineRule="auto"/>
        <w:jc w:val="right"/>
        <w:rPr>
          <w:rFonts w:ascii="宋体" w:hAnsi="宋体" w:cs="宋体" w:eastAsia="宋体" w:hint="default"/>
          <w:sz w:val="16"/>
          <w:szCs w:val="16"/>
        </w:rPr>
        <w:sectPr>
          <w:footerReference w:type="default" r:id="rId35"/>
          <w:pgSz w:w="11910" w:h="16840"/>
          <w:pgMar w:footer="784" w:header="610" w:top="1080" w:bottom="980" w:left="34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1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55.550pt;height:1.5pt;mso-position-horizontal-relative:char;mso-position-vertical-relative:line" coordorigin="0,0" coordsize="11111,30">
            <v:group style="position:absolute;left:15;top:15;width:11081;height:2" coordorigin="15,15" coordsize="11081,2">
              <v:shape style="position:absolute;left:15;top:15;width:11081;height:2" coordorigin="15,15" coordsize="11081,0" path="m15,15l1109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footerReference w:type="default" r:id="rId36"/>
          <w:pgSz w:w="11910" w:h="16840"/>
          <w:pgMar w:footer="784" w:header="610" w:top="1080" w:bottom="980" w:left="340" w:right="220"/>
          <w:pgNumType w:start="101"/>
        </w:sectPr>
      </w:pPr>
    </w:p>
    <w:p>
      <w:pPr>
        <w:tabs>
          <w:tab w:pos="3903" w:val="left" w:leader="none"/>
          <w:tab w:pos="4558" w:val="left" w:leader="none"/>
          <w:tab w:pos="5668" w:val="left" w:leader="none"/>
        </w:tabs>
        <w:spacing w:line="156" w:lineRule="auto" w:before="72"/>
        <w:ind w:left="5668" w:right="0" w:hanging="4269"/>
        <w:jc w:val="right"/>
        <w:rPr>
          <w:rFonts w:ascii="宋体" w:hAnsi="宋体" w:cs="宋体" w:eastAsia="宋体" w:hint="default"/>
          <w:sz w:val="16"/>
          <w:szCs w:val="16"/>
        </w:rPr>
      </w:pPr>
      <w:r>
        <w:rPr>
          <w:rFonts w:ascii="宋体" w:hAnsi="宋体" w:cs="宋体" w:eastAsia="宋体" w:hint="default"/>
          <w:b/>
          <w:bCs/>
          <w:w w:val="95"/>
          <w:sz w:val="16"/>
          <w:szCs w:val="16"/>
        </w:rPr>
        <w:t>控股子公司名称</w:t>
        <w:tab/>
        <w:t>级次</w:t>
        <w:tab/>
        <w:t>注册资本</w:t>
        <w:tab/>
      </w:r>
      <w:r>
        <w:rPr>
          <w:rFonts w:ascii="宋体" w:hAnsi="宋体" w:cs="宋体" w:eastAsia="宋体" w:hint="default"/>
          <w:b/>
          <w:bCs/>
          <w:w w:val="95"/>
          <w:position w:val="10"/>
          <w:sz w:val="16"/>
          <w:szCs w:val="16"/>
        </w:rPr>
        <w:t>持股</w:t>
      </w:r>
      <w:r>
        <w:rPr>
          <w:rFonts w:ascii="宋体" w:hAnsi="宋体" w:cs="宋体" w:eastAsia="宋体" w:hint="default"/>
          <w:b/>
          <w:bCs/>
          <w:spacing w:val="-62"/>
          <w:w w:val="95"/>
          <w:position w:val="10"/>
          <w:sz w:val="16"/>
          <w:szCs w:val="16"/>
        </w:rPr>
        <w:t> </w:t>
      </w:r>
      <w:r>
        <w:rPr>
          <w:rFonts w:ascii="宋体" w:hAnsi="宋体" w:cs="宋体" w:eastAsia="宋体" w:hint="default"/>
          <w:b/>
          <w:bCs/>
          <w:spacing w:val="-62"/>
          <w:w w:val="95"/>
          <w:position w:val="10"/>
          <w:sz w:val="16"/>
          <w:szCs w:val="16"/>
        </w:rPr>
      </w: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2698" w:val="left" w:leader="none"/>
          <w:tab w:pos="5011" w:val="left" w:leader="none"/>
        </w:tabs>
        <w:spacing w:line="156" w:lineRule="auto" w:before="72"/>
        <w:ind w:left="5011" w:right="140" w:hanging="4707"/>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注册地址</w:t>
        <w:tab/>
        <w:t>主营业务</w:t>
        <w:tab/>
      </w:r>
      <w:r>
        <w:rPr>
          <w:rFonts w:ascii="宋体" w:hAnsi="宋体" w:cs="宋体" w:eastAsia="宋体" w:hint="default"/>
          <w:b/>
          <w:bCs/>
          <w:w w:val="95"/>
          <w:position w:val="10"/>
          <w:sz w:val="16"/>
          <w:szCs w:val="16"/>
        </w:rPr>
        <w:t>合</w:t>
      </w:r>
      <w:r>
        <w:rPr>
          <w:rFonts w:ascii="宋体" w:hAnsi="宋体" w:cs="宋体" w:eastAsia="宋体" w:hint="default"/>
          <w:b/>
          <w:bCs/>
          <w:w w:val="99"/>
          <w:position w:val="10"/>
          <w:sz w:val="16"/>
          <w:szCs w:val="16"/>
        </w:rPr>
        <w:t> </w:t>
      </w:r>
      <w:r>
        <w:rPr>
          <w:rFonts w:ascii="宋体" w:hAnsi="宋体" w:cs="宋体" w:eastAsia="宋体" w:hint="default"/>
          <w:b/>
          <w:bCs/>
          <w:w w:val="95"/>
          <w:sz w:val="16"/>
          <w:szCs w:val="16"/>
        </w:rPr>
        <w:t>并</w:t>
      </w:r>
      <w:r>
        <w:rPr>
          <w:rFonts w:ascii="宋体" w:hAnsi="宋体" w:cs="宋体" w:eastAsia="宋体" w:hint="default"/>
          <w:sz w:val="16"/>
          <w:szCs w:val="16"/>
        </w:rPr>
      </w:r>
    </w:p>
    <w:p>
      <w:pPr>
        <w:spacing w:after="0" w:line="156" w:lineRule="auto"/>
        <w:jc w:val="right"/>
        <w:rPr>
          <w:rFonts w:ascii="宋体" w:hAnsi="宋体" w:cs="宋体" w:eastAsia="宋体" w:hint="default"/>
          <w:sz w:val="16"/>
          <w:szCs w:val="16"/>
        </w:rPr>
        <w:sectPr>
          <w:type w:val="continuous"/>
          <w:pgSz w:w="11910" w:h="16840"/>
          <w:pgMar w:top="1600" w:bottom="280" w:left="340" w:right="220"/>
          <w:cols w:num="2" w:equalWidth="0">
            <w:col w:w="5990" w:space="40"/>
            <w:col w:w="5320"/>
          </w:cols>
        </w:sectPr>
      </w:pPr>
    </w:p>
    <w:p>
      <w:pPr>
        <w:spacing w:line="240" w:lineRule="auto" w:before="0"/>
        <w:rPr>
          <w:rFonts w:ascii="宋体" w:hAnsi="宋体" w:cs="宋体" w:eastAsia="宋体" w:hint="default"/>
          <w:b/>
          <w:bCs/>
          <w:sz w:val="2"/>
          <w:szCs w:val="2"/>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554.550pt;height:.5pt;mso-position-horizontal-relative:char;mso-position-vertical-relative:line" coordorigin="0,0" coordsize="11091,10">
            <v:group style="position:absolute;left:5;top:5;width:11081;height:2" coordorigin="5,5" coordsize="11081,2">
              <v:shape style="position:absolute;left:5;top:5;width:11081;height:2" coordorigin="5,5" coordsize="11081,0" path="m5,5l11086,5e" filled="false" stroked="true" strokeweight=".48pt" strokecolor="#000000">
                <v:path arrowok="t"/>
              </v:shape>
            </v:group>
          </v:group>
        </w:pict>
      </w:r>
      <w:r>
        <w:rPr>
          <w:rFonts w:ascii="宋体" w:hAnsi="宋体" w:cs="宋体" w:eastAsia="宋体" w:hint="default"/>
          <w:sz w:val="2"/>
          <w:szCs w:val="2"/>
        </w:rPr>
      </w:r>
    </w:p>
    <w:p>
      <w:pPr>
        <w:tabs>
          <w:tab w:pos="3925" w:val="left" w:leader="none"/>
          <w:tab w:pos="4504" w:val="left" w:leader="none"/>
          <w:tab w:pos="5648" w:val="left" w:leader="none"/>
          <w:tab w:pos="6336" w:val="left" w:leader="none"/>
          <w:tab w:pos="7185" w:val="left" w:leader="none"/>
          <w:tab w:pos="11041" w:val="left" w:leader="none"/>
        </w:tabs>
        <w:spacing w:line="216" w:lineRule="exact" w:before="0"/>
        <w:ind w:left="401" w:right="0" w:firstLine="0"/>
        <w:jc w:val="left"/>
        <w:rPr>
          <w:rFonts w:ascii="宋体" w:hAnsi="宋体" w:cs="宋体" w:eastAsia="宋体" w:hint="default"/>
          <w:sz w:val="16"/>
          <w:szCs w:val="16"/>
        </w:rPr>
      </w:pPr>
      <w:r>
        <w:rPr>
          <w:rFonts w:ascii="宋体" w:hAnsi="宋体" w:cs="宋体" w:eastAsia="宋体" w:hint="default"/>
          <w:w w:val="95"/>
          <w:sz w:val="16"/>
          <w:szCs w:val="16"/>
        </w:rPr>
        <w:t>北京泰豪联星技术有限公司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￥5000.00</w:t>
      </w:r>
      <w:r>
        <w:rPr>
          <w:rFonts w:ascii="宋体" w:hAnsi="宋体" w:cs="宋体" w:eastAsia="宋体" w:hint="default"/>
          <w:spacing w:val="-37"/>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60.00%</w:t>
        <w:tab/>
      </w:r>
      <w:r>
        <w:rPr>
          <w:rFonts w:ascii="宋体" w:hAnsi="宋体" w:cs="宋体" w:eastAsia="宋体" w:hint="default"/>
          <w:w w:val="95"/>
          <w:sz w:val="16"/>
          <w:szCs w:val="16"/>
        </w:rPr>
        <w:t>北京海淀</w:t>
        <w:tab/>
      </w:r>
      <w:r>
        <w:rPr>
          <w:rFonts w:ascii="宋体" w:hAnsi="宋体" w:cs="宋体" w:eastAsia="宋体" w:hint="default"/>
          <w:position w:val="10"/>
          <w:sz w:val="16"/>
          <w:szCs w:val="16"/>
        </w:rPr>
        <w:t>卫星导航产业终端设备组件、系统</w:t>
      </w:r>
      <w:r>
        <w:rPr>
          <w:rFonts w:ascii="宋体" w:hAnsi="宋体" w:cs="宋体" w:eastAsia="宋体" w:hint="default"/>
          <w:spacing w:val="-4"/>
          <w:position w:val="10"/>
          <w:sz w:val="16"/>
          <w:szCs w:val="16"/>
        </w:rPr>
        <w:t> </w:t>
      </w:r>
      <w:r>
        <w:rPr>
          <w:rFonts w:ascii="宋体" w:hAnsi="宋体" w:cs="宋体" w:eastAsia="宋体" w:hint="default"/>
          <w:position w:val="10"/>
          <w:sz w:val="16"/>
          <w:szCs w:val="16"/>
        </w:rPr>
        <w:t>、</w:t>
        <w:tab/>
      </w:r>
      <w:r>
        <w:rPr>
          <w:rFonts w:ascii="宋体" w:hAnsi="宋体" w:cs="宋体" w:eastAsia="宋体" w:hint="default"/>
          <w:sz w:val="16"/>
          <w:szCs w:val="16"/>
        </w:rPr>
        <w:t>是</w:t>
      </w:r>
    </w:p>
    <w:p>
      <w:pPr>
        <w:spacing w:line="155" w:lineRule="exact" w:before="0"/>
        <w:ind w:left="7185" w:right="1394" w:firstLine="0"/>
        <w:jc w:val="left"/>
        <w:rPr>
          <w:rFonts w:ascii="宋体" w:hAnsi="宋体" w:cs="宋体" w:eastAsia="宋体" w:hint="default"/>
          <w:sz w:val="16"/>
          <w:szCs w:val="16"/>
        </w:rPr>
      </w:pPr>
      <w:r>
        <w:rPr>
          <w:rFonts w:ascii="宋体" w:hAnsi="宋体" w:cs="宋体" w:eastAsia="宋体" w:hint="default"/>
          <w:sz w:val="16"/>
          <w:szCs w:val="16"/>
        </w:rPr>
        <w:t>整机制造与销售</w:t>
      </w:r>
    </w:p>
    <w:p>
      <w:pPr>
        <w:tabs>
          <w:tab w:pos="3924" w:val="left" w:leader="none"/>
          <w:tab w:pos="4421" w:val="left" w:leader="none"/>
          <w:tab w:pos="5646" w:val="left" w:leader="none"/>
          <w:tab w:pos="6334" w:val="left" w:leader="none"/>
          <w:tab w:pos="7182" w:val="left" w:leader="none"/>
          <w:tab w:pos="11041" w:val="left" w:leader="none"/>
        </w:tabs>
        <w:spacing w:before="33"/>
        <w:ind w:left="242" w:right="0" w:firstLine="0"/>
        <w:jc w:val="left"/>
        <w:rPr>
          <w:rFonts w:ascii="宋体" w:hAnsi="宋体" w:cs="宋体" w:eastAsia="宋体" w:hint="default"/>
          <w:sz w:val="16"/>
          <w:szCs w:val="16"/>
        </w:rPr>
      </w:pPr>
      <w:r>
        <w:rPr>
          <w:rFonts w:ascii="宋体" w:hAnsi="宋体" w:cs="宋体" w:eastAsia="宋体" w:hint="default"/>
          <w:w w:val="95"/>
          <w:sz w:val="16"/>
          <w:szCs w:val="16"/>
        </w:rPr>
        <w:t>唐山晶源裕丰电子股份有限公司(SZ002049)</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￥13500.00</w:t>
      </w:r>
      <w:r>
        <w:rPr>
          <w:rFonts w:ascii="宋体" w:hAnsi="宋体" w:cs="宋体" w:eastAsia="宋体" w:hint="default"/>
          <w:spacing w:val="-36"/>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25.00%</w:t>
        <w:tab/>
      </w:r>
      <w:r>
        <w:rPr>
          <w:rFonts w:ascii="宋体" w:hAnsi="宋体" w:cs="宋体" w:eastAsia="宋体" w:hint="default"/>
          <w:w w:val="95"/>
          <w:sz w:val="16"/>
          <w:szCs w:val="16"/>
        </w:rPr>
        <w:t>河北玉田</w:t>
        <w:tab/>
        <w:t>压电石英晶体器件生产、销售及相关进出口业务</w:t>
        <w:tab/>
      </w:r>
      <w:r>
        <w:rPr>
          <w:rFonts w:ascii="宋体" w:hAnsi="宋体" w:cs="宋体" w:eastAsia="宋体" w:hint="default"/>
          <w:sz w:val="16"/>
          <w:szCs w:val="16"/>
        </w:rPr>
        <w:t>是</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50"/>
        <w:ind w:left="7185" w:right="1394" w:firstLine="0"/>
        <w:jc w:val="left"/>
        <w:rPr>
          <w:rFonts w:ascii="宋体" w:hAnsi="宋体" w:cs="宋体" w:eastAsia="宋体" w:hint="default"/>
          <w:sz w:val="16"/>
          <w:szCs w:val="16"/>
        </w:rPr>
      </w:pPr>
      <w:r>
        <w:rPr/>
        <w:pict>
          <v:shape style="position:absolute;margin-left:22.98pt;margin-top:-21.271214pt;width:555.9pt;height:620.2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2"/>
                    <w:gridCol w:w="593"/>
                    <w:gridCol w:w="1180"/>
                    <w:gridCol w:w="697"/>
                    <w:gridCol w:w="859"/>
                    <w:gridCol w:w="3822"/>
                    <w:gridCol w:w="365"/>
                  </w:tblGrid>
                  <w:tr>
                    <w:trPr>
                      <w:trHeight w:val="33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2" w:right="0"/>
                          <w:jc w:val="left"/>
                          <w:rPr>
                            <w:rFonts w:ascii="宋体" w:hAnsi="宋体" w:cs="宋体" w:eastAsia="宋体" w:hint="default"/>
                            <w:sz w:val="16"/>
                            <w:szCs w:val="16"/>
                          </w:rPr>
                        </w:pPr>
                        <w:r>
                          <w:rPr>
                            <w:rFonts w:ascii="宋体" w:hAnsi="宋体" w:cs="宋体" w:eastAsia="宋体" w:hint="default"/>
                            <w:sz w:val="16"/>
                            <w:szCs w:val="16"/>
                          </w:rPr>
                          <w:t>唐山晶源旭丰电子有限公司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
                          <w:jc w:val="right"/>
                          <w:rPr>
                            <w:rFonts w:ascii="宋体" w:hAnsi="宋体" w:cs="宋体" w:eastAsia="宋体" w:hint="default"/>
                            <w:sz w:val="16"/>
                            <w:szCs w:val="16"/>
                          </w:rPr>
                        </w:pPr>
                        <w:r>
                          <w:rPr>
                            <w:rFonts w:ascii="宋体" w:hAnsi="宋体" w:cs="宋体" w:eastAsia="宋体" w:hint="default"/>
                            <w:sz w:val="16"/>
                            <w:szCs w:val="16"/>
                          </w:rPr>
                          <w:t>US$360.00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8" w:right="0"/>
                          <w:jc w:val="center"/>
                          <w:rPr>
                            <w:rFonts w:ascii="宋体" w:hAnsi="宋体" w:cs="宋体" w:eastAsia="宋体" w:hint="default"/>
                            <w:sz w:val="16"/>
                            <w:szCs w:val="16"/>
                          </w:rPr>
                        </w:pPr>
                        <w:r>
                          <w:rPr>
                            <w:rFonts w:ascii="宋体"/>
                            <w:sz w:val="16"/>
                          </w:rPr>
                          <w:t>75.00%</w:t>
                        </w:r>
                      </w:p>
                    </w:tc>
                    <w:tc>
                      <w:tcPr>
                        <w:tcW w:w="5046" w:type="dxa"/>
                        <w:gridSpan w:val="3"/>
                        <w:tcBorders>
                          <w:top w:val="nil" w:sz="6" w:space="0" w:color="auto"/>
                          <w:left w:val="nil" w:sz="6" w:space="0" w:color="auto"/>
                          <w:bottom w:val="nil" w:sz="6" w:space="0" w:color="auto"/>
                          <w:right w:val="nil" w:sz="6" w:space="0" w:color="auto"/>
                        </w:tcBorders>
                      </w:tcPr>
                      <w:p>
                        <w:pPr>
                          <w:pStyle w:val="TableParagraph"/>
                          <w:tabs>
                            <w:tab w:pos="992" w:val="left" w:leader="none"/>
                            <w:tab w:pos="4851" w:val="left" w:leader="none"/>
                          </w:tabs>
                          <w:spacing w:line="240" w:lineRule="auto" w:before="34"/>
                          <w:ind w:left="144" w:right="0"/>
                          <w:jc w:val="left"/>
                          <w:rPr>
                            <w:rFonts w:ascii="宋体" w:hAnsi="宋体" w:cs="宋体" w:eastAsia="宋体" w:hint="default"/>
                            <w:sz w:val="16"/>
                            <w:szCs w:val="16"/>
                          </w:rPr>
                        </w:pPr>
                        <w:r>
                          <w:rPr>
                            <w:rFonts w:ascii="宋体" w:hAnsi="宋体" w:cs="宋体" w:eastAsia="宋体" w:hint="default"/>
                            <w:w w:val="95"/>
                            <w:sz w:val="16"/>
                            <w:szCs w:val="16"/>
                          </w:rPr>
                          <w:t>河北玉田</w:t>
                          <w:tab/>
                          <w:t>压电石英晶体元器件生产</w:t>
                          <w:tab/>
                        </w:r>
                        <w:r>
                          <w:rPr>
                            <w:rFonts w:ascii="宋体" w:hAnsi="宋体" w:cs="宋体" w:eastAsia="宋体" w:hint="default"/>
                            <w:sz w:val="16"/>
                            <w:szCs w:val="16"/>
                          </w:rPr>
                          <w:t>是</w:t>
                        </w:r>
                      </w:p>
                    </w:tc>
                  </w:tr>
                  <w:tr>
                    <w:trPr>
                      <w:trHeight w:val="342"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2" w:right="0"/>
                          <w:jc w:val="left"/>
                          <w:rPr>
                            <w:rFonts w:ascii="宋体" w:hAnsi="宋体" w:cs="宋体" w:eastAsia="宋体" w:hint="default"/>
                            <w:sz w:val="16"/>
                            <w:szCs w:val="16"/>
                          </w:rPr>
                        </w:pPr>
                        <w:r>
                          <w:rPr>
                            <w:rFonts w:ascii="宋体" w:hAnsi="宋体" w:cs="宋体" w:eastAsia="宋体" w:hint="default"/>
                            <w:sz w:val="16"/>
                            <w:szCs w:val="16"/>
                          </w:rPr>
                          <w:t>北京晶源裕丰光学电子器件有限公司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9"/>
                          <w:jc w:val="right"/>
                          <w:rPr>
                            <w:rFonts w:ascii="宋体" w:hAnsi="宋体" w:cs="宋体" w:eastAsia="宋体" w:hint="default"/>
                            <w:sz w:val="16"/>
                            <w:szCs w:val="16"/>
                          </w:rPr>
                        </w:pPr>
                        <w:r>
                          <w:rPr>
                            <w:rFonts w:ascii="宋体" w:hAnsi="宋体" w:cs="宋体" w:eastAsia="宋体" w:hint="default"/>
                            <w:sz w:val="16"/>
                            <w:szCs w:val="16"/>
                          </w:rPr>
                          <w:t>￥500.00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 w:right="0"/>
                          <w:jc w:val="center"/>
                          <w:rPr>
                            <w:rFonts w:ascii="宋体" w:hAnsi="宋体" w:cs="宋体" w:eastAsia="宋体" w:hint="default"/>
                            <w:sz w:val="16"/>
                            <w:szCs w:val="16"/>
                          </w:rPr>
                        </w:pPr>
                        <w:r>
                          <w:rPr>
                            <w:rFonts w:ascii="宋体"/>
                            <w:sz w:val="16"/>
                          </w:rPr>
                          <w:t>100.00%</w:t>
                        </w:r>
                      </w:p>
                    </w:tc>
                    <w:tc>
                      <w:tcPr>
                        <w:tcW w:w="5046" w:type="dxa"/>
                        <w:gridSpan w:val="3"/>
                        <w:tcBorders>
                          <w:top w:val="nil" w:sz="6" w:space="0" w:color="auto"/>
                          <w:left w:val="nil" w:sz="6" w:space="0" w:color="auto"/>
                          <w:bottom w:val="nil" w:sz="6" w:space="0" w:color="auto"/>
                          <w:right w:val="nil" w:sz="6" w:space="0" w:color="auto"/>
                        </w:tcBorders>
                      </w:tcPr>
                      <w:p>
                        <w:pPr>
                          <w:pStyle w:val="TableParagraph"/>
                          <w:tabs>
                            <w:tab w:pos="993" w:val="left" w:leader="none"/>
                            <w:tab w:pos="4850" w:val="left" w:leader="none"/>
                          </w:tabs>
                          <w:spacing w:line="251" w:lineRule="exact"/>
                          <w:ind w:left="145" w:right="0"/>
                          <w:jc w:val="left"/>
                          <w:rPr>
                            <w:rFonts w:ascii="宋体" w:hAnsi="宋体" w:cs="宋体" w:eastAsia="宋体" w:hint="default"/>
                            <w:sz w:val="16"/>
                            <w:szCs w:val="16"/>
                          </w:rPr>
                        </w:pPr>
                        <w:r>
                          <w:rPr>
                            <w:rFonts w:ascii="宋体" w:hAnsi="宋体" w:cs="宋体" w:eastAsia="宋体" w:hint="default"/>
                            <w:w w:val="95"/>
                            <w:position w:val="-9"/>
                            <w:sz w:val="16"/>
                            <w:szCs w:val="16"/>
                          </w:rPr>
                          <w:t>北京朝阳</w:t>
                          <w:tab/>
                        </w:r>
                        <w:r>
                          <w:rPr>
                            <w:rFonts w:ascii="宋体" w:hAnsi="宋体" w:cs="宋体" w:eastAsia="宋体" w:hint="default"/>
                            <w:w w:val="95"/>
                            <w:sz w:val="16"/>
                            <w:szCs w:val="16"/>
                          </w:rPr>
                          <w:t>石英晶体器件加工、光学镜片真空镀膜</w:t>
                          <w:tab/>
                        </w:r>
                        <w:r>
                          <w:rPr>
                            <w:rFonts w:ascii="宋体" w:hAnsi="宋体" w:cs="宋体" w:eastAsia="宋体" w:hint="default"/>
                            <w:position w:val="-9"/>
                            <w:sz w:val="16"/>
                            <w:szCs w:val="16"/>
                          </w:rPr>
                          <w:t>是</w:t>
                        </w:r>
                        <w:r>
                          <w:rPr>
                            <w:rFonts w:ascii="宋体" w:hAnsi="宋体" w:cs="宋体" w:eastAsia="宋体" w:hint="default"/>
                            <w:sz w:val="16"/>
                            <w:szCs w:val="16"/>
                          </w:rPr>
                        </w:r>
                      </w:p>
                    </w:tc>
                  </w:tr>
                  <w:tr>
                    <w:trPr>
                      <w:trHeight w:val="313"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1" w:right="0"/>
                          <w:jc w:val="left"/>
                          <w:rPr>
                            <w:rFonts w:ascii="宋体" w:hAnsi="宋体" w:cs="宋体" w:eastAsia="宋体" w:hint="default"/>
                            <w:sz w:val="16"/>
                            <w:szCs w:val="16"/>
                          </w:rPr>
                        </w:pPr>
                        <w:r>
                          <w:rPr>
                            <w:rFonts w:ascii="宋体" w:hAnsi="宋体" w:cs="宋体" w:eastAsia="宋体" w:hint="default"/>
                            <w:sz w:val="16"/>
                            <w:szCs w:val="16"/>
                          </w:rPr>
                          <w:t>深圳市晶源健三电子有限公司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0"/>
                          <w:jc w:val="right"/>
                          <w:rPr>
                            <w:rFonts w:ascii="宋体" w:hAnsi="宋体" w:cs="宋体" w:eastAsia="宋体" w:hint="default"/>
                            <w:sz w:val="16"/>
                            <w:szCs w:val="16"/>
                          </w:rPr>
                        </w:pPr>
                        <w:r>
                          <w:rPr>
                            <w:rFonts w:ascii="宋体" w:hAnsi="宋体" w:cs="宋体" w:eastAsia="宋体" w:hint="default"/>
                            <w:sz w:val="16"/>
                            <w:szCs w:val="16"/>
                          </w:rPr>
                          <w:t>￥600.00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8" w:right="0"/>
                          <w:jc w:val="center"/>
                          <w:rPr>
                            <w:rFonts w:ascii="宋体" w:hAnsi="宋体" w:cs="宋体" w:eastAsia="宋体" w:hint="default"/>
                            <w:sz w:val="16"/>
                            <w:szCs w:val="16"/>
                          </w:rPr>
                        </w:pPr>
                        <w:r>
                          <w:rPr>
                            <w:rFonts w:ascii="宋体"/>
                            <w:sz w:val="16"/>
                          </w:rPr>
                          <w:t>50.00%</w:t>
                        </w:r>
                      </w:p>
                    </w:tc>
                    <w:tc>
                      <w:tcPr>
                        <w:tcW w:w="5046" w:type="dxa"/>
                        <w:gridSpan w:val="3"/>
                        <w:tcBorders>
                          <w:top w:val="nil" w:sz="6" w:space="0" w:color="auto"/>
                          <w:left w:val="nil" w:sz="6" w:space="0" w:color="auto"/>
                          <w:bottom w:val="nil" w:sz="6" w:space="0" w:color="auto"/>
                          <w:right w:val="nil" w:sz="6" w:space="0" w:color="auto"/>
                        </w:tcBorders>
                      </w:tcPr>
                      <w:p>
                        <w:pPr>
                          <w:pStyle w:val="TableParagraph"/>
                          <w:tabs>
                            <w:tab w:pos="992" w:val="left" w:leader="none"/>
                            <w:tab w:pos="4850" w:val="left" w:leader="none"/>
                          </w:tabs>
                          <w:spacing w:line="240" w:lineRule="auto" w:before="41"/>
                          <w:ind w:left="144" w:right="0"/>
                          <w:jc w:val="left"/>
                          <w:rPr>
                            <w:rFonts w:ascii="宋体" w:hAnsi="宋体" w:cs="宋体" w:eastAsia="宋体" w:hint="default"/>
                            <w:sz w:val="16"/>
                            <w:szCs w:val="16"/>
                          </w:rPr>
                        </w:pPr>
                        <w:r>
                          <w:rPr>
                            <w:rFonts w:ascii="宋体" w:hAnsi="宋体" w:cs="宋体" w:eastAsia="宋体" w:hint="default"/>
                            <w:w w:val="95"/>
                            <w:sz w:val="16"/>
                            <w:szCs w:val="16"/>
                          </w:rPr>
                          <w:t>广东深圳</w:t>
                          <w:tab/>
                          <w:t>电子产品购销贸易</w:t>
                          <w:tab/>
                        </w:r>
                        <w:r>
                          <w:rPr>
                            <w:rFonts w:ascii="宋体" w:hAnsi="宋体" w:cs="宋体" w:eastAsia="宋体" w:hint="default"/>
                            <w:sz w:val="16"/>
                            <w:szCs w:val="16"/>
                          </w:rPr>
                          <w:t>是</w:t>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42" w:right="0"/>
                          <w:jc w:val="left"/>
                          <w:rPr>
                            <w:rFonts w:ascii="宋体" w:hAnsi="宋体" w:cs="宋体" w:eastAsia="宋体" w:hint="default"/>
                            <w:sz w:val="16"/>
                            <w:szCs w:val="16"/>
                          </w:rPr>
                        </w:pPr>
                        <w:r>
                          <w:rPr>
                            <w:rFonts w:ascii="宋体" w:hAnsi="宋体" w:cs="宋体" w:eastAsia="宋体" w:hint="default"/>
                            <w:sz w:val="16"/>
                            <w:szCs w:val="16"/>
                          </w:rPr>
                          <w:t>深圳市晶源健三科技有限公司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电子产品购销贸易</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1"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42" w:right="0"/>
                          <w:jc w:val="left"/>
                          <w:rPr>
                            <w:rFonts w:ascii="宋体" w:hAnsi="宋体" w:cs="宋体" w:eastAsia="宋体" w:hint="default"/>
                            <w:sz w:val="16"/>
                            <w:szCs w:val="16"/>
                          </w:rPr>
                        </w:pPr>
                        <w:r>
                          <w:rPr>
                            <w:rFonts w:ascii="宋体" w:hAnsi="宋体" w:cs="宋体" w:eastAsia="宋体" w:hint="default"/>
                            <w:sz w:val="16"/>
                            <w:szCs w:val="16"/>
                          </w:rPr>
                          <w:t>上海晶三进出口有限公司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3" w:right="-5"/>
                          <w:jc w:val="center"/>
                          <w:rPr>
                            <w:rFonts w:ascii="宋体" w:hAnsi="宋体" w:cs="宋体" w:eastAsia="宋体" w:hint="default"/>
                            <w:sz w:val="16"/>
                            <w:szCs w:val="16"/>
                          </w:rPr>
                        </w:pPr>
                        <w:r>
                          <w:rPr>
                            <w:rFonts w:ascii="宋体" w:hAnsi="宋体" w:cs="宋体" w:eastAsia="宋体" w:hint="default"/>
                            <w:w w:val="95"/>
                            <w:sz w:val="16"/>
                            <w:szCs w:val="16"/>
                          </w:rPr>
                          <w:t>上海外高桥</w:t>
                        </w:r>
                        <w:r>
                          <w:rPr>
                            <w:rFonts w:ascii="宋体" w:hAnsi="宋体" w:cs="宋体" w:eastAsia="宋体" w:hint="default"/>
                            <w:sz w:val="16"/>
                            <w:szCs w:val="16"/>
                          </w:rPr>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货物与技术进出口业务、转口贸易及相关代理服务</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13" w:hRule="exact"/>
                    </w:trPr>
                    <w:tc>
                      <w:tcPr>
                        <w:tcW w:w="11117" w:type="dxa"/>
                        <w:gridSpan w:val="7"/>
                        <w:tcBorders>
                          <w:top w:val="nil" w:sz="6" w:space="0" w:color="auto"/>
                          <w:left w:val="nil" w:sz="6" w:space="0" w:color="auto"/>
                          <w:bottom w:val="nil" w:sz="6" w:space="0" w:color="auto"/>
                          <w:right w:val="nil" w:sz="6" w:space="0" w:color="auto"/>
                        </w:tcBorders>
                      </w:tcPr>
                      <w:p>
                        <w:pPr>
                          <w:pStyle w:val="TableParagraph"/>
                          <w:tabs>
                            <w:tab w:pos="3806" w:val="left" w:leader="none"/>
                            <w:tab w:pos="4463" w:val="left" w:leader="none"/>
                            <w:tab w:pos="6217" w:val="left" w:leader="none"/>
                            <w:tab w:pos="7065" w:val="left" w:leader="none"/>
                            <w:tab w:pos="10922" w:val="left" w:leader="none"/>
                          </w:tabs>
                          <w:spacing w:line="240" w:lineRule="auto" w:before="32"/>
                          <w:ind w:left="442" w:right="0"/>
                          <w:jc w:val="left"/>
                          <w:rPr>
                            <w:rFonts w:ascii="宋体" w:hAnsi="宋体" w:cs="宋体" w:eastAsia="宋体" w:hint="default"/>
                            <w:sz w:val="16"/>
                            <w:szCs w:val="16"/>
                          </w:rPr>
                        </w:pPr>
                        <w:r>
                          <w:rPr>
                            <w:rFonts w:ascii="宋体" w:hAnsi="宋体" w:cs="宋体" w:eastAsia="宋体" w:hint="default"/>
                            <w:w w:val="95"/>
                            <w:sz w:val="16"/>
                            <w:szCs w:val="16"/>
                          </w:rPr>
                          <w:t>苏州晶健电子有限公司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￥200.00 万</w:t>
                        </w:r>
                        <w:r>
                          <w:rPr>
                            <w:rFonts w:ascii="宋体" w:hAnsi="宋体" w:cs="宋体" w:eastAsia="宋体" w:hint="default"/>
                            <w:spacing w:val="19"/>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江苏苏州</w:t>
                          <w:tab/>
                        </w:r>
                        <w:r>
                          <w:rPr>
                            <w:rFonts w:ascii="宋体" w:hAnsi="宋体" w:cs="宋体" w:eastAsia="宋体" w:hint="default"/>
                            <w:w w:val="95"/>
                            <w:position w:val="10"/>
                            <w:sz w:val="16"/>
                            <w:szCs w:val="16"/>
                          </w:rPr>
                          <w:t>办公设备、通讯器材、家电配件、</w:t>
                          <w:tab/>
                        </w:r>
                        <w:r>
                          <w:rPr>
                            <w:rFonts w:ascii="宋体" w:hAnsi="宋体" w:cs="宋体" w:eastAsia="宋体" w:hint="default"/>
                            <w:sz w:val="16"/>
                            <w:szCs w:val="16"/>
                          </w:rPr>
                          <w:t>是</w:t>
                        </w:r>
                      </w:p>
                    </w:tc>
                  </w:tr>
                  <w:tr>
                    <w:trPr>
                      <w:trHeight w:val="171" w:hRule="exact"/>
                    </w:trPr>
                    <w:tc>
                      <w:tcPr>
                        <w:tcW w:w="3602"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822" w:type="dxa"/>
                        <w:tcBorders>
                          <w:top w:val="nil" w:sz="6" w:space="0" w:color="auto"/>
                          <w:left w:val="nil" w:sz="6" w:space="0" w:color="auto"/>
                          <w:bottom w:val="nil" w:sz="6" w:space="0" w:color="auto"/>
                          <w:right w:val="nil" w:sz="6" w:space="0" w:color="auto"/>
                        </w:tcBorders>
                      </w:tcPr>
                      <w:p>
                        <w:pPr>
                          <w:pStyle w:val="TableParagraph"/>
                          <w:spacing w:line="130" w:lineRule="exact"/>
                          <w:ind w:left="134" w:right="0"/>
                          <w:jc w:val="left"/>
                          <w:rPr>
                            <w:rFonts w:ascii="宋体" w:hAnsi="宋体" w:cs="宋体" w:eastAsia="宋体" w:hint="default"/>
                            <w:sz w:val="16"/>
                            <w:szCs w:val="16"/>
                          </w:rPr>
                        </w:pPr>
                        <w:r>
                          <w:rPr>
                            <w:rFonts w:ascii="宋体" w:hAnsi="宋体" w:cs="宋体" w:eastAsia="宋体" w:hint="default"/>
                            <w:sz w:val="16"/>
                            <w:szCs w:val="16"/>
                          </w:rPr>
                          <w:t>汽车电子及工业电子电器配件销售</w:t>
                        </w:r>
                      </w:p>
                    </w:tc>
                    <w:tc>
                      <w:tcPr>
                        <w:tcW w:w="365" w:type="dxa"/>
                        <w:tcBorders>
                          <w:top w:val="nil" w:sz="6" w:space="0" w:color="auto"/>
                          <w:left w:val="nil" w:sz="6" w:space="0" w:color="auto"/>
                          <w:bottom w:val="nil" w:sz="6" w:space="0" w:color="auto"/>
                          <w:right w:val="nil" w:sz="6" w:space="0" w:color="auto"/>
                        </w:tcBorders>
                      </w:tcPr>
                      <w:p>
                        <w:pPr/>
                      </w:p>
                    </w:tc>
                  </w:tr>
                  <w:tr>
                    <w:trPr>
                      <w:trHeight w:val="263"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北京同方微电子有限公司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00" w:lineRule="exact"/>
                          <w:ind w:right="10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00" w:lineRule="exact"/>
                          <w:ind w:right="71"/>
                          <w:jc w:val="right"/>
                          <w:rPr>
                            <w:rFonts w:ascii="宋体" w:hAnsi="宋体" w:cs="宋体" w:eastAsia="宋体" w:hint="default"/>
                            <w:sz w:val="16"/>
                            <w:szCs w:val="16"/>
                          </w:rPr>
                        </w:pPr>
                        <w:r>
                          <w:rPr>
                            <w:rFonts w:ascii="宋体" w:hAnsi="宋体" w:cs="宋体" w:eastAsia="宋体" w:hint="default"/>
                            <w:sz w:val="16"/>
                            <w:szCs w:val="16"/>
                          </w:rPr>
                          <w:t>￥3160.00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00" w:lineRule="exact"/>
                          <w:ind w:left="87" w:right="0"/>
                          <w:jc w:val="center"/>
                          <w:rPr>
                            <w:rFonts w:ascii="宋体" w:hAnsi="宋体" w:cs="宋体" w:eastAsia="宋体" w:hint="default"/>
                            <w:sz w:val="16"/>
                            <w:szCs w:val="16"/>
                          </w:rPr>
                        </w:pPr>
                        <w:r>
                          <w:rPr>
                            <w:rFonts w:ascii="宋体"/>
                            <w:sz w:val="16"/>
                          </w:rPr>
                          <w:t>86.00%</w:t>
                        </w:r>
                      </w:p>
                    </w:tc>
                    <w:tc>
                      <w:tcPr>
                        <w:tcW w:w="859" w:type="dxa"/>
                        <w:tcBorders>
                          <w:top w:val="nil" w:sz="6" w:space="0" w:color="auto"/>
                          <w:left w:val="nil" w:sz="6" w:space="0" w:color="auto"/>
                          <w:bottom w:val="nil" w:sz="6" w:space="0" w:color="auto"/>
                          <w:right w:val="nil" w:sz="6" w:space="0" w:color="auto"/>
                        </w:tcBorders>
                      </w:tcPr>
                      <w:p>
                        <w:pPr>
                          <w:pStyle w:val="TableParagraph"/>
                          <w:spacing w:line="200" w:lineRule="exact"/>
                          <w:ind w:left="68"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00" w:lineRule="exact"/>
                          <w:ind w:left="132" w:right="0"/>
                          <w:jc w:val="left"/>
                          <w:rPr>
                            <w:rFonts w:ascii="宋体" w:hAnsi="宋体" w:cs="宋体" w:eastAsia="宋体" w:hint="default"/>
                            <w:sz w:val="16"/>
                            <w:szCs w:val="16"/>
                          </w:rPr>
                        </w:pPr>
                        <w:r>
                          <w:rPr>
                            <w:rFonts w:ascii="宋体" w:hAnsi="宋体" w:cs="宋体" w:eastAsia="宋体" w:hint="default"/>
                            <w:sz w:val="16"/>
                            <w:szCs w:val="16"/>
                          </w:rPr>
                          <w:t>半导体集成电路芯片及相关产品</w:t>
                        </w:r>
                      </w:p>
                    </w:tc>
                    <w:tc>
                      <w:tcPr>
                        <w:tcW w:w="365" w:type="dxa"/>
                        <w:tcBorders>
                          <w:top w:val="nil" w:sz="6" w:space="0" w:color="auto"/>
                          <w:left w:val="nil" w:sz="6" w:space="0" w:color="auto"/>
                          <w:bottom w:val="nil" w:sz="6" w:space="0" w:color="auto"/>
                          <w:right w:val="nil" w:sz="6" w:space="0" w:color="auto"/>
                        </w:tcBorders>
                      </w:tcPr>
                      <w:p>
                        <w:pPr>
                          <w:pStyle w:val="TableParagraph"/>
                          <w:spacing w:line="200" w:lineRule="exact"/>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￥15000.00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6" w:right="0"/>
                          <w:jc w:val="center"/>
                          <w:rPr>
                            <w:rFonts w:ascii="宋体" w:hAnsi="宋体" w:cs="宋体" w:eastAsia="宋体" w:hint="default"/>
                            <w:sz w:val="16"/>
                            <w:szCs w:val="16"/>
                          </w:rPr>
                        </w:pPr>
                        <w:r>
                          <w:rPr>
                            <w:rFonts w:ascii="宋体"/>
                            <w:sz w:val="16"/>
                          </w:rPr>
                          <w:t>76.00%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核放射集装箱/物品检查系统、工业射线装置</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清华同方威视技术（香港）有限公司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HK$2259.74</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42" w:right="0"/>
                          <w:jc w:val="left"/>
                          <w:rPr>
                            <w:rFonts w:ascii="宋体" w:hAnsi="宋体" w:cs="宋体" w:eastAsia="宋体" w:hint="default"/>
                            <w:sz w:val="16"/>
                            <w:szCs w:val="16"/>
                          </w:rPr>
                        </w:pPr>
                        <w:r>
                          <w:rPr>
                            <w:rFonts w:ascii="宋体"/>
                            <w:sz w:val="16"/>
                          </w:rPr>
                          <w:t>Nuctech Sydney Pty</w:t>
                        </w:r>
                        <w:r>
                          <w:rPr>
                            <w:rFonts w:ascii="宋体"/>
                            <w:spacing w:val="-11"/>
                            <w:sz w:val="16"/>
                          </w:rPr>
                          <w:t> </w:t>
                        </w:r>
                        <w:r>
                          <w:rPr>
                            <w:rFonts w:ascii="宋体"/>
                            <w:sz w:val="16"/>
                          </w:rPr>
                          <w:t>Ltd.</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4"/>
                          <w:jc w:val="right"/>
                          <w:rPr>
                            <w:rFonts w:ascii="宋体" w:hAnsi="宋体" w:cs="宋体" w:eastAsia="宋体" w:hint="default"/>
                            <w:sz w:val="16"/>
                            <w:szCs w:val="16"/>
                          </w:rPr>
                        </w:pPr>
                        <w:r>
                          <w:rPr>
                            <w:rFonts w:ascii="宋体" w:hAnsi="宋体" w:cs="宋体" w:eastAsia="宋体" w:hint="default"/>
                            <w:sz w:val="16"/>
                            <w:szCs w:val="16"/>
                          </w:rPr>
                          <w:t>AU$7.50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1" w:right="0"/>
                          <w:jc w:val="center"/>
                          <w:rPr>
                            <w:rFonts w:ascii="宋体" w:hAnsi="宋体" w:cs="宋体" w:eastAsia="宋体" w:hint="default"/>
                            <w:sz w:val="16"/>
                            <w:szCs w:val="16"/>
                          </w:rPr>
                        </w:pPr>
                        <w:r>
                          <w:rPr>
                            <w:rFonts w:ascii="宋体"/>
                            <w:sz w:val="16"/>
                          </w:rPr>
                          <w:t>90.00%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3" w:right="0"/>
                          <w:jc w:val="center"/>
                          <w:rPr>
                            <w:rFonts w:ascii="宋体" w:hAnsi="宋体" w:cs="宋体" w:eastAsia="宋体" w:hint="default"/>
                            <w:sz w:val="16"/>
                            <w:szCs w:val="16"/>
                          </w:rPr>
                        </w:pPr>
                        <w:r>
                          <w:rPr>
                            <w:rFonts w:ascii="宋体" w:hAnsi="宋体" w:cs="宋体" w:eastAsia="宋体" w:hint="default"/>
                            <w:sz w:val="16"/>
                            <w:szCs w:val="16"/>
                          </w:rPr>
                          <w:t>澳洲悉尼</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0"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2"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42" w:right="0"/>
                          <w:jc w:val="left"/>
                          <w:rPr>
                            <w:rFonts w:ascii="宋体" w:hAnsi="宋体" w:cs="宋体" w:eastAsia="宋体" w:hint="default"/>
                            <w:sz w:val="16"/>
                            <w:szCs w:val="16"/>
                          </w:rPr>
                        </w:pPr>
                        <w:r>
                          <w:rPr>
                            <w:rFonts w:ascii="宋体"/>
                            <w:sz w:val="16"/>
                          </w:rPr>
                          <w:t>Nuctech Warsaw Co., Ltd. Sp. Z</w:t>
                        </w:r>
                        <w:r>
                          <w:rPr>
                            <w:rFonts w:ascii="宋体"/>
                            <w:spacing w:val="-17"/>
                            <w:sz w:val="16"/>
                          </w:rPr>
                          <w:t> </w:t>
                        </w:r>
                        <w:r>
                          <w:rPr>
                            <w:rFonts w:ascii="宋体"/>
                            <w:sz w:val="16"/>
                          </w:rPr>
                          <w:t>o.o.</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宋体" w:hAnsi="宋体" w:cs="宋体" w:eastAsia="宋体" w:hint="default"/>
                            <w:sz w:val="16"/>
                            <w:szCs w:val="16"/>
                          </w:rPr>
                        </w:pPr>
                        <w:r>
                          <w:rPr>
                            <w:rFonts w:ascii="宋体" w:hAnsi="宋体" w:cs="宋体" w:eastAsia="宋体" w:hint="default"/>
                            <w:sz w:val="16"/>
                            <w:szCs w:val="16"/>
                          </w:rPr>
                          <w:t>PolZ10.00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6" w:right="0"/>
                          <w:jc w:val="center"/>
                          <w:rPr>
                            <w:rFonts w:ascii="宋体" w:hAnsi="宋体" w:cs="宋体" w:eastAsia="宋体" w:hint="default"/>
                            <w:sz w:val="16"/>
                            <w:szCs w:val="16"/>
                          </w:rPr>
                        </w:pPr>
                        <w:r>
                          <w:rPr>
                            <w:rFonts w:ascii="宋体"/>
                            <w:sz w:val="16"/>
                          </w:rPr>
                          <w:t>80.00%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center"/>
                          <w:rPr>
                            <w:rFonts w:ascii="宋体" w:hAnsi="宋体" w:cs="宋体" w:eastAsia="宋体" w:hint="default"/>
                            <w:sz w:val="16"/>
                            <w:szCs w:val="16"/>
                          </w:rPr>
                        </w:pPr>
                        <w:r>
                          <w:rPr>
                            <w:rFonts w:ascii="宋体" w:hAnsi="宋体" w:cs="宋体" w:eastAsia="宋体" w:hint="default"/>
                            <w:sz w:val="16"/>
                            <w:szCs w:val="16"/>
                          </w:rPr>
                          <w:t>波兰华沙</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4"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3"/>
                            <w:sz w:val="16"/>
                            <w:szCs w:val="16"/>
                          </w:rPr>
                          <w:t> </w:t>
                        </w:r>
                        <w:r>
                          <w:rPr>
                            <w:rFonts w:ascii="宋体" w:hAnsi="宋体" w:cs="宋体" w:eastAsia="宋体" w:hint="default"/>
                            <w:sz w:val="16"/>
                            <w:szCs w:val="16"/>
                          </w:rPr>
                          <w:t>射线检查设备安装、分销及维护</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62"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42" w:right="0"/>
                          <w:jc w:val="left"/>
                          <w:rPr>
                            <w:rFonts w:ascii="宋体" w:hAnsi="宋体" w:cs="宋体" w:eastAsia="宋体" w:hint="default"/>
                            <w:sz w:val="16"/>
                            <w:szCs w:val="16"/>
                          </w:rPr>
                        </w:pPr>
                        <w:r>
                          <w:rPr>
                            <w:rFonts w:ascii="宋体" w:hAnsi="宋体"/>
                            <w:sz w:val="16"/>
                          </w:rPr>
                          <w:t>Nuctech Ankara Güvenlik</w:t>
                        </w:r>
                        <w:r>
                          <w:rPr>
                            <w:rFonts w:ascii="宋体" w:hAnsi="宋体"/>
                            <w:spacing w:val="-16"/>
                            <w:sz w:val="16"/>
                          </w:rPr>
                          <w:t> </w:t>
                        </w:r>
                        <w:r>
                          <w:rPr>
                            <w:rFonts w:ascii="宋体" w:hAnsi="宋体"/>
                            <w:sz w:val="16"/>
                          </w:rPr>
                          <w:t>Sistemleri</w:t>
                        </w:r>
                      </w:p>
                    </w:tc>
                    <w:tc>
                      <w:tcPr>
                        <w:tcW w:w="59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1" w:right="0"/>
                          <w:jc w:val="center"/>
                          <w:rPr>
                            <w:rFonts w:ascii="宋体" w:hAnsi="宋体" w:cs="宋体" w:eastAsia="宋体" w:hint="default"/>
                            <w:sz w:val="16"/>
                            <w:szCs w:val="16"/>
                          </w:rPr>
                        </w:pPr>
                        <w:r>
                          <w:rPr>
                            <w:rFonts w:ascii="宋体" w:hAnsi="宋体" w:cs="宋体" w:eastAsia="宋体" w:hint="default"/>
                            <w:sz w:val="16"/>
                            <w:szCs w:val="16"/>
                          </w:rPr>
                          <w:t>土耳其</w:t>
                        </w:r>
                      </w:p>
                    </w:tc>
                    <w:tc>
                      <w:tcPr>
                        <w:tcW w:w="3822"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r>
                  <w:tr>
                    <w:trPr>
                      <w:trHeight w:val="221"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160" w:lineRule="exact"/>
                          <w:ind w:left="442" w:right="0"/>
                          <w:jc w:val="left"/>
                          <w:rPr>
                            <w:rFonts w:ascii="宋体" w:hAnsi="宋体" w:cs="宋体" w:eastAsia="宋体" w:hint="default"/>
                            <w:sz w:val="16"/>
                            <w:szCs w:val="16"/>
                          </w:rPr>
                        </w:pPr>
                        <w:r>
                          <w:rPr>
                            <w:rFonts w:ascii="宋体"/>
                            <w:sz w:val="16"/>
                          </w:rPr>
                          <w:t>Sanayi ve Dis Ticaret Limited</w:t>
                        </w:r>
                        <w:r>
                          <w:rPr>
                            <w:rFonts w:ascii="宋体"/>
                            <w:spacing w:val="-18"/>
                            <w:sz w:val="16"/>
                          </w:rPr>
                          <w:t> </w:t>
                        </w:r>
                        <w:r>
                          <w:rPr>
                            <w:rFonts w:ascii="宋体"/>
                            <w:sz w:val="16"/>
                          </w:rPr>
                          <w:t>Sirketi</w:t>
                        </w:r>
                      </w:p>
                    </w:tc>
                    <w:tc>
                      <w:tcPr>
                        <w:tcW w:w="59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160" w:lineRule="exact"/>
                          <w:ind w:left="71" w:right="0"/>
                          <w:jc w:val="center"/>
                          <w:rPr>
                            <w:rFonts w:ascii="宋体" w:hAnsi="宋体" w:cs="宋体" w:eastAsia="宋体" w:hint="default"/>
                            <w:sz w:val="16"/>
                            <w:szCs w:val="16"/>
                          </w:rPr>
                        </w:pPr>
                        <w:r>
                          <w:rPr>
                            <w:rFonts w:ascii="宋体" w:hAnsi="宋体" w:cs="宋体" w:eastAsia="宋体" w:hint="default"/>
                            <w:sz w:val="16"/>
                            <w:szCs w:val="16"/>
                          </w:rPr>
                          <w:t>安卡拉</w:t>
                        </w:r>
                      </w:p>
                    </w:tc>
                    <w:tc>
                      <w:tcPr>
                        <w:tcW w:w="3822"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r>
                  <w:tr>
                    <w:trPr>
                      <w:trHeight w:val="263"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01" w:lineRule="exact"/>
                          <w:ind w:left="442" w:right="0"/>
                          <w:jc w:val="left"/>
                          <w:rPr>
                            <w:rFonts w:ascii="宋体" w:hAnsi="宋体" w:cs="宋体" w:eastAsia="宋体" w:hint="default"/>
                            <w:sz w:val="16"/>
                            <w:szCs w:val="16"/>
                          </w:rPr>
                        </w:pPr>
                        <w:r>
                          <w:rPr>
                            <w:rFonts w:ascii="宋体"/>
                            <w:sz w:val="16"/>
                          </w:rPr>
                          <w:t>Deltrade 11 (Proprietary)</w:t>
                        </w:r>
                        <w:r>
                          <w:rPr>
                            <w:rFonts w:ascii="宋体"/>
                            <w:spacing w:val="-15"/>
                            <w:sz w:val="16"/>
                          </w:rPr>
                          <w:t> </w:t>
                        </w:r>
                        <w:r>
                          <w:rPr>
                            <w:rFonts w:ascii="宋体"/>
                            <w:sz w:val="16"/>
                          </w:rPr>
                          <w:t>Ltd.</w:t>
                        </w:r>
                      </w:p>
                    </w:tc>
                    <w:tc>
                      <w:tcPr>
                        <w:tcW w:w="593" w:type="dxa"/>
                        <w:tcBorders>
                          <w:top w:val="nil" w:sz="6" w:space="0" w:color="auto"/>
                          <w:left w:val="nil" w:sz="6" w:space="0" w:color="auto"/>
                          <w:bottom w:val="nil" w:sz="6" w:space="0" w:color="auto"/>
                          <w:right w:val="nil" w:sz="6" w:space="0" w:color="auto"/>
                        </w:tcBorders>
                      </w:tcPr>
                      <w:p>
                        <w:pPr>
                          <w:pStyle w:val="TableParagraph"/>
                          <w:spacing w:line="201" w:lineRule="exact"/>
                          <w:ind w:right="112"/>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01" w:lineRule="exact"/>
                          <w:ind w:right="74"/>
                          <w:jc w:val="right"/>
                          <w:rPr>
                            <w:rFonts w:ascii="宋体" w:hAnsi="宋体" w:cs="宋体" w:eastAsia="宋体" w:hint="default"/>
                            <w:sz w:val="16"/>
                            <w:szCs w:val="16"/>
                          </w:rPr>
                        </w:pPr>
                        <w:r>
                          <w:rPr>
                            <w:rFonts w:ascii="宋体" w:hAnsi="宋体" w:cs="宋体" w:eastAsia="宋体" w:hint="default"/>
                            <w:sz w:val="16"/>
                            <w:szCs w:val="16"/>
                          </w:rPr>
                          <w:t>SAL0.01</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01" w:lineRule="exact"/>
                          <w:ind w:left="81" w:right="0"/>
                          <w:jc w:val="center"/>
                          <w:rPr>
                            <w:rFonts w:ascii="宋体" w:hAnsi="宋体" w:cs="宋体" w:eastAsia="宋体" w:hint="default"/>
                            <w:sz w:val="16"/>
                            <w:szCs w:val="16"/>
                          </w:rPr>
                        </w:pPr>
                        <w:r>
                          <w:rPr>
                            <w:rFonts w:ascii="宋体"/>
                            <w:sz w:val="16"/>
                          </w:rPr>
                          <w:t>51.00%</w:t>
                        </w:r>
                      </w:p>
                    </w:tc>
                    <w:tc>
                      <w:tcPr>
                        <w:tcW w:w="859" w:type="dxa"/>
                        <w:tcBorders>
                          <w:top w:val="nil" w:sz="6" w:space="0" w:color="auto"/>
                          <w:left w:val="nil" w:sz="6" w:space="0" w:color="auto"/>
                          <w:bottom w:val="nil" w:sz="6" w:space="0" w:color="auto"/>
                          <w:right w:val="nil" w:sz="6" w:space="0" w:color="auto"/>
                        </w:tcBorders>
                      </w:tcPr>
                      <w:p>
                        <w:pPr>
                          <w:pStyle w:val="TableParagraph"/>
                          <w:spacing w:line="201" w:lineRule="exact"/>
                          <w:ind w:left="63" w:right="0"/>
                          <w:jc w:val="center"/>
                          <w:rPr>
                            <w:rFonts w:ascii="宋体" w:hAnsi="宋体" w:cs="宋体" w:eastAsia="宋体" w:hint="default"/>
                            <w:sz w:val="16"/>
                            <w:szCs w:val="16"/>
                          </w:rPr>
                        </w:pPr>
                        <w:r>
                          <w:rPr>
                            <w:rFonts w:ascii="宋体" w:hAnsi="宋体" w:cs="宋体" w:eastAsia="宋体" w:hint="default"/>
                            <w:sz w:val="16"/>
                            <w:szCs w:val="16"/>
                          </w:rPr>
                          <w:t>南非</w:t>
                        </w:r>
                      </w:p>
                    </w:tc>
                    <w:tc>
                      <w:tcPr>
                        <w:tcW w:w="3822" w:type="dxa"/>
                        <w:tcBorders>
                          <w:top w:val="nil" w:sz="6" w:space="0" w:color="auto"/>
                          <w:left w:val="nil" w:sz="6" w:space="0" w:color="auto"/>
                          <w:bottom w:val="nil" w:sz="6" w:space="0" w:color="auto"/>
                          <w:right w:val="nil" w:sz="6" w:space="0" w:color="auto"/>
                        </w:tcBorders>
                      </w:tcPr>
                      <w:p>
                        <w:pPr>
                          <w:pStyle w:val="TableParagraph"/>
                          <w:spacing w:line="201" w:lineRule="exact"/>
                          <w:ind w:left="130"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c>
                      <w:tcPr>
                        <w:tcW w:w="365"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北京固鸿科技有限公司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￥1200.00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7" w:right="0"/>
                          <w:jc w:val="center"/>
                          <w:rPr>
                            <w:rFonts w:ascii="宋体" w:hAnsi="宋体" w:cs="宋体" w:eastAsia="宋体" w:hint="default"/>
                            <w:sz w:val="16"/>
                            <w:szCs w:val="16"/>
                          </w:rPr>
                        </w:pPr>
                        <w:r>
                          <w:rPr>
                            <w:rFonts w:ascii="宋体"/>
                            <w:sz w:val="16"/>
                          </w:rPr>
                          <w:t>80.00%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工业射线装置销售及安装服务</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北京华力兴科技发展有限责任公司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￥2100.00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7" w:right="0"/>
                          <w:jc w:val="center"/>
                          <w:rPr>
                            <w:rFonts w:ascii="宋体" w:hAnsi="宋体" w:cs="宋体" w:eastAsia="宋体" w:hint="default"/>
                            <w:sz w:val="16"/>
                            <w:szCs w:val="16"/>
                          </w:rPr>
                        </w:pPr>
                        <w:r>
                          <w:rPr>
                            <w:rFonts w:ascii="宋体"/>
                            <w:sz w:val="16"/>
                          </w:rPr>
                          <w:t>65.00%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北京汉鸿投资有限公司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￥2250.00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8" w:right="0"/>
                          <w:jc w:val="center"/>
                          <w:rPr>
                            <w:rFonts w:ascii="宋体" w:hAnsi="宋体" w:cs="宋体" w:eastAsia="宋体" w:hint="default"/>
                            <w:sz w:val="16"/>
                            <w:szCs w:val="16"/>
                          </w:rPr>
                        </w:pPr>
                        <w:r>
                          <w:rPr>
                            <w:rFonts w:ascii="宋体"/>
                            <w:sz w:val="16"/>
                          </w:rPr>
                          <w:t>80.00%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实业投资、投资咨询</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北京同方创新投资有限公司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技术开发、服务与高新技术投资</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西藏同方西景科技有限公司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￥1500.00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7" w:right="0"/>
                          <w:jc w:val="center"/>
                          <w:rPr>
                            <w:rFonts w:ascii="宋体" w:hAnsi="宋体" w:cs="宋体" w:eastAsia="宋体" w:hint="default"/>
                            <w:sz w:val="16"/>
                            <w:szCs w:val="16"/>
                          </w:rPr>
                        </w:pPr>
                        <w:r>
                          <w:rPr>
                            <w:rFonts w:ascii="宋体"/>
                            <w:sz w:val="16"/>
                          </w:rPr>
                          <w:t>80.00%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西藏拉萨</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计算机软硬件开发，信息技术咨询</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南京同方北斗科技有限公司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江苏南京</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卫星导航定位、授时通讯及应用系统开发</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辽宁同方安全技术有限公司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￥400.00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火灾探测器等生产及销售</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1"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北京同方互动广告有限公司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￥110.00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数字影院,广告设计、制作、代理、发布</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13" w:hRule="exact"/>
                    </w:trPr>
                    <w:tc>
                      <w:tcPr>
                        <w:tcW w:w="11117" w:type="dxa"/>
                        <w:gridSpan w:val="7"/>
                        <w:tcBorders>
                          <w:top w:val="nil" w:sz="6" w:space="0" w:color="auto"/>
                          <w:left w:val="nil" w:sz="6" w:space="0" w:color="auto"/>
                          <w:bottom w:val="nil" w:sz="6" w:space="0" w:color="auto"/>
                          <w:right w:val="nil" w:sz="6" w:space="0" w:color="auto"/>
                        </w:tcBorders>
                      </w:tcPr>
                      <w:p>
                        <w:pPr>
                          <w:pStyle w:val="TableParagraph"/>
                          <w:tabs>
                            <w:tab w:pos="3805" w:val="left" w:leader="none"/>
                            <w:tab w:pos="4463" w:val="left" w:leader="none"/>
                            <w:tab w:pos="5528" w:val="left" w:leader="none"/>
                            <w:tab w:pos="6217" w:val="left" w:leader="none"/>
                            <w:tab w:pos="7065" w:val="left" w:leader="none"/>
                            <w:tab w:pos="10922" w:val="left" w:leader="none"/>
                          </w:tabs>
                          <w:spacing w:line="240" w:lineRule="auto" w:before="32"/>
                          <w:ind w:left="281" w:right="0"/>
                          <w:jc w:val="left"/>
                          <w:rPr>
                            <w:rFonts w:ascii="宋体" w:hAnsi="宋体" w:cs="宋体" w:eastAsia="宋体" w:hint="default"/>
                            <w:sz w:val="16"/>
                            <w:szCs w:val="16"/>
                          </w:rPr>
                        </w:pPr>
                        <w:r>
                          <w:rPr>
                            <w:rFonts w:ascii="宋体" w:hAnsi="宋体" w:cs="宋体" w:eastAsia="宋体" w:hint="default"/>
                            <w:w w:val="95"/>
                            <w:sz w:val="16"/>
                            <w:szCs w:val="16"/>
                          </w:rPr>
                          <w:t>北京同方影视传媒科技有限公司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￥500.00</w:t>
                        </w:r>
                        <w:r>
                          <w:rPr>
                            <w:rFonts w:ascii="宋体" w:hAnsi="宋体" w:cs="宋体" w:eastAsia="宋体" w:hint="default"/>
                            <w:spacing w:val="-42"/>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60.00%</w:t>
                          <w:tab/>
                        </w:r>
                        <w:r>
                          <w:rPr>
                            <w:rFonts w:ascii="宋体" w:hAnsi="宋体" w:cs="宋体" w:eastAsia="宋体" w:hint="default"/>
                            <w:w w:val="95"/>
                            <w:sz w:val="16"/>
                            <w:szCs w:val="16"/>
                          </w:rPr>
                          <w:t>北京海淀</w:t>
                          <w:tab/>
                        </w:r>
                        <w:r>
                          <w:rPr>
                            <w:rFonts w:ascii="宋体" w:hAnsi="宋体" w:cs="宋体" w:eastAsia="宋体" w:hint="default"/>
                            <w:w w:val="95"/>
                            <w:position w:val="10"/>
                            <w:sz w:val="16"/>
                            <w:szCs w:val="16"/>
                          </w:rPr>
                          <w:t>数字电影播放服务器研发销售；</w:t>
                          <w:tab/>
                        </w:r>
                        <w:r>
                          <w:rPr>
                            <w:rFonts w:ascii="宋体" w:hAnsi="宋体" w:cs="宋体" w:eastAsia="宋体" w:hint="default"/>
                            <w:sz w:val="16"/>
                            <w:szCs w:val="16"/>
                          </w:rPr>
                          <w:t>是</w:t>
                        </w:r>
                      </w:p>
                    </w:tc>
                  </w:tr>
                  <w:tr>
                    <w:trPr>
                      <w:trHeight w:val="171" w:hRule="exact"/>
                    </w:trPr>
                    <w:tc>
                      <w:tcPr>
                        <w:tcW w:w="3602"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822" w:type="dxa"/>
                        <w:tcBorders>
                          <w:top w:val="nil" w:sz="6" w:space="0" w:color="auto"/>
                          <w:left w:val="nil" w:sz="6" w:space="0" w:color="auto"/>
                          <w:bottom w:val="nil" w:sz="6" w:space="0" w:color="auto"/>
                          <w:right w:val="nil" w:sz="6" w:space="0" w:color="auto"/>
                        </w:tcBorders>
                      </w:tcPr>
                      <w:p>
                        <w:pPr>
                          <w:pStyle w:val="TableParagraph"/>
                          <w:spacing w:line="130" w:lineRule="exact"/>
                          <w:ind w:left="134" w:right="0"/>
                          <w:jc w:val="left"/>
                          <w:rPr>
                            <w:rFonts w:ascii="宋体" w:hAnsi="宋体" w:cs="宋体" w:eastAsia="宋体" w:hint="default"/>
                            <w:sz w:val="16"/>
                            <w:szCs w:val="16"/>
                          </w:rPr>
                        </w:pPr>
                        <w:r>
                          <w:rPr>
                            <w:rFonts w:ascii="宋体" w:hAnsi="宋体" w:cs="宋体" w:eastAsia="宋体" w:hint="default"/>
                            <w:sz w:val="16"/>
                            <w:szCs w:val="16"/>
                          </w:rPr>
                          <w:t>数字电影广告服务</w:t>
                        </w:r>
                      </w:p>
                    </w:tc>
                    <w:tc>
                      <w:tcPr>
                        <w:tcW w:w="365" w:type="dxa"/>
                        <w:tcBorders>
                          <w:top w:val="nil" w:sz="6" w:space="0" w:color="auto"/>
                          <w:left w:val="nil" w:sz="6" w:space="0" w:color="auto"/>
                          <w:bottom w:val="nil" w:sz="6" w:space="0" w:color="auto"/>
                          <w:right w:val="nil" w:sz="6" w:space="0" w:color="auto"/>
                        </w:tcBorders>
                      </w:tcPr>
                      <w:p>
                        <w:pPr/>
                      </w:p>
                    </w:tc>
                  </w:tr>
                  <w:tr>
                    <w:trPr>
                      <w:trHeight w:val="263"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00" w:lineRule="exact"/>
                          <w:ind w:right="108"/>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00" w:lineRule="exact"/>
                          <w:ind w:right="71"/>
                          <w:jc w:val="right"/>
                          <w:rPr>
                            <w:rFonts w:ascii="宋体" w:hAnsi="宋体" w:cs="宋体" w:eastAsia="宋体" w:hint="default"/>
                            <w:sz w:val="16"/>
                            <w:szCs w:val="16"/>
                          </w:rPr>
                        </w:pPr>
                        <w:r>
                          <w:rPr>
                            <w:rFonts w:ascii="宋体" w:hAnsi="宋体" w:cs="宋体" w:eastAsia="宋体" w:hint="default"/>
                            <w:sz w:val="16"/>
                            <w:szCs w:val="16"/>
                          </w:rPr>
                          <w:t>￥40000.00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00" w:lineRule="exact"/>
                          <w:ind w:left="5"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00" w:lineRule="exact"/>
                          <w:ind w:left="66"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00" w:lineRule="exact"/>
                          <w:ind w:left="132" w:right="0"/>
                          <w:jc w:val="left"/>
                          <w:rPr>
                            <w:rFonts w:ascii="宋体" w:hAnsi="宋体" w:cs="宋体" w:eastAsia="宋体" w:hint="default"/>
                            <w:sz w:val="16"/>
                            <w:szCs w:val="16"/>
                          </w:rPr>
                        </w:pPr>
                        <w:r>
                          <w:rPr>
                            <w:rFonts w:ascii="宋体" w:hAnsi="宋体" w:cs="宋体" w:eastAsia="宋体" w:hint="default"/>
                            <w:sz w:val="16"/>
                            <w:szCs w:val="16"/>
                          </w:rPr>
                          <w:t>军/民用工业项目投资与管理，货物、技术进出口</w:t>
                        </w:r>
                      </w:p>
                    </w:tc>
                    <w:tc>
                      <w:tcPr>
                        <w:tcW w:w="365" w:type="dxa"/>
                        <w:tcBorders>
                          <w:top w:val="nil" w:sz="6" w:space="0" w:color="auto"/>
                          <w:left w:val="nil" w:sz="6" w:space="0" w:color="auto"/>
                          <w:bottom w:val="nil" w:sz="6" w:space="0" w:color="auto"/>
                          <w:right w:val="nil" w:sz="6" w:space="0" w:color="auto"/>
                        </w:tcBorders>
                      </w:tcPr>
                      <w:p>
                        <w:pPr>
                          <w:pStyle w:val="TableParagraph"/>
                          <w:spacing w:line="200" w:lineRule="exact"/>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￥600.00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8" w:right="0"/>
                          <w:jc w:val="center"/>
                          <w:rPr>
                            <w:rFonts w:ascii="宋体" w:hAnsi="宋体" w:cs="宋体" w:eastAsia="宋体" w:hint="default"/>
                            <w:sz w:val="16"/>
                            <w:szCs w:val="16"/>
                          </w:rPr>
                        </w:pPr>
                        <w:r>
                          <w:rPr>
                            <w:rFonts w:ascii="宋体"/>
                            <w:sz w:val="16"/>
                          </w:rPr>
                          <w:t>70.00%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3" w:right="-5"/>
                          <w:jc w:val="center"/>
                          <w:rPr>
                            <w:rFonts w:ascii="宋体" w:hAnsi="宋体" w:cs="宋体" w:eastAsia="宋体" w:hint="default"/>
                            <w:sz w:val="16"/>
                            <w:szCs w:val="16"/>
                          </w:rPr>
                        </w:pPr>
                        <w:r>
                          <w:rPr>
                            <w:rFonts w:ascii="宋体" w:hAnsi="宋体" w:cs="宋体" w:eastAsia="宋体" w:hint="default"/>
                            <w:w w:val="95"/>
                            <w:sz w:val="16"/>
                            <w:szCs w:val="16"/>
                          </w:rPr>
                          <w:t>江西景德镇</w:t>
                        </w:r>
                        <w:r>
                          <w:rPr>
                            <w:rFonts w:ascii="宋体" w:hAnsi="宋体" w:cs="宋体" w:eastAsia="宋体" w:hint="default"/>
                            <w:sz w:val="16"/>
                            <w:szCs w:val="16"/>
                          </w:rPr>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消防车辆、消防设备、汽柴油发电机组经销</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西凯移动通讯设备有限公司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US$2500.00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6" w:right="0"/>
                          <w:jc w:val="center"/>
                          <w:rPr>
                            <w:rFonts w:ascii="宋体" w:hAnsi="宋体" w:cs="宋体" w:eastAsia="宋体" w:hint="default"/>
                            <w:sz w:val="16"/>
                            <w:szCs w:val="16"/>
                          </w:rPr>
                        </w:pPr>
                        <w:r>
                          <w:rPr>
                            <w:rFonts w:ascii="宋体"/>
                            <w:sz w:val="16"/>
                          </w:rPr>
                          <w:t>80.00%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新疆乌市</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移动通讯终端研发、制造和市场推广</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1"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￥11000.00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江西湖口</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船舶制造、修理，钢结构制造</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13" w:hRule="exact"/>
                    </w:trPr>
                    <w:tc>
                      <w:tcPr>
                        <w:tcW w:w="11117" w:type="dxa"/>
                        <w:gridSpan w:val="7"/>
                        <w:tcBorders>
                          <w:top w:val="nil" w:sz="6" w:space="0" w:color="auto"/>
                          <w:left w:val="nil" w:sz="6" w:space="0" w:color="auto"/>
                          <w:bottom w:val="nil" w:sz="6" w:space="0" w:color="auto"/>
                          <w:right w:val="nil" w:sz="6" w:space="0" w:color="auto"/>
                        </w:tcBorders>
                      </w:tcPr>
                      <w:p>
                        <w:pPr>
                          <w:pStyle w:val="TableParagraph"/>
                          <w:tabs>
                            <w:tab w:pos="3806" w:val="left" w:leader="none"/>
                            <w:tab w:pos="4384" w:val="left" w:leader="none"/>
                            <w:tab w:pos="6217" w:val="left" w:leader="none"/>
                            <w:tab w:pos="7065" w:val="left" w:leader="none"/>
                            <w:tab w:pos="10922" w:val="left" w:leader="none"/>
                          </w:tabs>
                          <w:spacing w:line="240" w:lineRule="auto" w:before="32"/>
                          <w:ind w:left="281" w:right="0"/>
                          <w:jc w:val="left"/>
                          <w:rPr>
                            <w:rFonts w:ascii="宋体" w:hAnsi="宋体" w:cs="宋体" w:eastAsia="宋体" w:hint="default"/>
                            <w:sz w:val="16"/>
                            <w:szCs w:val="16"/>
                          </w:rPr>
                        </w:pPr>
                        <w:r>
                          <w:rPr>
                            <w:rFonts w:ascii="宋体" w:hAnsi="宋体" w:cs="宋体" w:eastAsia="宋体" w:hint="default"/>
                            <w:w w:val="95"/>
                            <w:sz w:val="16"/>
                            <w:szCs w:val="16"/>
                          </w:rPr>
                          <w:t>同方工业南京有限公司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￥5000.00 万</w:t>
                        </w:r>
                        <w:r>
                          <w:rPr>
                            <w:rFonts w:ascii="宋体" w:hAnsi="宋体" w:cs="宋体" w:eastAsia="宋体" w:hint="default"/>
                            <w:spacing w:val="18"/>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江苏南京</w:t>
                          <w:tab/>
                        </w:r>
                        <w:r>
                          <w:rPr>
                            <w:rFonts w:ascii="宋体" w:hAnsi="宋体" w:cs="宋体" w:eastAsia="宋体" w:hint="default"/>
                            <w:w w:val="95"/>
                            <w:position w:val="10"/>
                            <w:sz w:val="16"/>
                            <w:szCs w:val="16"/>
                          </w:rPr>
                          <w:t>通讯设备、北斗终端、</w:t>
                          <w:tab/>
                        </w:r>
                        <w:r>
                          <w:rPr>
                            <w:rFonts w:ascii="宋体" w:hAnsi="宋体" w:cs="宋体" w:eastAsia="宋体" w:hint="default"/>
                            <w:sz w:val="16"/>
                            <w:szCs w:val="16"/>
                          </w:rPr>
                          <w:t>是</w:t>
                        </w:r>
                      </w:p>
                    </w:tc>
                  </w:tr>
                  <w:tr>
                    <w:trPr>
                      <w:trHeight w:val="171" w:hRule="exact"/>
                    </w:trPr>
                    <w:tc>
                      <w:tcPr>
                        <w:tcW w:w="3602"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822" w:type="dxa"/>
                        <w:tcBorders>
                          <w:top w:val="nil" w:sz="6" w:space="0" w:color="auto"/>
                          <w:left w:val="nil" w:sz="6" w:space="0" w:color="auto"/>
                          <w:bottom w:val="nil" w:sz="6" w:space="0" w:color="auto"/>
                          <w:right w:val="nil" w:sz="6" w:space="0" w:color="auto"/>
                        </w:tcBorders>
                      </w:tcPr>
                      <w:p>
                        <w:pPr>
                          <w:pStyle w:val="TableParagraph"/>
                          <w:spacing w:line="130" w:lineRule="exact"/>
                          <w:ind w:left="134" w:right="0"/>
                          <w:jc w:val="left"/>
                          <w:rPr>
                            <w:rFonts w:ascii="宋体" w:hAnsi="宋体" w:cs="宋体" w:eastAsia="宋体" w:hint="default"/>
                            <w:sz w:val="16"/>
                            <w:szCs w:val="16"/>
                          </w:rPr>
                        </w:pPr>
                        <w:r>
                          <w:rPr>
                            <w:rFonts w:ascii="宋体" w:hAnsi="宋体" w:cs="宋体" w:eastAsia="宋体" w:hint="default"/>
                            <w:sz w:val="16"/>
                            <w:szCs w:val="16"/>
                          </w:rPr>
                          <w:t>电子产品的研发、产销、服务</w:t>
                        </w:r>
                      </w:p>
                    </w:tc>
                    <w:tc>
                      <w:tcPr>
                        <w:tcW w:w="365" w:type="dxa"/>
                        <w:tcBorders>
                          <w:top w:val="nil" w:sz="6" w:space="0" w:color="auto"/>
                          <w:left w:val="nil" w:sz="6" w:space="0" w:color="auto"/>
                          <w:bottom w:val="nil" w:sz="6" w:space="0" w:color="auto"/>
                          <w:right w:val="nil" w:sz="6" w:space="0" w:color="auto"/>
                        </w:tcBorders>
                      </w:tcPr>
                      <w:p>
                        <w:pPr/>
                      </w:p>
                    </w:tc>
                  </w:tr>
                  <w:tr>
                    <w:trPr>
                      <w:trHeight w:val="263"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00" w:lineRule="exact"/>
                          <w:ind w:left="281" w:right="0"/>
                          <w:jc w:val="left"/>
                          <w:rPr>
                            <w:rFonts w:ascii="宋体" w:hAnsi="宋体" w:cs="宋体" w:eastAsia="宋体" w:hint="default"/>
                            <w:sz w:val="16"/>
                            <w:szCs w:val="16"/>
                          </w:rPr>
                        </w:pPr>
                        <w:r>
                          <w:rPr>
                            <w:rFonts w:ascii="宋体" w:hAnsi="宋体" w:cs="宋体" w:eastAsia="宋体" w:hint="default"/>
                            <w:sz w:val="16"/>
                            <w:szCs w:val="16"/>
                          </w:rPr>
                          <w:t>同方电子科技有限公司（713</w:t>
                        </w:r>
                        <w:r>
                          <w:rPr>
                            <w:rFonts w:ascii="宋体" w:hAnsi="宋体" w:cs="宋体" w:eastAsia="宋体" w:hint="default"/>
                            <w:spacing w:val="-43"/>
                            <w:sz w:val="16"/>
                            <w:szCs w:val="16"/>
                          </w:rPr>
                          <w:t> </w:t>
                        </w:r>
                        <w:r>
                          <w:rPr>
                            <w:rFonts w:ascii="宋体" w:hAnsi="宋体" w:cs="宋体" w:eastAsia="宋体" w:hint="default"/>
                            <w:sz w:val="16"/>
                            <w:szCs w:val="16"/>
                          </w:rPr>
                          <w:t>厂）</w:t>
                        </w:r>
                      </w:p>
                    </w:tc>
                    <w:tc>
                      <w:tcPr>
                        <w:tcW w:w="593" w:type="dxa"/>
                        <w:tcBorders>
                          <w:top w:val="nil" w:sz="6" w:space="0" w:color="auto"/>
                          <w:left w:val="nil" w:sz="6" w:space="0" w:color="auto"/>
                          <w:bottom w:val="nil" w:sz="6" w:space="0" w:color="auto"/>
                          <w:right w:val="nil" w:sz="6" w:space="0" w:color="auto"/>
                        </w:tcBorders>
                      </w:tcPr>
                      <w:p>
                        <w:pPr>
                          <w:pStyle w:val="TableParagraph"/>
                          <w:spacing w:line="200" w:lineRule="exact"/>
                          <w:ind w:right="108"/>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00" w:lineRule="exact"/>
                          <w:ind w:right="71"/>
                          <w:jc w:val="right"/>
                          <w:rPr>
                            <w:rFonts w:ascii="宋体" w:hAnsi="宋体" w:cs="宋体" w:eastAsia="宋体" w:hint="default"/>
                            <w:sz w:val="16"/>
                            <w:szCs w:val="16"/>
                          </w:rPr>
                        </w:pPr>
                        <w:r>
                          <w:rPr>
                            <w:rFonts w:ascii="宋体" w:hAnsi="宋体" w:cs="宋体" w:eastAsia="宋体" w:hint="default"/>
                            <w:sz w:val="16"/>
                            <w:szCs w:val="16"/>
                          </w:rPr>
                          <w:t>￥16000.00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00" w:lineRule="exact"/>
                          <w:ind w:left="6"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00" w:lineRule="exact"/>
                          <w:ind w:left="68" w:right="0"/>
                          <w:jc w:val="center"/>
                          <w:rPr>
                            <w:rFonts w:ascii="宋体" w:hAnsi="宋体" w:cs="宋体" w:eastAsia="宋体" w:hint="default"/>
                            <w:sz w:val="16"/>
                            <w:szCs w:val="16"/>
                          </w:rPr>
                        </w:pPr>
                        <w:r>
                          <w:rPr>
                            <w:rFonts w:ascii="宋体" w:hAnsi="宋体" w:cs="宋体" w:eastAsia="宋体" w:hint="default"/>
                            <w:sz w:val="16"/>
                            <w:szCs w:val="16"/>
                          </w:rPr>
                          <w:t>江西九江</w:t>
                        </w:r>
                      </w:p>
                    </w:tc>
                    <w:tc>
                      <w:tcPr>
                        <w:tcW w:w="3822" w:type="dxa"/>
                        <w:tcBorders>
                          <w:top w:val="nil" w:sz="6" w:space="0" w:color="auto"/>
                          <w:left w:val="nil" w:sz="6" w:space="0" w:color="auto"/>
                          <w:bottom w:val="nil" w:sz="6" w:space="0" w:color="auto"/>
                          <w:right w:val="nil" w:sz="6" w:space="0" w:color="auto"/>
                        </w:tcBorders>
                      </w:tcPr>
                      <w:p>
                        <w:pPr>
                          <w:pStyle w:val="TableParagraph"/>
                          <w:spacing w:line="200" w:lineRule="exact"/>
                          <w:ind w:left="132" w:right="0"/>
                          <w:jc w:val="left"/>
                          <w:rPr>
                            <w:rFonts w:ascii="宋体" w:hAnsi="宋体" w:cs="宋体" w:eastAsia="宋体" w:hint="default"/>
                            <w:sz w:val="16"/>
                            <w:szCs w:val="16"/>
                          </w:rPr>
                        </w:pPr>
                        <w:r>
                          <w:rPr>
                            <w:rFonts w:ascii="宋体" w:hAnsi="宋体" w:cs="宋体" w:eastAsia="宋体" w:hint="default"/>
                            <w:sz w:val="16"/>
                            <w:szCs w:val="16"/>
                          </w:rPr>
                          <w:t>军/民用通信设备、电子产品</w:t>
                        </w:r>
                      </w:p>
                    </w:tc>
                    <w:tc>
                      <w:tcPr>
                        <w:tcW w:w="365" w:type="dxa"/>
                        <w:tcBorders>
                          <w:top w:val="nil" w:sz="6" w:space="0" w:color="auto"/>
                          <w:left w:val="nil" w:sz="6" w:space="0" w:color="auto"/>
                          <w:bottom w:val="nil" w:sz="6" w:space="0" w:color="auto"/>
                          <w:right w:val="nil" w:sz="6" w:space="0" w:color="auto"/>
                        </w:tcBorders>
                      </w:tcPr>
                      <w:p>
                        <w:pPr>
                          <w:pStyle w:val="TableParagraph"/>
                          <w:spacing w:line="200" w:lineRule="exact"/>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42" w:right="0"/>
                          <w:jc w:val="left"/>
                          <w:rPr>
                            <w:rFonts w:ascii="宋体" w:hAnsi="宋体" w:cs="宋体" w:eastAsia="宋体" w:hint="default"/>
                            <w:sz w:val="16"/>
                            <w:szCs w:val="16"/>
                          </w:rPr>
                        </w:pPr>
                        <w:r>
                          <w:rPr>
                            <w:rFonts w:ascii="宋体" w:hAnsi="宋体" w:cs="宋体" w:eastAsia="宋体" w:hint="default"/>
                            <w:sz w:val="16"/>
                            <w:szCs w:val="16"/>
                          </w:rPr>
                          <w:t>珠海同方爱德科技有限公司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7" w:right="0"/>
                          <w:jc w:val="center"/>
                          <w:rPr>
                            <w:rFonts w:ascii="宋体" w:hAnsi="宋体" w:cs="宋体" w:eastAsia="宋体" w:hint="default"/>
                            <w:sz w:val="16"/>
                            <w:szCs w:val="16"/>
                          </w:rPr>
                        </w:pPr>
                        <w:r>
                          <w:rPr>
                            <w:rFonts w:ascii="宋体"/>
                            <w:sz w:val="16"/>
                          </w:rPr>
                          <w:t>94.00%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广东珠海</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电子通信、无线网络开发等</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山东同方鲁颖电子有限公司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7" w:right="0"/>
                          <w:jc w:val="center"/>
                          <w:rPr>
                            <w:rFonts w:ascii="宋体" w:hAnsi="宋体" w:cs="宋体" w:eastAsia="宋体" w:hint="default"/>
                            <w:sz w:val="16"/>
                            <w:szCs w:val="16"/>
                          </w:rPr>
                        </w:pPr>
                        <w:r>
                          <w:rPr>
                            <w:rFonts w:ascii="宋体"/>
                            <w:sz w:val="16"/>
                          </w:rPr>
                          <w:t>97.00%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山东沂南</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交/直流陶瓷电容器、片式电感器和陶瓷滤波器</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沂南同皓电子元件有限公司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US$680.00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6" w:right="0"/>
                          <w:jc w:val="center"/>
                          <w:rPr>
                            <w:rFonts w:ascii="宋体" w:hAnsi="宋体" w:cs="宋体" w:eastAsia="宋体" w:hint="default"/>
                            <w:sz w:val="16"/>
                            <w:szCs w:val="16"/>
                          </w:rPr>
                        </w:pPr>
                        <w:r>
                          <w:rPr>
                            <w:rFonts w:ascii="宋体"/>
                            <w:sz w:val="16"/>
                          </w:rPr>
                          <w:t>72.73%</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山东沂南</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陶瓷电容器、交流电容器、网络电容器</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北京同方房地产开发有限公司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科技园建设</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北京同方星城置业有限公司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￥5800.00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北京怀柔</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科技园建设</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九江同方实业有限公司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￥3565.31</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江西九江</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科技园建设管理</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景德镇同方科技建设有限公司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7" w:right="0"/>
                          <w:jc w:val="center"/>
                          <w:rPr>
                            <w:rFonts w:ascii="宋体" w:hAnsi="宋体" w:cs="宋体" w:eastAsia="宋体" w:hint="default"/>
                            <w:sz w:val="16"/>
                            <w:szCs w:val="16"/>
                          </w:rPr>
                        </w:pPr>
                        <w:r>
                          <w:rPr>
                            <w:rFonts w:ascii="宋体"/>
                            <w:sz w:val="16"/>
                          </w:rPr>
                          <w:t>80.00%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3" w:right="-5"/>
                          <w:jc w:val="center"/>
                          <w:rPr>
                            <w:rFonts w:ascii="宋体" w:hAnsi="宋体" w:cs="宋体" w:eastAsia="宋体" w:hint="default"/>
                            <w:sz w:val="16"/>
                            <w:szCs w:val="16"/>
                          </w:rPr>
                        </w:pPr>
                        <w:r>
                          <w:rPr>
                            <w:rFonts w:ascii="宋体" w:hAnsi="宋体" w:cs="宋体" w:eastAsia="宋体" w:hint="default"/>
                            <w:w w:val="95"/>
                            <w:sz w:val="16"/>
                            <w:szCs w:val="16"/>
                          </w:rPr>
                          <w:t>江西景德镇</w:t>
                        </w:r>
                        <w:r>
                          <w:rPr>
                            <w:rFonts w:ascii="宋体" w:hAnsi="宋体" w:cs="宋体" w:eastAsia="宋体" w:hint="default"/>
                            <w:sz w:val="16"/>
                            <w:szCs w:val="16"/>
                          </w:rPr>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科技园区及配套设施开发管理</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北京同方物业管理有限公司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￥950.00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物业管理</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13"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北京华清御都商务服务有限公司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 w:right="0"/>
                          <w:jc w:val="center"/>
                          <w:rPr>
                            <w:rFonts w:ascii="宋体" w:hAnsi="宋体" w:cs="宋体" w:eastAsia="宋体" w:hint="default"/>
                            <w:sz w:val="16"/>
                            <w:szCs w:val="16"/>
                          </w:rPr>
                        </w:pPr>
                        <w:r>
                          <w:rPr>
                            <w:rFonts w:ascii="宋体"/>
                            <w:sz w:val="16"/>
                          </w:rPr>
                          <w:t>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left"/>
                          <w:rPr>
                            <w:rFonts w:ascii="宋体" w:hAnsi="宋体" w:cs="宋体" w:eastAsia="宋体" w:hint="default"/>
                            <w:sz w:val="16"/>
                            <w:szCs w:val="16"/>
                          </w:rPr>
                        </w:pPr>
                        <w:r>
                          <w:rPr>
                            <w:rFonts w:ascii="宋体" w:hAnsi="宋体" w:cs="宋体" w:eastAsia="宋体" w:hint="default"/>
                            <w:sz w:val="16"/>
                            <w:szCs w:val="16"/>
                          </w:rPr>
                          <w:t>餐饮、娱乐服务</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42"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无锡同方创新科技园有限公司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0"/>
                          <w:jc w:val="right"/>
                          <w:rPr>
                            <w:rFonts w:ascii="宋体" w:hAnsi="宋体" w:cs="宋体" w:eastAsia="宋体" w:hint="default"/>
                            <w:sz w:val="16"/>
                            <w:szCs w:val="16"/>
                          </w:rPr>
                        </w:pPr>
                        <w:r>
                          <w:rPr>
                            <w:rFonts w:ascii="宋体" w:hAnsi="宋体" w:cs="宋体" w:eastAsia="宋体" w:hint="default"/>
                            <w:sz w:val="16"/>
                            <w:szCs w:val="16"/>
                          </w:rPr>
                          <w:t>￥10000.00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 w:right="0"/>
                          <w:jc w:val="center"/>
                          <w:rPr>
                            <w:rFonts w:ascii="宋体" w:hAnsi="宋体" w:cs="宋体" w:eastAsia="宋体" w:hint="default"/>
                            <w:sz w:val="16"/>
                            <w:szCs w:val="16"/>
                          </w:rPr>
                        </w:pPr>
                        <w:r>
                          <w:rPr>
                            <w:rFonts w:ascii="宋体"/>
                            <w:sz w:val="16"/>
                          </w:rPr>
                          <w:t>100.00%</w:t>
                        </w:r>
                      </w:p>
                    </w:tc>
                    <w:tc>
                      <w:tcPr>
                        <w:tcW w:w="5046" w:type="dxa"/>
                        <w:gridSpan w:val="3"/>
                        <w:tcBorders>
                          <w:top w:val="nil" w:sz="6" w:space="0" w:color="auto"/>
                          <w:left w:val="nil" w:sz="6" w:space="0" w:color="auto"/>
                          <w:bottom w:val="nil" w:sz="6" w:space="0" w:color="auto"/>
                          <w:right w:val="nil" w:sz="6" w:space="0" w:color="auto"/>
                        </w:tcBorders>
                      </w:tcPr>
                      <w:p>
                        <w:pPr>
                          <w:pStyle w:val="TableParagraph"/>
                          <w:tabs>
                            <w:tab w:pos="993" w:val="left" w:leader="none"/>
                            <w:tab w:pos="4850" w:val="left" w:leader="none"/>
                          </w:tabs>
                          <w:spacing w:line="251" w:lineRule="exact"/>
                          <w:ind w:left="145" w:right="0"/>
                          <w:jc w:val="left"/>
                          <w:rPr>
                            <w:rFonts w:ascii="宋体" w:hAnsi="宋体" w:cs="宋体" w:eastAsia="宋体" w:hint="default"/>
                            <w:sz w:val="16"/>
                            <w:szCs w:val="16"/>
                          </w:rPr>
                        </w:pPr>
                        <w:r>
                          <w:rPr>
                            <w:rFonts w:ascii="宋体" w:hAnsi="宋体" w:cs="宋体" w:eastAsia="宋体" w:hint="default"/>
                            <w:w w:val="95"/>
                            <w:position w:val="-9"/>
                            <w:sz w:val="16"/>
                            <w:szCs w:val="16"/>
                          </w:rPr>
                          <w:t>江苏无锡</w:t>
                          <w:tab/>
                        </w:r>
                        <w:r>
                          <w:rPr>
                            <w:rFonts w:ascii="宋体" w:hAnsi="宋体" w:cs="宋体" w:eastAsia="宋体" w:hint="default"/>
                            <w:w w:val="95"/>
                            <w:sz w:val="16"/>
                            <w:szCs w:val="16"/>
                          </w:rPr>
                          <w:t>科技园区及配套设施开发管理，</w:t>
                          <w:tab/>
                        </w:r>
                        <w:r>
                          <w:rPr>
                            <w:rFonts w:ascii="宋体" w:hAnsi="宋体" w:cs="宋体" w:eastAsia="宋体" w:hint="default"/>
                            <w:position w:val="-9"/>
                            <w:sz w:val="16"/>
                            <w:szCs w:val="16"/>
                          </w:rPr>
                          <w:t>是</w:t>
                        </w:r>
                        <w:r>
                          <w:rPr>
                            <w:rFonts w:ascii="宋体" w:hAnsi="宋体" w:cs="宋体" w:eastAsia="宋体" w:hint="default"/>
                            <w:sz w:val="16"/>
                            <w:szCs w:val="16"/>
                          </w:rPr>
                        </w:r>
                      </w:p>
                    </w:tc>
                  </w:tr>
                  <w:tr>
                    <w:trPr>
                      <w:trHeight w:val="313"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同方炭素科技有限公司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1"/>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7" w:right="0"/>
                          <w:jc w:val="center"/>
                          <w:rPr>
                            <w:rFonts w:ascii="宋体" w:hAnsi="宋体" w:cs="宋体" w:eastAsia="宋体" w:hint="default"/>
                            <w:sz w:val="16"/>
                            <w:szCs w:val="16"/>
                          </w:rPr>
                        </w:pPr>
                        <w:r>
                          <w:rPr>
                            <w:rFonts w:ascii="宋体"/>
                            <w:sz w:val="16"/>
                          </w:rPr>
                          <w:t>94.00%</w:t>
                        </w:r>
                      </w:p>
                    </w:tc>
                    <w:tc>
                      <w:tcPr>
                        <w:tcW w:w="5046" w:type="dxa"/>
                        <w:gridSpan w:val="3"/>
                        <w:tcBorders>
                          <w:top w:val="nil" w:sz="6" w:space="0" w:color="auto"/>
                          <w:left w:val="nil" w:sz="6" w:space="0" w:color="auto"/>
                          <w:bottom w:val="nil" w:sz="6" w:space="0" w:color="auto"/>
                          <w:right w:val="nil" w:sz="6" w:space="0" w:color="auto"/>
                        </w:tcBorders>
                      </w:tcPr>
                      <w:p>
                        <w:pPr>
                          <w:pStyle w:val="TableParagraph"/>
                          <w:tabs>
                            <w:tab w:pos="991" w:val="left" w:leader="none"/>
                            <w:tab w:pos="4850" w:val="left" w:leader="none"/>
                          </w:tabs>
                          <w:spacing w:line="240" w:lineRule="auto" w:before="41"/>
                          <w:ind w:left="144" w:right="0"/>
                          <w:jc w:val="left"/>
                          <w:rPr>
                            <w:rFonts w:ascii="宋体" w:hAnsi="宋体" w:cs="宋体" w:eastAsia="宋体" w:hint="default"/>
                            <w:sz w:val="16"/>
                            <w:szCs w:val="16"/>
                          </w:rPr>
                        </w:pPr>
                        <w:r>
                          <w:rPr>
                            <w:rFonts w:ascii="宋体" w:hAnsi="宋体" w:cs="宋体" w:eastAsia="宋体" w:hint="default"/>
                            <w:w w:val="95"/>
                            <w:sz w:val="16"/>
                            <w:szCs w:val="16"/>
                          </w:rPr>
                          <w:t>江苏无锡</w:t>
                          <w:tab/>
                          <w:t>竹基活性炭及相关设备产销</w:t>
                          <w:tab/>
                        </w:r>
                        <w:r>
                          <w:rPr>
                            <w:rFonts w:ascii="宋体" w:hAnsi="宋体" w:cs="宋体" w:eastAsia="宋体" w:hint="default"/>
                            <w:sz w:val="16"/>
                            <w:szCs w:val="16"/>
                          </w:rPr>
                          <w:t>是</w:t>
                        </w:r>
                      </w:p>
                    </w:tc>
                  </w:tr>
                  <w:tr>
                    <w:trPr>
                      <w:trHeight w:val="2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同方炭素(福建)科技有限公司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￥800.00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6" w:right="0"/>
                          <w:jc w:val="center"/>
                          <w:rPr>
                            <w:rFonts w:ascii="宋体" w:hAnsi="宋体" w:cs="宋体" w:eastAsia="宋体" w:hint="default"/>
                            <w:sz w:val="16"/>
                            <w:szCs w:val="16"/>
                          </w:rPr>
                        </w:pPr>
                        <w:r>
                          <w:rPr>
                            <w:rFonts w:ascii="宋体"/>
                            <w:sz w:val="16"/>
                          </w:rPr>
                          <w:t>65.00%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center"/>
                          <w:rPr>
                            <w:rFonts w:ascii="宋体" w:hAnsi="宋体" w:cs="宋体" w:eastAsia="宋体" w:hint="default"/>
                            <w:sz w:val="16"/>
                            <w:szCs w:val="16"/>
                          </w:rPr>
                        </w:pPr>
                        <w:r>
                          <w:rPr>
                            <w:rFonts w:ascii="宋体" w:hAnsi="宋体" w:cs="宋体" w:eastAsia="宋体" w:hint="default"/>
                            <w:sz w:val="16"/>
                            <w:szCs w:val="16"/>
                          </w:rPr>
                          <w:t>福建建瓯</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竹基活性炭及相关设备产销</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96" w:hRule="exact"/>
                    </w:trPr>
                    <w:tc>
                      <w:tcPr>
                        <w:tcW w:w="360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81" w:right="0"/>
                          <w:jc w:val="left"/>
                          <w:rPr>
                            <w:rFonts w:ascii="宋体" w:hAnsi="宋体" w:cs="宋体" w:eastAsia="宋体" w:hint="default"/>
                            <w:sz w:val="16"/>
                            <w:szCs w:val="16"/>
                          </w:rPr>
                        </w:pPr>
                        <w:r>
                          <w:rPr>
                            <w:rFonts w:ascii="宋体" w:hAnsi="宋体" w:cs="宋体" w:eastAsia="宋体" w:hint="default"/>
                            <w:sz w:val="16"/>
                            <w:szCs w:val="16"/>
                          </w:rPr>
                          <w:t>桂林同方炭素科技有限责任公司</w:t>
                        </w:r>
                      </w:p>
                    </w:tc>
                    <w:tc>
                      <w:tcPr>
                        <w:tcW w:w="59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8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9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87" w:right="0"/>
                          <w:jc w:val="center"/>
                          <w:rPr>
                            <w:rFonts w:ascii="宋体" w:hAnsi="宋体" w:cs="宋体" w:eastAsia="宋体" w:hint="default"/>
                            <w:sz w:val="16"/>
                            <w:szCs w:val="16"/>
                          </w:rPr>
                        </w:pPr>
                        <w:r>
                          <w:rPr>
                            <w:rFonts w:ascii="宋体"/>
                            <w:sz w:val="16"/>
                          </w:rPr>
                          <w:t>70.00%</w:t>
                        </w:r>
                      </w:p>
                    </w:tc>
                    <w:tc>
                      <w:tcPr>
                        <w:tcW w:w="85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广西桂林</w:t>
                        </w:r>
                      </w:p>
                    </w:tc>
                    <w:tc>
                      <w:tcPr>
                        <w:tcW w:w="382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32" w:right="0"/>
                          <w:jc w:val="left"/>
                          <w:rPr>
                            <w:rFonts w:ascii="宋体" w:hAnsi="宋体" w:cs="宋体" w:eastAsia="宋体" w:hint="default"/>
                            <w:sz w:val="16"/>
                            <w:szCs w:val="16"/>
                          </w:rPr>
                        </w:pPr>
                        <w:r>
                          <w:rPr>
                            <w:rFonts w:ascii="宋体" w:hAnsi="宋体" w:cs="宋体" w:eastAsia="宋体" w:hint="default"/>
                            <w:sz w:val="16"/>
                            <w:szCs w:val="16"/>
                          </w:rPr>
                          <w:t>竹基活性炭及相关设备产销</w:t>
                        </w:r>
                      </w:p>
                    </w:tc>
                    <w:tc>
                      <w:tcPr>
                        <w:tcW w:w="36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sz w:val="16"/>
          <w:szCs w:val="16"/>
        </w:rPr>
        <w:t>及相关销售和进出口业务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tabs>
          <w:tab w:pos="4501" w:val="left" w:leader="none"/>
          <w:tab w:pos="5647" w:val="left" w:leader="none"/>
          <w:tab w:pos="7184" w:val="left" w:leader="none"/>
          <w:tab w:pos="11041" w:val="left" w:leader="none"/>
        </w:tabs>
        <w:spacing w:before="50"/>
        <w:ind w:left="3923" w:right="0" w:firstLine="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TurL65.00</w:t>
      </w:r>
      <w:r>
        <w:rPr>
          <w:rFonts w:ascii="宋体" w:hAnsi="宋体" w:cs="宋体" w:eastAsia="宋体" w:hint="default"/>
          <w:spacing w:val="-36"/>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80.00%</w:t>
        <w:tab/>
      </w: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tab/>
        <w:t>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50"/>
        <w:ind w:left="7184" w:right="1394" w:firstLine="0"/>
        <w:jc w:val="left"/>
        <w:rPr>
          <w:rFonts w:ascii="宋体" w:hAnsi="宋体" w:cs="宋体" w:eastAsia="宋体" w:hint="default"/>
          <w:sz w:val="16"/>
          <w:szCs w:val="16"/>
        </w:rPr>
      </w:pPr>
      <w:r>
        <w:rPr>
          <w:rFonts w:ascii="宋体" w:hAnsi="宋体" w:cs="宋体" w:eastAsia="宋体" w:hint="default"/>
          <w:sz w:val="16"/>
          <w:szCs w:val="16"/>
        </w:rPr>
        <w:t>计算机生产，进出口</w:t>
      </w:r>
    </w:p>
    <w:p>
      <w:pPr>
        <w:spacing w:after="0"/>
        <w:jc w:val="left"/>
        <w:rPr>
          <w:rFonts w:ascii="宋体" w:hAnsi="宋体" w:cs="宋体" w:eastAsia="宋体" w:hint="default"/>
          <w:sz w:val="16"/>
          <w:szCs w:val="16"/>
        </w:rPr>
        <w:sectPr>
          <w:type w:val="continuous"/>
          <w:pgSz w:w="11910" w:h="16840"/>
          <w:pgMar w:top="1600" w:bottom="280" w:left="340" w:right="220"/>
        </w:sectPr>
      </w:pPr>
    </w:p>
    <w:p>
      <w:pPr>
        <w:tabs>
          <w:tab w:pos="3903" w:val="left" w:leader="none"/>
          <w:tab w:pos="4558" w:val="left" w:leader="none"/>
          <w:tab w:pos="5668" w:val="left" w:leader="none"/>
        </w:tabs>
        <w:spacing w:line="156" w:lineRule="auto" w:before="72"/>
        <w:ind w:left="5668" w:right="0" w:hanging="4269"/>
        <w:jc w:val="right"/>
        <w:rPr>
          <w:rFonts w:ascii="宋体" w:hAnsi="宋体" w:cs="宋体" w:eastAsia="宋体" w:hint="default"/>
          <w:sz w:val="16"/>
          <w:szCs w:val="16"/>
        </w:rPr>
      </w:pPr>
      <w:r>
        <w:rPr>
          <w:rFonts w:ascii="宋体" w:hAnsi="宋体" w:cs="宋体" w:eastAsia="宋体" w:hint="default"/>
          <w:b/>
          <w:bCs/>
          <w:w w:val="95"/>
          <w:sz w:val="16"/>
          <w:szCs w:val="16"/>
        </w:rPr>
        <w:t>控股子公司名称</w:t>
        <w:tab/>
        <w:t>级次</w:t>
        <w:tab/>
        <w:t>注册资本</w:t>
        <w:tab/>
      </w:r>
      <w:r>
        <w:rPr>
          <w:rFonts w:ascii="宋体" w:hAnsi="宋体" w:cs="宋体" w:eastAsia="宋体" w:hint="default"/>
          <w:b/>
          <w:bCs/>
          <w:w w:val="95"/>
          <w:position w:val="10"/>
          <w:sz w:val="16"/>
          <w:szCs w:val="16"/>
        </w:rPr>
        <w:t>持股</w:t>
      </w:r>
      <w:r>
        <w:rPr>
          <w:rFonts w:ascii="宋体" w:hAnsi="宋体" w:cs="宋体" w:eastAsia="宋体" w:hint="default"/>
          <w:b/>
          <w:bCs/>
          <w:spacing w:val="-62"/>
          <w:w w:val="95"/>
          <w:position w:val="10"/>
          <w:sz w:val="16"/>
          <w:szCs w:val="16"/>
        </w:rPr>
        <w:t> </w:t>
      </w:r>
      <w:r>
        <w:rPr>
          <w:rFonts w:ascii="宋体" w:hAnsi="宋体" w:cs="宋体" w:eastAsia="宋体" w:hint="default"/>
          <w:b/>
          <w:bCs/>
          <w:spacing w:val="-62"/>
          <w:w w:val="95"/>
          <w:position w:val="10"/>
          <w:sz w:val="16"/>
          <w:szCs w:val="16"/>
        </w:rPr>
      </w: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2698" w:val="left" w:leader="none"/>
          <w:tab w:pos="5011" w:val="left" w:leader="none"/>
        </w:tabs>
        <w:spacing w:line="156" w:lineRule="auto" w:before="72"/>
        <w:ind w:left="5011" w:right="140" w:hanging="4707"/>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注册地址</w:t>
        <w:tab/>
        <w:t>主营业务</w:t>
        <w:tab/>
      </w:r>
      <w:r>
        <w:rPr>
          <w:rFonts w:ascii="宋体" w:hAnsi="宋体" w:cs="宋体" w:eastAsia="宋体" w:hint="default"/>
          <w:b/>
          <w:bCs/>
          <w:w w:val="95"/>
          <w:position w:val="10"/>
          <w:sz w:val="16"/>
          <w:szCs w:val="16"/>
        </w:rPr>
        <w:t>合</w:t>
      </w:r>
      <w:r>
        <w:rPr>
          <w:rFonts w:ascii="宋体" w:hAnsi="宋体" w:cs="宋体" w:eastAsia="宋体" w:hint="default"/>
          <w:b/>
          <w:bCs/>
          <w:w w:val="99"/>
          <w:position w:val="10"/>
          <w:sz w:val="16"/>
          <w:szCs w:val="16"/>
        </w:rPr>
        <w:t> </w:t>
      </w:r>
      <w:r>
        <w:rPr>
          <w:rFonts w:ascii="宋体" w:hAnsi="宋体" w:cs="宋体" w:eastAsia="宋体" w:hint="default"/>
          <w:b/>
          <w:bCs/>
          <w:w w:val="95"/>
          <w:sz w:val="16"/>
          <w:szCs w:val="16"/>
        </w:rPr>
        <w:t>并</w:t>
      </w:r>
      <w:r>
        <w:rPr>
          <w:rFonts w:ascii="宋体" w:hAnsi="宋体" w:cs="宋体" w:eastAsia="宋体" w:hint="default"/>
          <w:sz w:val="16"/>
          <w:szCs w:val="16"/>
        </w:rPr>
      </w:r>
    </w:p>
    <w:p>
      <w:pPr>
        <w:spacing w:after="0" w:line="156" w:lineRule="auto"/>
        <w:jc w:val="right"/>
        <w:rPr>
          <w:rFonts w:ascii="宋体" w:hAnsi="宋体" w:cs="宋体" w:eastAsia="宋体" w:hint="default"/>
          <w:sz w:val="16"/>
          <w:szCs w:val="16"/>
        </w:rPr>
        <w:sectPr>
          <w:headerReference w:type="default" r:id="rId37"/>
          <w:pgSz w:w="11910" w:h="16840"/>
          <w:pgMar w:header="610" w:footer="784" w:top="1720" w:bottom="980" w:left="340" w:right="220"/>
          <w:cols w:num="2" w:equalWidth="0">
            <w:col w:w="5990" w:space="40"/>
            <w:col w:w="5320"/>
          </w:cols>
        </w:sectPr>
      </w:pPr>
    </w:p>
    <w:p>
      <w:pPr>
        <w:spacing w:line="240" w:lineRule="auto" w:before="0"/>
        <w:rPr>
          <w:rFonts w:ascii="宋体" w:hAnsi="宋体" w:cs="宋体" w:eastAsia="宋体" w:hint="default"/>
          <w:b/>
          <w:bCs/>
          <w:sz w:val="2"/>
          <w:szCs w:val="2"/>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554.550pt;height:.5pt;mso-position-horizontal-relative:char;mso-position-vertical-relative:line" coordorigin="0,0" coordsize="11091,10">
            <v:group style="position:absolute;left:5;top:5;width:11081;height:2" coordorigin="5,5" coordsize="11081,2">
              <v:shape style="position:absolute;left:5;top:5;width:11081;height:2" coordorigin="5,5" coordsize="11081,0" path="m5,5l11086,5e" filled="false" stroked="true" strokeweight=".48pt" strokecolor="#000000">
                <v:path arrowok="t"/>
              </v:shape>
            </v:group>
          </v:group>
        </w:pict>
      </w:r>
      <w:r>
        <w:rPr>
          <w:rFonts w:ascii="宋体" w:hAnsi="宋体" w:cs="宋体" w:eastAsia="宋体" w:hint="default"/>
          <w:sz w:val="2"/>
          <w:szCs w:val="2"/>
        </w:rPr>
      </w:r>
    </w:p>
    <w:p>
      <w:pPr>
        <w:tabs>
          <w:tab w:pos="3920" w:val="left" w:leader="none"/>
          <w:tab w:pos="4418" w:val="left" w:leader="none"/>
          <w:tab w:pos="6332" w:val="left" w:leader="none"/>
          <w:tab w:pos="7181" w:val="left" w:leader="none"/>
          <w:tab w:pos="11041" w:val="left" w:leader="none"/>
        </w:tabs>
        <w:spacing w:line="326" w:lineRule="auto" w:before="4"/>
        <w:ind w:left="242" w:right="140" w:firstLine="0"/>
        <w:jc w:val="right"/>
        <w:rPr>
          <w:rFonts w:ascii="宋体" w:hAnsi="宋体" w:cs="宋体" w:eastAsia="宋体" w:hint="default"/>
          <w:sz w:val="16"/>
          <w:szCs w:val="16"/>
        </w:rPr>
      </w:pPr>
      <w:r>
        <w:rPr>
          <w:rFonts w:ascii="宋体" w:hAnsi="宋体" w:cs="宋体" w:eastAsia="宋体" w:hint="default"/>
          <w:w w:val="95"/>
          <w:sz w:val="16"/>
          <w:szCs w:val="16"/>
        </w:rPr>
        <w:t>同方鞍山科技园有限公司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￥3000.00 万</w:t>
      </w:r>
      <w:r>
        <w:rPr>
          <w:rFonts w:ascii="宋体" w:hAnsi="宋体" w:cs="宋体" w:eastAsia="宋体" w:hint="default"/>
          <w:spacing w:val="19"/>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辽宁鞍山</w:t>
        <w:tab/>
        <w:t>科技园区及配套设施的开发管理</w:t>
        <w:tab/>
        <w:t>是</w:t>
      </w:r>
      <w:r>
        <w:rPr>
          <w:rFonts w:ascii="宋体" w:hAnsi="宋体" w:cs="宋体" w:eastAsia="宋体" w:hint="default"/>
          <w:w w:val="99"/>
          <w:sz w:val="16"/>
          <w:szCs w:val="16"/>
        </w:rPr>
        <w:t> </w:t>
      </w:r>
      <w:r>
        <w:rPr>
          <w:rFonts w:ascii="宋体" w:hAnsi="宋体" w:cs="宋体" w:eastAsia="宋体" w:hint="default"/>
          <w:spacing w:val="-1"/>
          <w:sz w:val="16"/>
          <w:szCs w:val="16"/>
        </w:rPr>
        <w:t>Resuccess</w:t>
      </w:r>
      <w:r>
        <w:rPr>
          <w:rFonts w:ascii="宋体" w:hAnsi="宋体" w:cs="宋体" w:eastAsia="宋体" w:hint="default"/>
          <w:sz w:val="16"/>
          <w:szCs w:val="16"/>
        </w:rPr>
        <w:t> </w:t>
      </w:r>
      <w:r>
        <w:rPr>
          <w:rFonts w:ascii="宋体" w:hAnsi="宋体" w:cs="宋体" w:eastAsia="宋体" w:hint="default"/>
          <w:spacing w:val="-1"/>
          <w:sz w:val="16"/>
          <w:szCs w:val="16"/>
        </w:rPr>
        <w:t>Investments</w:t>
      </w:r>
      <w:r>
        <w:rPr>
          <w:rFonts w:ascii="宋体" w:hAnsi="宋体" w:cs="宋体" w:eastAsia="宋体" w:hint="default"/>
          <w:spacing w:val="11"/>
          <w:sz w:val="16"/>
          <w:szCs w:val="16"/>
        </w:rPr>
        <w:t> </w:t>
      </w:r>
      <w:r>
        <w:rPr>
          <w:rFonts w:ascii="宋体" w:hAnsi="宋体" w:cs="宋体" w:eastAsia="宋体" w:hint="default"/>
          <w:spacing w:val="-1"/>
          <w:sz w:val="16"/>
          <w:szCs w:val="16"/>
        </w:rPr>
        <w:t>Ltd.</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US$2000.00</w:t>
      </w:r>
      <w:r>
        <w:rPr>
          <w:rFonts w:ascii="宋体" w:hAnsi="宋体" w:cs="宋体" w:eastAsia="宋体" w:hint="default"/>
          <w:sz w:val="16"/>
          <w:szCs w:val="16"/>
        </w:rPr>
        <w:t> 万</w:t>
      </w:r>
      <w:r>
        <w:rPr>
          <w:rFonts w:ascii="宋体" w:hAnsi="宋体" w:cs="宋体" w:eastAsia="宋体" w:hint="default"/>
          <w:spacing w:val="35"/>
          <w:sz w:val="16"/>
          <w:szCs w:val="16"/>
        </w:rPr>
        <w:t> </w:t>
      </w:r>
      <w:r>
        <w:rPr>
          <w:rFonts w:ascii="宋体" w:hAnsi="宋体" w:cs="宋体" w:eastAsia="宋体" w:hint="default"/>
          <w:spacing w:val="-1"/>
          <w:sz w:val="16"/>
          <w:szCs w:val="16"/>
        </w:rPr>
        <w:t>100.00%</w:t>
        <w:tab/>
      </w:r>
      <w:r>
        <w:rPr>
          <w:rFonts w:ascii="宋体" w:hAnsi="宋体" w:cs="宋体" w:eastAsia="宋体" w:hint="default"/>
          <w:w w:val="95"/>
          <w:sz w:val="16"/>
          <w:szCs w:val="16"/>
        </w:rPr>
        <w:t>维京群岛</w:t>
        <w:tab/>
        <w:t>科技项目投资与管理</w:t>
        <w:tab/>
        <w:t>是</w:t>
      </w:r>
      <w:r>
        <w:rPr>
          <w:rFonts w:ascii="宋体" w:hAnsi="宋体" w:cs="宋体" w:eastAsia="宋体" w:hint="default"/>
          <w:sz w:val="16"/>
          <w:szCs w:val="16"/>
        </w:rPr>
      </w:r>
    </w:p>
    <w:p>
      <w:pPr>
        <w:tabs>
          <w:tab w:pos="3922" w:val="left" w:leader="none"/>
          <w:tab w:pos="4503" w:val="left" w:leader="none"/>
          <w:tab w:pos="4660" w:val="left" w:leader="none"/>
          <w:tab w:pos="6335" w:val="left" w:leader="none"/>
          <w:tab w:pos="7183" w:val="left" w:leader="none"/>
          <w:tab w:pos="11041" w:val="left" w:leader="none"/>
        </w:tabs>
        <w:spacing w:line="324" w:lineRule="auto" w:before="17"/>
        <w:ind w:left="562" w:right="140" w:hanging="161"/>
        <w:jc w:val="right"/>
        <w:rPr>
          <w:rFonts w:ascii="宋体" w:hAnsi="宋体" w:cs="宋体" w:eastAsia="宋体" w:hint="default"/>
          <w:sz w:val="16"/>
          <w:szCs w:val="16"/>
        </w:rPr>
      </w:pPr>
      <w:r>
        <w:rPr>
          <w:rFonts w:ascii="宋体" w:hAnsi="宋体" w:cs="宋体" w:eastAsia="宋体" w:hint="default"/>
          <w:sz w:val="16"/>
          <w:szCs w:val="16"/>
        </w:rPr>
        <w:t>Know China International Holdings</w:t>
      </w:r>
      <w:r>
        <w:rPr>
          <w:rFonts w:ascii="宋体" w:hAnsi="宋体" w:cs="宋体" w:eastAsia="宋体" w:hint="default"/>
          <w:spacing w:val="-19"/>
          <w:sz w:val="16"/>
          <w:szCs w:val="16"/>
        </w:rPr>
        <w:t> </w:t>
      </w:r>
      <w:r>
        <w:rPr>
          <w:rFonts w:ascii="宋体" w:hAnsi="宋体" w:cs="宋体" w:eastAsia="宋体" w:hint="default"/>
          <w:sz w:val="16"/>
          <w:szCs w:val="16"/>
        </w:rPr>
        <w:t>Ltd.</w:t>
        <w:tab/>
        <w:t>2</w:t>
      </w:r>
      <w:r>
        <w:rPr>
          <w:rFonts w:ascii="宋体" w:hAnsi="宋体" w:cs="宋体" w:eastAsia="宋体" w:hint="default"/>
          <w:spacing w:val="-41"/>
          <w:sz w:val="16"/>
          <w:szCs w:val="16"/>
        </w:rPr>
        <w:t> </w:t>
      </w:r>
      <w:r>
        <w:rPr>
          <w:rFonts w:ascii="宋体" w:hAnsi="宋体" w:cs="宋体" w:eastAsia="宋体" w:hint="default"/>
          <w:sz w:val="16"/>
          <w:szCs w:val="16"/>
        </w:rPr>
        <w:t>级</w:t>
        <w:tab/>
        <w:tab/>
        <w:t>US$1.00 元</w:t>
      </w:r>
      <w:r>
        <w:rPr>
          <w:rFonts w:ascii="宋体" w:hAnsi="宋体" w:cs="宋体" w:eastAsia="宋体" w:hint="default"/>
          <w:spacing w:val="19"/>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开曼群岛</w:t>
        <w:tab/>
        <w:t>科技项目投资与管理</w:t>
        <w:tab/>
        <w:t>是</w:t>
      </w:r>
      <w:r>
        <w:rPr>
          <w:rFonts w:ascii="宋体" w:hAnsi="宋体" w:cs="宋体" w:eastAsia="宋体" w:hint="default"/>
          <w:w w:val="99"/>
          <w:sz w:val="16"/>
          <w:szCs w:val="16"/>
        </w:rPr>
        <w:t> </w:t>
      </w:r>
      <w:r>
        <w:rPr>
          <w:rFonts w:ascii="宋体" w:hAnsi="宋体" w:cs="宋体" w:eastAsia="宋体" w:hint="default"/>
          <w:w w:val="95"/>
          <w:sz w:val="16"/>
          <w:szCs w:val="16"/>
        </w:rPr>
        <w:t>同方知网(北京)技术有限公司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US$100.00 万</w:t>
      </w:r>
      <w:r>
        <w:rPr>
          <w:rFonts w:ascii="宋体" w:hAnsi="宋体" w:cs="宋体" w:eastAsia="宋体" w:hint="default"/>
          <w:spacing w:val="18"/>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北京海淀</w:t>
        <w:tab/>
        <w:t>网络知识存储与信息检索</w:t>
        <w:tab/>
        <w:t>是</w:t>
      </w:r>
      <w:r>
        <w:rPr>
          <w:rFonts w:ascii="宋体" w:hAnsi="宋体" w:cs="宋体" w:eastAsia="宋体" w:hint="default"/>
          <w:sz w:val="16"/>
          <w:szCs w:val="16"/>
        </w:rPr>
      </w:r>
    </w:p>
    <w:p>
      <w:pPr>
        <w:tabs>
          <w:tab w:pos="3600" w:val="left" w:leader="none"/>
          <w:tab w:pos="3920" w:val="left" w:leader="none"/>
          <w:tab w:pos="4259" w:val="left" w:leader="none"/>
          <w:tab w:pos="4497" w:val="left" w:leader="none"/>
          <w:tab w:pos="4659" w:val="left" w:leader="none"/>
          <w:tab w:pos="5323" w:val="left" w:leader="none"/>
          <w:tab w:pos="5484" w:val="left" w:leader="none"/>
          <w:tab w:pos="5644" w:val="left" w:leader="none"/>
          <w:tab w:pos="6013" w:val="left" w:leader="none"/>
          <w:tab w:pos="6253" w:val="left" w:leader="none"/>
          <w:tab w:pos="6412" w:val="left" w:leader="none"/>
          <w:tab w:pos="6862" w:val="left" w:leader="none"/>
          <w:tab w:pos="7021" w:val="left" w:leader="none"/>
          <w:tab w:pos="10721" w:val="left" w:leader="none"/>
          <w:tab w:pos="10882" w:val="left" w:leader="none"/>
          <w:tab w:pos="11041" w:val="left" w:leader="none"/>
        </w:tabs>
        <w:spacing w:line="326" w:lineRule="auto" w:before="19"/>
        <w:ind w:left="242" w:right="139" w:firstLine="159"/>
        <w:jc w:val="right"/>
        <w:rPr>
          <w:rFonts w:ascii="宋体" w:hAnsi="宋体" w:cs="宋体" w:eastAsia="宋体" w:hint="default"/>
          <w:sz w:val="16"/>
          <w:szCs w:val="16"/>
        </w:rPr>
      </w:pPr>
      <w:r>
        <w:rPr>
          <w:rFonts w:ascii="宋体" w:hAnsi="宋体" w:cs="宋体" w:eastAsia="宋体" w:hint="default"/>
          <w:spacing w:val="-1"/>
          <w:sz w:val="16"/>
          <w:szCs w:val="16"/>
        </w:rPr>
        <w:t>TF-EPI</w:t>
      </w:r>
      <w:r>
        <w:rPr>
          <w:rFonts w:ascii="宋体" w:hAnsi="宋体" w:cs="宋体" w:eastAsia="宋体" w:hint="default"/>
          <w:sz w:val="16"/>
          <w:szCs w:val="16"/>
        </w:rPr>
        <w:t> Co.</w:t>
      </w:r>
      <w:r>
        <w:rPr>
          <w:rFonts w:ascii="宋体" w:hAnsi="宋体" w:cs="宋体" w:eastAsia="宋体" w:hint="default"/>
          <w:spacing w:val="3"/>
          <w:sz w:val="16"/>
          <w:szCs w:val="16"/>
        </w:rPr>
        <w:t> </w:t>
      </w:r>
      <w:r>
        <w:rPr>
          <w:rFonts w:ascii="宋体" w:hAnsi="宋体" w:cs="宋体" w:eastAsia="宋体" w:hint="default"/>
          <w:spacing w:val="-1"/>
          <w:sz w:val="16"/>
          <w:szCs w:val="16"/>
        </w:rPr>
        <w:t>Ltd.</w:t>
        <w:tab/>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ab/>
        <w:tab/>
      </w:r>
      <w:r>
        <w:rPr>
          <w:rFonts w:ascii="宋体" w:hAnsi="宋体" w:cs="宋体" w:eastAsia="宋体" w:hint="default"/>
          <w:spacing w:val="-1"/>
          <w:sz w:val="16"/>
          <w:szCs w:val="16"/>
        </w:rPr>
        <w:t>US$5.00</w:t>
      </w:r>
      <w:r>
        <w:rPr>
          <w:rFonts w:ascii="宋体" w:hAnsi="宋体" w:cs="宋体" w:eastAsia="宋体" w:hint="default"/>
          <w:sz w:val="16"/>
          <w:szCs w:val="16"/>
        </w:rPr>
        <w:t> 万</w:t>
      </w:r>
      <w:r>
        <w:rPr>
          <w:rFonts w:ascii="宋体" w:hAnsi="宋体" w:cs="宋体" w:eastAsia="宋体" w:hint="default"/>
          <w:spacing w:val="33"/>
          <w:sz w:val="16"/>
          <w:szCs w:val="16"/>
        </w:rPr>
        <w:t> </w:t>
      </w:r>
      <w:r>
        <w:rPr>
          <w:rFonts w:ascii="宋体" w:hAnsi="宋体" w:cs="宋体" w:eastAsia="宋体" w:hint="default"/>
          <w:spacing w:val="-1"/>
          <w:sz w:val="16"/>
          <w:szCs w:val="16"/>
        </w:rPr>
        <w:t>100.00%</w:t>
        <w:tab/>
      </w:r>
      <w:r>
        <w:rPr>
          <w:rFonts w:ascii="宋体" w:hAnsi="宋体" w:cs="宋体" w:eastAsia="宋体" w:hint="default"/>
          <w:w w:val="95"/>
          <w:sz w:val="16"/>
          <w:szCs w:val="16"/>
        </w:rPr>
        <w:t>开曼群岛</w:t>
        <w:tab/>
        <w:t>科技项目投资与管理</w:t>
        <w:tab/>
        <w:tab/>
        <w:tab/>
        <w:t>是</w:t>
      </w:r>
      <w:r>
        <w:rPr>
          <w:rFonts w:ascii="宋体" w:hAnsi="宋体" w:cs="宋体" w:eastAsia="宋体" w:hint="default"/>
          <w:w w:val="99"/>
          <w:sz w:val="16"/>
          <w:szCs w:val="16"/>
        </w:rPr>
        <w:t> </w:t>
      </w:r>
      <w:r>
        <w:rPr>
          <w:rFonts w:ascii="宋体" w:hAnsi="宋体" w:cs="宋体" w:eastAsia="宋体" w:hint="default"/>
          <w:spacing w:val="-1"/>
          <w:sz w:val="16"/>
          <w:szCs w:val="16"/>
        </w:rPr>
        <w:t>Tinggi</w:t>
      </w:r>
      <w:r>
        <w:rPr>
          <w:rFonts w:ascii="宋体" w:hAnsi="宋体" w:cs="宋体" w:eastAsia="宋体" w:hint="default"/>
          <w:sz w:val="16"/>
          <w:szCs w:val="16"/>
        </w:rPr>
        <w:t> </w:t>
      </w:r>
      <w:r>
        <w:rPr>
          <w:rFonts w:ascii="宋体" w:hAnsi="宋体" w:cs="宋体" w:eastAsia="宋体" w:hint="default"/>
          <w:spacing w:val="-1"/>
          <w:sz w:val="16"/>
          <w:szCs w:val="16"/>
        </w:rPr>
        <w:t>Technologies</w:t>
      </w:r>
      <w:r>
        <w:rPr>
          <w:rFonts w:ascii="宋体" w:hAnsi="宋体" w:cs="宋体" w:eastAsia="宋体" w:hint="default"/>
          <w:sz w:val="16"/>
          <w:szCs w:val="16"/>
        </w:rPr>
        <w:t> </w:t>
      </w:r>
      <w:r>
        <w:rPr>
          <w:rFonts w:ascii="宋体" w:hAnsi="宋体" w:cs="宋体" w:eastAsia="宋体" w:hint="default"/>
          <w:spacing w:val="-1"/>
          <w:sz w:val="16"/>
          <w:szCs w:val="16"/>
        </w:rPr>
        <w:t>Pte</w:t>
      </w:r>
      <w:r>
        <w:rPr>
          <w:rFonts w:ascii="宋体" w:hAnsi="宋体" w:cs="宋体" w:eastAsia="宋体" w:hint="default"/>
          <w:spacing w:val="12"/>
          <w:sz w:val="16"/>
          <w:szCs w:val="16"/>
        </w:rPr>
        <w:t> </w:t>
      </w:r>
      <w:r>
        <w:rPr>
          <w:rFonts w:ascii="宋体" w:hAnsi="宋体" w:cs="宋体" w:eastAsia="宋体" w:hint="default"/>
          <w:spacing w:val="-1"/>
          <w:sz w:val="16"/>
          <w:szCs w:val="16"/>
        </w:rPr>
        <w:t>Ltd.</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SGP$222.77</w:t>
      </w:r>
      <w:r>
        <w:rPr>
          <w:rFonts w:ascii="宋体" w:hAnsi="宋体" w:cs="宋体" w:eastAsia="宋体" w:hint="default"/>
          <w:spacing w:val="-35"/>
          <w:sz w:val="16"/>
          <w:szCs w:val="16"/>
        </w:rPr>
        <w:t> </w:t>
      </w:r>
      <w:r>
        <w:rPr>
          <w:rFonts w:ascii="宋体" w:hAnsi="宋体" w:cs="宋体" w:eastAsia="宋体" w:hint="default"/>
          <w:sz w:val="16"/>
          <w:szCs w:val="16"/>
        </w:rPr>
        <w:t>万</w:t>
        <w:tab/>
        <w:tab/>
      </w:r>
      <w:r>
        <w:rPr>
          <w:rFonts w:ascii="宋体" w:hAnsi="宋体" w:cs="宋体" w:eastAsia="宋体" w:hint="default"/>
          <w:spacing w:val="-1"/>
          <w:sz w:val="16"/>
          <w:szCs w:val="16"/>
        </w:rPr>
        <w:t>65.92%</w:t>
        <w:tab/>
        <w:tab/>
      </w:r>
      <w:r>
        <w:rPr>
          <w:rFonts w:ascii="宋体" w:hAnsi="宋体" w:cs="宋体" w:eastAsia="宋体" w:hint="default"/>
          <w:w w:val="95"/>
          <w:sz w:val="16"/>
          <w:szCs w:val="16"/>
        </w:rPr>
        <w:t>新加坡</w:t>
        <w:tab/>
        <w:tab/>
        <w:t>高亮度发光二级管(LED)外延片和芯片研发制造</w:t>
        <w:tab/>
        <w:tab/>
        <w:t>是</w:t>
      </w:r>
      <w:r>
        <w:rPr>
          <w:rFonts w:ascii="宋体" w:hAnsi="宋体" w:cs="宋体" w:eastAsia="宋体" w:hint="default"/>
          <w:w w:val="99"/>
          <w:sz w:val="16"/>
          <w:szCs w:val="16"/>
        </w:rPr>
        <w:t> </w:t>
      </w:r>
      <w:r>
        <w:rPr>
          <w:rFonts w:ascii="宋体" w:hAnsi="宋体" w:cs="宋体" w:eastAsia="宋体" w:hint="default"/>
          <w:spacing w:val="-1"/>
          <w:sz w:val="16"/>
          <w:szCs w:val="16"/>
        </w:rPr>
        <w:t>TongFang</w:t>
      </w:r>
      <w:r>
        <w:rPr>
          <w:rFonts w:ascii="宋体" w:hAnsi="宋体" w:cs="宋体" w:eastAsia="宋体" w:hint="default"/>
          <w:sz w:val="16"/>
          <w:szCs w:val="16"/>
        </w:rPr>
        <w:t> </w:t>
      </w:r>
      <w:r>
        <w:rPr>
          <w:rFonts w:ascii="宋体" w:hAnsi="宋体" w:cs="宋体" w:eastAsia="宋体" w:hint="default"/>
          <w:spacing w:val="-1"/>
          <w:sz w:val="16"/>
          <w:szCs w:val="16"/>
        </w:rPr>
        <w:t>Global</w:t>
      </w:r>
      <w:r>
        <w:rPr>
          <w:rFonts w:ascii="宋体" w:hAnsi="宋体" w:cs="宋体" w:eastAsia="宋体" w:hint="default"/>
          <w:spacing w:val="8"/>
          <w:sz w:val="16"/>
          <w:szCs w:val="16"/>
        </w:rPr>
        <w:t> </w:t>
      </w:r>
      <w:r>
        <w:rPr>
          <w:rFonts w:ascii="宋体" w:hAnsi="宋体" w:cs="宋体" w:eastAsia="宋体" w:hint="default"/>
          <w:spacing w:val="-1"/>
          <w:sz w:val="16"/>
          <w:szCs w:val="16"/>
        </w:rPr>
        <w:t>Ltd.</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HK$100.00</w:t>
      </w:r>
      <w:r>
        <w:rPr>
          <w:rFonts w:ascii="宋体" w:hAnsi="宋体" w:cs="宋体" w:eastAsia="宋体" w:hint="default"/>
          <w:sz w:val="16"/>
          <w:szCs w:val="16"/>
        </w:rPr>
        <w:t> 万</w:t>
      </w:r>
      <w:r>
        <w:rPr>
          <w:rFonts w:ascii="宋体" w:hAnsi="宋体" w:cs="宋体" w:eastAsia="宋体" w:hint="default"/>
          <w:spacing w:val="34"/>
          <w:sz w:val="16"/>
          <w:szCs w:val="16"/>
        </w:rPr>
        <w:t> </w:t>
      </w:r>
      <w:r>
        <w:rPr>
          <w:rFonts w:ascii="宋体" w:hAnsi="宋体" w:cs="宋体" w:eastAsia="宋体" w:hint="default"/>
          <w:spacing w:val="-1"/>
          <w:sz w:val="16"/>
          <w:szCs w:val="16"/>
        </w:rPr>
        <w:t>100.00%</w:t>
        <w:tab/>
      </w:r>
      <w:r>
        <w:rPr>
          <w:rFonts w:ascii="宋体" w:hAnsi="宋体" w:cs="宋体" w:eastAsia="宋体" w:hint="default"/>
          <w:w w:val="95"/>
          <w:sz w:val="16"/>
          <w:szCs w:val="16"/>
        </w:rPr>
        <w:t>中国香港</w:t>
        <w:tab/>
        <w:tab/>
        <w:t>计算机、数字电视等消费电子产品经销</w:t>
        <w:tab/>
        <w:tab/>
        <w:t>是</w:t>
      </w:r>
      <w:r>
        <w:rPr>
          <w:rFonts w:ascii="宋体" w:hAnsi="宋体" w:cs="宋体" w:eastAsia="宋体" w:hint="default"/>
          <w:w w:val="99"/>
          <w:sz w:val="16"/>
          <w:szCs w:val="16"/>
        </w:rPr>
        <w:t> </w:t>
      </w:r>
      <w:r>
        <w:rPr>
          <w:rFonts w:ascii="宋体" w:hAnsi="宋体" w:cs="宋体" w:eastAsia="宋体" w:hint="default"/>
          <w:spacing w:val="-1"/>
          <w:sz w:val="16"/>
          <w:szCs w:val="16"/>
        </w:rPr>
        <w:t>Technovator</w:t>
      </w:r>
      <w:r>
        <w:rPr>
          <w:rFonts w:ascii="宋体" w:hAnsi="宋体" w:cs="宋体" w:eastAsia="宋体" w:hint="default"/>
          <w:sz w:val="16"/>
          <w:szCs w:val="16"/>
        </w:rPr>
        <w:t> </w:t>
      </w:r>
      <w:r>
        <w:rPr>
          <w:rFonts w:ascii="宋体" w:hAnsi="宋体" w:cs="宋体" w:eastAsia="宋体" w:hint="default"/>
          <w:spacing w:val="-1"/>
          <w:sz w:val="16"/>
          <w:szCs w:val="16"/>
        </w:rPr>
        <w:t>Int</w:t>
      </w:r>
      <w:r>
        <w:rPr>
          <w:rFonts w:ascii="宋体" w:hAnsi="宋体" w:cs="宋体" w:eastAsia="宋体" w:hint="default"/>
          <w:sz w:val="16"/>
          <w:szCs w:val="16"/>
        </w:rPr>
        <w:t> </w:t>
      </w:r>
      <w:r>
        <w:rPr>
          <w:rFonts w:ascii="宋体" w:hAnsi="宋体" w:cs="宋体" w:eastAsia="宋体" w:hint="default"/>
          <w:spacing w:val="-1"/>
          <w:sz w:val="16"/>
          <w:szCs w:val="16"/>
        </w:rPr>
        <w:t>Private</w:t>
      </w:r>
      <w:r>
        <w:rPr>
          <w:rFonts w:ascii="宋体" w:hAnsi="宋体" w:cs="宋体" w:eastAsia="宋体" w:hint="default"/>
          <w:spacing w:val="12"/>
          <w:sz w:val="16"/>
          <w:szCs w:val="16"/>
        </w:rPr>
        <w:t> </w:t>
      </w:r>
      <w:r>
        <w:rPr>
          <w:rFonts w:ascii="宋体" w:hAnsi="宋体" w:cs="宋体" w:eastAsia="宋体" w:hint="default"/>
          <w:spacing w:val="-1"/>
          <w:sz w:val="16"/>
          <w:szCs w:val="16"/>
        </w:rPr>
        <w:t>Ltd.</w:t>
        <w:tab/>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US$908.00</w:t>
      </w:r>
      <w:r>
        <w:rPr>
          <w:rFonts w:ascii="宋体" w:hAnsi="宋体" w:cs="宋体" w:eastAsia="宋体" w:hint="default"/>
          <w:spacing w:val="-36"/>
          <w:sz w:val="16"/>
          <w:szCs w:val="16"/>
        </w:rPr>
        <w:t> </w:t>
      </w:r>
      <w:r>
        <w:rPr>
          <w:rFonts w:ascii="宋体" w:hAnsi="宋体" w:cs="宋体" w:eastAsia="宋体" w:hint="default"/>
          <w:sz w:val="16"/>
          <w:szCs w:val="16"/>
        </w:rPr>
        <w:t>万</w:t>
        <w:tab/>
        <w:tab/>
      </w:r>
      <w:r>
        <w:rPr>
          <w:rFonts w:ascii="宋体" w:hAnsi="宋体" w:cs="宋体" w:eastAsia="宋体" w:hint="default"/>
          <w:spacing w:val="-1"/>
          <w:sz w:val="16"/>
          <w:szCs w:val="16"/>
        </w:rPr>
        <w:t>47.36%</w:t>
        <w:tab/>
        <w:tab/>
      </w:r>
      <w:r>
        <w:rPr>
          <w:rFonts w:ascii="宋体" w:hAnsi="宋体" w:cs="宋体" w:eastAsia="宋体" w:hint="default"/>
          <w:w w:val="95"/>
          <w:sz w:val="16"/>
          <w:szCs w:val="16"/>
        </w:rPr>
        <w:t>新加坡</w:t>
        <w:tab/>
        <w:t>楼宇自动控制产品</w:t>
        <w:tab/>
        <w:tab/>
        <w:tab/>
        <w:t>是</w:t>
      </w:r>
      <w:r>
        <w:rPr>
          <w:rFonts w:ascii="宋体" w:hAnsi="宋体" w:cs="宋体" w:eastAsia="宋体" w:hint="default"/>
          <w:w w:val="99"/>
          <w:sz w:val="16"/>
          <w:szCs w:val="16"/>
        </w:rPr>
        <w:t> </w:t>
      </w:r>
      <w:r>
        <w:rPr>
          <w:rFonts w:ascii="宋体" w:hAnsi="宋体" w:cs="宋体" w:eastAsia="宋体" w:hint="default"/>
          <w:w w:val="95"/>
          <w:sz w:val="16"/>
          <w:szCs w:val="16"/>
        </w:rPr>
        <w:t>同方泰德国际科技(北京)有限公司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US$700.00 万</w:t>
      </w:r>
      <w:r>
        <w:rPr>
          <w:rFonts w:ascii="宋体" w:hAnsi="宋体" w:cs="宋体" w:eastAsia="宋体" w:hint="default"/>
          <w:spacing w:val="18"/>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北京怀柔</w:t>
        <w:tab/>
        <w:tab/>
        <w:t>智能控制系统配套软/硬件产品</w:t>
        <w:tab/>
        <w:tab/>
        <w:t>是</w:t>
      </w:r>
      <w:r>
        <w:rPr>
          <w:rFonts w:ascii="宋体" w:hAnsi="宋体" w:cs="宋体" w:eastAsia="宋体" w:hint="default"/>
          <w:w w:val="99"/>
          <w:sz w:val="16"/>
          <w:szCs w:val="16"/>
        </w:rPr>
        <w:t> </w:t>
      </w:r>
      <w:r>
        <w:rPr>
          <w:rFonts w:ascii="宋体" w:hAnsi="宋体" w:cs="宋体" w:eastAsia="宋体" w:hint="default"/>
          <w:spacing w:val="-1"/>
          <w:sz w:val="16"/>
          <w:szCs w:val="16"/>
        </w:rPr>
        <w:t>Distech</w:t>
      </w:r>
      <w:r>
        <w:rPr>
          <w:rFonts w:ascii="宋体" w:hAnsi="宋体" w:cs="宋体" w:eastAsia="宋体" w:hint="default"/>
          <w:sz w:val="16"/>
          <w:szCs w:val="16"/>
        </w:rPr>
        <w:t> </w:t>
      </w:r>
      <w:r>
        <w:rPr>
          <w:rFonts w:ascii="宋体" w:hAnsi="宋体" w:cs="宋体" w:eastAsia="宋体" w:hint="default"/>
          <w:spacing w:val="-1"/>
          <w:sz w:val="16"/>
          <w:szCs w:val="16"/>
        </w:rPr>
        <w:t>Controls</w:t>
      </w:r>
      <w:r>
        <w:rPr>
          <w:rFonts w:ascii="宋体" w:hAnsi="宋体" w:cs="宋体" w:eastAsia="宋体" w:hint="default"/>
          <w:spacing w:val="9"/>
          <w:sz w:val="16"/>
          <w:szCs w:val="16"/>
        </w:rPr>
        <w:t> </w:t>
      </w:r>
      <w:r>
        <w:rPr>
          <w:rFonts w:ascii="宋体" w:hAnsi="宋体" w:cs="宋体" w:eastAsia="宋体" w:hint="default"/>
          <w:spacing w:val="-1"/>
          <w:sz w:val="16"/>
          <w:szCs w:val="16"/>
        </w:rPr>
        <w:t>Inc.</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US$1402.44</w:t>
      </w:r>
      <w:r>
        <w:rPr>
          <w:rFonts w:ascii="宋体" w:hAnsi="宋体" w:cs="宋体" w:eastAsia="宋体" w:hint="default"/>
          <w:spacing w:val="-35"/>
          <w:sz w:val="16"/>
          <w:szCs w:val="16"/>
        </w:rPr>
        <w:t> </w:t>
      </w:r>
      <w:r>
        <w:rPr>
          <w:rFonts w:ascii="宋体" w:hAnsi="宋体" w:cs="宋体" w:eastAsia="宋体" w:hint="default"/>
          <w:sz w:val="16"/>
          <w:szCs w:val="16"/>
        </w:rPr>
        <w:t>万</w:t>
        <w:tab/>
        <w:tab/>
      </w:r>
      <w:r>
        <w:rPr>
          <w:rFonts w:ascii="宋体" w:hAnsi="宋体" w:cs="宋体" w:eastAsia="宋体" w:hint="default"/>
          <w:spacing w:val="-1"/>
          <w:sz w:val="16"/>
          <w:szCs w:val="16"/>
        </w:rPr>
        <w:t>53.50%</w:t>
      </w:r>
      <w:r>
        <w:rPr>
          <w:rFonts w:ascii="宋体" w:hAnsi="宋体" w:cs="宋体" w:eastAsia="宋体" w:hint="default"/>
          <w:sz w:val="16"/>
          <w:szCs w:val="16"/>
        </w:rPr>
        <w:t>  加拿大魁省</w:t>
      </w:r>
      <w:r>
        <w:rPr>
          <w:rFonts w:ascii="宋体" w:hAnsi="宋体" w:cs="宋体" w:eastAsia="宋体" w:hint="default"/>
          <w:spacing w:val="16"/>
          <w:sz w:val="16"/>
          <w:szCs w:val="16"/>
        </w:rPr>
        <w:t> </w:t>
      </w:r>
      <w:r>
        <w:rPr>
          <w:rFonts w:ascii="宋体" w:hAnsi="宋体" w:cs="宋体" w:eastAsia="宋体" w:hint="default"/>
          <w:sz w:val="16"/>
          <w:szCs w:val="16"/>
        </w:rPr>
        <w:t>智能建筑控制产品设计、生产、销售</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sz w:val="16"/>
          <w:szCs w:val="16"/>
        </w:rPr>
        <w:t>Distech Controls Europe</w:t>
      </w:r>
      <w:r>
        <w:rPr>
          <w:rFonts w:ascii="宋体" w:hAnsi="宋体" w:cs="宋体" w:eastAsia="宋体" w:hint="default"/>
          <w:spacing w:val="-13"/>
          <w:sz w:val="16"/>
          <w:szCs w:val="16"/>
        </w:rPr>
        <w:t> </w:t>
      </w:r>
      <w:r>
        <w:rPr>
          <w:rFonts w:ascii="宋体" w:hAnsi="宋体" w:cs="宋体" w:eastAsia="宋体" w:hint="default"/>
          <w:sz w:val="16"/>
          <w:szCs w:val="16"/>
        </w:rPr>
        <w:t>BV</w:t>
        <w:tab/>
        <w:t>3</w:t>
      </w:r>
      <w:r>
        <w:rPr>
          <w:rFonts w:ascii="宋体" w:hAnsi="宋体" w:cs="宋体" w:eastAsia="宋体" w:hint="default"/>
          <w:spacing w:val="-41"/>
          <w:sz w:val="16"/>
          <w:szCs w:val="16"/>
        </w:rPr>
        <w:t> </w:t>
      </w:r>
      <w:r>
        <w:rPr>
          <w:rFonts w:ascii="宋体" w:hAnsi="宋体" w:cs="宋体" w:eastAsia="宋体" w:hint="default"/>
          <w:sz w:val="16"/>
          <w:szCs w:val="16"/>
        </w:rPr>
        <w:t>级</w:t>
        <w:tab/>
        <w:tab/>
        <w:tab/>
      </w:r>
      <w:r>
        <w:rPr>
          <w:rFonts w:ascii="宋体" w:hAnsi="宋体" w:cs="宋体" w:eastAsia="宋体" w:hint="default"/>
          <w:w w:val="90"/>
          <w:sz w:val="16"/>
          <w:szCs w:val="16"/>
        </w:rPr>
        <w:t>€1.80</w:t>
      </w:r>
      <w:r>
        <w:rPr>
          <w:rFonts w:ascii="宋体" w:hAnsi="宋体" w:cs="宋体" w:eastAsia="宋体" w:hint="default"/>
          <w:spacing w:val="-50"/>
          <w:w w:val="90"/>
          <w:sz w:val="16"/>
          <w:szCs w:val="16"/>
        </w:rPr>
        <w:t> </w:t>
      </w:r>
      <w:r>
        <w:rPr>
          <w:rFonts w:ascii="宋体" w:hAnsi="宋体" w:cs="宋体" w:eastAsia="宋体" w:hint="default"/>
          <w:w w:val="90"/>
          <w:sz w:val="16"/>
          <w:szCs w:val="16"/>
        </w:rPr>
        <w:t>万</w:t>
        <w:tab/>
      </w:r>
      <w:r>
        <w:rPr>
          <w:rFonts w:ascii="宋体" w:hAnsi="宋体" w:cs="宋体" w:eastAsia="宋体" w:hint="default"/>
          <w:sz w:val="16"/>
          <w:szCs w:val="16"/>
        </w:rPr>
        <w:t>51.00%  荷兰北布省</w:t>
      </w:r>
      <w:r>
        <w:rPr>
          <w:rFonts w:ascii="宋体" w:hAnsi="宋体" w:cs="宋体" w:eastAsia="宋体" w:hint="default"/>
          <w:spacing w:val="11"/>
          <w:sz w:val="16"/>
          <w:szCs w:val="16"/>
        </w:rPr>
        <w:t> </w:t>
      </w:r>
      <w:r>
        <w:rPr>
          <w:rFonts w:ascii="宋体" w:hAnsi="宋体" w:cs="宋体" w:eastAsia="宋体" w:hint="default"/>
          <w:sz w:val="16"/>
          <w:szCs w:val="16"/>
        </w:rPr>
        <w:t>智能建筑控制产品及相关服务</w:t>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spacing w:val="-1"/>
          <w:sz w:val="16"/>
          <w:szCs w:val="16"/>
        </w:rPr>
        <w:t>Distech</w:t>
      </w:r>
      <w:r>
        <w:rPr>
          <w:rFonts w:ascii="宋体" w:hAnsi="宋体" w:cs="宋体" w:eastAsia="宋体" w:hint="default"/>
          <w:sz w:val="16"/>
          <w:szCs w:val="16"/>
        </w:rPr>
        <w:t> </w:t>
      </w:r>
      <w:r>
        <w:rPr>
          <w:rFonts w:ascii="宋体" w:hAnsi="宋体" w:cs="宋体" w:eastAsia="宋体" w:hint="default"/>
          <w:spacing w:val="-1"/>
          <w:sz w:val="16"/>
          <w:szCs w:val="16"/>
        </w:rPr>
        <w:t>France</w:t>
      </w:r>
      <w:r>
        <w:rPr>
          <w:rFonts w:ascii="宋体" w:hAnsi="宋体" w:cs="宋体" w:eastAsia="宋体" w:hint="default"/>
          <w:sz w:val="16"/>
          <w:szCs w:val="16"/>
        </w:rPr>
        <w:t> </w:t>
      </w:r>
      <w:r>
        <w:rPr>
          <w:rFonts w:ascii="宋体" w:hAnsi="宋体" w:cs="宋体" w:eastAsia="宋体" w:hint="default"/>
          <w:spacing w:val="-1"/>
          <w:sz w:val="16"/>
          <w:szCs w:val="16"/>
        </w:rPr>
        <w:t>Holding</w:t>
      </w:r>
      <w:r>
        <w:rPr>
          <w:rFonts w:ascii="宋体" w:hAnsi="宋体" w:cs="宋体" w:eastAsia="宋体" w:hint="default"/>
          <w:spacing w:val="11"/>
          <w:sz w:val="16"/>
          <w:szCs w:val="16"/>
        </w:rPr>
        <w:t> </w:t>
      </w:r>
      <w:r>
        <w:rPr>
          <w:rFonts w:ascii="宋体" w:hAnsi="宋体" w:cs="宋体" w:eastAsia="宋体" w:hint="default"/>
          <w:spacing w:val="-1"/>
          <w:sz w:val="16"/>
          <w:szCs w:val="16"/>
        </w:rPr>
        <w:t>S.A.S.</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€320.00</w:t>
      </w:r>
      <w:r>
        <w:rPr>
          <w:rFonts w:ascii="宋体" w:hAnsi="宋体" w:cs="宋体" w:eastAsia="宋体" w:hint="default"/>
          <w:sz w:val="16"/>
          <w:szCs w:val="16"/>
        </w:rPr>
        <w:t> 万</w:t>
      </w:r>
      <w:r>
        <w:rPr>
          <w:rFonts w:ascii="宋体" w:hAnsi="宋体" w:cs="宋体" w:eastAsia="宋体" w:hint="default"/>
          <w:spacing w:val="-47"/>
          <w:sz w:val="16"/>
          <w:szCs w:val="16"/>
        </w:rPr>
        <w:t> </w:t>
      </w:r>
      <w:r>
        <w:rPr>
          <w:rFonts w:ascii="宋体" w:hAnsi="宋体" w:cs="宋体" w:eastAsia="宋体" w:hint="default"/>
          <w:spacing w:val="-1"/>
          <w:sz w:val="16"/>
          <w:szCs w:val="16"/>
        </w:rPr>
        <w:t>100.00%</w:t>
        <w:tab/>
      </w:r>
      <w:r>
        <w:rPr>
          <w:rFonts w:ascii="宋体" w:hAnsi="宋体" w:cs="宋体" w:eastAsia="宋体" w:hint="default"/>
          <w:w w:val="95"/>
          <w:sz w:val="16"/>
          <w:szCs w:val="16"/>
        </w:rPr>
        <w:t>法国里昂</w:t>
        <w:tab/>
        <w:t>产业投资控股</w:t>
        <w:tab/>
        <w:t>是</w:t>
      </w:r>
      <w:r>
        <w:rPr>
          <w:rFonts w:ascii="宋体" w:hAnsi="宋体" w:cs="宋体" w:eastAsia="宋体" w:hint="default"/>
          <w:sz w:val="16"/>
          <w:szCs w:val="16"/>
        </w:rPr>
      </w:r>
    </w:p>
    <w:p>
      <w:pPr>
        <w:spacing w:line="130" w:lineRule="exact" w:before="0"/>
        <w:ind w:left="722" w:right="1394" w:firstLine="0"/>
        <w:jc w:val="left"/>
        <w:rPr>
          <w:rFonts w:ascii="宋体" w:hAnsi="宋体" w:cs="宋体" w:eastAsia="宋体" w:hint="default"/>
          <w:sz w:val="16"/>
          <w:szCs w:val="16"/>
        </w:rPr>
      </w:pPr>
      <w:r>
        <w:rPr>
          <w:rFonts w:ascii="宋体" w:hAnsi="宋体" w:cs="宋体" w:eastAsia="宋体" w:hint="default"/>
          <w:sz w:val="16"/>
          <w:szCs w:val="16"/>
        </w:rPr>
        <w:t>Socie′ te′</w:t>
      </w:r>
      <w:r>
        <w:rPr>
          <w:rFonts w:ascii="宋体" w:hAnsi="宋体" w:cs="宋体" w:eastAsia="宋体" w:hint="default"/>
          <w:spacing w:val="-7"/>
          <w:sz w:val="16"/>
          <w:szCs w:val="16"/>
        </w:rPr>
        <w:t> </w:t>
      </w:r>
      <w:r>
        <w:rPr>
          <w:rFonts w:ascii="宋体" w:hAnsi="宋体" w:cs="宋体" w:eastAsia="宋体" w:hint="default"/>
          <w:sz w:val="16"/>
          <w:szCs w:val="16"/>
        </w:rPr>
        <w:t>Comtec</w:t>
      </w:r>
    </w:p>
    <w:p>
      <w:pPr>
        <w:tabs>
          <w:tab w:pos="3201" w:val="left" w:leader="none"/>
          <w:tab w:pos="4019" w:val="left" w:leader="none"/>
          <w:tab w:pos="5612" w:val="left" w:leader="none"/>
          <w:tab w:pos="6460" w:val="left" w:leader="none"/>
          <w:tab w:pos="10319" w:val="left" w:leader="none"/>
        </w:tabs>
        <w:spacing w:line="254" w:lineRule="exact" w:before="0"/>
        <w:ind w:left="0" w:right="140" w:firstLine="0"/>
        <w:jc w:val="right"/>
        <w:rPr>
          <w:rFonts w:ascii="宋体" w:hAnsi="宋体" w:cs="宋体" w:eastAsia="宋体" w:hint="default"/>
          <w:sz w:val="16"/>
          <w:szCs w:val="16"/>
        </w:rPr>
      </w:pPr>
      <w:r>
        <w:rPr>
          <w:rFonts w:ascii="宋体" w:hAnsi="宋体" w:cs="宋体" w:eastAsia="宋体" w:hint="default"/>
          <w:spacing w:val="-1"/>
          <w:position w:val="-9"/>
          <w:sz w:val="16"/>
          <w:szCs w:val="16"/>
        </w:rPr>
        <w:t>Technologies</w:t>
      </w:r>
      <w:r>
        <w:rPr>
          <w:rFonts w:ascii="宋体" w:hAnsi="宋体" w:cs="宋体" w:eastAsia="宋体" w:hint="default"/>
          <w:spacing w:val="9"/>
          <w:position w:val="-9"/>
          <w:sz w:val="16"/>
          <w:szCs w:val="16"/>
        </w:rPr>
        <w:t> </w:t>
      </w:r>
      <w:r>
        <w:rPr>
          <w:rFonts w:ascii="宋体" w:hAnsi="宋体" w:cs="宋体" w:eastAsia="宋体" w:hint="default"/>
          <w:spacing w:val="-1"/>
          <w:position w:val="-9"/>
          <w:sz w:val="16"/>
          <w:szCs w:val="16"/>
        </w:rPr>
        <w:t>S.A.S.</w:t>
        <w:tab/>
      </w:r>
      <w:r>
        <w:rPr>
          <w:rFonts w:ascii="宋体" w:hAnsi="宋体" w:cs="宋体" w:eastAsia="宋体" w:hint="default"/>
          <w:sz w:val="16"/>
          <w:szCs w:val="16"/>
        </w:rPr>
        <w:t>4</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€12.23</w:t>
      </w:r>
      <w:r>
        <w:rPr>
          <w:rFonts w:ascii="宋体" w:hAnsi="宋体" w:cs="宋体" w:eastAsia="宋体" w:hint="default"/>
          <w:sz w:val="16"/>
          <w:szCs w:val="16"/>
        </w:rPr>
        <w:t> 万</w:t>
      </w:r>
      <w:r>
        <w:rPr>
          <w:rFonts w:ascii="宋体" w:hAnsi="宋体" w:cs="宋体" w:eastAsia="宋体" w:hint="default"/>
          <w:spacing w:val="-47"/>
          <w:sz w:val="16"/>
          <w:szCs w:val="16"/>
        </w:rPr>
        <w:t> </w:t>
      </w:r>
      <w:r>
        <w:rPr>
          <w:rFonts w:ascii="宋体" w:hAnsi="宋体" w:cs="宋体" w:eastAsia="宋体" w:hint="default"/>
          <w:spacing w:val="-1"/>
          <w:sz w:val="16"/>
          <w:szCs w:val="16"/>
        </w:rPr>
        <w:t>100.00%</w:t>
        <w:tab/>
      </w:r>
      <w:r>
        <w:rPr>
          <w:rFonts w:ascii="宋体" w:hAnsi="宋体" w:cs="宋体" w:eastAsia="宋体" w:hint="default"/>
          <w:w w:val="95"/>
          <w:sz w:val="16"/>
          <w:szCs w:val="16"/>
        </w:rPr>
        <w:t>法国里昂</w:t>
        <w:tab/>
        <w:t>楼宇自控解决方案的设计、生产、营销</w:t>
        <w:tab/>
        <w:t>是</w:t>
      </w:r>
      <w:r>
        <w:rPr>
          <w:rFonts w:ascii="宋体" w:hAnsi="宋体" w:cs="宋体" w:eastAsia="宋体" w:hint="default"/>
          <w:sz w:val="16"/>
          <w:szCs w:val="16"/>
        </w:rPr>
      </w:r>
    </w:p>
    <w:p>
      <w:pPr>
        <w:tabs>
          <w:tab w:pos="3198" w:val="left" w:leader="none"/>
          <w:tab w:pos="4017" w:val="left" w:leader="none"/>
          <w:tab w:pos="5611" w:val="left" w:leader="none"/>
          <w:tab w:pos="6459" w:val="left" w:leader="none"/>
          <w:tab w:pos="10320" w:val="left" w:leader="none"/>
        </w:tabs>
        <w:spacing w:before="32"/>
        <w:ind w:left="0" w:right="140" w:firstLine="0"/>
        <w:jc w:val="right"/>
        <w:rPr>
          <w:rFonts w:ascii="宋体" w:hAnsi="宋体" w:cs="宋体" w:eastAsia="宋体" w:hint="default"/>
          <w:sz w:val="16"/>
          <w:szCs w:val="16"/>
        </w:rPr>
      </w:pPr>
      <w:r>
        <w:rPr>
          <w:rFonts w:ascii="宋体" w:hAnsi="宋体" w:cs="宋体" w:eastAsia="宋体" w:hint="default"/>
          <w:spacing w:val="-1"/>
          <w:sz w:val="16"/>
          <w:szCs w:val="16"/>
        </w:rPr>
        <w:t>ACELIA</w:t>
      </w:r>
      <w:r>
        <w:rPr>
          <w:rFonts w:ascii="宋体" w:hAnsi="宋体" w:cs="宋体" w:eastAsia="宋体" w:hint="default"/>
          <w:spacing w:val="6"/>
          <w:sz w:val="16"/>
          <w:szCs w:val="16"/>
        </w:rPr>
        <w:t> </w:t>
      </w:r>
      <w:r>
        <w:rPr>
          <w:rFonts w:ascii="宋体" w:hAnsi="宋体" w:cs="宋体" w:eastAsia="宋体" w:hint="default"/>
          <w:spacing w:val="-1"/>
          <w:sz w:val="16"/>
          <w:szCs w:val="16"/>
        </w:rPr>
        <w:t>S.A.S.</w:t>
        <w:tab/>
      </w:r>
      <w:r>
        <w:rPr>
          <w:rFonts w:ascii="宋体" w:hAnsi="宋体" w:cs="宋体" w:eastAsia="宋体" w:hint="default"/>
          <w:sz w:val="16"/>
          <w:szCs w:val="16"/>
        </w:rPr>
        <w:t>4</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€13.00</w:t>
      </w:r>
      <w:r>
        <w:rPr>
          <w:rFonts w:ascii="宋体" w:hAnsi="宋体" w:cs="宋体" w:eastAsia="宋体" w:hint="default"/>
          <w:sz w:val="16"/>
          <w:szCs w:val="16"/>
        </w:rPr>
        <w:t> 万</w:t>
      </w:r>
      <w:r>
        <w:rPr>
          <w:rFonts w:ascii="宋体" w:hAnsi="宋体" w:cs="宋体" w:eastAsia="宋体" w:hint="default"/>
          <w:spacing w:val="-47"/>
          <w:sz w:val="16"/>
          <w:szCs w:val="16"/>
        </w:rPr>
        <w:t> </w:t>
      </w:r>
      <w:r>
        <w:rPr>
          <w:rFonts w:ascii="宋体" w:hAnsi="宋体" w:cs="宋体" w:eastAsia="宋体" w:hint="default"/>
          <w:spacing w:val="-1"/>
          <w:sz w:val="16"/>
          <w:szCs w:val="16"/>
        </w:rPr>
        <w:t>100.00%</w:t>
        <w:tab/>
      </w:r>
      <w:r>
        <w:rPr>
          <w:rFonts w:ascii="宋体" w:hAnsi="宋体" w:cs="宋体" w:eastAsia="宋体" w:hint="default"/>
          <w:w w:val="95"/>
          <w:sz w:val="16"/>
          <w:szCs w:val="16"/>
        </w:rPr>
        <w:t>法国里昂</w:t>
        <w:tab/>
        <w:t>楼宇自控解决方案的销售与营销</w:t>
        <w:tab/>
        <w:t>是</w:t>
      </w:r>
      <w:r>
        <w:rPr>
          <w:rFonts w:ascii="宋体" w:hAnsi="宋体" w:cs="宋体" w:eastAsia="宋体" w:hint="default"/>
          <w:sz w:val="16"/>
          <w:szCs w:val="16"/>
        </w:rPr>
      </w:r>
    </w:p>
    <w:p>
      <w:pPr>
        <w:tabs>
          <w:tab w:pos="3765" w:val="left" w:leader="none"/>
          <w:tab w:pos="3920" w:val="left" w:leader="none"/>
          <w:tab w:pos="4343" w:val="left" w:leader="none"/>
          <w:tab w:pos="4499" w:val="left" w:leader="none"/>
          <w:tab w:pos="5487" w:val="left" w:leader="none"/>
          <w:tab w:pos="5647" w:val="left" w:leader="none"/>
          <w:tab w:pos="6176" w:val="left" w:leader="none"/>
          <w:tab w:pos="6332" w:val="left" w:leader="none"/>
          <w:tab w:pos="6416" w:val="left" w:leader="none"/>
          <w:tab w:pos="7023" w:val="left" w:leader="none"/>
          <w:tab w:pos="10882" w:val="left" w:leader="none"/>
          <w:tab w:pos="11041" w:val="left" w:leader="none"/>
        </w:tabs>
        <w:spacing w:line="326" w:lineRule="auto" w:before="75"/>
        <w:ind w:left="242" w:right="140" w:firstLine="0"/>
        <w:jc w:val="right"/>
        <w:rPr>
          <w:rFonts w:ascii="宋体" w:hAnsi="宋体" w:cs="宋体" w:eastAsia="宋体" w:hint="default"/>
          <w:sz w:val="16"/>
          <w:szCs w:val="16"/>
        </w:rPr>
      </w:pPr>
      <w:r>
        <w:rPr>
          <w:rFonts w:ascii="宋体" w:hAnsi="宋体" w:cs="宋体" w:eastAsia="宋体" w:hint="default"/>
          <w:sz w:val="16"/>
          <w:szCs w:val="16"/>
        </w:rPr>
        <w:t>THTF U.S.A.</w:t>
      </w:r>
      <w:r>
        <w:rPr>
          <w:rFonts w:ascii="宋体" w:hAnsi="宋体" w:cs="宋体" w:eastAsia="宋体" w:hint="default"/>
          <w:spacing w:val="72"/>
          <w:sz w:val="16"/>
          <w:szCs w:val="16"/>
        </w:rPr>
        <w:t> </w:t>
      </w:r>
      <w:r>
        <w:rPr>
          <w:rFonts w:ascii="宋体" w:hAnsi="宋体" w:cs="宋体" w:eastAsia="宋体" w:hint="default"/>
          <w:sz w:val="16"/>
          <w:szCs w:val="16"/>
        </w:rPr>
        <w:t>Inc.</w:t>
        <w:tab/>
        <w:tab/>
        <w:t>1</w:t>
      </w:r>
      <w:r>
        <w:rPr>
          <w:rFonts w:ascii="宋体" w:hAnsi="宋体" w:cs="宋体" w:eastAsia="宋体" w:hint="default"/>
          <w:spacing w:val="-41"/>
          <w:sz w:val="16"/>
          <w:szCs w:val="16"/>
        </w:rPr>
        <w:t> </w:t>
      </w:r>
      <w:r>
        <w:rPr>
          <w:rFonts w:ascii="宋体" w:hAnsi="宋体" w:cs="宋体" w:eastAsia="宋体" w:hint="default"/>
          <w:sz w:val="16"/>
          <w:szCs w:val="16"/>
        </w:rPr>
        <w:t>级</w:t>
        <w:tab/>
        <w:tab/>
        <w:t>US$249.00 万</w:t>
      </w:r>
      <w:r>
        <w:rPr>
          <w:rFonts w:ascii="宋体" w:hAnsi="宋体" w:cs="宋体" w:eastAsia="宋体" w:hint="default"/>
          <w:spacing w:val="18"/>
          <w:sz w:val="16"/>
          <w:szCs w:val="16"/>
        </w:rPr>
        <w:t> </w:t>
      </w:r>
      <w:r>
        <w:rPr>
          <w:rFonts w:ascii="宋体" w:hAnsi="宋体" w:cs="宋体" w:eastAsia="宋体" w:hint="default"/>
          <w:sz w:val="16"/>
          <w:szCs w:val="16"/>
        </w:rPr>
        <w:t>100.00%</w:t>
        <w:tab/>
        <w:tab/>
      </w:r>
      <w:r>
        <w:rPr>
          <w:rFonts w:ascii="宋体" w:hAnsi="宋体" w:cs="宋体" w:eastAsia="宋体" w:hint="default"/>
          <w:w w:val="95"/>
          <w:sz w:val="16"/>
          <w:szCs w:val="16"/>
        </w:rPr>
        <w:t>美国加州</w:t>
        <w:tab/>
        <w:t>计算机软件、数字通讯、电子产品等</w:t>
        <w:tab/>
        <w:tab/>
        <w:t>是</w:t>
      </w:r>
      <w:r>
        <w:rPr>
          <w:rFonts w:ascii="宋体" w:hAnsi="宋体" w:cs="宋体" w:eastAsia="宋体" w:hint="default"/>
          <w:w w:val="99"/>
          <w:sz w:val="16"/>
          <w:szCs w:val="16"/>
        </w:rPr>
        <w:t> </w:t>
      </w:r>
      <w:r>
        <w:rPr>
          <w:rFonts w:ascii="宋体" w:hAnsi="宋体" w:cs="宋体" w:eastAsia="宋体" w:hint="default"/>
          <w:sz w:val="16"/>
          <w:szCs w:val="16"/>
        </w:rPr>
        <w:t>TongFang Asia Pacific (R&amp;D Center) Pte</w:t>
      </w:r>
      <w:r>
        <w:rPr>
          <w:rFonts w:ascii="宋体" w:hAnsi="宋体" w:cs="宋体" w:eastAsia="宋体" w:hint="default"/>
          <w:spacing w:val="-18"/>
          <w:sz w:val="16"/>
          <w:szCs w:val="16"/>
        </w:rPr>
        <w:t> </w:t>
      </w:r>
      <w:r>
        <w:rPr>
          <w:rFonts w:ascii="宋体" w:hAnsi="宋体" w:cs="宋体" w:eastAsia="宋体" w:hint="default"/>
          <w:sz w:val="16"/>
          <w:szCs w:val="16"/>
        </w:rPr>
        <w:t>Ltd.</w:t>
        <w:tab/>
        <w:tab/>
        <w:t>1</w:t>
      </w:r>
      <w:r>
        <w:rPr>
          <w:rFonts w:ascii="宋体" w:hAnsi="宋体" w:cs="宋体" w:eastAsia="宋体" w:hint="default"/>
          <w:spacing w:val="-41"/>
          <w:sz w:val="16"/>
          <w:szCs w:val="16"/>
        </w:rPr>
        <w:t> </w:t>
      </w:r>
      <w:r>
        <w:rPr>
          <w:rFonts w:ascii="宋体" w:hAnsi="宋体" w:cs="宋体" w:eastAsia="宋体" w:hint="default"/>
          <w:sz w:val="16"/>
          <w:szCs w:val="16"/>
        </w:rPr>
        <w:t>级</w:t>
        <w:tab/>
        <w:tab/>
        <w:t>US$300.00 万</w:t>
      </w:r>
      <w:r>
        <w:rPr>
          <w:rFonts w:ascii="宋体" w:hAnsi="宋体" w:cs="宋体" w:eastAsia="宋体" w:hint="default"/>
          <w:spacing w:val="19"/>
          <w:sz w:val="16"/>
          <w:szCs w:val="16"/>
        </w:rPr>
        <w:t> </w:t>
      </w:r>
      <w:r>
        <w:rPr>
          <w:rFonts w:ascii="宋体" w:hAnsi="宋体" w:cs="宋体" w:eastAsia="宋体" w:hint="default"/>
          <w:sz w:val="16"/>
          <w:szCs w:val="16"/>
        </w:rPr>
        <w:t>100.00%</w:t>
        <w:tab/>
        <w:tab/>
        <w:tab/>
      </w:r>
      <w:r>
        <w:rPr>
          <w:rFonts w:ascii="宋体" w:hAnsi="宋体" w:cs="宋体" w:eastAsia="宋体" w:hint="default"/>
          <w:w w:val="95"/>
          <w:sz w:val="16"/>
          <w:szCs w:val="16"/>
        </w:rPr>
        <w:t>新加坡</w:t>
        <w:tab/>
        <w:t>智能建筑工程技术研发</w:t>
        <w:tab/>
        <w:tab/>
        <w:t>是</w:t>
      </w:r>
      <w:r>
        <w:rPr>
          <w:rFonts w:ascii="宋体" w:hAnsi="宋体" w:cs="宋体" w:eastAsia="宋体" w:hint="default"/>
          <w:w w:val="99"/>
          <w:sz w:val="16"/>
          <w:szCs w:val="16"/>
        </w:rPr>
        <w:t> </w:t>
      </w:r>
      <w:r>
        <w:rPr>
          <w:rFonts w:ascii="宋体" w:hAnsi="宋体" w:cs="宋体" w:eastAsia="宋体" w:hint="default"/>
          <w:w w:val="95"/>
          <w:sz w:val="16"/>
          <w:szCs w:val="16"/>
        </w:rPr>
        <w:t>同方锐安科技有限公司</w:t>
        <w:tab/>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￥6000.00</w:t>
      </w:r>
      <w:r>
        <w:rPr>
          <w:rFonts w:ascii="宋体" w:hAnsi="宋体" w:cs="宋体" w:eastAsia="宋体" w:hint="default"/>
          <w:sz w:val="16"/>
          <w:szCs w:val="16"/>
        </w:rPr>
        <w:t> 万</w:t>
      </w:r>
      <w:r>
        <w:rPr>
          <w:rFonts w:ascii="宋体" w:hAnsi="宋体" w:cs="宋体" w:eastAsia="宋体" w:hint="default"/>
          <w:spacing w:val="34"/>
          <w:sz w:val="16"/>
          <w:szCs w:val="16"/>
        </w:rPr>
        <w:t> </w:t>
      </w:r>
      <w:r>
        <w:rPr>
          <w:rFonts w:ascii="宋体" w:hAnsi="宋体" w:cs="宋体" w:eastAsia="宋体" w:hint="default"/>
          <w:spacing w:val="-1"/>
          <w:sz w:val="16"/>
          <w:szCs w:val="16"/>
        </w:rPr>
        <w:t>100.00%</w:t>
        <w:tab/>
        <w:tab/>
      </w:r>
      <w:r>
        <w:rPr>
          <w:rFonts w:ascii="宋体" w:hAnsi="宋体" w:cs="宋体" w:eastAsia="宋体" w:hint="default"/>
          <w:w w:val="95"/>
          <w:sz w:val="16"/>
          <w:szCs w:val="16"/>
        </w:rPr>
        <w:t>北京海淀</w:t>
        <w:tab/>
        <w:t>卡基存储、射频识别技术与应用；进出口业务</w:t>
        <w:tab/>
        <w:tab/>
        <w:t>是</w:t>
      </w:r>
      <w:r>
        <w:rPr>
          <w:rFonts w:ascii="宋体" w:hAnsi="宋体" w:cs="宋体" w:eastAsia="宋体" w:hint="default"/>
          <w:w w:val="99"/>
          <w:sz w:val="16"/>
          <w:szCs w:val="16"/>
        </w:rPr>
        <w:t> </w:t>
      </w:r>
      <w:r>
        <w:rPr>
          <w:rFonts w:ascii="宋体" w:hAnsi="宋体" w:cs="宋体" w:eastAsia="宋体" w:hint="default"/>
          <w:w w:val="95"/>
          <w:sz w:val="16"/>
          <w:szCs w:val="16"/>
        </w:rPr>
        <w:t>北京同方软件股份有限公司</w:t>
        <w:tab/>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￥5000.00</w:t>
      </w:r>
      <w:r>
        <w:rPr>
          <w:rFonts w:ascii="宋体" w:hAnsi="宋体" w:cs="宋体" w:eastAsia="宋体" w:hint="default"/>
          <w:spacing w:val="-36"/>
          <w:sz w:val="16"/>
          <w:szCs w:val="16"/>
        </w:rPr>
        <w:t> </w:t>
      </w:r>
      <w:r>
        <w:rPr>
          <w:rFonts w:ascii="宋体" w:hAnsi="宋体" w:cs="宋体" w:eastAsia="宋体" w:hint="default"/>
          <w:sz w:val="16"/>
          <w:szCs w:val="16"/>
        </w:rPr>
        <w:t>万</w:t>
        <w:tab/>
        <w:tab/>
      </w:r>
      <w:r>
        <w:rPr>
          <w:rFonts w:ascii="宋体" w:hAnsi="宋体" w:cs="宋体" w:eastAsia="宋体" w:hint="default"/>
          <w:spacing w:val="-1"/>
          <w:sz w:val="16"/>
          <w:szCs w:val="16"/>
        </w:rPr>
        <w:t>74.00%</w:t>
        <w:tab/>
        <w:tab/>
      </w:r>
      <w:r>
        <w:rPr>
          <w:rFonts w:ascii="宋体" w:hAnsi="宋体" w:cs="宋体" w:eastAsia="宋体" w:hint="default"/>
          <w:w w:val="95"/>
          <w:sz w:val="16"/>
          <w:szCs w:val="16"/>
        </w:rPr>
        <w:t>北京海淀</w:t>
        <w:tab/>
        <w:t>系统、应用、支撑和过程控制软件及相关硬件</w:t>
        <w:tab/>
        <w:tab/>
        <w:t>是</w:t>
      </w:r>
      <w:r>
        <w:rPr>
          <w:rFonts w:ascii="宋体" w:hAnsi="宋体" w:cs="宋体" w:eastAsia="宋体" w:hint="default"/>
          <w:w w:val="99"/>
          <w:sz w:val="16"/>
          <w:szCs w:val="16"/>
        </w:rPr>
        <w:t> </w:t>
      </w:r>
      <w:r>
        <w:rPr>
          <w:rFonts w:ascii="宋体" w:hAnsi="宋体" w:cs="宋体" w:eastAsia="宋体" w:hint="default"/>
          <w:w w:val="95"/>
          <w:sz w:val="16"/>
          <w:szCs w:val="16"/>
        </w:rPr>
        <w:t>吉林同方实业发展有限公司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￥1000.00</w:t>
      </w:r>
      <w:r>
        <w:rPr>
          <w:rFonts w:ascii="宋体" w:hAnsi="宋体" w:cs="宋体" w:eastAsia="宋体" w:hint="default"/>
          <w:spacing w:val="-36"/>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80.00%</w:t>
        <w:tab/>
      </w:r>
      <w:r>
        <w:rPr>
          <w:rFonts w:ascii="宋体" w:hAnsi="宋体" w:cs="宋体" w:eastAsia="宋体" w:hint="default"/>
          <w:w w:val="95"/>
          <w:sz w:val="16"/>
          <w:szCs w:val="16"/>
        </w:rPr>
        <w:t>吉林长春</w:t>
        <w:tab/>
        <w:t>计算机及信息技术，软件开发与系统集成</w:t>
        <w:tab/>
        <w:t>是</w:t>
      </w:r>
      <w:r>
        <w:rPr>
          <w:rFonts w:ascii="宋体" w:hAnsi="宋体" w:cs="宋体" w:eastAsia="宋体" w:hint="default"/>
          <w:w w:val="99"/>
          <w:sz w:val="16"/>
          <w:szCs w:val="16"/>
        </w:rPr>
        <w:t> </w:t>
      </w:r>
      <w:r>
        <w:rPr>
          <w:rFonts w:ascii="宋体" w:hAnsi="宋体" w:cs="宋体" w:eastAsia="宋体" w:hint="default"/>
          <w:w w:val="95"/>
          <w:sz w:val="16"/>
          <w:szCs w:val="16"/>
        </w:rPr>
        <w:t>同方光盘股份有限公司</w:t>
        <w:tab/>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t>￥8000.00 万</w:t>
      </w:r>
      <w:r>
        <w:rPr>
          <w:rFonts w:ascii="宋体" w:hAnsi="宋体" w:cs="宋体" w:eastAsia="宋体" w:hint="default"/>
          <w:spacing w:val="19"/>
          <w:sz w:val="16"/>
          <w:szCs w:val="16"/>
        </w:rPr>
        <w:t> </w:t>
      </w:r>
      <w:r>
        <w:rPr>
          <w:rFonts w:ascii="宋体" w:hAnsi="宋体" w:cs="宋体" w:eastAsia="宋体" w:hint="default"/>
          <w:sz w:val="16"/>
          <w:szCs w:val="16"/>
        </w:rPr>
        <w:t>100.00%</w:t>
        <w:tab/>
        <w:tab/>
      </w:r>
      <w:r>
        <w:rPr>
          <w:rFonts w:ascii="宋体" w:hAnsi="宋体" w:cs="宋体" w:eastAsia="宋体" w:hint="default"/>
          <w:w w:val="95"/>
          <w:sz w:val="16"/>
          <w:szCs w:val="16"/>
        </w:rPr>
        <w:t>北京海淀</w:t>
        <w:tab/>
        <w:t>网络信息服务、电子出版物和数据库开发与销售</w:t>
        <w:tab/>
        <w:tab/>
        <w:t>是</w:t>
      </w:r>
      <w:r>
        <w:rPr>
          <w:rFonts w:ascii="宋体" w:hAnsi="宋体" w:cs="宋体" w:eastAsia="宋体" w:hint="default"/>
          <w:sz w:val="16"/>
          <w:szCs w:val="16"/>
        </w:rPr>
      </w:r>
    </w:p>
    <w:p>
      <w:pPr>
        <w:tabs>
          <w:tab w:pos="3926" w:val="left" w:leader="none"/>
          <w:tab w:pos="4504" w:val="left" w:leader="none"/>
          <w:tab w:pos="6336" w:val="left" w:leader="none"/>
          <w:tab w:pos="7185" w:val="left" w:leader="none"/>
          <w:tab w:pos="11042" w:val="left" w:leader="none"/>
        </w:tabs>
        <w:spacing w:line="230" w:lineRule="exact" w:before="0"/>
        <w:ind w:left="242"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北京同方光盘股份有限公司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￥1800.00 万</w:t>
      </w:r>
      <w:r>
        <w:rPr>
          <w:rFonts w:ascii="宋体" w:hAnsi="宋体" w:cs="宋体" w:eastAsia="宋体" w:hint="default"/>
          <w:spacing w:val="18"/>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北京海淀</w:t>
        <w:tab/>
      </w:r>
      <w:r>
        <w:rPr>
          <w:rFonts w:ascii="宋体" w:hAnsi="宋体" w:cs="宋体" w:eastAsia="宋体" w:hint="default"/>
          <w:w w:val="95"/>
          <w:position w:val="10"/>
          <w:sz w:val="16"/>
          <w:szCs w:val="16"/>
        </w:rPr>
        <w:t>电子通信设备、网络系统设备、</w:t>
        <w:tab/>
      </w:r>
      <w:r>
        <w:rPr>
          <w:rFonts w:ascii="宋体" w:hAnsi="宋体" w:cs="宋体" w:eastAsia="宋体" w:hint="default"/>
          <w:sz w:val="16"/>
          <w:szCs w:val="16"/>
        </w:rPr>
        <w:t>是</w:t>
      </w:r>
    </w:p>
    <w:p>
      <w:pPr>
        <w:spacing w:line="155" w:lineRule="exact" w:before="0"/>
        <w:ind w:left="7185" w:right="1394" w:firstLine="0"/>
        <w:jc w:val="left"/>
        <w:rPr>
          <w:rFonts w:ascii="宋体" w:hAnsi="宋体" w:cs="宋体" w:eastAsia="宋体" w:hint="default"/>
          <w:sz w:val="16"/>
          <w:szCs w:val="16"/>
        </w:rPr>
      </w:pPr>
      <w:r>
        <w:rPr>
          <w:rFonts w:ascii="宋体" w:hAnsi="宋体" w:cs="宋体" w:eastAsia="宋体" w:hint="default"/>
          <w:sz w:val="16"/>
          <w:szCs w:val="16"/>
        </w:rPr>
        <w:t>光盘视听设备及光盘材料</w:t>
      </w:r>
    </w:p>
    <w:p>
      <w:pPr>
        <w:tabs>
          <w:tab w:pos="3765" w:val="left" w:leader="none"/>
          <w:tab w:pos="3925" w:val="left" w:leader="none"/>
          <w:tab w:pos="4344" w:val="left" w:leader="none"/>
          <w:tab w:pos="4423" w:val="left" w:leader="none"/>
          <w:tab w:pos="5488" w:val="left" w:leader="none"/>
          <w:tab w:pos="6176" w:val="left" w:leader="none"/>
          <w:tab w:pos="6335" w:val="left" w:leader="none"/>
          <w:tab w:pos="7024" w:val="left" w:leader="none"/>
          <w:tab w:pos="10882" w:val="left" w:leader="none"/>
          <w:tab w:pos="11040" w:val="left" w:leader="none"/>
        </w:tabs>
        <w:spacing w:line="326" w:lineRule="auto" w:before="31"/>
        <w:ind w:left="242" w:right="140" w:firstLine="0"/>
        <w:jc w:val="right"/>
        <w:rPr>
          <w:rFonts w:ascii="宋体" w:hAnsi="宋体" w:cs="宋体" w:eastAsia="宋体" w:hint="default"/>
          <w:sz w:val="16"/>
          <w:szCs w:val="16"/>
        </w:rPr>
      </w:pPr>
      <w:r>
        <w:rPr>
          <w:rFonts w:ascii="宋体" w:hAnsi="宋体" w:cs="宋体" w:eastAsia="宋体" w:hint="default"/>
          <w:w w:val="95"/>
          <w:sz w:val="16"/>
          <w:szCs w:val="16"/>
        </w:rPr>
        <w:t>中国学术期刊（光盘版）电子杂志社</w:t>
        <w:tab/>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t>￥100.00 万</w:t>
      </w:r>
      <w:r>
        <w:rPr>
          <w:rFonts w:ascii="宋体" w:hAnsi="宋体" w:cs="宋体" w:eastAsia="宋体" w:hint="default"/>
          <w:spacing w:val="27"/>
          <w:sz w:val="16"/>
          <w:szCs w:val="16"/>
        </w:rPr>
        <w:t> </w:t>
      </w:r>
      <w:r>
        <w:rPr>
          <w:rFonts w:ascii="宋体" w:hAnsi="宋体" w:cs="宋体" w:eastAsia="宋体" w:hint="default"/>
          <w:spacing w:val="-1"/>
          <w:sz w:val="16"/>
          <w:szCs w:val="16"/>
        </w:rPr>
        <w:t>100.00%</w:t>
        <w:tab/>
        <w:tab/>
      </w:r>
      <w:r>
        <w:rPr>
          <w:rFonts w:ascii="宋体" w:hAnsi="宋体" w:cs="宋体" w:eastAsia="宋体" w:hint="default"/>
          <w:w w:val="95"/>
          <w:sz w:val="16"/>
          <w:szCs w:val="16"/>
        </w:rPr>
        <w:t>北京海淀</w:t>
        <w:tab/>
        <w:t>电子学术期刊的编辑、出版、发行</w:t>
        <w:tab/>
        <w:tab/>
        <w:t>是</w:t>
      </w:r>
      <w:r>
        <w:rPr>
          <w:rFonts w:ascii="宋体" w:hAnsi="宋体" w:cs="宋体" w:eastAsia="宋体" w:hint="default"/>
          <w:w w:val="99"/>
          <w:sz w:val="16"/>
          <w:szCs w:val="16"/>
        </w:rPr>
        <w:t> </w:t>
      </w:r>
      <w:r>
        <w:rPr>
          <w:rFonts w:ascii="宋体" w:hAnsi="宋体" w:cs="宋体" w:eastAsia="宋体" w:hint="default"/>
          <w:w w:val="95"/>
          <w:sz w:val="16"/>
          <w:szCs w:val="16"/>
        </w:rPr>
        <w:t>沈阳同方多媒体科技有限公司</w:t>
        <w:tab/>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t>￥31800.00 万</w:t>
      </w:r>
      <w:r>
        <w:rPr>
          <w:rFonts w:ascii="宋体" w:hAnsi="宋体" w:cs="宋体" w:eastAsia="宋体" w:hint="default"/>
          <w:spacing w:val="19"/>
          <w:sz w:val="16"/>
          <w:szCs w:val="16"/>
        </w:rPr>
        <w:t> </w:t>
      </w:r>
      <w:r>
        <w:rPr>
          <w:rFonts w:ascii="宋体" w:hAnsi="宋体" w:cs="宋体" w:eastAsia="宋体" w:hint="default"/>
          <w:sz w:val="16"/>
          <w:szCs w:val="16"/>
        </w:rPr>
        <w:t>100.00%</w:t>
        <w:tab/>
        <w:tab/>
      </w:r>
      <w:r>
        <w:rPr>
          <w:rFonts w:ascii="宋体" w:hAnsi="宋体" w:cs="宋体" w:eastAsia="宋体" w:hint="default"/>
          <w:w w:val="95"/>
          <w:sz w:val="16"/>
          <w:szCs w:val="16"/>
        </w:rPr>
        <w:t>辽宁沈阳</w:t>
        <w:tab/>
        <w:t>数字电视及数字音视频产品</w:t>
        <w:tab/>
        <w:tab/>
        <w:t>是</w:t>
      </w:r>
      <w:r>
        <w:rPr>
          <w:rFonts w:ascii="宋体" w:hAnsi="宋体" w:cs="宋体" w:eastAsia="宋体" w:hint="default"/>
          <w:w w:val="99"/>
          <w:sz w:val="16"/>
          <w:szCs w:val="16"/>
        </w:rPr>
        <w:t> </w:t>
      </w:r>
      <w:r>
        <w:rPr>
          <w:rFonts w:ascii="宋体" w:hAnsi="宋体" w:cs="宋体" w:eastAsia="宋体" w:hint="default"/>
          <w:w w:val="95"/>
          <w:sz w:val="16"/>
          <w:szCs w:val="16"/>
        </w:rPr>
        <w:t>沈阳同臻精密电子科技有限公司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￥1800.00</w:t>
      </w:r>
      <w:r>
        <w:rPr>
          <w:rFonts w:ascii="宋体" w:hAnsi="宋体" w:cs="宋体" w:eastAsia="宋体" w:hint="default"/>
          <w:spacing w:val="-36"/>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70.00%</w:t>
        <w:tab/>
      </w:r>
      <w:r>
        <w:rPr>
          <w:rFonts w:ascii="宋体" w:hAnsi="宋体" w:cs="宋体" w:eastAsia="宋体" w:hint="default"/>
          <w:w w:val="95"/>
          <w:sz w:val="16"/>
          <w:szCs w:val="16"/>
        </w:rPr>
        <w:t>辽宁沈阳</w:t>
        <w:tab/>
        <w:t>线材及连接器开发与生产</w:t>
        <w:tab/>
        <w:t>是</w:t>
      </w:r>
      <w:r>
        <w:rPr>
          <w:rFonts w:ascii="宋体" w:hAnsi="宋体" w:cs="宋体" w:eastAsia="宋体" w:hint="default"/>
          <w:w w:val="99"/>
          <w:sz w:val="16"/>
          <w:szCs w:val="16"/>
        </w:rPr>
        <w:t> </w:t>
      </w:r>
      <w:r>
        <w:rPr>
          <w:rFonts w:ascii="宋体" w:hAnsi="宋体" w:cs="宋体" w:eastAsia="宋体" w:hint="default"/>
          <w:w w:val="95"/>
          <w:sz w:val="16"/>
          <w:szCs w:val="16"/>
        </w:rPr>
        <w:t>深圳市同方多媒体科技有限公司</w:t>
        <w:tab/>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￥30000.00</w:t>
      </w:r>
      <w:r>
        <w:rPr>
          <w:rFonts w:ascii="宋体" w:hAnsi="宋体" w:cs="宋体" w:eastAsia="宋体" w:hint="default"/>
          <w:sz w:val="16"/>
          <w:szCs w:val="16"/>
        </w:rPr>
        <w:t> 万</w:t>
      </w:r>
      <w:r>
        <w:rPr>
          <w:rFonts w:ascii="宋体" w:hAnsi="宋体" w:cs="宋体" w:eastAsia="宋体" w:hint="default"/>
          <w:spacing w:val="35"/>
          <w:sz w:val="16"/>
          <w:szCs w:val="16"/>
        </w:rPr>
        <w:t> </w:t>
      </w:r>
      <w:r>
        <w:rPr>
          <w:rFonts w:ascii="宋体" w:hAnsi="宋体" w:cs="宋体" w:eastAsia="宋体" w:hint="default"/>
          <w:spacing w:val="-1"/>
          <w:sz w:val="16"/>
          <w:szCs w:val="16"/>
        </w:rPr>
        <w:t>100.00%</w:t>
        <w:tab/>
        <w:tab/>
      </w:r>
      <w:r>
        <w:rPr>
          <w:rFonts w:ascii="宋体" w:hAnsi="宋体" w:cs="宋体" w:eastAsia="宋体" w:hint="default"/>
          <w:w w:val="95"/>
          <w:sz w:val="16"/>
          <w:szCs w:val="16"/>
        </w:rPr>
        <w:t>广东深圳</w:t>
        <w:tab/>
        <w:t>数字音/视频和信息产业技术及产品</w:t>
        <w:tab/>
        <w:tab/>
        <w:t>是</w:t>
      </w:r>
      <w:r>
        <w:rPr>
          <w:rFonts w:ascii="宋体" w:hAnsi="宋体" w:cs="宋体" w:eastAsia="宋体" w:hint="default"/>
          <w:sz w:val="16"/>
          <w:szCs w:val="16"/>
        </w:rPr>
      </w:r>
    </w:p>
    <w:p>
      <w:pPr>
        <w:spacing w:line="125" w:lineRule="exact" w:before="0"/>
        <w:ind w:left="7185" w:right="1054" w:firstLine="0"/>
        <w:jc w:val="left"/>
        <w:rPr>
          <w:rFonts w:ascii="宋体" w:hAnsi="宋体" w:cs="宋体" w:eastAsia="宋体" w:hint="default"/>
          <w:sz w:val="16"/>
          <w:szCs w:val="16"/>
        </w:rPr>
      </w:pPr>
      <w:r>
        <w:rPr>
          <w:rFonts w:ascii="宋体" w:hAnsi="宋体" w:cs="宋体" w:eastAsia="宋体" w:hint="default"/>
          <w:sz w:val="16"/>
          <w:szCs w:val="16"/>
        </w:rPr>
        <w:t>LCD</w:t>
      </w:r>
      <w:r>
        <w:rPr>
          <w:rFonts w:ascii="宋体" w:hAnsi="宋体" w:cs="宋体" w:eastAsia="宋体" w:hint="default"/>
          <w:spacing w:val="-42"/>
          <w:sz w:val="16"/>
          <w:szCs w:val="16"/>
        </w:rPr>
        <w:t> </w:t>
      </w:r>
      <w:r>
        <w:rPr>
          <w:rFonts w:ascii="宋体" w:hAnsi="宋体" w:cs="宋体" w:eastAsia="宋体" w:hint="default"/>
          <w:sz w:val="16"/>
          <w:szCs w:val="16"/>
        </w:rPr>
        <w:t>模组产品、LED</w:t>
      </w:r>
      <w:r>
        <w:rPr>
          <w:rFonts w:ascii="宋体" w:hAnsi="宋体" w:cs="宋体" w:eastAsia="宋体" w:hint="default"/>
          <w:spacing w:val="-42"/>
          <w:sz w:val="16"/>
          <w:szCs w:val="16"/>
        </w:rPr>
        <w:t> </w:t>
      </w:r>
      <w:r>
        <w:rPr>
          <w:rFonts w:ascii="宋体" w:hAnsi="宋体" w:cs="宋体" w:eastAsia="宋体" w:hint="default"/>
          <w:sz w:val="16"/>
          <w:szCs w:val="16"/>
        </w:rPr>
        <w:t>芯片及光条、导光板</w:t>
      </w:r>
    </w:p>
    <w:p>
      <w:pPr>
        <w:spacing w:after="0" w:line="125" w:lineRule="exact"/>
        <w:jc w:val="left"/>
        <w:rPr>
          <w:rFonts w:ascii="宋体" w:hAnsi="宋体" w:cs="宋体" w:eastAsia="宋体" w:hint="default"/>
          <w:sz w:val="16"/>
          <w:szCs w:val="16"/>
        </w:rPr>
        <w:sectPr>
          <w:type w:val="continuous"/>
          <w:pgSz w:w="11910" w:h="16840"/>
          <w:pgMar w:top="1600" w:bottom="280" w:left="340" w:right="220"/>
        </w:sectPr>
      </w:pPr>
    </w:p>
    <w:p>
      <w:pPr>
        <w:tabs>
          <w:tab w:pos="3926" w:val="left" w:leader="none"/>
          <w:tab w:pos="4424" w:val="left" w:leader="none"/>
          <w:tab w:pos="5648" w:val="left" w:leader="none"/>
          <w:tab w:pos="6337" w:val="left" w:leader="none"/>
        </w:tabs>
        <w:spacing w:line="160" w:lineRule="exact" w:before="0"/>
        <w:ind w:left="242" w:right="0" w:firstLine="0"/>
        <w:jc w:val="left"/>
        <w:rPr>
          <w:rFonts w:ascii="宋体" w:hAnsi="宋体" w:cs="宋体" w:eastAsia="宋体" w:hint="default"/>
          <w:sz w:val="16"/>
          <w:szCs w:val="16"/>
        </w:rPr>
      </w:pPr>
      <w:r>
        <w:rPr>
          <w:rFonts w:ascii="宋体" w:hAnsi="宋体" w:cs="宋体" w:eastAsia="宋体" w:hint="default"/>
          <w:w w:val="95"/>
          <w:sz w:val="16"/>
          <w:szCs w:val="16"/>
        </w:rPr>
        <w:t>同方光电（香港）有限公司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US$2000.00</w:t>
      </w:r>
      <w:r>
        <w:rPr>
          <w:rFonts w:ascii="宋体" w:hAnsi="宋体" w:cs="宋体" w:eastAsia="宋体" w:hint="default"/>
          <w:spacing w:val="-35"/>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45.00%</w:t>
        <w:tab/>
      </w:r>
      <w:r>
        <w:rPr>
          <w:rFonts w:ascii="宋体" w:hAnsi="宋体" w:cs="宋体" w:eastAsia="宋体" w:hint="default"/>
          <w:w w:val="95"/>
          <w:sz w:val="16"/>
          <w:szCs w:val="16"/>
        </w:rPr>
        <w:t>中国香港</w:t>
      </w:r>
      <w:r>
        <w:rPr>
          <w:rFonts w:ascii="宋体" w:hAnsi="宋体" w:cs="宋体" w:eastAsia="宋体" w:hint="default"/>
          <w:sz w:val="16"/>
          <w:szCs w:val="16"/>
        </w:rPr>
      </w:r>
    </w:p>
    <w:p>
      <w:pPr>
        <w:tabs>
          <w:tab w:pos="4025" w:val="left" w:leader="none"/>
        </w:tabs>
        <w:spacing w:line="261" w:lineRule="exact" w:before="0"/>
        <w:ind w:left="168"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及光学材料的开发、生产、技术服务</w:t>
        <w:tab/>
      </w:r>
      <w:r>
        <w:rPr>
          <w:rFonts w:ascii="宋体" w:hAnsi="宋体" w:cs="宋体" w:eastAsia="宋体" w:hint="default"/>
          <w:position w:val="10"/>
          <w:sz w:val="16"/>
          <w:szCs w:val="16"/>
        </w:rPr>
        <w:t>是</w:t>
      </w:r>
      <w:r>
        <w:rPr>
          <w:rFonts w:ascii="宋体" w:hAnsi="宋体" w:cs="宋体" w:eastAsia="宋体" w:hint="default"/>
          <w:sz w:val="16"/>
          <w:szCs w:val="16"/>
        </w:rPr>
      </w:r>
    </w:p>
    <w:p>
      <w:pPr>
        <w:spacing w:after="0" w:line="261" w:lineRule="exact"/>
        <w:jc w:val="left"/>
        <w:rPr>
          <w:rFonts w:ascii="宋体" w:hAnsi="宋体" w:cs="宋体" w:eastAsia="宋体" w:hint="default"/>
          <w:sz w:val="16"/>
          <w:szCs w:val="16"/>
        </w:rPr>
        <w:sectPr>
          <w:type w:val="continuous"/>
          <w:pgSz w:w="11910" w:h="16840"/>
          <w:pgMar w:top="1600" w:bottom="280" w:left="340" w:right="220"/>
          <w:cols w:num="2" w:equalWidth="0">
            <w:col w:w="6977" w:space="40"/>
            <w:col w:w="4333"/>
          </w:cols>
        </w:sectPr>
      </w:pPr>
    </w:p>
    <w:p>
      <w:pPr>
        <w:tabs>
          <w:tab w:pos="3783" w:val="left" w:leader="none"/>
          <w:tab w:pos="4281" w:val="left" w:leader="none"/>
          <w:tab w:pos="6194" w:val="left" w:leader="none"/>
          <w:tab w:pos="7042" w:val="left" w:leader="none"/>
          <w:tab w:pos="10899" w:val="left" w:leader="none"/>
        </w:tabs>
        <w:spacing w:line="245" w:lineRule="exact" w:before="0"/>
        <w:ind w:left="259" w:right="0" w:firstLine="0"/>
        <w:jc w:val="center"/>
        <w:rPr>
          <w:rFonts w:ascii="宋体" w:hAnsi="宋体" w:cs="宋体" w:eastAsia="宋体" w:hint="default"/>
          <w:sz w:val="16"/>
          <w:szCs w:val="16"/>
        </w:rPr>
      </w:pPr>
      <w:r>
        <w:rPr>
          <w:rFonts w:ascii="宋体" w:hAnsi="宋体" w:cs="宋体" w:eastAsia="宋体" w:hint="default"/>
          <w:w w:val="95"/>
          <w:sz w:val="16"/>
          <w:szCs w:val="16"/>
        </w:rPr>
        <w:t>同方光电（沈阳）有限公司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HK$2000.00 万</w:t>
      </w:r>
      <w:r>
        <w:rPr>
          <w:rFonts w:ascii="宋体" w:hAnsi="宋体" w:cs="宋体" w:eastAsia="宋体" w:hint="default"/>
          <w:spacing w:val="18"/>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辽宁沈阳</w:t>
        <w:tab/>
      </w:r>
      <w:r>
        <w:rPr>
          <w:rFonts w:ascii="宋体" w:hAnsi="宋体" w:cs="宋体" w:eastAsia="宋体" w:hint="default"/>
          <w:position w:val="10"/>
          <w:sz w:val="16"/>
          <w:szCs w:val="16"/>
        </w:rPr>
        <w:t>LCD</w:t>
      </w:r>
      <w:r>
        <w:rPr>
          <w:rFonts w:ascii="宋体" w:hAnsi="宋体" w:cs="宋体" w:eastAsia="宋体" w:hint="default"/>
          <w:spacing w:val="-42"/>
          <w:position w:val="10"/>
          <w:sz w:val="16"/>
          <w:szCs w:val="16"/>
        </w:rPr>
        <w:t> </w:t>
      </w:r>
      <w:r>
        <w:rPr>
          <w:rFonts w:ascii="宋体" w:hAnsi="宋体" w:cs="宋体" w:eastAsia="宋体" w:hint="default"/>
          <w:position w:val="10"/>
          <w:sz w:val="16"/>
          <w:szCs w:val="16"/>
        </w:rPr>
        <w:t>模组产品、LED</w:t>
      </w:r>
      <w:r>
        <w:rPr>
          <w:rFonts w:ascii="宋体" w:hAnsi="宋体" w:cs="宋体" w:eastAsia="宋体" w:hint="default"/>
          <w:spacing w:val="-42"/>
          <w:position w:val="10"/>
          <w:sz w:val="16"/>
          <w:szCs w:val="16"/>
        </w:rPr>
        <w:t> </w:t>
      </w:r>
      <w:r>
        <w:rPr>
          <w:rFonts w:ascii="宋体" w:hAnsi="宋体" w:cs="宋体" w:eastAsia="宋体" w:hint="default"/>
          <w:position w:val="10"/>
          <w:sz w:val="16"/>
          <w:szCs w:val="16"/>
        </w:rPr>
        <w:t>芯片及光条、导光板</w:t>
        <w:tab/>
      </w:r>
      <w:r>
        <w:rPr>
          <w:rFonts w:ascii="宋体" w:hAnsi="宋体" w:cs="宋体" w:eastAsia="宋体" w:hint="default"/>
          <w:sz w:val="16"/>
          <w:szCs w:val="16"/>
        </w:rPr>
        <w:t>是</w:t>
      </w:r>
    </w:p>
    <w:p>
      <w:pPr>
        <w:spacing w:line="150" w:lineRule="exact" w:before="0"/>
        <w:ind w:left="7185" w:right="1394" w:firstLine="0"/>
        <w:jc w:val="left"/>
        <w:rPr>
          <w:rFonts w:ascii="宋体" w:hAnsi="宋体" w:cs="宋体" w:eastAsia="宋体" w:hint="default"/>
          <w:sz w:val="16"/>
          <w:szCs w:val="16"/>
        </w:rPr>
      </w:pPr>
      <w:r>
        <w:rPr>
          <w:rFonts w:ascii="宋体" w:hAnsi="宋体" w:cs="宋体" w:eastAsia="宋体" w:hint="default"/>
          <w:sz w:val="16"/>
          <w:szCs w:val="16"/>
        </w:rPr>
        <w:t>及光学材料的开发、生产、技术服务</w:t>
      </w:r>
    </w:p>
    <w:p>
      <w:pPr>
        <w:tabs>
          <w:tab w:pos="3783" w:val="left" w:leader="none"/>
          <w:tab w:pos="4281" w:val="left" w:leader="none"/>
          <w:tab w:pos="6194" w:val="left" w:leader="none"/>
          <w:tab w:pos="7042" w:val="left" w:leader="none"/>
          <w:tab w:pos="10899" w:val="left" w:leader="none"/>
        </w:tabs>
        <w:spacing w:line="305" w:lineRule="exact" w:before="0"/>
        <w:ind w:left="99" w:right="0" w:firstLine="0"/>
        <w:jc w:val="center"/>
        <w:rPr>
          <w:rFonts w:ascii="宋体" w:hAnsi="宋体" w:cs="宋体" w:eastAsia="宋体" w:hint="default"/>
          <w:sz w:val="16"/>
          <w:szCs w:val="16"/>
        </w:rPr>
      </w:pPr>
      <w:r>
        <w:rPr/>
        <w:pict>
          <v:shape style="position:absolute;margin-left:27.357981pt;margin-top:12.228293pt;width:551.5pt;height:237.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5"/>
                    <w:gridCol w:w="792"/>
                    <w:gridCol w:w="1221"/>
                    <w:gridCol w:w="737"/>
                    <w:gridCol w:w="780"/>
                    <w:gridCol w:w="3620"/>
                    <w:gridCol w:w="605"/>
                  </w:tblGrid>
                  <w:tr>
                    <w:trPr>
                      <w:trHeight w:val="46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1"/>
                          <w:jc w:val="right"/>
                          <w:rPr>
                            <w:rFonts w:ascii="宋体" w:hAnsi="宋体" w:cs="宋体" w:eastAsia="宋体" w:hint="default"/>
                            <w:sz w:val="16"/>
                            <w:szCs w:val="16"/>
                          </w:rPr>
                        </w:pP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center"/>
                          <w:rPr>
                            <w:rFonts w:ascii="宋体" w:hAnsi="宋体" w:cs="宋体" w:eastAsia="宋体" w:hint="default"/>
                            <w:sz w:val="16"/>
                            <w:szCs w:val="16"/>
                          </w:rPr>
                        </w:pPr>
                        <w:r>
                          <w:rPr>
                            <w:rFonts w:ascii="宋体"/>
                            <w:sz w:val="16"/>
                          </w:rPr>
                          <w:t>93.10%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4"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620" w:type="dxa"/>
                        <w:tcBorders>
                          <w:top w:val="nil" w:sz="6" w:space="0" w:color="auto"/>
                          <w:left w:val="nil" w:sz="6" w:space="0" w:color="auto"/>
                          <w:bottom w:val="nil" w:sz="6" w:space="0" w:color="auto"/>
                          <w:right w:val="nil" w:sz="6" w:space="0" w:color="auto"/>
                        </w:tcBorders>
                      </w:tcPr>
                      <w:p>
                        <w:pPr>
                          <w:pStyle w:val="TableParagraph"/>
                          <w:spacing w:line="160" w:lineRule="exact"/>
                          <w:ind w:left="173" w:right="0"/>
                          <w:jc w:val="left"/>
                          <w:rPr>
                            <w:rFonts w:ascii="宋体" w:hAnsi="宋体" w:cs="宋体" w:eastAsia="宋体" w:hint="default"/>
                            <w:sz w:val="16"/>
                            <w:szCs w:val="16"/>
                          </w:rPr>
                        </w:pPr>
                        <w:r>
                          <w:rPr>
                            <w:rFonts w:ascii="宋体" w:hAnsi="宋体" w:cs="宋体" w:eastAsia="宋体" w:hint="default"/>
                            <w:sz w:val="16"/>
                            <w:szCs w:val="16"/>
                          </w:rPr>
                          <w:t>项目投资；房屋租赁；物业管理</w:t>
                        </w:r>
                      </w:p>
                      <w:p>
                        <w:pPr>
                          <w:pStyle w:val="TableParagraph"/>
                          <w:spacing w:line="240" w:lineRule="auto" w:before="33"/>
                          <w:ind w:left="170" w:right="0"/>
                          <w:jc w:val="left"/>
                          <w:rPr>
                            <w:rFonts w:ascii="宋体" w:hAnsi="宋体" w:cs="宋体" w:eastAsia="宋体" w:hint="default"/>
                            <w:sz w:val="16"/>
                            <w:szCs w:val="16"/>
                          </w:rPr>
                        </w:pPr>
                        <w:r>
                          <w:rPr>
                            <w:rFonts w:ascii="宋体" w:hAnsi="宋体" w:cs="宋体" w:eastAsia="宋体" w:hint="default"/>
                            <w:sz w:val="16"/>
                            <w:szCs w:val="16"/>
                          </w:rPr>
                          <w:t>微电子集成电路、广播电视、信息家电产品</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hAnsi="宋体" w:cs="宋体" w:eastAsia="宋体" w:hint="default"/>
                            <w:sz w:val="16"/>
                            <w:szCs w:val="16"/>
                          </w:rPr>
                          <w:t>￥7000.00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center"/>
                          <w:rPr>
                            <w:rFonts w:ascii="宋体" w:hAnsi="宋体" w:cs="宋体" w:eastAsia="宋体" w:hint="default"/>
                            <w:sz w:val="16"/>
                            <w:szCs w:val="16"/>
                          </w:rPr>
                        </w:pPr>
                        <w:r>
                          <w:rPr>
                            <w:rFonts w:ascii="宋体"/>
                            <w:sz w:val="16"/>
                          </w:rPr>
                          <w:t>100.00%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6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0" w:right="0"/>
                          <w:jc w:val="left"/>
                          <w:rPr>
                            <w:rFonts w:ascii="宋体" w:hAnsi="宋体" w:cs="宋体" w:eastAsia="宋体" w:hint="default"/>
                            <w:sz w:val="16"/>
                            <w:szCs w:val="16"/>
                          </w:rPr>
                        </w:pPr>
                        <w:r>
                          <w:rPr>
                            <w:rFonts w:ascii="宋体" w:hAnsi="宋体" w:cs="宋体" w:eastAsia="宋体" w:hint="default"/>
                            <w:sz w:val="16"/>
                            <w:szCs w:val="16"/>
                          </w:rPr>
                          <w:t>广播电视发射、通信信道和工业控制设备</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1"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4" w:right="0"/>
                          <w:jc w:val="left"/>
                          <w:rPr>
                            <w:rFonts w:ascii="宋体" w:hAnsi="宋体" w:cs="宋体" w:eastAsia="宋体" w:hint="default"/>
                            <w:sz w:val="16"/>
                            <w:szCs w:val="16"/>
                          </w:rPr>
                        </w:pPr>
                        <w:r>
                          <w:rPr>
                            <w:rFonts w:ascii="宋体" w:hAnsi="宋体" w:cs="宋体" w:eastAsia="宋体" w:hint="default"/>
                            <w:sz w:val="16"/>
                            <w:szCs w:val="16"/>
                          </w:rPr>
                          <w:t>鞍山吉兆电子有限公司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￥600.00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
                          <w:jc w:val="center"/>
                          <w:rPr>
                            <w:rFonts w:ascii="宋体" w:hAnsi="宋体" w:cs="宋体" w:eastAsia="宋体" w:hint="default"/>
                            <w:sz w:val="16"/>
                            <w:szCs w:val="16"/>
                          </w:rPr>
                        </w:pPr>
                        <w:r>
                          <w:rPr>
                            <w:rFonts w:ascii="宋体"/>
                            <w:sz w:val="16"/>
                          </w:rPr>
                          <w:t>100.00%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6" w:right="0"/>
                          <w:jc w:val="center"/>
                          <w:rPr>
                            <w:rFonts w:ascii="宋体" w:hAnsi="宋体" w:cs="宋体" w:eastAsia="宋体" w:hint="default"/>
                            <w:sz w:val="16"/>
                            <w:szCs w:val="16"/>
                          </w:rPr>
                        </w:pPr>
                        <w:r>
                          <w:rPr>
                            <w:rFonts w:ascii="宋体" w:hAnsi="宋体" w:cs="宋体" w:eastAsia="宋体" w:hint="default"/>
                            <w:sz w:val="16"/>
                            <w:szCs w:val="16"/>
                          </w:rPr>
                          <w:t>辽宁鞍山</w:t>
                        </w:r>
                      </w:p>
                    </w:tc>
                    <w:tc>
                      <w:tcPr>
                        <w:tcW w:w="36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1" w:right="0"/>
                          <w:jc w:val="left"/>
                          <w:rPr>
                            <w:rFonts w:ascii="宋体" w:hAnsi="宋体" w:cs="宋体" w:eastAsia="宋体" w:hint="default"/>
                            <w:sz w:val="16"/>
                            <w:szCs w:val="16"/>
                          </w:rPr>
                        </w:pPr>
                        <w:r>
                          <w:rPr>
                            <w:rFonts w:ascii="宋体" w:hAnsi="宋体" w:cs="宋体" w:eastAsia="宋体" w:hint="default"/>
                            <w:sz w:val="16"/>
                            <w:szCs w:val="16"/>
                          </w:rPr>
                          <w:t>广播电视发射和差转设备</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13" w:hRule="exact"/>
                    </w:trPr>
                    <w:tc>
                      <w:tcPr>
                        <w:tcW w:w="11030" w:type="dxa"/>
                        <w:gridSpan w:val="7"/>
                        <w:tcBorders>
                          <w:top w:val="nil" w:sz="6" w:space="0" w:color="auto"/>
                          <w:left w:val="nil" w:sz="6" w:space="0" w:color="auto"/>
                          <w:bottom w:val="nil" w:sz="6" w:space="0" w:color="auto"/>
                          <w:right w:val="nil" w:sz="6" w:space="0" w:color="auto"/>
                        </w:tcBorders>
                      </w:tcPr>
                      <w:p>
                        <w:pPr>
                          <w:pStyle w:val="TableParagraph"/>
                          <w:tabs>
                            <w:tab w:pos="3718" w:val="left" w:leader="none"/>
                            <w:tab w:pos="4297" w:val="left" w:leader="none"/>
                            <w:tab w:pos="6130" w:val="left" w:leader="none"/>
                            <w:tab w:pos="6978" w:val="left" w:leader="none"/>
                            <w:tab w:pos="10834" w:val="left" w:leader="none"/>
                          </w:tabs>
                          <w:spacing w:line="240" w:lineRule="auto" w:before="32"/>
                          <w:ind w:left="35" w:right="0"/>
                          <w:jc w:val="left"/>
                          <w:rPr>
                            <w:rFonts w:ascii="宋体" w:hAnsi="宋体" w:cs="宋体" w:eastAsia="宋体" w:hint="default"/>
                            <w:sz w:val="16"/>
                            <w:szCs w:val="16"/>
                          </w:rPr>
                        </w:pPr>
                        <w:r>
                          <w:rPr>
                            <w:rFonts w:ascii="宋体" w:hAnsi="宋体" w:cs="宋体" w:eastAsia="宋体" w:hint="default"/>
                            <w:w w:val="95"/>
                            <w:sz w:val="16"/>
                            <w:szCs w:val="16"/>
                          </w:rPr>
                          <w:t>同方健康科技（北京）有限公司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￥4144.00 万</w:t>
                        </w:r>
                        <w:r>
                          <w:rPr>
                            <w:rFonts w:ascii="宋体" w:hAnsi="宋体" w:cs="宋体" w:eastAsia="宋体" w:hint="default"/>
                            <w:spacing w:val="19"/>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北京海淀</w:t>
                          <w:tab/>
                        </w:r>
                        <w:r>
                          <w:rPr>
                            <w:rFonts w:ascii="宋体" w:hAnsi="宋体" w:cs="宋体" w:eastAsia="宋体" w:hint="default"/>
                            <w:w w:val="95"/>
                            <w:position w:val="10"/>
                            <w:sz w:val="16"/>
                            <w:szCs w:val="16"/>
                          </w:rPr>
                          <w:t>体育科技产品、体育竞赛管理系统；</w:t>
                          <w:tab/>
                        </w:r>
                        <w:r>
                          <w:rPr>
                            <w:rFonts w:ascii="宋体" w:hAnsi="宋体" w:cs="宋体" w:eastAsia="宋体" w:hint="default"/>
                            <w:sz w:val="16"/>
                            <w:szCs w:val="16"/>
                          </w:rPr>
                          <w:t>是</w:t>
                        </w:r>
                      </w:p>
                    </w:tc>
                  </w:tr>
                  <w:tr>
                    <w:trPr>
                      <w:trHeight w:val="171" w:hRule="exact"/>
                    </w:trPr>
                    <w:tc>
                      <w:tcPr>
                        <w:tcW w:w="3275"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3620" w:type="dxa"/>
                        <w:tcBorders>
                          <w:top w:val="nil" w:sz="6" w:space="0" w:color="auto"/>
                          <w:left w:val="nil" w:sz="6" w:space="0" w:color="auto"/>
                          <w:bottom w:val="nil" w:sz="6" w:space="0" w:color="auto"/>
                          <w:right w:val="nil" w:sz="6" w:space="0" w:color="auto"/>
                        </w:tcBorders>
                      </w:tcPr>
                      <w:p>
                        <w:pPr>
                          <w:pStyle w:val="TableParagraph"/>
                          <w:spacing w:line="130" w:lineRule="exact"/>
                          <w:ind w:left="173" w:right="0"/>
                          <w:jc w:val="left"/>
                          <w:rPr>
                            <w:rFonts w:ascii="宋体" w:hAnsi="宋体" w:cs="宋体" w:eastAsia="宋体" w:hint="default"/>
                            <w:sz w:val="16"/>
                            <w:szCs w:val="16"/>
                          </w:rPr>
                        </w:pPr>
                        <w:r>
                          <w:rPr>
                            <w:rFonts w:ascii="宋体" w:hAnsi="宋体" w:cs="宋体" w:eastAsia="宋体" w:hint="default"/>
                            <w:sz w:val="16"/>
                            <w:szCs w:val="16"/>
                          </w:rPr>
                          <w:t>技术货物进出口</w:t>
                        </w:r>
                      </w:p>
                    </w:tc>
                    <w:tc>
                      <w:tcPr>
                        <w:tcW w:w="605" w:type="dxa"/>
                        <w:tcBorders>
                          <w:top w:val="nil" w:sz="6" w:space="0" w:color="auto"/>
                          <w:left w:val="nil" w:sz="6" w:space="0" w:color="auto"/>
                          <w:bottom w:val="nil" w:sz="6" w:space="0" w:color="auto"/>
                          <w:right w:val="nil" w:sz="6" w:space="0" w:color="auto"/>
                        </w:tcBorders>
                      </w:tcPr>
                      <w:p>
                        <w:pPr/>
                      </w:p>
                    </w:tc>
                  </w:tr>
                  <w:tr>
                    <w:trPr>
                      <w:trHeight w:val="263"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6"/>
                            <w:szCs w:val="16"/>
                          </w:rPr>
                        </w:pPr>
                        <w:r>
                          <w:rPr>
                            <w:rFonts w:ascii="宋体" w:hAnsi="宋体" w:cs="宋体" w:eastAsia="宋体" w:hint="default"/>
                            <w:sz w:val="16"/>
                            <w:szCs w:val="16"/>
                          </w:rPr>
                          <w:t>同方鼎欣信息技术有限公司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00" w:lineRule="exact"/>
                          <w:ind w:right="66"/>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00" w:lineRule="exact"/>
                          <w:ind w:right="71"/>
                          <w:jc w:val="right"/>
                          <w:rPr>
                            <w:rFonts w:ascii="宋体" w:hAnsi="宋体" w:cs="宋体" w:eastAsia="宋体" w:hint="default"/>
                            <w:sz w:val="16"/>
                            <w:szCs w:val="16"/>
                          </w:rPr>
                        </w:pPr>
                        <w:r>
                          <w:rPr>
                            <w:rFonts w:ascii="宋体" w:hAnsi="宋体" w:cs="宋体" w:eastAsia="宋体" w:hint="default"/>
                            <w:sz w:val="16"/>
                            <w:szCs w:val="16"/>
                          </w:rPr>
                          <w:t>￥6250.00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00" w:lineRule="exact"/>
                          <w:ind w:left="47" w:right="0"/>
                          <w:jc w:val="center"/>
                          <w:rPr>
                            <w:rFonts w:ascii="宋体" w:hAnsi="宋体" w:cs="宋体" w:eastAsia="宋体" w:hint="default"/>
                            <w:sz w:val="16"/>
                            <w:szCs w:val="16"/>
                          </w:rPr>
                        </w:pPr>
                        <w:r>
                          <w:rPr>
                            <w:rFonts w:ascii="宋体"/>
                            <w:sz w:val="16"/>
                          </w:rPr>
                          <w:t>80.00%</w:t>
                        </w:r>
                      </w:p>
                    </w:tc>
                    <w:tc>
                      <w:tcPr>
                        <w:tcW w:w="780" w:type="dxa"/>
                        <w:tcBorders>
                          <w:top w:val="nil" w:sz="6" w:space="0" w:color="auto"/>
                          <w:left w:val="nil" w:sz="6" w:space="0" w:color="auto"/>
                          <w:bottom w:val="nil" w:sz="6" w:space="0" w:color="auto"/>
                          <w:right w:val="nil" w:sz="6" w:space="0" w:color="auto"/>
                        </w:tcBorders>
                      </w:tcPr>
                      <w:p>
                        <w:pPr>
                          <w:pStyle w:val="TableParagraph"/>
                          <w:spacing w:line="200" w:lineRule="exact"/>
                          <w:ind w:left="66"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620" w:type="dxa"/>
                        <w:tcBorders>
                          <w:top w:val="nil" w:sz="6" w:space="0" w:color="auto"/>
                          <w:left w:val="nil" w:sz="6" w:space="0" w:color="auto"/>
                          <w:bottom w:val="nil" w:sz="6" w:space="0" w:color="auto"/>
                          <w:right w:val="nil" w:sz="6" w:space="0" w:color="auto"/>
                        </w:tcBorders>
                      </w:tcPr>
                      <w:p>
                        <w:pPr>
                          <w:pStyle w:val="TableParagraph"/>
                          <w:spacing w:line="200" w:lineRule="exact"/>
                          <w:ind w:left="171" w:right="0"/>
                          <w:jc w:val="left"/>
                          <w:rPr>
                            <w:rFonts w:ascii="宋体" w:hAnsi="宋体" w:cs="宋体" w:eastAsia="宋体" w:hint="default"/>
                            <w:sz w:val="16"/>
                            <w:szCs w:val="16"/>
                          </w:rPr>
                        </w:pPr>
                        <w:r>
                          <w:rPr>
                            <w:rFonts w:ascii="宋体" w:hAnsi="宋体" w:cs="宋体" w:eastAsia="宋体" w:hint="default"/>
                            <w:sz w:val="16"/>
                            <w:szCs w:val="16"/>
                          </w:rPr>
                          <w:t>计算机软硬件产品、应用服务</w:t>
                        </w:r>
                      </w:p>
                    </w:tc>
                    <w:tc>
                      <w:tcPr>
                        <w:tcW w:w="605"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4" w:right="0"/>
                          <w:jc w:val="left"/>
                          <w:rPr>
                            <w:rFonts w:ascii="宋体" w:hAnsi="宋体" w:cs="宋体" w:eastAsia="宋体" w:hint="default"/>
                            <w:sz w:val="16"/>
                            <w:szCs w:val="16"/>
                          </w:rPr>
                        </w:pPr>
                        <w:r>
                          <w:rPr>
                            <w:rFonts w:ascii="宋体"/>
                            <w:sz w:val="16"/>
                          </w:rPr>
                          <w:t>Nihon Seikaoho Software Co.,</w:t>
                        </w:r>
                        <w:r>
                          <w:rPr>
                            <w:rFonts w:ascii="宋体"/>
                            <w:spacing w:val="-16"/>
                            <w:sz w:val="16"/>
                          </w:rPr>
                          <w:t> </w:t>
                        </w:r>
                        <w:r>
                          <w:rPr>
                            <w:rFonts w:ascii="宋体"/>
                            <w:sz w:val="16"/>
                          </w:rPr>
                          <w:t>Ltd.</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JP￥3000.00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
                          <w:jc w:val="center"/>
                          <w:rPr>
                            <w:rFonts w:ascii="宋体" w:hAnsi="宋体" w:cs="宋体" w:eastAsia="宋体" w:hint="default"/>
                            <w:sz w:val="16"/>
                            <w:szCs w:val="16"/>
                          </w:rPr>
                        </w:pPr>
                        <w:r>
                          <w:rPr>
                            <w:rFonts w:ascii="宋体"/>
                            <w:sz w:val="16"/>
                          </w:rPr>
                          <w:t>100.00%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 w:right="0"/>
                          <w:jc w:val="center"/>
                          <w:rPr>
                            <w:rFonts w:ascii="宋体" w:hAnsi="宋体" w:cs="宋体" w:eastAsia="宋体" w:hint="default"/>
                            <w:sz w:val="16"/>
                            <w:szCs w:val="16"/>
                          </w:rPr>
                        </w:pPr>
                        <w:r>
                          <w:rPr>
                            <w:rFonts w:ascii="宋体" w:hAnsi="宋体" w:cs="宋体" w:eastAsia="宋体" w:hint="default"/>
                            <w:sz w:val="16"/>
                            <w:szCs w:val="16"/>
                          </w:rPr>
                          <w:t>日本横滨</w:t>
                        </w:r>
                      </w:p>
                    </w:tc>
                    <w:tc>
                      <w:tcPr>
                        <w:tcW w:w="36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3" w:right="0"/>
                          <w:jc w:val="left"/>
                          <w:rPr>
                            <w:rFonts w:ascii="宋体" w:hAnsi="宋体" w:cs="宋体" w:eastAsia="宋体" w:hint="default"/>
                            <w:sz w:val="16"/>
                            <w:szCs w:val="16"/>
                          </w:rPr>
                        </w:pPr>
                        <w:r>
                          <w:rPr>
                            <w:rFonts w:ascii="宋体" w:hAnsi="宋体" w:cs="宋体" w:eastAsia="宋体" w:hint="default"/>
                            <w:sz w:val="16"/>
                            <w:szCs w:val="16"/>
                          </w:rPr>
                          <w:t>软件开发</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13"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北京市同方教育培训学校</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宋体" w:hAnsi="宋体" w:cs="宋体" w:eastAsia="宋体" w:hint="default"/>
                            <w:sz w:val="16"/>
                            <w:szCs w:val="16"/>
                          </w:rPr>
                        </w:pPr>
                        <w:r>
                          <w:rPr>
                            <w:rFonts w:ascii="宋体" w:hAnsi="宋体" w:cs="宋体" w:eastAsia="宋体" w:hint="default"/>
                            <w:sz w:val="16"/>
                            <w:szCs w:val="16"/>
                          </w:rPr>
                          <w:t>￥100.00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
                          <w:jc w:val="center"/>
                          <w:rPr>
                            <w:rFonts w:ascii="宋体" w:hAnsi="宋体" w:cs="宋体" w:eastAsia="宋体" w:hint="default"/>
                            <w:sz w:val="16"/>
                            <w:szCs w:val="16"/>
                          </w:rPr>
                        </w:pPr>
                        <w:r>
                          <w:rPr>
                            <w:rFonts w:ascii="宋体"/>
                            <w:sz w:val="16"/>
                          </w:rPr>
                          <w:t>100.00%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6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2" w:right="0"/>
                          <w:jc w:val="left"/>
                          <w:rPr>
                            <w:rFonts w:ascii="宋体" w:hAnsi="宋体" w:cs="宋体" w:eastAsia="宋体" w:hint="default"/>
                            <w:sz w:val="16"/>
                            <w:szCs w:val="16"/>
                          </w:rPr>
                        </w:pPr>
                        <w:r>
                          <w:rPr>
                            <w:rFonts w:ascii="宋体" w:hAnsi="宋体" w:cs="宋体" w:eastAsia="宋体" w:hint="default"/>
                            <w:sz w:val="16"/>
                            <w:szCs w:val="16"/>
                          </w:rPr>
                          <w:t>教育培训</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42"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6"/>
                            <w:szCs w:val="16"/>
                          </w:rPr>
                        </w:pPr>
                        <w:r>
                          <w:rPr>
                            <w:rFonts w:ascii="宋体" w:hAnsi="宋体" w:cs="宋体" w:eastAsia="宋体" w:hint="default"/>
                            <w:sz w:val="16"/>
                            <w:szCs w:val="16"/>
                          </w:rPr>
                          <w:t>同方光电科技有限公司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5"/>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9"/>
                          <w:jc w:val="right"/>
                          <w:rPr>
                            <w:rFonts w:ascii="宋体" w:hAnsi="宋体" w:cs="宋体" w:eastAsia="宋体" w:hint="default"/>
                            <w:sz w:val="16"/>
                            <w:szCs w:val="16"/>
                          </w:rPr>
                        </w:pPr>
                        <w:r>
                          <w:rPr>
                            <w:rFonts w:ascii="宋体" w:hAnsi="宋体" w:cs="宋体" w:eastAsia="宋体" w:hint="default"/>
                            <w:sz w:val="16"/>
                            <w:szCs w:val="16"/>
                          </w:rPr>
                          <w:t>￥8000.00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
                          <w:jc w:val="center"/>
                          <w:rPr>
                            <w:rFonts w:ascii="宋体" w:hAnsi="宋体" w:cs="宋体" w:eastAsia="宋体" w:hint="default"/>
                            <w:sz w:val="16"/>
                            <w:szCs w:val="16"/>
                          </w:rPr>
                        </w:pPr>
                        <w:r>
                          <w:rPr>
                            <w:rFonts w:ascii="宋体"/>
                            <w:sz w:val="16"/>
                          </w:rPr>
                          <w:t>100.00%</w:t>
                        </w:r>
                      </w:p>
                    </w:tc>
                    <w:tc>
                      <w:tcPr>
                        <w:tcW w:w="5005" w:type="dxa"/>
                        <w:gridSpan w:val="3"/>
                        <w:tcBorders>
                          <w:top w:val="nil" w:sz="6" w:space="0" w:color="auto"/>
                          <w:left w:val="nil" w:sz="6" w:space="0" w:color="auto"/>
                          <w:bottom w:val="nil" w:sz="6" w:space="0" w:color="auto"/>
                          <w:right w:val="nil" w:sz="6" w:space="0" w:color="auto"/>
                        </w:tcBorders>
                      </w:tcPr>
                      <w:p>
                        <w:pPr>
                          <w:pStyle w:val="TableParagraph"/>
                          <w:tabs>
                            <w:tab w:pos="953" w:val="left" w:leader="none"/>
                            <w:tab w:pos="4810" w:val="left" w:leader="none"/>
                          </w:tabs>
                          <w:spacing w:line="251" w:lineRule="exact"/>
                          <w:ind w:left="105" w:right="0"/>
                          <w:jc w:val="left"/>
                          <w:rPr>
                            <w:rFonts w:ascii="宋体" w:hAnsi="宋体" w:cs="宋体" w:eastAsia="宋体" w:hint="default"/>
                            <w:sz w:val="16"/>
                            <w:szCs w:val="16"/>
                          </w:rPr>
                        </w:pPr>
                        <w:r>
                          <w:rPr>
                            <w:rFonts w:ascii="宋体" w:hAnsi="宋体" w:cs="宋体" w:eastAsia="宋体" w:hint="default"/>
                            <w:w w:val="95"/>
                            <w:position w:val="-9"/>
                            <w:sz w:val="16"/>
                            <w:szCs w:val="16"/>
                          </w:rPr>
                          <w:t>北京顺义</w:t>
                          <w:tab/>
                        </w:r>
                        <w:r>
                          <w:rPr>
                            <w:rFonts w:ascii="宋体" w:hAnsi="宋体" w:cs="宋体" w:eastAsia="宋体" w:hint="default"/>
                            <w:w w:val="95"/>
                            <w:sz w:val="16"/>
                            <w:szCs w:val="16"/>
                          </w:rPr>
                          <w:t>高亮度发光二级管(LED)外延片</w:t>
                          <w:tab/>
                        </w:r>
                        <w:r>
                          <w:rPr>
                            <w:rFonts w:ascii="宋体" w:hAnsi="宋体" w:cs="宋体" w:eastAsia="宋体" w:hint="default"/>
                            <w:position w:val="-9"/>
                            <w:sz w:val="16"/>
                            <w:szCs w:val="16"/>
                          </w:rPr>
                          <w:t>是</w:t>
                        </w:r>
                        <w:r>
                          <w:rPr>
                            <w:rFonts w:ascii="宋体" w:hAnsi="宋体" w:cs="宋体" w:eastAsia="宋体" w:hint="default"/>
                            <w:sz w:val="16"/>
                            <w:szCs w:val="16"/>
                          </w:rPr>
                        </w:r>
                      </w:p>
                    </w:tc>
                  </w:tr>
                  <w:tr>
                    <w:trPr>
                      <w:trHeight w:val="342"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94" w:right="0"/>
                          <w:jc w:val="left"/>
                          <w:rPr>
                            <w:rFonts w:ascii="宋体" w:hAnsi="宋体" w:cs="宋体" w:eastAsia="宋体" w:hint="default"/>
                            <w:sz w:val="16"/>
                            <w:szCs w:val="16"/>
                          </w:rPr>
                        </w:pPr>
                        <w:r>
                          <w:rPr>
                            <w:rFonts w:ascii="宋体" w:hAnsi="宋体" w:cs="宋体" w:eastAsia="宋体" w:hint="default"/>
                            <w:sz w:val="16"/>
                            <w:szCs w:val="16"/>
                          </w:rPr>
                          <w:t>北京同方兰森照明科技有限公司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6"/>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0"/>
                          <w:jc w:val="right"/>
                          <w:rPr>
                            <w:rFonts w:ascii="宋体" w:hAnsi="宋体" w:cs="宋体" w:eastAsia="宋体" w:hint="default"/>
                            <w:sz w:val="16"/>
                            <w:szCs w:val="16"/>
                          </w:rPr>
                        </w:pPr>
                        <w:r>
                          <w:rPr>
                            <w:rFonts w:ascii="宋体" w:hAnsi="宋体" w:cs="宋体" w:eastAsia="宋体" w:hint="default"/>
                            <w:sz w:val="16"/>
                            <w:szCs w:val="16"/>
                          </w:rPr>
                          <w:t>US$300.00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9" w:right="0"/>
                          <w:jc w:val="center"/>
                          <w:rPr>
                            <w:rFonts w:ascii="宋体" w:hAnsi="宋体" w:cs="宋体" w:eastAsia="宋体" w:hint="default"/>
                            <w:sz w:val="16"/>
                            <w:szCs w:val="16"/>
                          </w:rPr>
                        </w:pPr>
                        <w:r>
                          <w:rPr>
                            <w:rFonts w:ascii="宋体"/>
                            <w:sz w:val="16"/>
                          </w:rPr>
                          <w:t>51.00%</w:t>
                        </w:r>
                      </w:p>
                    </w:tc>
                    <w:tc>
                      <w:tcPr>
                        <w:tcW w:w="5005" w:type="dxa"/>
                        <w:gridSpan w:val="3"/>
                        <w:tcBorders>
                          <w:top w:val="nil" w:sz="6" w:space="0" w:color="auto"/>
                          <w:left w:val="nil" w:sz="6" w:space="0" w:color="auto"/>
                          <w:bottom w:val="nil" w:sz="6" w:space="0" w:color="auto"/>
                          <w:right w:val="nil" w:sz="6" w:space="0" w:color="auto"/>
                        </w:tcBorders>
                      </w:tcPr>
                      <w:p>
                        <w:pPr>
                          <w:pStyle w:val="TableParagraph"/>
                          <w:tabs>
                            <w:tab w:pos="952" w:val="left" w:leader="none"/>
                            <w:tab w:pos="4810" w:val="left" w:leader="none"/>
                          </w:tabs>
                          <w:spacing w:line="240" w:lineRule="auto" w:before="42"/>
                          <w:ind w:left="105" w:right="0"/>
                          <w:jc w:val="left"/>
                          <w:rPr>
                            <w:rFonts w:ascii="宋体" w:hAnsi="宋体" w:cs="宋体" w:eastAsia="宋体" w:hint="default"/>
                            <w:sz w:val="16"/>
                            <w:szCs w:val="16"/>
                          </w:rPr>
                        </w:pPr>
                        <w:r>
                          <w:rPr>
                            <w:rFonts w:ascii="宋体" w:hAnsi="宋体" w:cs="宋体" w:eastAsia="宋体" w:hint="default"/>
                            <w:w w:val="95"/>
                            <w:sz w:val="16"/>
                            <w:szCs w:val="16"/>
                          </w:rPr>
                          <w:t>北京海淀</w:t>
                          <w:tab/>
                        </w:r>
                        <w:r>
                          <w:rPr>
                            <w:rFonts w:ascii="宋体" w:hAnsi="宋体" w:cs="宋体" w:eastAsia="宋体" w:hint="default"/>
                            <w:sz w:val="16"/>
                            <w:szCs w:val="16"/>
                          </w:rPr>
                          <w:t>节能型</w:t>
                        </w:r>
                        <w:r>
                          <w:rPr>
                            <w:rFonts w:ascii="宋体" w:hAnsi="宋体" w:cs="宋体" w:eastAsia="宋体" w:hint="default"/>
                            <w:spacing w:val="-43"/>
                            <w:sz w:val="16"/>
                            <w:szCs w:val="16"/>
                          </w:rPr>
                          <w:t> </w:t>
                        </w:r>
                        <w:r>
                          <w:rPr>
                            <w:rFonts w:ascii="宋体" w:hAnsi="宋体" w:cs="宋体" w:eastAsia="宋体" w:hint="default"/>
                            <w:sz w:val="16"/>
                            <w:szCs w:val="16"/>
                          </w:rPr>
                          <w:t>LED</w:t>
                        </w:r>
                        <w:r>
                          <w:rPr>
                            <w:rFonts w:ascii="宋体" w:hAnsi="宋体" w:cs="宋体" w:eastAsia="宋体" w:hint="default"/>
                            <w:spacing w:val="-42"/>
                            <w:sz w:val="16"/>
                            <w:szCs w:val="16"/>
                          </w:rPr>
                          <w:t> </w:t>
                        </w:r>
                        <w:r>
                          <w:rPr>
                            <w:rFonts w:ascii="宋体" w:hAnsi="宋体" w:cs="宋体" w:eastAsia="宋体" w:hint="default"/>
                            <w:sz w:val="16"/>
                            <w:szCs w:val="16"/>
                          </w:rPr>
                          <w:t>照明产品研发、生产</w:t>
                          <w:tab/>
                          <w:t>是</w:t>
                        </w:r>
                      </w:p>
                    </w:tc>
                  </w:tr>
                  <w:tr>
                    <w:trPr>
                      <w:trHeight w:val="371"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94" w:right="0"/>
                          <w:jc w:val="left"/>
                          <w:rPr>
                            <w:rFonts w:ascii="宋体" w:hAnsi="宋体" w:cs="宋体" w:eastAsia="宋体" w:hint="default"/>
                            <w:sz w:val="16"/>
                            <w:szCs w:val="16"/>
                          </w:rPr>
                        </w:pPr>
                        <w:r>
                          <w:rPr>
                            <w:rFonts w:ascii="宋体" w:hAnsi="宋体" w:cs="宋体" w:eastAsia="宋体" w:hint="default"/>
                            <w:sz w:val="16"/>
                            <w:szCs w:val="16"/>
                          </w:rPr>
                          <w:t>同方（浙江）照明科技有限公司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5"/>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9"/>
                          <w:jc w:val="right"/>
                          <w:rPr>
                            <w:rFonts w:ascii="宋体" w:hAnsi="宋体" w:cs="宋体" w:eastAsia="宋体" w:hint="default"/>
                            <w:sz w:val="16"/>
                            <w:szCs w:val="16"/>
                          </w:rPr>
                        </w:pP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1" w:right="0"/>
                          <w:jc w:val="center"/>
                          <w:rPr>
                            <w:rFonts w:ascii="宋体" w:hAnsi="宋体" w:cs="宋体" w:eastAsia="宋体" w:hint="default"/>
                            <w:sz w:val="16"/>
                            <w:szCs w:val="16"/>
                          </w:rPr>
                        </w:pPr>
                        <w:r>
                          <w:rPr>
                            <w:rFonts w:ascii="宋体"/>
                            <w:sz w:val="16"/>
                          </w:rPr>
                          <w:t>51.00%</w:t>
                        </w:r>
                      </w:p>
                    </w:tc>
                    <w:tc>
                      <w:tcPr>
                        <w:tcW w:w="5005" w:type="dxa"/>
                        <w:gridSpan w:val="3"/>
                        <w:tcBorders>
                          <w:top w:val="nil" w:sz="6" w:space="0" w:color="auto"/>
                          <w:left w:val="nil" w:sz="6" w:space="0" w:color="auto"/>
                          <w:bottom w:val="nil" w:sz="6" w:space="0" w:color="auto"/>
                          <w:right w:val="nil" w:sz="6" w:space="0" w:color="auto"/>
                        </w:tcBorders>
                      </w:tcPr>
                      <w:p>
                        <w:pPr>
                          <w:pStyle w:val="TableParagraph"/>
                          <w:tabs>
                            <w:tab w:pos="953" w:val="left" w:leader="none"/>
                            <w:tab w:pos="4810" w:val="left" w:leader="none"/>
                          </w:tabs>
                          <w:spacing w:line="251" w:lineRule="exact"/>
                          <w:ind w:left="106" w:right="0"/>
                          <w:jc w:val="left"/>
                          <w:rPr>
                            <w:rFonts w:ascii="宋体" w:hAnsi="宋体" w:cs="宋体" w:eastAsia="宋体" w:hint="default"/>
                            <w:sz w:val="16"/>
                            <w:szCs w:val="16"/>
                          </w:rPr>
                        </w:pPr>
                        <w:r>
                          <w:rPr>
                            <w:rFonts w:ascii="宋体" w:hAnsi="宋体" w:cs="宋体" w:eastAsia="宋体" w:hint="default"/>
                            <w:w w:val="95"/>
                            <w:position w:val="-9"/>
                            <w:sz w:val="16"/>
                            <w:szCs w:val="16"/>
                          </w:rPr>
                          <w:t>浙江湖州</w:t>
                          <w:tab/>
                        </w:r>
                        <w:r>
                          <w:rPr>
                            <w:rFonts w:ascii="宋体" w:hAnsi="宋体" w:cs="宋体" w:eastAsia="宋体" w:hint="default"/>
                            <w:w w:val="95"/>
                            <w:sz w:val="16"/>
                            <w:szCs w:val="16"/>
                          </w:rPr>
                          <w:t>镇流器、节能灯、照明电器</w:t>
                          <w:tab/>
                        </w:r>
                        <w:r>
                          <w:rPr>
                            <w:rFonts w:ascii="宋体" w:hAnsi="宋体" w:cs="宋体" w:eastAsia="宋体" w:hint="default"/>
                            <w:position w:val="-9"/>
                            <w:sz w:val="16"/>
                            <w:szCs w:val="16"/>
                          </w:rPr>
                          <w:t>是</w:t>
                        </w:r>
                        <w:r>
                          <w:rPr>
                            <w:rFonts w:ascii="宋体" w:hAnsi="宋体" w:cs="宋体" w:eastAsia="宋体" w:hint="default"/>
                            <w:sz w:val="16"/>
                            <w:szCs w:val="16"/>
                          </w:rPr>
                        </w:r>
                      </w:p>
                    </w:tc>
                  </w:tr>
                  <w:tr>
                    <w:trPr>
                      <w:trHeight w:val="371"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6"/>
                            <w:szCs w:val="16"/>
                          </w:rPr>
                        </w:pPr>
                        <w:r>
                          <w:rPr>
                            <w:rFonts w:ascii="宋体" w:hAnsi="宋体" w:cs="宋体" w:eastAsia="宋体" w:hint="default"/>
                            <w:sz w:val="16"/>
                            <w:szCs w:val="16"/>
                          </w:rPr>
                          <w:t>南通同方半导体有限公司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5"/>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9"/>
                          <w:jc w:val="right"/>
                          <w:rPr>
                            <w:rFonts w:ascii="宋体" w:hAnsi="宋体" w:cs="宋体" w:eastAsia="宋体" w:hint="default"/>
                            <w:sz w:val="16"/>
                            <w:szCs w:val="16"/>
                          </w:rPr>
                        </w:pPr>
                        <w:r>
                          <w:rPr>
                            <w:rFonts w:ascii="宋体" w:hAnsi="宋体" w:cs="宋体" w:eastAsia="宋体" w:hint="default"/>
                            <w:sz w:val="16"/>
                            <w:szCs w:val="16"/>
                          </w:rPr>
                          <w:t>￥50000.00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center"/>
                          <w:rPr>
                            <w:rFonts w:ascii="宋体" w:hAnsi="宋体" w:cs="宋体" w:eastAsia="宋体" w:hint="default"/>
                            <w:sz w:val="16"/>
                            <w:szCs w:val="16"/>
                          </w:rPr>
                        </w:pPr>
                        <w:r>
                          <w:rPr>
                            <w:rFonts w:ascii="宋体"/>
                            <w:sz w:val="16"/>
                          </w:rPr>
                          <w:t>100.00%</w:t>
                        </w:r>
                      </w:p>
                    </w:tc>
                    <w:tc>
                      <w:tcPr>
                        <w:tcW w:w="5005" w:type="dxa"/>
                        <w:gridSpan w:val="3"/>
                        <w:tcBorders>
                          <w:top w:val="nil" w:sz="6" w:space="0" w:color="auto"/>
                          <w:left w:val="nil" w:sz="6" w:space="0" w:color="auto"/>
                          <w:bottom w:val="nil" w:sz="6" w:space="0" w:color="auto"/>
                          <w:right w:val="nil" w:sz="6" w:space="0" w:color="auto"/>
                        </w:tcBorders>
                      </w:tcPr>
                      <w:p>
                        <w:pPr>
                          <w:pStyle w:val="TableParagraph"/>
                          <w:tabs>
                            <w:tab w:pos="953" w:val="left" w:leader="none"/>
                            <w:tab w:pos="4810" w:val="left" w:leader="none"/>
                          </w:tabs>
                          <w:spacing w:line="281" w:lineRule="exact"/>
                          <w:ind w:left="105" w:right="0"/>
                          <w:jc w:val="left"/>
                          <w:rPr>
                            <w:rFonts w:ascii="宋体" w:hAnsi="宋体" w:cs="宋体" w:eastAsia="宋体" w:hint="default"/>
                            <w:sz w:val="16"/>
                            <w:szCs w:val="16"/>
                          </w:rPr>
                        </w:pPr>
                        <w:r>
                          <w:rPr>
                            <w:rFonts w:ascii="宋体" w:hAnsi="宋体" w:cs="宋体" w:eastAsia="宋体" w:hint="default"/>
                            <w:w w:val="95"/>
                            <w:position w:val="-9"/>
                            <w:sz w:val="16"/>
                            <w:szCs w:val="16"/>
                          </w:rPr>
                          <w:t>江苏南通</w:t>
                          <w:tab/>
                        </w:r>
                        <w:r>
                          <w:rPr>
                            <w:rFonts w:ascii="宋体" w:hAnsi="宋体" w:cs="宋体" w:eastAsia="宋体" w:hint="default"/>
                            <w:w w:val="95"/>
                            <w:sz w:val="16"/>
                            <w:szCs w:val="16"/>
                          </w:rPr>
                          <w:t>高亮度发光二级管(LED)外延片</w:t>
                          <w:tab/>
                        </w:r>
                        <w:r>
                          <w:rPr>
                            <w:rFonts w:ascii="宋体" w:hAnsi="宋体" w:cs="宋体" w:eastAsia="宋体" w:hint="default"/>
                            <w:position w:val="-9"/>
                            <w:sz w:val="16"/>
                            <w:szCs w:val="16"/>
                          </w:rPr>
                          <w:t>是</w:t>
                        </w:r>
                        <w:r>
                          <w:rPr>
                            <w:rFonts w:ascii="宋体" w:hAnsi="宋体" w:cs="宋体" w:eastAsia="宋体" w:hint="default"/>
                            <w:sz w:val="16"/>
                            <w:szCs w:val="16"/>
                          </w:rPr>
                        </w:r>
                      </w:p>
                    </w:tc>
                  </w:tr>
                  <w:tr>
                    <w:trPr>
                      <w:trHeight w:val="342"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6"/>
                            <w:szCs w:val="16"/>
                          </w:rPr>
                        </w:pPr>
                        <w:r>
                          <w:rPr>
                            <w:rFonts w:ascii="宋体" w:hAnsi="宋体" w:cs="宋体" w:eastAsia="宋体" w:hint="default"/>
                            <w:sz w:val="16"/>
                            <w:szCs w:val="16"/>
                          </w:rPr>
                          <w:t>南通同方科技园有限公司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6"/>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0"/>
                          <w:jc w:val="right"/>
                          <w:rPr>
                            <w:rFonts w:ascii="宋体" w:hAnsi="宋体" w:cs="宋体" w:eastAsia="宋体" w:hint="default"/>
                            <w:sz w:val="16"/>
                            <w:szCs w:val="16"/>
                          </w:rPr>
                        </w:pP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0"/>
                          <w:jc w:val="center"/>
                          <w:rPr>
                            <w:rFonts w:ascii="宋体" w:hAnsi="宋体" w:cs="宋体" w:eastAsia="宋体" w:hint="default"/>
                            <w:sz w:val="16"/>
                            <w:szCs w:val="16"/>
                          </w:rPr>
                        </w:pPr>
                        <w:r>
                          <w:rPr>
                            <w:rFonts w:ascii="宋体"/>
                            <w:sz w:val="16"/>
                          </w:rPr>
                          <w:t>100.00%</w:t>
                        </w:r>
                      </w:p>
                    </w:tc>
                    <w:tc>
                      <w:tcPr>
                        <w:tcW w:w="5005" w:type="dxa"/>
                        <w:gridSpan w:val="3"/>
                        <w:tcBorders>
                          <w:top w:val="nil" w:sz="6" w:space="0" w:color="auto"/>
                          <w:left w:val="nil" w:sz="6" w:space="0" w:color="auto"/>
                          <w:bottom w:val="nil" w:sz="6" w:space="0" w:color="auto"/>
                          <w:right w:val="nil" w:sz="6" w:space="0" w:color="auto"/>
                        </w:tcBorders>
                      </w:tcPr>
                      <w:p>
                        <w:pPr>
                          <w:pStyle w:val="TableParagraph"/>
                          <w:tabs>
                            <w:tab w:pos="951" w:val="left" w:leader="none"/>
                            <w:tab w:pos="4810" w:val="left" w:leader="none"/>
                          </w:tabs>
                          <w:spacing w:line="240" w:lineRule="auto" w:before="41"/>
                          <w:ind w:left="104" w:right="0"/>
                          <w:jc w:val="left"/>
                          <w:rPr>
                            <w:rFonts w:ascii="宋体" w:hAnsi="宋体" w:cs="宋体" w:eastAsia="宋体" w:hint="default"/>
                            <w:sz w:val="16"/>
                            <w:szCs w:val="16"/>
                          </w:rPr>
                        </w:pPr>
                        <w:r>
                          <w:rPr>
                            <w:rFonts w:ascii="宋体" w:hAnsi="宋体" w:cs="宋体" w:eastAsia="宋体" w:hint="default"/>
                            <w:w w:val="95"/>
                            <w:sz w:val="16"/>
                            <w:szCs w:val="16"/>
                          </w:rPr>
                          <w:t>江苏南通</w:t>
                          <w:tab/>
                          <w:t>科技园区及配套设施的开发管理</w:t>
                          <w:tab/>
                        </w:r>
                        <w:r>
                          <w:rPr>
                            <w:rFonts w:ascii="宋体" w:hAnsi="宋体" w:cs="宋体" w:eastAsia="宋体" w:hint="default"/>
                            <w:sz w:val="16"/>
                            <w:szCs w:val="16"/>
                          </w:rPr>
                          <w:t>是</w:t>
                        </w:r>
                      </w:p>
                    </w:tc>
                  </w:tr>
                  <w:tr>
                    <w:trPr>
                      <w:trHeight w:val="342"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6"/>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0"/>
                          <w:jc w:val="right"/>
                          <w:rPr>
                            <w:rFonts w:ascii="宋体" w:hAnsi="宋体" w:cs="宋体" w:eastAsia="宋体" w:hint="default"/>
                            <w:sz w:val="16"/>
                            <w:szCs w:val="16"/>
                          </w:rPr>
                        </w:pPr>
                        <w:r>
                          <w:rPr>
                            <w:rFonts w:ascii="宋体" w:hAnsi="宋体" w:cs="宋体" w:eastAsia="宋体" w:hint="default"/>
                            <w:sz w:val="16"/>
                            <w:szCs w:val="16"/>
                          </w:rPr>
                          <w:t>US$1000.00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9" w:right="0"/>
                          <w:jc w:val="center"/>
                          <w:rPr>
                            <w:rFonts w:ascii="宋体" w:hAnsi="宋体" w:cs="宋体" w:eastAsia="宋体" w:hint="default"/>
                            <w:sz w:val="16"/>
                            <w:szCs w:val="16"/>
                          </w:rPr>
                        </w:pPr>
                        <w:r>
                          <w:rPr>
                            <w:rFonts w:ascii="宋体"/>
                            <w:sz w:val="16"/>
                          </w:rPr>
                          <w:t>55.00%</w:t>
                        </w:r>
                      </w:p>
                    </w:tc>
                    <w:tc>
                      <w:tcPr>
                        <w:tcW w:w="5005" w:type="dxa"/>
                        <w:gridSpan w:val="3"/>
                        <w:tcBorders>
                          <w:top w:val="nil" w:sz="6" w:space="0" w:color="auto"/>
                          <w:left w:val="nil" w:sz="6" w:space="0" w:color="auto"/>
                          <w:bottom w:val="nil" w:sz="6" w:space="0" w:color="auto"/>
                          <w:right w:val="nil" w:sz="6" w:space="0" w:color="auto"/>
                        </w:tcBorders>
                      </w:tcPr>
                      <w:p>
                        <w:pPr>
                          <w:pStyle w:val="TableParagraph"/>
                          <w:tabs>
                            <w:tab w:pos="953" w:val="left" w:leader="none"/>
                            <w:tab w:pos="4810" w:val="left" w:leader="none"/>
                          </w:tabs>
                          <w:spacing w:line="251" w:lineRule="exact"/>
                          <w:ind w:left="105" w:right="0"/>
                          <w:jc w:val="left"/>
                          <w:rPr>
                            <w:rFonts w:ascii="宋体" w:hAnsi="宋体" w:cs="宋体" w:eastAsia="宋体" w:hint="default"/>
                            <w:sz w:val="16"/>
                            <w:szCs w:val="16"/>
                          </w:rPr>
                        </w:pPr>
                        <w:r>
                          <w:rPr>
                            <w:rFonts w:ascii="宋体" w:hAnsi="宋体" w:cs="宋体" w:eastAsia="宋体" w:hint="default"/>
                            <w:w w:val="95"/>
                            <w:position w:val="-9"/>
                            <w:sz w:val="16"/>
                            <w:szCs w:val="16"/>
                          </w:rPr>
                          <w:t>河北廊坊</w:t>
                          <w:tab/>
                        </w:r>
                        <w:r>
                          <w:rPr>
                            <w:rFonts w:ascii="宋体" w:hAnsi="宋体" w:cs="宋体" w:eastAsia="宋体" w:hint="default"/>
                            <w:w w:val="95"/>
                            <w:sz w:val="16"/>
                            <w:szCs w:val="16"/>
                          </w:rPr>
                          <w:t>高亮度发光二级管(LED)外延片</w:t>
                          <w:tab/>
                        </w:r>
                        <w:r>
                          <w:rPr>
                            <w:rFonts w:ascii="宋体" w:hAnsi="宋体" w:cs="宋体" w:eastAsia="宋体" w:hint="default"/>
                            <w:position w:val="-9"/>
                            <w:sz w:val="16"/>
                            <w:szCs w:val="16"/>
                          </w:rPr>
                          <w:t>是</w:t>
                        </w:r>
                        <w:r>
                          <w:rPr>
                            <w:rFonts w:ascii="宋体" w:hAnsi="宋体" w:cs="宋体" w:eastAsia="宋体" w:hint="default"/>
                            <w:sz w:val="16"/>
                            <w:szCs w:val="16"/>
                          </w:rPr>
                        </w:r>
                      </w:p>
                    </w:tc>
                  </w:tr>
                  <w:tr>
                    <w:trPr>
                      <w:trHeight w:val="327"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6"/>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1"/>
                          <w:jc w:val="right"/>
                          <w:rPr>
                            <w:rFonts w:ascii="宋体" w:hAnsi="宋体" w:cs="宋体" w:eastAsia="宋体" w:hint="default"/>
                            <w:sz w:val="16"/>
                            <w:szCs w:val="16"/>
                          </w:rPr>
                        </w:pPr>
                        <w:r>
                          <w:rPr>
                            <w:rFonts w:ascii="宋体" w:hAnsi="宋体" w:cs="宋体" w:eastAsia="宋体" w:hint="default"/>
                            <w:sz w:val="16"/>
                            <w:szCs w:val="16"/>
                          </w:rPr>
                          <w:t>￥11000.00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7" w:right="0"/>
                          <w:jc w:val="center"/>
                          <w:rPr>
                            <w:rFonts w:ascii="宋体" w:hAnsi="宋体" w:cs="宋体" w:eastAsia="宋体" w:hint="default"/>
                            <w:sz w:val="16"/>
                            <w:szCs w:val="16"/>
                          </w:rPr>
                        </w:pPr>
                        <w:r>
                          <w:rPr>
                            <w:rFonts w:ascii="宋体"/>
                            <w:sz w:val="16"/>
                          </w:rPr>
                          <w:t>49.55%</w:t>
                        </w:r>
                      </w:p>
                    </w:tc>
                    <w:tc>
                      <w:tcPr>
                        <w:tcW w:w="5005" w:type="dxa"/>
                        <w:gridSpan w:val="3"/>
                        <w:tcBorders>
                          <w:top w:val="nil" w:sz="6" w:space="0" w:color="auto"/>
                          <w:left w:val="nil" w:sz="6" w:space="0" w:color="auto"/>
                          <w:bottom w:val="nil" w:sz="6" w:space="0" w:color="auto"/>
                          <w:right w:val="nil" w:sz="6" w:space="0" w:color="auto"/>
                        </w:tcBorders>
                      </w:tcPr>
                      <w:p>
                        <w:pPr>
                          <w:pStyle w:val="TableParagraph"/>
                          <w:tabs>
                            <w:tab w:pos="952" w:val="left" w:leader="none"/>
                            <w:tab w:pos="4810" w:val="left" w:leader="none"/>
                          </w:tabs>
                          <w:spacing w:line="240" w:lineRule="auto" w:before="41"/>
                          <w:ind w:left="104" w:right="0"/>
                          <w:jc w:val="left"/>
                          <w:rPr>
                            <w:rFonts w:ascii="宋体" w:hAnsi="宋体" w:cs="宋体" w:eastAsia="宋体" w:hint="default"/>
                            <w:sz w:val="16"/>
                            <w:szCs w:val="16"/>
                          </w:rPr>
                        </w:pPr>
                        <w:r>
                          <w:rPr>
                            <w:rFonts w:ascii="宋体" w:hAnsi="宋体" w:cs="宋体" w:eastAsia="宋体" w:hint="default"/>
                            <w:w w:val="95"/>
                            <w:sz w:val="16"/>
                            <w:szCs w:val="16"/>
                          </w:rPr>
                          <w:t>江苏淮安</w:t>
                          <w:tab/>
                          <w:t>水务项目投资、建设、运营</w:t>
                          <w:tab/>
                        </w:r>
                        <w:r>
                          <w:rPr>
                            <w:rFonts w:ascii="宋体" w:hAnsi="宋体" w:cs="宋体" w:eastAsia="宋体" w:hint="default"/>
                            <w:sz w:val="16"/>
                            <w:szCs w:val="16"/>
                          </w:rPr>
                          <w:t>是</w:t>
                        </w:r>
                      </w:p>
                    </w:tc>
                  </w:tr>
                </w:tbl>
                <w:p>
                  <w:pPr/>
                </w:p>
              </w:txbxContent>
            </v:textbox>
            <w10:wrap type="none"/>
          </v:shape>
        </w:pict>
      </w:r>
      <w:r>
        <w:rPr>
          <w:rFonts w:ascii="宋体" w:hAnsi="宋体" w:cs="宋体" w:eastAsia="宋体" w:hint="default"/>
          <w:w w:val="95"/>
          <w:sz w:val="16"/>
          <w:szCs w:val="16"/>
        </w:rPr>
        <w:t>沈阳同方科技园有限公司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￥13000.00 万</w:t>
      </w:r>
      <w:r>
        <w:rPr>
          <w:rFonts w:ascii="宋体" w:hAnsi="宋体" w:cs="宋体" w:eastAsia="宋体" w:hint="default"/>
          <w:spacing w:val="18"/>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辽宁沈阳</w:t>
        <w:tab/>
      </w:r>
      <w:r>
        <w:rPr>
          <w:rFonts w:ascii="宋体" w:hAnsi="宋体" w:cs="宋体" w:eastAsia="宋体" w:hint="default"/>
          <w:w w:val="95"/>
          <w:position w:val="10"/>
          <w:sz w:val="16"/>
          <w:szCs w:val="16"/>
        </w:rPr>
        <w:t>科技园配套设施的建设、开发、管理；</w:t>
        <w:tab/>
      </w:r>
      <w:r>
        <w:rPr>
          <w:rFonts w:ascii="宋体" w:hAnsi="宋体" w:cs="宋体" w:eastAsia="宋体" w:hint="default"/>
          <w:sz w:val="16"/>
          <w:szCs w:val="16"/>
        </w:rPr>
        <w:t>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50"/>
        <w:ind w:left="7185" w:right="1394" w:firstLine="0"/>
        <w:jc w:val="left"/>
        <w:rPr>
          <w:rFonts w:ascii="宋体" w:hAnsi="宋体" w:cs="宋体" w:eastAsia="宋体" w:hint="default"/>
          <w:sz w:val="16"/>
          <w:szCs w:val="16"/>
        </w:rPr>
      </w:pPr>
      <w:r>
        <w:rPr>
          <w:rFonts w:ascii="宋体" w:hAnsi="宋体" w:cs="宋体" w:eastAsia="宋体" w:hint="default"/>
          <w:sz w:val="16"/>
          <w:szCs w:val="16"/>
        </w:rPr>
        <w:t>和芯片开发、生产、销售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7185" w:right="1394" w:firstLine="0"/>
        <w:jc w:val="left"/>
        <w:rPr>
          <w:rFonts w:ascii="宋体" w:hAnsi="宋体" w:cs="宋体" w:eastAsia="宋体" w:hint="default"/>
          <w:sz w:val="16"/>
          <w:szCs w:val="16"/>
        </w:rPr>
      </w:pPr>
      <w:r>
        <w:rPr>
          <w:rFonts w:ascii="宋体" w:hAnsi="宋体" w:cs="宋体" w:eastAsia="宋体" w:hint="default"/>
          <w:sz w:val="16"/>
          <w:szCs w:val="16"/>
        </w:rPr>
        <w:t>及电子电器生产、销售</w:t>
      </w:r>
    </w:p>
    <w:p>
      <w:pPr>
        <w:spacing w:line="240" w:lineRule="auto" w:before="9"/>
        <w:rPr>
          <w:rFonts w:ascii="宋体" w:hAnsi="宋体" w:cs="宋体" w:eastAsia="宋体" w:hint="default"/>
          <w:sz w:val="10"/>
          <w:szCs w:val="10"/>
        </w:rPr>
      </w:pPr>
    </w:p>
    <w:p>
      <w:pPr>
        <w:spacing w:before="50"/>
        <w:ind w:left="7185" w:right="1394" w:firstLine="0"/>
        <w:jc w:val="left"/>
        <w:rPr>
          <w:rFonts w:ascii="宋体" w:hAnsi="宋体" w:cs="宋体" w:eastAsia="宋体" w:hint="default"/>
          <w:sz w:val="16"/>
          <w:szCs w:val="16"/>
        </w:rPr>
      </w:pPr>
      <w:r>
        <w:rPr>
          <w:rFonts w:ascii="宋体" w:hAnsi="宋体" w:cs="宋体" w:eastAsia="宋体" w:hint="default"/>
          <w:sz w:val="16"/>
          <w:szCs w:val="16"/>
        </w:rPr>
        <w:t>和芯片开发、生产、销售</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7185" w:right="1394" w:firstLine="0"/>
        <w:jc w:val="left"/>
        <w:rPr>
          <w:rFonts w:ascii="宋体" w:hAnsi="宋体" w:cs="宋体" w:eastAsia="宋体" w:hint="default"/>
          <w:sz w:val="16"/>
          <w:szCs w:val="16"/>
        </w:rPr>
      </w:pPr>
      <w:r>
        <w:rPr>
          <w:rFonts w:ascii="宋体" w:hAnsi="宋体" w:cs="宋体" w:eastAsia="宋体" w:hint="default"/>
          <w:sz w:val="16"/>
          <w:szCs w:val="16"/>
        </w:rPr>
        <w:t>和芯片开发、生产、销售</w:t>
      </w:r>
    </w:p>
    <w:p>
      <w:pPr>
        <w:spacing w:line="240" w:lineRule="auto" w:before="2"/>
        <w:rPr>
          <w:rFonts w:ascii="宋体" w:hAnsi="宋体" w:cs="宋体" w:eastAsia="宋体" w:hint="default"/>
          <w:sz w:val="23"/>
          <w:szCs w:val="23"/>
        </w:rPr>
      </w:pPr>
    </w:p>
    <w:p>
      <w:pPr>
        <w:spacing w:line="30" w:lineRule="exact"/>
        <w:ind w:left="104" w:right="0" w:firstLine="0"/>
        <w:rPr>
          <w:rFonts w:ascii="宋体" w:hAnsi="宋体" w:cs="宋体" w:eastAsia="宋体" w:hint="default"/>
          <w:sz w:val="3"/>
          <w:szCs w:val="3"/>
        </w:rPr>
      </w:pPr>
      <w:r>
        <w:rPr>
          <w:rFonts w:ascii="宋体" w:hAnsi="宋体" w:cs="宋体" w:eastAsia="宋体" w:hint="default"/>
          <w:position w:val="0"/>
          <w:sz w:val="3"/>
          <w:szCs w:val="3"/>
        </w:rPr>
        <w:pict>
          <v:group style="width:556.65pt;height:1.5pt;mso-position-horizontal-relative:char;mso-position-vertical-relative:line" coordorigin="0,0" coordsize="11133,30">
            <v:group style="position:absolute;left:15;top:15;width:3671;height:2" coordorigin="15,15" coordsize="3671,2">
              <v:shape style="position:absolute;left:15;top:15;width:3671;height:2" coordorigin="15,15" coordsize="3671,0" path="m15,15l3686,15e" filled="false" stroked="true" strokeweight="1.5pt" strokecolor="#000000">
                <v:path arrowok="t"/>
              </v:shape>
            </v:group>
            <v:group style="position:absolute;left:3671;top:15;width:454;height:2" coordorigin="3671,15" coordsize="454,2">
              <v:shape style="position:absolute;left:3671;top:15;width:454;height:2" coordorigin="3671,15" coordsize="454,0" path="m3671,15l4125,15e" filled="false" stroked="true" strokeweight="1.5pt" strokecolor="#000000">
                <v:path arrowok="t"/>
              </v:shape>
            </v:group>
            <v:group style="position:absolute;left:4111;top:15;width:1208;height:2" coordorigin="4111,15" coordsize="1208,2">
              <v:shape style="position:absolute;left:4111;top:15;width:1208;height:2" coordorigin="4111,15" coordsize="1208,0" path="m4111,15l5318,15e" filled="false" stroked="true" strokeweight="1.5pt" strokecolor="#000000">
                <v:path arrowok="t"/>
              </v:shape>
            </v:group>
            <v:group style="position:absolute;left:5303;top:15;width:722;height:2" coordorigin="5303,15" coordsize="722,2">
              <v:shape style="position:absolute;left:5303;top:15;width:722;height:2" coordorigin="5303,15" coordsize="722,0" path="m5303,15l6025,15e" filled="false" stroked="true" strokeweight="1.5pt" strokecolor="#000000">
                <v:path arrowok="t"/>
              </v:shape>
            </v:group>
            <v:group style="position:absolute;left:6010;top:15;width:963;height:2" coordorigin="6010,15" coordsize="963,2">
              <v:shape style="position:absolute;left:6010;top:15;width:963;height:2" coordorigin="6010,15" coordsize="963,0" path="m6010,15l6973,15e" filled="false" stroked="true" strokeweight="1.5pt" strokecolor="#000000">
                <v:path arrowok="t"/>
              </v:shape>
            </v:group>
            <v:group style="position:absolute;left:6958;top:15;width:30;height:2" coordorigin="6958,15" coordsize="30,2">
              <v:shape style="position:absolute;left:6958;top:15;width:30;height:2" coordorigin="6958,15" coordsize="30,0" path="m6958,15l6988,15e" filled="false" stroked="true" strokeweight="1.5pt" strokecolor="#000000">
                <v:path arrowok="t"/>
              </v:shape>
            </v:group>
            <v:group style="position:absolute;left:6988;top:15;width:3842;height:2" coordorigin="6988,15" coordsize="3842,2">
              <v:shape style="position:absolute;left:6988;top:15;width:3842;height:2" coordorigin="6988,15" coordsize="3842,0" path="m6988,15l10829,15e" filled="false" stroked="true" strokeweight="1.5pt" strokecolor="#000000">
                <v:path arrowok="t"/>
              </v:shape>
            </v:group>
            <v:group style="position:absolute;left:10815;top:15;width:303;height:2" coordorigin="10815,15" coordsize="303,2">
              <v:shape style="position:absolute;left:10815;top:15;width:303;height:2" coordorigin="10815,15" coordsize="303,0" path="m10815,15l1111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340" w:right="220"/>
        </w:sectPr>
      </w:pPr>
    </w:p>
    <w:p>
      <w:pPr>
        <w:tabs>
          <w:tab w:pos="3903" w:val="left" w:leader="none"/>
          <w:tab w:pos="4558" w:val="left" w:leader="none"/>
          <w:tab w:pos="5668" w:val="left" w:leader="none"/>
        </w:tabs>
        <w:spacing w:line="156" w:lineRule="auto" w:before="72"/>
        <w:ind w:left="5668" w:right="0" w:hanging="4269"/>
        <w:jc w:val="right"/>
        <w:rPr>
          <w:rFonts w:ascii="宋体" w:hAnsi="宋体" w:cs="宋体" w:eastAsia="宋体" w:hint="default"/>
          <w:sz w:val="16"/>
          <w:szCs w:val="16"/>
        </w:rPr>
      </w:pPr>
      <w:r>
        <w:rPr>
          <w:rFonts w:ascii="宋体" w:hAnsi="宋体" w:cs="宋体" w:eastAsia="宋体" w:hint="default"/>
          <w:b/>
          <w:bCs/>
          <w:w w:val="95"/>
          <w:sz w:val="16"/>
          <w:szCs w:val="16"/>
        </w:rPr>
        <w:t>控股子公司名称</w:t>
        <w:tab/>
        <w:t>级次</w:t>
        <w:tab/>
        <w:t>注册资本</w:t>
        <w:tab/>
      </w:r>
      <w:r>
        <w:rPr>
          <w:rFonts w:ascii="宋体" w:hAnsi="宋体" w:cs="宋体" w:eastAsia="宋体" w:hint="default"/>
          <w:b/>
          <w:bCs/>
          <w:w w:val="95"/>
          <w:position w:val="10"/>
          <w:sz w:val="16"/>
          <w:szCs w:val="16"/>
        </w:rPr>
        <w:t>持股</w:t>
      </w:r>
      <w:r>
        <w:rPr>
          <w:rFonts w:ascii="宋体" w:hAnsi="宋体" w:cs="宋体" w:eastAsia="宋体" w:hint="default"/>
          <w:b/>
          <w:bCs/>
          <w:spacing w:val="-62"/>
          <w:w w:val="95"/>
          <w:position w:val="10"/>
          <w:sz w:val="16"/>
          <w:szCs w:val="16"/>
        </w:rPr>
        <w:t> </w:t>
      </w:r>
      <w:r>
        <w:rPr>
          <w:rFonts w:ascii="宋体" w:hAnsi="宋体" w:cs="宋体" w:eastAsia="宋体" w:hint="default"/>
          <w:b/>
          <w:bCs/>
          <w:spacing w:val="-62"/>
          <w:w w:val="95"/>
          <w:position w:val="10"/>
          <w:sz w:val="16"/>
          <w:szCs w:val="16"/>
        </w:rPr>
      </w: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2698" w:val="left" w:leader="none"/>
          <w:tab w:pos="5011" w:val="left" w:leader="none"/>
        </w:tabs>
        <w:spacing w:line="156" w:lineRule="auto" w:before="72"/>
        <w:ind w:left="5011" w:right="140" w:hanging="4707"/>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注册地址</w:t>
        <w:tab/>
        <w:t>主营业务</w:t>
        <w:tab/>
      </w:r>
      <w:r>
        <w:rPr>
          <w:rFonts w:ascii="宋体" w:hAnsi="宋体" w:cs="宋体" w:eastAsia="宋体" w:hint="default"/>
          <w:b/>
          <w:bCs/>
          <w:w w:val="95"/>
          <w:position w:val="10"/>
          <w:sz w:val="16"/>
          <w:szCs w:val="16"/>
        </w:rPr>
        <w:t>合</w:t>
      </w:r>
      <w:r>
        <w:rPr>
          <w:rFonts w:ascii="宋体" w:hAnsi="宋体" w:cs="宋体" w:eastAsia="宋体" w:hint="default"/>
          <w:b/>
          <w:bCs/>
          <w:w w:val="99"/>
          <w:position w:val="10"/>
          <w:sz w:val="16"/>
          <w:szCs w:val="16"/>
        </w:rPr>
        <w:t> </w:t>
      </w:r>
      <w:r>
        <w:rPr>
          <w:rFonts w:ascii="宋体" w:hAnsi="宋体" w:cs="宋体" w:eastAsia="宋体" w:hint="default"/>
          <w:b/>
          <w:bCs/>
          <w:w w:val="95"/>
          <w:sz w:val="16"/>
          <w:szCs w:val="16"/>
        </w:rPr>
        <w:t>并</w:t>
      </w:r>
      <w:r>
        <w:rPr>
          <w:rFonts w:ascii="宋体" w:hAnsi="宋体" w:cs="宋体" w:eastAsia="宋体" w:hint="default"/>
          <w:sz w:val="16"/>
          <w:szCs w:val="16"/>
        </w:rPr>
      </w:r>
    </w:p>
    <w:p>
      <w:pPr>
        <w:spacing w:after="0" w:line="156" w:lineRule="auto"/>
        <w:jc w:val="right"/>
        <w:rPr>
          <w:rFonts w:ascii="宋体" w:hAnsi="宋体" w:cs="宋体" w:eastAsia="宋体" w:hint="default"/>
          <w:sz w:val="16"/>
          <w:szCs w:val="16"/>
        </w:rPr>
        <w:sectPr>
          <w:pgSz w:w="11910" w:h="16840"/>
          <w:pgMar w:header="610" w:footer="784" w:top="1720" w:bottom="980" w:left="340" w:right="220"/>
          <w:cols w:num="2" w:equalWidth="0">
            <w:col w:w="5990" w:space="40"/>
            <w:col w:w="5320"/>
          </w:cols>
        </w:sectPr>
      </w:pPr>
    </w:p>
    <w:p>
      <w:pPr>
        <w:spacing w:line="240" w:lineRule="auto" w:before="0"/>
        <w:rPr>
          <w:rFonts w:ascii="宋体" w:hAnsi="宋体" w:cs="宋体" w:eastAsia="宋体" w:hint="default"/>
          <w:b/>
          <w:bCs/>
          <w:sz w:val="2"/>
          <w:szCs w:val="2"/>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554.550pt;height:.5pt;mso-position-horizontal-relative:char;mso-position-vertical-relative:line" coordorigin="0,0" coordsize="11091,10">
            <v:group style="position:absolute;left:5;top:5;width:11081;height:2" coordorigin="5,5" coordsize="11081,2">
              <v:shape style="position:absolute;left:5;top:5;width:11081;height:2" coordorigin="5,5" coordsize="11081,0" path="m5,5l11086,5e" filled="false" stroked="true" strokeweight=".48pt" strokecolor="#000000">
                <v:path arrowok="t"/>
              </v:shape>
            </v:group>
          </v:group>
        </w:pict>
      </w:r>
      <w:r>
        <w:rPr>
          <w:rFonts w:ascii="宋体" w:hAnsi="宋体" w:cs="宋体" w:eastAsia="宋体" w:hint="default"/>
          <w:sz w:val="2"/>
          <w:szCs w:val="2"/>
        </w:rPr>
      </w:r>
    </w:p>
    <w:p>
      <w:pPr>
        <w:tabs>
          <w:tab w:pos="3925" w:val="left" w:leader="none"/>
          <w:tab w:pos="4503" w:val="left" w:leader="none"/>
          <w:tab w:pos="6335" w:val="left" w:leader="none"/>
          <w:tab w:pos="7183" w:val="left" w:leader="none"/>
          <w:tab w:pos="11041" w:val="left" w:leader="none"/>
        </w:tabs>
        <w:spacing w:before="4"/>
        <w:ind w:left="242" w:right="0" w:firstLine="0"/>
        <w:jc w:val="left"/>
        <w:rPr>
          <w:rFonts w:ascii="宋体" w:hAnsi="宋体" w:cs="宋体" w:eastAsia="宋体" w:hint="default"/>
          <w:sz w:val="16"/>
          <w:szCs w:val="16"/>
        </w:rPr>
      </w:pPr>
      <w:r>
        <w:rPr>
          <w:rFonts w:ascii="宋体" w:hAnsi="宋体" w:cs="宋体" w:eastAsia="宋体" w:hint="default"/>
          <w:w w:val="95"/>
          <w:sz w:val="16"/>
          <w:szCs w:val="16"/>
        </w:rPr>
        <w:t>惠州市同方水务有限公司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￥3600.00 万</w:t>
      </w:r>
      <w:r>
        <w:rPr>
          <w:rFonts w:ascii="宋体" w:hAnsi="宋体" w:cs="宋体" w:eastAsia="宋体" w:hint="default"/>
          <w:spacing w:val="19"/>
          <w:sz w:val="16"/>
          <w:szCs w:val="16"/>
        </w:rPr>
        <w:t> </w:t>
      </w:r>
      <w:r>
        <w:rPr>
          <w:rFonts w:ascii="宋体" w:hAnsi="宋体" w:cs="宋体" w:eastAsia="宋体" w:hint="default"/>
          <w:sz w:val="16"/>
          <w:szCs w:val="16"/>
        </w:rPr>
        <w:t>100.00%</w:t>
        <w:tab/>
      </w:r>
      <w:r>
        <w:rPr>
          <w:rFonts w:ascii="宋体" w:hAnsi="宋体" w:cs="宋体" w:eastAsia="宋体" w:hint="default"/>
          <w:w w:val="95"/>
          <w:sz w:val="16"/>
          <w:szCs w:val="16"/>
        </w:rPr>
        <w:t>广东惠州</w:t>
        <w:tab/>
        <w:t>水务项目投资、建设、运营</w:t>
        <w:tab/>
      </w:r>
      <w:r>
        <w:rPr>
          <w:rFonts w:ascii="宋体" w:hAnsi="宋体" w:cs="宋体" w:eastAsia="宋体" w:hint="default"/>
          <w:sz w:val="16"/>
          <w:szCs w:val="16"/>
        </w:rPr>
        <w:t>是</w:t>
      </w:r>
    </w:p>
    <w:p>
      <w:pPr>
        <w:spacing w:line="240" w:lineRule="auto" w:before="8"/>
        <w:rPr>
          <w:rFonts w:ascii="宋体" w:hAnsi="宋体" w:cs="宋体" w:eastAsia="宋体" w:hint="default"/>
          <w:sz w:val="4"/>
          <w:szCs w:val="4"/>
        </w:rPr>
      </w:pPr>
    </w:p>
    <w:p>
      <w:pPr>
        <w:spacing w:line="30" w:lineRule="exact"/>
        <w:ind w:left="104" w:right="0" w:firstLine="0"/>
        <w:rPr>
          <w:rFonts w:ascii="宋体" w:hAnsi="宋体" w:cs="宋体" w:eastAsia="宋体" w:hint="default"/>
          <w:sz w:val="3"/>
          <w:szCs w:val="3"/>
        </w:rPr>
      </w:pPr>
      <w:r>
        <w:rPr>
          <w:rFonts w:ascii="宋体" w:hAnsi="宋体" w:cs="宋体" w:eastAsia="宋体" w:hint="default"/>
          <w:position w:val="0"/>
          <w:sz w:val="3"/>
          <w:szCs w:val="3"/>
        </w:rPr>
        <w:pict>
          <v:group style="width:556.65pt;height:1.5pt;mso-position-horizontal-relative:char;mso-position-vertical-relative:line" coordorigin="0,0" coordsize="11133,30">
            <v:group style="position:absolute;left:15;top:15;width:3671;height:2" coordorigin="15,15" coordsize="3671,2">
              <v:shape style="position:absolute;left:15;top:15;width:3671;height:2" coordorigin="15,15" coordsize="3671,0" path="m15,15l3686,15e" filled="false" stroked="true" strokeweight="1.5pt" strokecolor="#000000">
                <v:path arrowok="t"/>
              </v:shape>
            </v:group>
            <v:group style="position:absolute;left:3671;top:15;width:454;height:2" coordorigin="3671,15" coordsize="454,2">
              <v:shape style="position:absolute;left:3671;top:15;width:454;height:2" coordorigin="3671,15" coordsize="454,0" path="m3671,15l4125,15e" filled="false" stroked="true" strokeweight="1.5pt" strokecolor="#000000">
                <v:path arrowok="t"/>
              </v:shape>
            </v:group>
            <v:group style="position:absolute;left:4111;top:15;width:1208;height:2" coordorigin="4111,15" coordsize="1208,2">
              <v:shape style="position:absolute;left:4111;top:15;width:1208;height:2" coordorigin="4111,15" coordsize="1208,0" path="m4111,15l5318,15e" filled="false" stroked="true" strokeweight="1.5pt" strokecolor="#000000">
                <v:path arrowok="t"/>
              </v:shape>
            </v:group>
            <v:group style="position:absolute;left:5303;top:15;width:722;height:2" coordorigin="5303,15" coordsize="722,2">
              <v:shape style="position:absolute;left:5303;top:15;width:722;height:2" coordorigin="5303,15" coordsize="722,0" path="m5303,15l6025,15e" filled="false" stroked="true" strokeweight="1.5pt" strokecolor="#000000">
                <v:path arrowok="t"/>
              </v:shape>
            </v:group>
            <v:group style="position:absolute;left:6010;top:15;width:963;height:2" coordorigin="6010,15" coordsize="963,2">
              <v:shape style="position:absolute;left:6010;top:15;width:963;height:2" coordorigin="6010,15" coordsize="963,0" path="m6010,15l6973,15e" filled="false" stroked="true" strokeweight="1.5pt" strokecolor="#000000">
                <v:path arrowok="t"/>
              </v:shape>
            </v:group>
            <v:group style="position:absolute;left:6958;top:15;width:30;height:2" coordorigin="6958,15" coordsize="30,2">
              <v:shape style="position:absolute;left:6958;top:15;width:30;height:2" coordorigin="6958,15" coordsize="30,0" path="m6958,15l6988,15e" filled="false" stroked="true" strokeweight="1.5pt" strokecolor="#000000">
                <v:path arrowok="t"/>
              </v:shape>
            </v:group>
            <v:group style="position:absolute;left:6988;top:15;width:3842;height:2" coordorigin="6988,15" coordsize="3842,2">
              <v:shape style="position:absolute;left:6988;top:15;width:3842;height:2" coordorigin="6988,15" coordsize="3842,0" path="m6988,15l10829,15e" filled="false" stroked="true" strokeweight="1.5pt" strokecolor="#000000">
                <v:path arrowok="t"/>
              </v:shape>
            </v:group>
            <v:group style="position:absolute;left:10815;top:15;width:303;height:2" coordorigin="10815,15" coordsize="303,2">
              <v:shape style="position:absolute;left:10815;top:15;width:303;height:2" coordorigin="10815,15" coordsize="303,0" path="m10815,15l1111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before="31"/>
        <w:ind w:left="1518" w:right="1394" w:firstLine="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24"/>
          <w:sz w:val="22"/>
          <w:szCs w:val="22"/>
        </w:rPr>
        <w:t> </w:t>
      </w:r>
      <w:r>
        <w:rPr>
          <w:rFonts w:ascii="宋体" w:hAnsi="宋体" w:cs="宋体" w:eastAsia="宋体" w:hint="default"/>
          <w:sz w:val="22"/>
          <w:szCs w:val="22"/>
        </w:rPr>
        <w:t>合并范围的变动</w:t>
      </w:r>
    </w:p>
    <w:p>
      <w:pPr>
        <w:spacing w:before="180"/>
        <w:ind w:left="1531" w:right="13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宋体" w:hAnsi="宋体" w:cs="宋体" w:eastAsia="宋体" w:hint="default"/>
          <w:sz w:val="22"/>
          <w:szCs w:val="22"/>
        </w:rPr>
        <w:t>报告期新纳入合并范围的子公司情况</w:t>
      </w:r>
    </w:p>
    <w:p>
      <w:pPr>
        <w:spacing w:line="240" w:lineRule="auto" w:before="11"/>
        <w:rPr>
          <w:rFonts w:ascii="宋体" w:hAnsi="宋体" w:cs="宋体" w:eastAsia="宋体" w:hint="default"/>
          <w:sz w:val="13"/>
          <w:szCs w:val="13"/>
        </w:rPr>
      </w:pPr>
    </w:p>
    <w:p>
      <w:pPr>
        <w:tabs>
          <w:tab w:pos="8856" w:val="left" w:leader="none"/>
        </w:tabs>
        <w:spacing w:before="44"/>
        <w:ind w:left="7426" w:right="1394" w:firstLine="0"/>
        <w:jc w:val="left"/>
        <w:rPr>
          <w:rFonts w:ascii="宋体" w:hAnsi="宋体" w:cs="宋体" w:eastAsia="宋体" w:hint="default"/>
          <w:sz w:val="18"/>
          <w:szCs w:val="18"/>
        </w:rPr>
      </w:pPr>
      <w:r>
        <w:rPr/>
        <w:pict>
          <v:shape style="position:absolute;margin-left:84.779999pt;margin-top:-1.006992pt;width:432pt;height:66.1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0"/>
                    <w:gridCol w:w="1819"/>
                    <w:gridCol w:w="933"/>
                    <w:gridCol w:w="1499"/>
                    <w:gridCol w:w="1379"/>
                  </w:tblGrid>
                  <w:tr>
                    <w:trPr>
                      <w:trHeight w:val="200" w:hRule="exact"/>
                    </w:trPr>
                    <w:tc>
                      <w:tcPr>
                        <w:tcW w:w="4829" w:type="dxa"/>
                        <w:gridSpan w:val="2"/>
                        <w:tcBorders>
                          <w:top w:val="single" w:sz="12" w:space="0" w:color="000000"/>
                          <w:left w:val="nil" w:sz="6" w:space="0" w:color="auto"/>
                          <w:bottom w:val="nil" w:sz="6" w:space="0" w:color="auto"/>
                          <w:right w:val="nil" w:sz="6" w:space="0" w:color="auto"/>
                        </w:tcBorders>
                      </w:tcPr>
                      <w:p>
                        <w:pPr>
                          <w:pStyle w:val="TableParagraph"/>
                          <w:tabs>
                            <w:tab w:pos="3029" w:val="left" w:leader="none"/>
                          </w:tabs>
                          <w:spacing w:line="225" w:lineRule="exact"/>
                          <w:ind w:left="108"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公司名称</w:t>
                          <w:tab/>
                        </w:r>
                        <w:r>
                          <w:rPr>
                            <w:rFonts w:ascii="宋体" w:hAnsi="宋体" w:cs="宋体" w:eastAsia="宋体" w:hint="default"/>
                            <w:b/>
                            <w:bCs/>
                            <w:sz w:val="18"/>
                            <w:szCs w:val="18"/>
                          </w:rPr>
                          <w:t>新纳入合并范围的原</w:t>
                        </w:r>
                        <w:r>
                          <w:rPr>
                            <w:rFonts w:ascii="宋体" w:hAnsi="宋体" w:cs="宋体" w:eastAsia="宋体" w:hint="default"/>
                            <w:sz w:val="18"/>
                            <w:szCs w:val="18"/>
                          </w:rPr>
                        </w:r>
                      </w:p>
                    </w:tc>
                    <w:tc>
                      <w:tcPr>
                        <w:tcW w:w="3811" w:type="dxa"/>
                        <w:gridSpan w:val="3"/>
                        <w:tcBorders>
                          <w:top w:val="single" w:sz="12" w:space="0" w:color="000000"/>
                          <w:left w:val="nil" w:sz="6" w:space="0" w:color="auto"/>
                          <w:bottom w:val="nil" w:sz="6" w:space="0" w:color="auto"/>
                          <w:right w:val="nil" w:sz="6" w:space="0" w:color="auto"/>
                        </w:tcBorders>
                      </w:tcPr>
                      <w:p>
                        <w:pPr>
                          <w:pStyle w:val="TableParagraph"/>
                          <w:spacing w:line="185" w:lineRule="exact"/>
                          <w:ind w:left="216" w:right="0"/>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tc>
                  </w:tr>
                  <w:tr>
                    <w:trPr>
                      <w:trHeight w:val="219" w:hRule="exact"/>
                    </w:trPr>
                    <w:tc>
                      <w:tcPr>
                        <w:tcW w:w="3010" w:type="dxa"/>
                        <w:tcBorders>
                          <w:top w:val="nil" w:sz="6" w:space="0" w:color="auto"/>
                          <w:left w:val="nil" w:sz="6" w:space="0" w:color="auto"/>
                          <w:bottom w:val="single" w:sz="4" w:space="0" w:color="000000"/>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180" w:lineRule="exact"/>
                          <w:ind w:right="153"/>
                          <w:jc w:val="center"/>
                          <w:rPr>
                            <w:rFonts w:ascii="宋体" w:hAnsi="宋体" w:cs="宋体" w:eastAsia="宋体" w:hint="default"/>
                            <w:sz w:val="18"/>
                            <w:szCs w:val="18"/>
                          </w:rPr>
                        </w:pPr>
                        <w:r>
                          <w:rPr>
                            <w:rFonts w:ascii="宋体" w:hAnsi="宋体" w:cs="宋体" w:eastAsia="宋体" w:hint="default"/>
                            <w:b/>
                            <w:bCs/>
                            <w:w w:val="99"/>
                            <w:sz w:val="18"/>
                            <w:szCs w:val="18"/>
                          </w:rPr>
                          <w:t>因</w:t>
                        </w:r>
                        <w:r>
                          <w:rPr>
                            <w:rFonts w:ascii="宋体" w:hAnsi="宋体" w:cs="宋体" w:eastAsia="宋体" w:hint="default"/>
                            <w:sz w:val="18"/>
                            <w:szCs w:val="18"/>
                          </w:rPr>
                        </w:r>
                      </w:p>
                    </w:tc>
                    <w:tc>
                      <w:tcPr>
                        <w:tcW w:w="933" w:type="dxa"/>
                        <w:tcBorders>
                          <w:top w:val="nil" w:sz="6" w:space="0" w:color="auto"/>
                          <w:left w:val="nil" w:sz="6" w:space="0" w:color="auto"/>
                          <w:bottom w:val="single" w:sz="4" w:space="0" w:color="000000"/>
                          <w:right w:val="nil" w:sz="6" w:space="0" w:color="auto"/>
                        </w:tcBorders>
                      </w:tcPr>
                      <w:p>
                        <w:pPr>
                          <w:pStyle w:val="TableParagraph"/>
                          <w:spacing w:line="180" w:lineRule="exact"/>
                          <w:ind w:left="40"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499" w:type="dxa"/>
                        <w:tcBorders>
                          <w:top w:val="nil" w:sz="6" w:space="0" w:color="auto"/>
                          <w:left w:val="nil" w:sz="6" w:space="0" w:color="auto"/>
                          <w:bottom w:val="single" w:sz="4" w:space="0" w:color="000000"/>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
                    </w:tc>
                  </w:tr>
                  <w:tr>
                    <w:trPr>
                      <w:trHeight w:val="284" w:hRule="exact"/>
                    </w:trPr>
                    <w:tc>
                      <w:tcPr>
                        <w:tcW w:w="3010"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p>
                    </w:tc>
                    <w:tc>
                      <w:tcPr>
                        <w:tcW w:w="1819" w:type="dxa"/>
                        <w:tcBorders>
                          <w:top w:val="single" w:sz="4" w:space="0" w:color="000000"/>
                          <w:left w:val="nil" w:sz="6" w:space="0" w:color="auto"/>
                          <w:bottom w:val="nil" w:sz="6" w:space="0" w:color="auto"/>
                          <w:right w:val="nil" w:sz="6" w:space="0" w:color="auto"/>
                        </w:tcBorders>
                      </w:tcPr>
                      <w:p>
                        <w:pPr>
                          <w:pStyle w:val="TableParagraph"/>
                          <w:spacing w:line="227" w:lineRule="exact"/>
                          <w:ind w:right="152"/>
                          <w:jc w:val="center"/>
                          <w:rPr>
                            <w:rFonts w:ascii="宋体" w:hAnsi="宋体" w:cs="宋体" w:eastAsia="宋体" w:hint="default"/>
                            <w:sz w:val="18"/>
                            <w:szCs w:val="18"/>
                          </w:rPr>
                        </w:pPr>
                        <w:r>
                          <w:rPr>
                            <w:rFonts w:ascii="宋体" w:hAnsi="宋体" w:cs="宋体" w:eastAsia="宋体" w:hint="default"/>
                            <w:sz w:val="18"/>
                            <w:szCs w:val="18"/>
                          </w:rPr>
                          <w:t>企业合并</w:t>
                        </w:r>
                      </w:p>
                    </w:tc>
                    <w:tc>
                      <w:tcPr>
                        <w:tcW w:w="933" w:type="dxa"/>
                        <w:tcBorders>
                          <w:top w:val="single" w:sz="4" w:space="0" w:color="000000"/>
                          <w:left w:val="nil" w:sz="6" w:space="0" w:color="auto"/>
                          <w:bottom w:val="nil" w:sz="6" w:space="0" w:color="auto"/>
                          <w:right w:val="nil" w:sz="6" w:space="0" w:color="auto"/>
                        </w:tcBorders>
                      </w:tcPr>
                      <w:p>
                        <w:pPr>
                          <w:pStyle w:val="TableParagraph"/>
                          <w:spacing w:line="227" w:lineRule="exact"/>
                          <w:ind w:left="42" w:right="0"/>
                          <w:jc w:val="center"/>
                          <w:rPr>
                            <w:rFonts w:ascii="宋体" w:hAnsi="宋体" w:cs="宋体" w:eastAsia="宋体" w:hint="default"/>
                            <w:sz w:val="18"/>
                            <w:szCs w:val="18"/>
                          </w:rPr>
                        </w:pPr>
                        <w:r>
                          <w:rPr>
                            <w:rFonts w:ascii="宋体"/>
                            <w:sz w:val="18"/>
                          </w:rPr>
                          <w:t>25.00%</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433,742,276.66</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14,892,592.95</w:t>
                        </w:r>
                      </w:p>
                    </w:tc>
                  </w:tr>
                  <w:tr>
                    <w:trPr>
                      <w:trHeight w:val="28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南通同方半导体有限公司</w:t>
                        </w:r>
                      </w:p>
                    </w:tc>
                    <w:tc>
                      <w:tcPr>
                        <w:tcW w:w="1819"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center"/>
                          <w:rPr>
                            <w:rFonts w:ascii="宋体" w:hAnsi="宋体" w:cs="宋体" w:eastAsia="宋体" w:hint="default"/>
                            <w:sz w:val="18"/>
                            <w:szCs w:val="18"/>
                          </w:rPr>
                        </w:pPr>
                        <w:r>
                          <w:rPr>
                            <w:rFonts w:ascii="宋体" w:hAnsi="宋体" w:cs="宋体" w:eastAsia="宋体" w:hint="default"/>
                            <w:sz w:val="18"/>
                            <w:szCs w:val="18"/>
                          </w:rPr>
                          <w:t>新投资设立</w:t>
                        </w:r>
                      </w:p>
                    </w:tc>
                    <w:tc>
                      <w:tcPr>
                        <w:tcW w:w="933" w:type="dxa"/>
                        <w:tcBorders>
                          <w:top w:val="nil" w:sz="6" w:space="0" w:color="auto"/>
                          <w:left w:val="nil" w:sz="6" w:space="0" w:color="auto"/>
                          <w:bottom w:val="nil" w:sz="6" w:space="0" w:color="auto"/>
                          <w:right w:val="nil" w:sz="6" w:space="0" w:color="auto"/>
                        </w:tcBorders>
                      </w:tcPr>
                      <w:p>
                        <w:pPr>
                          <w:pStyle w:val="TableParagraph"/>
                          <w:spacing w:line="232" w:lineRule="exact"/>
                          <w:ind w:left="41" w:right="0"/>
                          <w:jc w:val="center"/>
                          <w:rPr>
                            <w:rFonts w:ascii="宋体" w:hAnsi="宋体" w:cs="宋体" w:eastAsia="宋体" w:hint="default"/>
                            <w:sz w:val="18"/>
                            <w:szCs w:val="18"/>
                          </w:rPr>
                        </w:pPr>
                        <w:r>
                          <w:rPr>
                            <w:rFonts w:ascii="宋体"/>
                            <w:sz w:val="18"/>
                          </w:rPr>
                          <w:t>100.00%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500,000,000.00</w:t>
                        </w:r>
                      </w:p>
                    </w:tc>
                    <w:tc>
                      <w:tcPr>
                        <w:tcW w:w="13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3010"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南通同方科技园有限公司</w:t>
                        </w:r>
                      </w:p>
                    </w:tc>
                    <w:tc>
                      <w:tcPr>
                        <w:tcW w:w="1819" w:type="dxa"/>
                        <w:tcBorders>
                          <w:top w:val="nil" w:sz="6" w:space="0" w:color="auto"/>
                          <w:left w:val="nil" w:sz="6" w:space="0" w:color="auto"/>
                          <w:bottom w:val="single" w:sz="12" w:space="0" w:color="000000"/>
                          <w:right w:val="nil" w:sz="6" w:space="0" w:color="auto"/>
                        </w:tcBorders>
                      </w:tcPr>
                      <w:p>
                        <w:pPr>
                          <w:pStyle w:val="TableParagraph"/>
                          <w:spacing w:line="232" w:lineRule="exact"/>
                          <w:ind w:right="152"/>
                          <w:jc w:val="center"/>
                          <w:rPr>
                            <w:rFonts w:ascii="宋体" w:hAnsi="宋体" w:cs="宋体" w:eastAsia="宋体" w:hint="default"/>
                            <w:sz w:val="18"/>
                            <w:szCs w:val="18"/>
                          </w:rPr>
                        </w:pPr>
                        <w:r>
                          <w:rPr>
                            <w:rFonts w:ascii="宋体" w:hAnsi="宋体" w:cs="宋体" w:eastAsia="宋体" w:hint="default"/>
                            <w:sz w:val="18"/>
                            <w:szCs w:val="18"/>
                          </w:rPr>
                          <w:t>新投资设立</w:t>
                        </w:r>
                      </w:p>
                    </w:tc>
                    <w:tc>
                      <w:tcPr>
                        <w:tcW w:w="933" w:type="dxa"/>
                        <w:tcBorders>
                          <w:top w:val="nil" w:sz="6" w:space="0" w:color="auto"/>
                          <w:left w:val="nil" w:sz="6" w:space="0" w:color="auto"/>
                          <w:bottom w:val="single" w:sz="12" w:space="0" w:color="000000"/>
                          <w:right w:val="nil" w:sz="6" w:space="0" w:color="auto"/>
                        </w:tcBorders>
                      </w:tcPr>
                      <w:p>
                        <w:pPr>
                          <w:pStyle w:val="TableParagraph"/>
                          <w:spacing w:line="232" w:lineRule="exact"/>
                          <w:ind w:left="41" w:right="0"/>
                          <w:jc w:val="center"/>
                          <w:rPr>
                            <w:rFonts w:ascii="宋体" w:hAnsi="宋体" w:cs="宋体" w:eastAsia="宋体" w:hint="default"/>
                            <w:sz w:val="18"/>
                            <w:szCs w:val="18"/>
                          </w:rPr>
                        </w:pPr>
                        <w:r>
                          <w:rPr>
                            <w:rFonts w:ascii="宋体"/>
                            <w:sz w:val="18"/>
                          </w:rPr>
                          <w:t>100.00%</w:t>
                        </w:r>
                      </w:p>
                    </w:tc>
                    <w:tc>
                      <w:tcPr>
                        <w:tcW w:w="1499" w:type="dxa"/>
                        <w:tcBorders>
                          <w:top w:val="nil" w:sz="6" w:space="0" w:color="auto"/>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199,161,506.35</w:t>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-838,493.65</w:t>
                        </w:r>
                      </w:p>
                    </w:tc>
                  </w:tr>
                </w:tbl>
                <w:p>
                  <w:pPr/>
                </w:p>
              </w:txbxContent>
            </v:textbox>
            <w10:wrap type="none"/>
          </v:shape>
        </w:pict>
      </w:r>
      <w:r>
        <w:rPr>
          <w:rFonts w:ascii="宋体" w:hAnsi="宋体" w:cs="宋体" w:eastAsia="宋体" w:hint="default"/>
          <w:b/>
          <w:bCs/>
          <w:w w:val="95"/>
          <w:sz w:val="18"/>
          <w:szCs w:val="18"/>
        </w:rPr>
        <w:t>年末净资产</w:t>
        <w:tab/>
      </w:r>
      <w:r>
        <w:rPr>
          <w:rFonts w:ascii="宋体" w:hAnsi="宋体" w:cs="宋体" w:eastAsia="宋体" w:hint="default"/>
          <w:b/>
          <w:bCs/>
          <w:sz w:val="18"/>
          <w:szCs w:val="18"/>
        </w:rPr>
        <w:t>本年净利润</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spacing w:before="31"/>
        <w:ind w:left="1532" w:right="13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报告期内不再纳入合并范围的子公司情况</w:t>
      </w:r>
    </w:p>
    <w:p>
      <w:pPr>
        <w:spacing w:line="324" w:lineRule="auto" w:before="163"/>
        <w:ind w:left="1078" w:right="952" w:firstLine="440"/>
        <w:jc w:val="both"/>
        <w:rPr>
          <w:rFonts w:ascii="宋体" w:hAnsi="宋体" w:cs="宋体" w:eastAsia="宋体" w:hint="default"/>
          <w:sz w:val="22"/>
          <w:szCs w:val="22"/>
        </w:rPr>
      </w:pPr>
      <w:r>
        <w:rPr>
          <w:rFonts w:ascii="宋体" w:hAnsi="宋体" w:cs="宋体" w:eastAsia="宋体" w:hint="default"/>
          <w:sz w:val="22"/>
          <w:szCs w:val="22"/>
        </w:rPr>
        <w:t>公司于</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日出售所持有的原全资子公司北京同方电子商务有限公司</w:t>
      </w:r>
      <w:r>
        <w:rPr>
          <w:rFonts w:ascii="宋体" w:hAnsi="宋体" w:cs="宋体" w:eastAsia="宋体" w:hint="default"/>
          <w:spacing w:val="-57"/>
          <w:sz w:val="22"/>
          <w:szCs w:val="22"/>
        </w:rPr>
        <w:t> </w:t>
      </w:r>
      <w:r>
        <w:rPr>
          <w:rFonts w:ascii="宋体" w:hAnsi="宋体" w:cs="宋体" w:eastAsia="宋体" w:hint="default"/>
          <w:sz w:val="22"/>
          <w:szCs w:val="22"/>
        </w:rPr>
        <w:t>84%的股权，</w:t>
      </w:r>
      <w:r>
        <w:rPr>
          <w:rFonts w:ascii="宋体" w:hAnsi="宋体" w:cs="宋体" w:eastAsia="宋体" w:hint="default"/>
          <w:w w:val="99"/>
          <w:sz w:val="22"/>
          <w:szCs w:val="22"/>
        </w:rPr>
        <w:t> </w:t>
      </w:r>
      <w:r>
        <w:rPr>
          <w:rFonts w:ascii="宋体" w:hAnsi="宋体" w:cs="宋体" w:eastAsia="宋体" w:hint="default"/>
          <w:sz w:val="22"/>
          <w:szCs w:val="22"/>
        </w:rPr>
        <w:t>出售股权后公司拥有其</w:t>
      </w:r>
      <w:r>
        <w:rPr>
          <w:rFonts w:ascii="宋体" w:hAnsi="宋体" w:cs="宋体" w:eastAsia="宋体" w:hint="default"/>
          <w:spacing w:val="-60"/>
          <w:sz w:val="22"/>
          <w:szCs w:val="22"/>
        </w:rPr>
        <w:t> </w:t>
      </w:r>
      <w:r>
        <w:rPr>
          <w:rFonts w:ascii="宋体" w:hAnsi="宋体" w:cs="宋体" w:eastAsia="宋体" w:hint="default"/>
          <w:spacing w:val="-3"/>
          <w:sz w:val="22"/>
          <w:szCs w:val="22"/>
        </w:rPr>
        <w:t>16%的权益，对其不再拥有控制权。故本报告期末不再合并其资产负债表，</w:t>
      </w:r>
      <w:r>
        <w:rPr>
          <w:rFonts w:ascii="宋体" w:hAnsi="宋体" w:cs="宋体" w:eastAsia="宋体" w:hint="default"/>
          <w:w w:val="99"/>
          <w:sz w:val="22"/>
          <w:szCs w:val="22"/>
        </w:rPr>
        <w:t> </w:t>
      </w:r>
      <w:r>
        <w:rPr>
          <w:rFonts w:ascii="宋体" w:hAnsi="宋体" w:cs="宋体" w:eastAsia="宋体" w:hint="default"/>
          <w:spacing w:val="13"/>
          <w:sz w:val="22"/>
          <w:szCs w:val="22"/>
        </w:rPr>
        <w:t>仅合并其 </w:t>
      </w:r>
      <w:r>
        <w:rPr>
          <w:rFonts w:ascii="宋体" w:hAnsi="宋体" w:cs="宋体" w:eastAsia="宋体" w:hint="default"/>
          <w:sz w:val="22"/>
          <w:szCs w:val="22"/>
        </w:rPr>
        <w:t>2010 年 1 月 1</w:t>
      </w:r>
      <w:r>
        <w:rPr>
          <w:rFonts w:ascii="宋体" w:hAnsi="宋体" w:cs="宋体" w:eastAsia="宋体" w:hint="default"/>
          <w:spacing w:val="82"/>
          <w:sz w:val="22"/>
          <w:szCs w:val="22"/>
        </w:rPr>
        <w:t> </w:t>
      </w:r>
      <w:r>
        <w:rPr>
          <w:rFonts w:ascii="宋体" w:hAnsi="宋体" w:cs="宋体" w:eastAsia="宋体" w:hint="default"/>
          <w:spacing w:val="18"/>
          <w:sz w:val="22"/>
          <w:szCs w:val="22"/>
        </w:rPr>
        <w:t>日至股权处置日的净利润和现金流量。股权处置日的净资产为</w:t>
      </w:r>
      <w:r>
        <w:rPr>
          <w:rFonts w:ascii="宋体" w:hAnsi="宋体" w:cs="宋体" w:eastAsia="宋体" w:hint="default"/>
          <w:sz w:val="22"/>
          <w:szCs w:val="22"/>
        </w:rPr>
      </w:r>
    </w:p>
    <w:p>
      <w:pPr>
        <w:spacing w:before="25"/>
        <w:ind w:left="1078" w:right="0" w:firstLine="0"/>
        <w:jc w:val="both"/>
        <w:rPr>
          <w:rFonts w:ascii="宋体" w:hAnsi="宋体" w:cs="宋体" w:eastAsia="宋体" w:hint="default"/>
          <w:sz w:val="22"/>
          <w:szCs w:val="22"/>
        </w:rPr>
      </w:pPr>
      <w:r>
        <w:rPr>
          <w:rFonts w:ascii="宋体" w:hAnsi="宋体" w:cs="宋体" w:eastAsia="宋体" w:hint="default"/>
          <w:sz w:val="22"/>
          <w:szCs w:val="22"/>
        </w:rPr>
        <w:t>173,571,219.94</w:t>
      </w:r>
      <w:r>
        <w:rPr>
          <w:rFonts w:ascii="宋体" w:hAnsi="宋体" w:cs="宋体" w:eastAsia="宋体" w:hint="default"/>
          <w:spacing w:val="-57"/>
          <w:sz w:val="22"/>
          <w:szCs w:val="22"/>
        </w:rPr>
        <w:t> </w:t>
      </w:r>
      <w:r>
        <w:rPr>
          <w:rFonts w:ascii="宋体" w:hAnsi="宋体" w:cs="宋体" w:eastAsia="宋体" w:hint="default"/>
          <w:sz w:val="22"/>
          <w:szCs w:val="22"/>
        </w:rPr>
        <w:t>元，2010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日至股权处置日的净利润为</w:t>
      </w:r>
      <w:r>
        <w:rPr>
          <w:rFonts w:ascii="宋体" w:hAnsi="宋体" w:cs="宋体" w:eastAsia="宋体" w:hint="default"/>
          <w:spacing w:val="-57"/>
          <w:sz w:val="22"/>
          <w:szCs w:val="22"/>
        </w:rPr>
        <w:t> </w:t>
      </w:r>
      <w:r>
        <w:rPr>
          <w:rFonts w:ascii="宋体" w:hAnsi="宋体" w:cs="宋体" w:eastAsia="宋体" w:hint="default"/>
          <w:sz w:val="22"/>
          <w:szCs w:val="22"/>
        </w:rPr>
        <w:t>25,784,411.07</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324" w:lineRule="auto" w:before="180"/>
        <w:ind w:left="1078" w:right="1062" w:firstLine="440"/>
        <w:jc w:val="both"/>
        <w:rPr>
          <w:rFonts w:ascii="宋体" w:hAnsi="宋体" w:cs="宋体" w:eastAsia="宋体" w:hint="default"/>
          <w:sz w:val="22"/>
          <w:szCs w:val="22"/>
        </w:rPr>
      </w:pPr>
      <w:r>
        <w:rPr>
          <w:rFonts w:ascii="宋体" w:hAnsi="宋体" w:cs="宋体" w:eastAsia="宋体" w:hint="default"/>
          <w:sz w:val="22"/>
          <w:szCs w:val="22"/>
        </w:rPr>
        <w:t>公司于</w:t>
      </w:r>
      <w:r>
        <w:rPr>
          <w:rFonts w:ascii="宋体" w:hAnsi="宋体" w:cs="宋体" w:eastAsia="宋体" w:hint="default"/>
          <w:spacing w:val="-72"/>
          <w:sz w:val="22"/>
          <w:szCs w:val="22"/>
        </w:rPr>
        <w:t> </w:t>
      </w:r>
      <w:r>
        <w:rPr>
          <w:rFonts w:ascii="宋体" w:hAnsi="宋体" w:cs="宋体" w:eastAsia="宋体" w:hint="default"/>
          <w:sz w:val="22"/>
          <w:szCs w:val="22"/>
        </w:rPr>
        <w:t>2010</w:t>
      </w:r>
      <w:r>
        <w:rPr>
          <w:rFonts w:ascii="宋体" w:hAnsi="宋体" w:cs="宋体" w:eastAsia="宋体" w:hint="default"/>
          <w:spacing w:val="-72"/>
          <w:sz w:val="22"/>
          <w:szCs w:val="22"/>
        </w:rPr>
        <w:t> </w:t>
      </w:r>
      <w:r>
        <w:rPr>
          <w:rFonts w:ascii="宋体" w:hAnsi="宋体" w:cs="宋体" w:eastAsia="宋体" w:hint="default"/>
          <w:sz w:val="22"/>
          <w:szCs w:val="22"/>
        </w:rPr>
        <w:t>年</w:t>
      </w:r>
      <w:r>
        <w:rPr>
          <w:rFonts w:ascii="宋体" w:hAnsi="宋体" w:cs="宋体" w:eastAsia="宋体" w:hint="default"/>
          <w:spacing w:val="-72"/>
          <w:sz w:val="22"/>
          <w:szCs w:val="22"/>
        </w:rPr>
        <w:t> </w:t>
      </w:r>
      <w:r>
        <w:rPr>
          <w:rFonts w:ascii="宋体" w:hAnsi="宋体" w:cs="宋体" w:eastAsia="宋体" w:hint="default"/>
          <w:sz w:val="22"/>
          <w:szCs w:val="22"/>
        </w:rPr>
        <w:t>7</w:t>
      </w:r>
      <w:r>
        <w:rPr>
          <w:rFonts w:ascii="宋体" w:hAnsi="宋体" w:cs="宋体" w:eastAsia="宋体" w:hint="default"/>
          <w:spacing w:val="-71"/>
          <w:sz w:val="22"/>
          <w:szCs w:val="22"/>
        </w:rPr>
        <w:t> </w:t>
      </w:r>
      <w:r>
        <w:rPr>
          <w:rFonts w:ascii="宋体" w:hAnsi="宋体" w:cs="宋体" w:eastAsia="宋体" w:hint="default"/>
          <w:sz w:val="22"/>
          <w:szCs w:val="22"/>
        </w:rPr>
        <w:t>月</w:t>
      </w:r>
      <w:r>
        <w:rPr>
          <w:rFonts w:ascii="宋体" w:hAnsi="宋体" w:cs="宋体" w:eastAsia="宋体" w:hint="default"/>
          <w:spacing w:val="-72"/>
          <w:sz w:val="22"/>
          <w:szCs w:val="22"/>
        </w:rPr>
        <w:t> </w:t>
      </w:r>
      <w:r>
        <w:rPr>
          <w:rFonts w:ascii="宋体" w:hAnsi="宋体" w:cs="宋体" w:eastAsia="宋体" w:hint="default"/>
          <w:sz w:val="22"/>
          <w:szCs w:val="22"/>
        </w:rPr>
        <w:t>23</w:t>
      </w:r>
      <w:r>
        <w:rPr>
          <w:rFonts w:ascii="宋体" w:hAnsi="宋体" w:cs="宋体" w:eastAsia="宋体" w:hint="default"/>
          <w:spacing w:val="-71"/>
          <w:sz w:val="22"/>
          <w:szCs w:val="22"/>
        </w:rPr>
        <w:t> </w:t>
      </w:r>
      <w:r>
        <w:rPr>
          <w:rFonts w:ascii="宋体" w:hAnsi="宋体" w:cs="宋体" w:eastAsia="宋体" w:hint="default"/>
          <w:sz w:val="22"/>
          <w:szCs w:val="22"/>
        </w:rPr>
        <w:t>日以所持有的北京同方信息安全技术股份有限公司</w:t>
      </w:r>
      <w:r>
        <w:rPr>
          <w:rFonts w:ascii="宋体" w:hAnsi="宋体" w:cs="宋体" w:eastAsia="宋体" w:hint="default"/>
          <w:spacing w:val="-72"/>
          <w:sz w:val="22"/>
          <w:szCs w:val="22"/>
        </w:rPr>
        <w:t> </w:t>
      </w:r>
      <w:r>
        <w:rPr>
          <w:rFonts w:ascii="宋体" w:hAnsi="宋体" w:cs="宋体" w:eastAsia="宋体" w:hint="default"/>
          <w:sz w:val="22"/>
          <w:szCs w:val="22"/>
        </w:rPr>
        <w:t>51.79%的股权换取</w:t>
      </w:r>
      <w:r>
        <w:rPr>
          <w:rFonts w:ascii="宋体" w:hAnsi="宋体" w:cs="宋体" w:eastAsia="宋体" w:hint="default"/>
          <w:w w:val="99"/>
          <w:sz w:val="22"/>
          <w:szCs w:val="22"/>
        </w:rPr>
        <w:t> 江苏同方云帆信息科技股份有限公司</w:t>
      </w:r>
      <w:r>
        <w:rPr>
          <w:rFonts w:ascii="宋体" w:hAnsi="宋体" w:cs="宋体" w:eastAsia="宋体" w:hint="default"/>
          <w:spacing w:val="-36"/>
          <w:w w:val="99"/>
          <w:sz w:val="22"/>
          <w:szCs w:val="22"/>
        </w:rPr>
        <w:t> </w:t>
      </w:r>
      <w:r>
        <w:rPr>
          <w:rFonts w:ascii="宋体" w:hAnsi="宋体" w:cs="宋体" w:eastAsia="宋体" w:hint="default"/>
          <w:spacing w:val="-4"/>
          <w:w w:val="99"/>
          <w:sz w:val="22"/>
          <w:szCs w:val="22"/>
        </w:rPr>
        <w:t>16.93%的股权，换股后公司不再享有北京同方信息安全技术</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股份有限公司的权益。故本报告期末不再合并其资产负债表，仅合并其</w:t>
      </w:r>
      <w:r>
        <w:rPr>
          <w:rFonts w:ascii="宋体" w:hAnsi="宋体" w:cs="宋体" w:eastAsia="宋体" w:hint="default"/>
          <w:spacing w:val="-44"/>
          <w:sz w:val="22"/>
          <w:szCs w:val="22"/>
        </w:rPr>
        <w:t> </w:t>
      </w:r>
      <w:r>
        <w:rPr>
          <w:rFonts w:ascii="宋体" w:hAnsi="宋体" w:cs="宋体" w:eastAsia="宋体" w:hint="default"/>
          <w:sz w:val="22"/>
          <w:szCs w:val="22"/>
        </w:rPr>
        <w:t>2010</w:t>
      </w:r>
      <w:r>
        <w:rPr>
          <w:rFonts w:ascii="宋体" w:hAnsi="宋体" w:cs="宋体" w:eastAsia="宋体" w:hint="default"/>
          <w:spacing w:val="-44"/>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4"/>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1</w:t>
      </w:r>
      <w:r>
        <w:rPr>
          <w:rFonts w:ascii="宋体" w:hAnsi="宋体" w:cs="宋体" w:eastAsia="宋体" w:hint="default"/>
          <w:spacing w:val="-44"/>
          <w:sz w:val="22"/>
          <w:szCs w:val="22"/>
        </w:rPr>
        <w:t> </w:t>
      </w:r>
      <w:r>
        <w:rPr>
          <w:rFonts w:ascii="宋体" w:hAnsi="宋体" w:cs="宋体" w:eastAsia="宋体" w:hint="default"/>
          <w:sz w:val="22"/>
          <w:szCs w:val="22"/>
        </w:rPr>
        <w:t>日至股权</w:t>
      </w:r>
    </w:p>
    <w:p>
      <w:pPr>
        <w:spacing w:line="324" w:lineRule="auto" w:before="25"/>
        <w:ind w:left="1078" w:right="1059" w:firstLine="0"/>
        <w:jc w:val="both"/>
        <w:rPr>
          <w:rFonts w:ascii="宋体" w:hAnsi="宋体" w:cs="宋体" w:eastAsia="宋体" w:hint="default"/>
          <w:sz w:val="22"/>
          <w:szCs w:val="22"/>
        </w:rPr>
      </w:pPr>
      <w:r>
        <w:rPr>
          <w:rFonts w:ascii="宋体" w:hAnsi="宋体" w:cs="宋体" w:eastAsia="宋体" w:hint="default"/>
          <w:sz w:val="22"/>
          <w:szCs w:val="22"/>
        </w:rPr>
        <w:t>处置日的净利润和现金流量。股权处置日的净资产为</w:t>
      </w:r>
      <w:r>
        <w:rPr>
          <w:rFonts w:ascii="宋体" w:hAnsi="宋体" w:cs="宋体" w:eastAsia="宋体" w:hint="default"/>
          <w:spacing w:val="-55"/>
          <w:sz w:val="22"/>
          <w:szCs w:val="22"/>
        </w:rPr>
        <w:t> </w:t>
      </w:r>
      <w:r>
        <w:rPr>
          <w:rFonts w:ascii="宋体" w:hAnsi="宋体" w:cs="宋体" w:eastAsia="宋体" w:hint="default"/>
          <w:sz w:val="22"/>
          <w:szCs w:val="22"/>
        </w:rPr>
        <w:t>3,473,321.25</w:t>
      </w:r>
      <w:r>
        <w:rPr>
          <w:rFonts w:ascii="宋体" w:hAnsi="宋体" w:cs="宋体" w:eastAsia="宋体" w:hint="default"/>
          <w:spacing w:val="-55"/>
          <w:sz w:val="22"/>
          <w:szCs w:val="22"/>
        </w:rPr>
        <w:t> </w:t>
      </w:r>
      <w:r>
        <w:rPr>
          <w:rFonts w:ascii="宋体" w:hAnsi="宋体" w:cs="宋体" w:eastAsia="宋体" w:hint="default"/>
          <w:sz w:val="22"/>
          <w:szCs w:val="22"/>
        </w:rPr>
        <w:t>元，2010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日至股权</w:t>
      </w:r>
      <w:r>
        <w:rPr>
          <w:rFonts w:ascii="宋体" w:hAnsi="宋体" w:cs="宋体" w:eastAsia="宋体" w:hint="default"/>
          <w:w w:val="99"/>
          <w:sz w:val="22"/>
          <w:szCs w:val="22"/>
        </w:rPr>
        <w:t> </w:t>
      </w:r>
      <w:r>
        <w:rPr>
          <w:rFonts w:ascii="宋体" w:hAnsi="宋体" w:cs="宋体" w:eastAsia="宋体" w:hint="default"/>
          <w:sz w:val="22"/>
          <w:szCs w:val="22"/>
        </w:rPr>
        <w:t>处置日的净利润为-2,672,551.13</w:t>
      </w:r>
      <w:r>
        <w:rPr>
          <w:rFonts w:ascii="宋体" w:hAnsi="宋体" w:cs="宋体" w:eastAsia="宋体" w:hint="default"/>
          <w:spacing w:val="-51"/>
          <w:sz w:val="22"/>
          <w:szCs w:val="22"/>
        </w:rPr>
        <w:t> </w:t>
      </w:r>
      <w:r>
        <w:rPr>
          <w:rFonts w:ascii="宋体" w:hAnsi="宋体" w:cs="宋体" w:eastAsia="宋体" w:hint="default"/>
          <w:sz w:val="22"/>
          <w:szCs w:val="22"/>
        </w:rPr>
        <w:t>元。截至审计报告出具日，公司对江苏同方云帆信息科技股份</w:t>
      </w:r>
      <w:r>
        <w:rPr>
          <w:rFonts w:ascii="宋体" w:hAnsi="宋体" w:cs="宋体" w:eastAsia="宋体" w:hint="default"/>
          <w:w w:val="99"/>
          <w:sz w:val="22"/>
          <w:szCs w:val="22"/>
        </w:rPr>
        <w:t> </w:t>
      </w:r>
      <w:r>
        <w:rPr>
          <w:rFonts w:ascii="宋体" w:hAnsi="宋体" w:cs="宋体" w:eastAsia="宋体" w:hint="default"/>
          <w:sz w:val="22"/>
          <w:szCs w:val="22"/>
        </w:rPr>
        <w:t>有限公司的持股手续正在办理过程中。</w:t>
      </w:r>
    </w:p>
    <w:p>
      <w:pPr>
        <w:spacing w:before="103"/>
        <w:ind w:left="1518" w:right="1394" w:firstLine="0"/>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25"/>
          <w:sz w:val="22"/>
          <w:szCs w:val="22"/>
        </w:rPr>
        <w:t> </w:t>
      </w:r>
      <w:r>
        <w:rPr>
          <w:rFonts w:ascii="宋体" w:hAnsi="宋体" w:cs="宋体" w:eastAsia="宋体" w:hint="default"/>
          <w:sz w:val="22"/>
          <w:szCs w:val="22"/>
        </w:rPr>
        <w:t>本期企业合并</w:t>
      </w:r>
    </w:p>
    <w:p>
      <w:pPr>
        <w:spacing w:before="180"/>
        <w:ind w:left="1531" w:right="1394"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通过非同一控制下企业合并取得的子公司的情况</w:t>
      </w:r>
    </w:p>
    <w:p>
      <w:pPr>
        <w:spacing w:line="240" w:lineRule="auto" w:before="6"/>
        <w:rPr>
          <w:rFonts w:ascii="宋体" w:hAnsi="宋体" w:cs="宋体" w:eastAsia="宋体" w:hint="default"/>
          <w:sz w:val="12"/>
          <w:szCs w:val="12"/>
        </w:rPr>
      </w:pPr>
    </w:p>
    <w:p>
      <w:pPr>
        <w:spacing w:line="30" w:lineRule="exact"/>
        <w:ind w:left="13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3179" w:val="left" w:leader="none"/>
          <w:tab w:pos="4293" w:val="left" w:leader="none"/>
          <w:tab w:pos="5651" w:val="left" w:leader="none"/>
          <w:tab w:pos="6872" w:val="left" w:leader="none"/>
          <w:tab w:pos="8498" w:val="left" w:leader="none"/>
        </w:tabs>
        <w:spacing w:before="0"/>
        <w:ind w:left="1851" w:right="1394" w:firstLine="0"/>
        <w:jc w:val="left"/>
        <w:rPr>
          <w:rFonts w:ascii="宋体" w:hAnsi="宋体" w:cs="宋体" w:eastAsia="宋体" w:hint="default"/>
          <w:sz w:val="18"/>
          <w:szCs w:val="18"/>
        </w:rPr>
      </w:pPr>
      <w:r>
        <w:rPr/>
        <w:pict>
          <v:group style="position:absolute;margin-left:84.779999pt;margin-top:14.892116pt;width:432pt;height:.1pt;mso-position-horizontal-relative:page;mso-position-vertical-relative:paragraph;z-index:-1048912" coordorigin="1696,298" coordsize="8640,2">
            <v:shape style="position:absolute;left:1696;top:298;width:8640;height:2" coordorigin="1696,298" coordsize="8640,0" path="m1696,298l10336,298e" filled="false" stroked="true" strokeweight=".48pt" strokecolor="#000000">
              <v:path arrowok="t"/>
            </v:shape>
            <w10:wrap type="none"/>
          </v:group>
        </w:pict>
      </w:r>
      <w:r>
        <w:rPr>
          <w:rFonts w:ascii="宋体" w:hAnsi="宋体" w:cs="宋体" w:eastAsia="宋体" w:hint="default"/>
          <w:b/>
          <w:bCs/>
          <w:w w:val="95"/>
          <w:sz w:val="18"/>
          <w:szCs w:val="18"/>
        </w:rPr>
        <w:t>公司名称</w:t>
        <w:tab/>
        <w:t>注册地</w:t>
        <w:tab/>
        <w:t>注册资本</w:t>
        <w:tab/>
        <w:t>投资成本</w:t>
        <w:tab/>
        <w:t>持股比例</w:t>
        <w:tab/>
      </w:r>
      <w:r>
        <w:rPr>
          <w:rFonts w:ascii="宋体" w:hAnsi="宋体" w:cs="宋体" w:eastAsia="宋体" w:hint="default"/>
          <w:b/>
          <w:bCs/>
          <w:sz w:val="18"/>
          <w:szCs w:val="18"/>
        </w:rPr>
        <w:t>经营范围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340" w:right="220"/>
        </w:sectPr>
      </w:pPr>
    </w:p>
    <w:p>
      <w:pPr>
        <w:spacing w:line="168" w:lineRule="exact" w:before="16"/>
        <w:ind w:left="1463" w:right="-20" w:firstLine="0"/>
        <w:jc w:val="left"/>
        <w:rPr>
          <w:rFonts w:ascii="宋体" w:hAnsi="宋体" w:cs="宋体" w:eastAsia="宋体" w:hint="default"/>
          <w:sz w:val="18"/>
          <w:szCs w:val="18"/>
        </w:rPr>
      </w:pPr>
      <w:r>
        <w:rPr>
          <w:rFonts w:ascii="宋体" w:hAnsi="宋体" w:cs="宋体" w:eastAsia="宋体" w:hint="default"/>
          <w:sz w:val="18"/>
          <w:szCs w:val="18"/>
        </w:rPr>
        <w:t>唐山晶源裕丰电子</w:t>
      </w:r>
    </w:p>
    <w:p>
      <w:pPr>
        <w:tabs>
          <w:tab w:pos="3192" w:val="left" w:leader="none"/>
          <w:tab w:pos="4150" w:val="left" w:leader="none"/>
          <w:tab w:pos="7071" w:val="left" w:leader="none"/>
        </w:tabs>
        <w:spacing w:line="268" w:lineRule="exact" w:before="0"/>
        <w:ind w:left="1463" w:right="-20" w:firstLine="0"/>
        <w:jc w:val="left"/>
        <w:rPr>
          <w:rFonts w:ascii="宋体" w:hAnsi="宋体" w:cs="宋体" w:eastAsia="宋体" w:hint="default"/>
          <w:sz w:val="18"/>
          <w:szCs w:val="18"/>
        </w:rPr>
      </w:pPr>
      <w:r>
        <w:rPr>
          <w:rFonts w:ascii="宋体" w:hAnsi="宋体" w:cs="宋体" w:eastAsia="宋体" w:hint="default"/>
          <w:position w:val="-9"/>
          <w:sz w:val="18"/>
          <w:szCs w:val="18"/>
        </w:rPr>
        <w:t>股份有限公司</w:t>
        <w:tab/>
      </w:r>
      <w:r>
        <w:rPr>
          <w:rFonts w:ascii="宋体" w:hAnsi="宋体" w:cs="宋体" w:eastAsia="宋体" w:hint="default"/>
          <w:sz w:val="18"/>
          <w:szCs w:val="18"/>
        </w:rPr>
        <w:t>河北玉田</w:t>
        <w:tab/>
        <w:t>￥13500.00 万</w:t>
      </w:r>
      <w:r>
        <w:rPr>
          <w:rFonts w:ascii="宋体" w:hAnsi="宋体" w:cs="宋体" w:eastAsia="宋体" w:hint="default"/>
          <w:spacing w:val="-27"/>
          <w:sz w:val="18"/>
          <w:szCs w:val="18"/>
        </w:rPr>
        <w:t> </w:t>
      </w:r>
      <w:r>
        <w:rPr>
          <w:rFonts w:ascii="宋体" w:hAnsi="宋体" w:cs="宋体" w:eastAsia="宋体" w:hint="default"/>
          <w:sz w:val="18"/>
          <w:szCs w:val="18"/>
        </w:rPr>
        <w:t>302,575,700.00</w:t>
        <w:tab/>
        <w:t>25.00%</w:t>
      </w:r>
    </w:p>
    <w:p>
      <w:pPr>
        <w:spacing w:line="200" w:lineRule="exact" w:before="66"/>
        <w:ind w:left="175" w:right="15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压电石英晶体器件生产、 销售及相关进出口业务</w:t>
      </w:r>
    </w:p>
    <w:p>
      <w:pPr>
        <w:spacing w:after="0" w:line="200" w:lineRule="exact"/>
        <w:jc w:val="left"/>
        <w:rPr>
          <w:rFonts w:ascii="宋体" w:hAnsi="宋体" w:cs="宋体" w:eastAsia="宋体" w:hint="default"/>
          <w:sz w:val="18"/>
          <w:szCs w:val="18"/>
        </w:rPr>
        <w:sectPr>
          <w:type w:val="continuous"/>
          <w:pgSz w:w="11910" w:h="16840"/>
          <w:pgMar w:top="1600" w:bottom="280" w:left="340" w:right="220"/>
          <w:cols w:num="2" w:equalWidth="0">
            <w:col w:w="7612" w:space="40"/>
            <w:col w:w="3698"/>
          </w:cols>
        </w:sectPr>
      </w:pPr>
    </w:p>
    <w:p>
      <w:pPr>
        <w:spacing w:line="30" w:lineRule="exact"/>
        <w:ind w:left="132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1731;height:2" coordorigin="15,15" coordsize="1731,2">
              <v:shape style="position:absolute;left:15;top:15;width:1731;height:2" coordorigin="15,15" coordsize="1731,0" path="m15,15l1745,15e" filled="false" stroked="true" strokeweight="1.5pt" strokecolor="#000000">
                <v:path arrowok="t"/>
              </v:shape>
            </v:group>
            <v:group style="position:absolute;left:1731;top:15;width:978;height:2" coordorigin="1731,15" coordsize="978,2">
              <v:shape style="position:absolute;left:1731;top:15;width:978;height:2" coordorigin="1731,15" coordsize="978,0" path="m1731,15l2709,15e" filled="false" stroked="true" strokeweight="1.5pt" strokecolor="#000000">
                <v:path arrowok="t"/>
              </v:shape>
            </v:group>
            <v:group style="position:absolute;left:2695;top:15;width:1256;height:2" coordorigin="2695,15" coordsize="1256,2">
              <v:shape style="position:absolute;left:2695;top:15;width:1256;height:2" coordorigin="2695,15" coordsize="1256,0" path="m2695,15l3950,15e" filled="false" stroked="true" strokeweight="1.5pt" strokecolor="#000000">
                <v:path arrowok="t"/>
              </v:shape>
            </v:group>
            <v:group style="position:absolute;left:3935;top:15;width:1491;height:2" coordorigin="3935,15" coordsize="1491,2">
              <v:shape style="position:absolute;left:3935;top:15;width:1491;height:2" coordorigin="3935,15" coordsize="1491,0" path="m3935,15l5426,15e" filled="false" stroked="true" strokeweight="1.5pt" strokecolor="#000000">
                <v:path arrowok="t"/>
              </v:shape>
            </v:group>
            <v:group style="position:absolute;left:5411;top:15;width:982;height:2" coordorigin="5411,15" coordsize="982,2">
              <v:shape style="position:absolute;left:5411;top:15;width:982;height:2" coordorigin="5411,15" coordsize="982,0" path="m5411,15l6393,15e" filled="false" stroked="true" strokeweight="1.5pt" strokecolor="#000000">
                <v:path arrowok="t"/>
              </v:shape>
            </v:group>
            <v:group style="position:absolute;left:6379;top:15;width:2298;height:2" coordorigin="6379,15" coordsize="2298,2">
              <v:shape style="position:absolute;left:6379;top:15;width:2298;height:2" coordorigin="6379,15" coordsize="2298,0" path="m6379,15l8677,15e" filled="false" stroked="true" strokeweight="1.5pt" strokecolor="#000000">
                <v:path arrowok="t"/>
              </v:shape>
            </v:group>
          </v:group>
        </w:pict>
      </w:r>
      <w:r>
        <w:rPr>
          <w:rFonts w:ascii="宋体" w:hAnsi="宋体" w:cs="宋体" w:eastAsia="宋体" w:hint="default"/>
          <w:position w:val="0"/>
          <w:sz w:val="3"/>
          <w:szCs w:val="3"/>
        </w:rPr>
      </w:r>
    </w:p>
    <w:p>
      <w:pPr>
        <w:spacing w:before="94"/>
        <w:ind w:left="1532" w:right="1394"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唐山晶源裕丰电子股份有限公司(本段以下简称“晶源电子”)基本情况</w:t>
      </w:r>
    </w:p>
    <w:p>
      <w:pPr>
        <w:spacing w:before="180"/>
        <w:ind w:left="1518" w:right="0" w:firstLine="0"/>
        <w:jc w:val="left"/>
        <w:rPr>
          <w:rFonts w:ascii="宋体" w:hAnsi="宋体" w:cs="宋体" w:eastAsia="宋体" w:hint="default"/>
          <w:sz w:val="22"/>
          <w:szCs w:val="22"/>
        </w:rPr>
      </w:pPr>
      <w:r>
        <w:rPr>
          <w:rFonts w:ascii="宋体" w:hAnsi="宋体" w:cs="宋体" w:eastAsia="宋体" w:hint="default"/>
          <w:w w:val="99"/>
          <w:sz w:val="22"/>
          <w:szCs w:val="22"/>
        </w:rPr>
        <w:t>晶源电子系</w:t>
      </w:r>
      <w:r>
        <w:rPr>
          <w:rFonts w:ascii="宋体" w:hAnsi="宋体" w:cs="宋体" w:eastAsia="宋体" w:hint="default"/>
          <w:spacing w:val="-54"/>
          <w:sz w:val="22"/>
          <w:szCs w:val="22"/>
        </w:rPr>
        <w:t> </w:t>
      </w:r>
      <w:r>
        <w:rPr>
          <w:rFonts w:ascii="宋体" w:hAnsi="宋体" w:cs="宋体" w:eastAsia="宋体" w:hint="default"/>
          <w:w w:val="99"/>
          <w:sz w:val="22"/>
          <w:szCs w:val="22"/>
        </w:rPr>
        <w:t>2001</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8</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6"/>
          <w:sz w:val="22"/>
          <w:szCs w:val="22"/>
        </w:rPr>
        <w:t> </w:t>
      </w:r>
      <w:r>
        <w:rPr>
          <w:rFonts w:ascii="宋体" w:hAnsi="宋体" w:cs="宋体" w:eastAsia="宋体" w:hint="default"/>
          <w:w w:val="99"/>
          <w:sz w:val="22"/>
          <w:szCs w:val="22"/>
        </w:rPr>
        <w:t>17</w:t>
      </w:r>
      <w:r>
        <w:rPr>
          <w:rFonts w:ascii="宋体" w:hAnsi="宋体" w:cs="宋体" w:eastAsia="宋体" w:hint="default"/>
          <w:spacing w:val="-55"/>
          <w:sz w:val="22"/>
          <w:szCs w:val="22"/>
        </w:rPr>
        <w:t> </w:t>
      </w:r>
      <w:r>
        <w:rPr>
          <w:rFonts w:ascii="宋体" w:hAnsi="宋体" w:cs="宋体" w:eastAsia="宋体" w:hint="default"/>
          <w:w w:val="99"/>
          <w:sz w:val="22"/>
          <w:szCs w:val="22"/>
        </w:rPr>
        <w:t>日经河北省人民政府以冀股办(2001)88</w:t>
      </w:r>
      <w:r>
        <w:rPr>
          <w:rFonts w:ascii="宋体" w:hAnsi="宋体" w:cs="宋体" w:eastAsia="宋体" w:hint="default"/>
          <w:spacing w:val="-55"/>
          <w:sz w:val="22"/>
          <w:szCs w:val="22"/>
        </w:rPr>
        <w:t> </w:t>
      </w:r>
      <w:r>
        <w:rPr>
          <w:rFonts w:ascii="宋体" w:hAnsi="宋体" w:cs="宋体" w:eastAsia="宋体" w:hint="default"/>
          <w:w w:val="99"/>
          <w:sz w:val="22"/>
          <w:szCs w:val="22"/>
        </w:rPr>
        <w:t>号文批准</w:t>
      </w:r>
      <w:r>
        <w:rPr>
          <w:rFonts w:ascii="宋体" w:hAnsi="宋体" w:cs="宋体" w:eastAsia="宋体" w:hint="default"/>
          <w:spacing w:val="-94"/>
          <w:w w:val="99"/>
          <w:sz w:val="22"/>
          <w:szCs w:val="22"/>
        </w:rPr>
        <w:t>，</w:t>
      </w:r>
      <w:r>
        <w:rPr>
          <w:rFonts w:ascii="宋体" w:hAnsi="宋体" w:cs="宋体" w:eastAsia="宋体" w:hint="default"/>
          <w:w w:val="99"/>
          <w:sz w:val="22"/>
          <w:szCs w:val="22"/>
        </w:rPr>
        <w:t>由</w:t>
      </w:r>
      <w:r>
        <w:rPr>
          <w:rFonts w:ascii="宋体" w:hAnsi="宋体" w:cs="宋体" w:eastAsia="宋体" w:hint="default"/>
          <w:spacing w:val="1"/>
          <w:w w:val="99"/>
          <w:sz w:val="22"/>
          <w:szCs w:val="22"/>
        </w:rPr>
        <w:t>唐山</w:t>
      </w:r>
      <w:r>
        <w:rPr>
          <w:rFonts w:ascii="宋体" w:hAnsi="宋体" w:cs="宋体" w:eastAsia="宋体" w:hint="default"/>
          <w:w w:val="99"/>
          <w:sz w:val="22"/>
          <w:szCs w:val="22"/>
        </w:rPr>
        <w:t>晶源裕</w:t>
      </w:r>
      <w:r>
        <w:rPr>
          <w:rFonts w:ascii="宋体" w:hAnsi="宋体" w:cs="宋体" w:eastAsia="宋体" w:hint="default"/>
          <w:sz w:val="22"/>
          <w:szCs w:val="22"/>
        </w:rPr>
      </w:r>
    </w:p>
    <w:p>
      <w:pPr>
        <w:spacing w:line="324" w:lineRule="auto" w:before="102"/>
        <w:ind w:left="1078" w:right="1061" w:firstLine="0"/>
        <w:jc w:val="both"/>
        <w:rPr>
          <w:rFonts w:ascii="宋体" w:hAnsi="宋体" w:cs="宋体" w:eastAsia="宋体" w:hint="default"/>
          <w:sz w:val="22"/>
          <w:szCs w:val="22"/>
        </w:rPr>
      </w:pPr>
      <w:r>
        <w:rPr>
          <w:rFonts w:ascii="宋体" w:hAnsi="宋体" w:cs="宋体" w:eastAsia="宋体" w:hint="default"/>
          <w:sz w:val="22"/>
          <w:szCs w:val="22"/>
        </w:rPr>
        <w:t>丰电子有限公司整体变更而成的股份有限公司。整体变更时，股本总额为 50,500,000</w:t>
      </w:r>
      <w:r>
        <w:rPr>
          <w:rFonts w:ascii="宋体" w:hAnsi="宋体" w:cs="宋体" w:eastAsia="宋体" w:hint="default"/>
          <w:spacing w:val="-55"/>
          <w:sz w:val="22"/>
          <w:szCs w:val="22"/>
        </w:rPr>
        <w:t> </w:t>
      </w:r>
      <w:r>
        <w:rPr>
          <w:rFonts w:ascii="宋体" w:hAnsi="宋体" w:cs="宋体" w:eastAsia="宋体" w:hint="default"/>
          <w:sz w:val="22"/>
          <w:szCs w:val="22"/>
        </w:rPr>
        <w:t>股，其中</w:t>
      </w:r>
      <w:r>
        <w:rPr>
          <w:rFonts w:ascii="宋体" w:hAnsi="宋体" w:cs="宋体" w:eastAsia="宋体" w:hint="default"/>
          <w:w w:val="99"/>
          <w:sz w:val="22"/>
          <w:szCs w:val="22"/>
        </w:rPr>
        <w:t> </w:t>
      </w:r>
      <w:r>
        <w:rPr>
          <w:rFonts w:ascii="宋体" w:hAnsi="宋体" w:cs="宋体" w:eastAsia="宋体" w:hint="default"/>
          <w:sz w:val="22"/>
          <w:szCs w:val="22"/>
        </w:rPr>
        <w:t>唐山晶源科技有限公司(本段以下简称“晶源科技”)持有</w:t>
      </w:r>
      <w:r>
        <w:rPr>
          <w:rFonts w:ascii="宋体" w:hAnsi="宋体" w:cs="宋体" w:eastAsia="宋体" w:hint="default"/>
          <w:spacing w:val="-55"/>
          <w:sz w:val="22"/>
          <w:szCs w:val="22"/>
        </w:rPr>
        <w:t> </w:t>
      </w:r>
      <w:r>
        <w:rPr>
          <w:rFonts w:ascii="宋体" w:hAnsi="宋体" w:cs="宋体" w:eastAsia="宋体" w:hint="default"/>
          <w:sz w:val="22"/>
          <w:szCs w:val="22"/>
        </w:rPr>
        <w:t>38,425,450</w:t>
      </w:r>
      <w:r>
        <w:rPr>
          <w:rFonts w:ascii="宋体" w:hAnsi="宋体" w:cs="宋体" w:eastAsia="宋体" w:hint="default"/>
          <w:spacing w:val="-56"/>
          <w:sz w:val="22"/>
          <w:szCs w:val="22"/>
        </w:rPr>
        <w:t> </w:t>
      </w:r>
      <w:r>
        <w:rPr>
          <w:rFonts w:ascii="宋体" w:hAnsi="宋体" w:cs="宋体" w:eastAsia="宋体" w:hint="default"/>
          <w:sz w:val="22"/>
          <w:szCs w:val="22"/>
        </w:rPr>
        <w:t>股，占总股本的</w:t>
      </w:r>
      <w:r>
        <w:rPr>
          <w:rFonts w:ascii="宋体" w:hAnsi="宋体" w:cs="宋体" w:eastAsia="宋体" w:hint="default"/>
          <w:spacing w:val="-56"/>
          <w:sz w:val="22"/>
          <w:szCs w:val="22"/>
        </w:rPr>
        <w:t> </w:t>
      </w:r>
      <w:r>
        <w:rPr>
          <w:rFonts w:ascii="宋体" w:hAnsi="宋体" w:cs="宋体" w:eastAsia="宋体" w:hint="default"/>
          <w:sz w:val="22"/>
          <w:szCs w:val="22"/>
        </w:rPr>
        <w:t>76.09%；</w:t>
      </w:r>
      <w:r>
        <w:rPr>
          <w:rFonts w:ascii="宋体" w:hAnsi="宋体" w:cs="宋体" w:eastAsia="宋体" w:hint="default"/>
          <w:w w:val="99"/>
          <w:sz w:val="22"/>
          <w:szCs w:val="22"/>
        </w:rPr>
        <w:t> </w:t>
      </w:r>
      <w:r>
        <w:rPr>
          <w:rFonts w:ascii="宋体" w:hAnsi="宋体" w:cs="宋体" w:eastAsia="宋体" w:hint="default"/>
          <w:sz w:val="22"/>
          <w:szCs w:val="22"/>
        </w:rPr>
        <w:t>陈继红等</w:t>
      </w:r>
      <w:r>
        <w:rPr>
          <w:rFonts w:ascii="宋体" w:hAnsi="宋体" w:cs="宋体" w:eastAsia="宋体" w:hint="default"/>
          <w:spacing w:val="-58"/>
          <w:sz w:val="22"/>
          <w:szCs w:val="22"/>
        </w:rPr>
        <w:t> </w:t>
      </w:r>
      <w:r>
        <w:rPr>
          <w:rFonts w:ascii="宋体" w:hAnsi="宋体" w:cs="宋体" w:eastAsia="宋体" w:hint="default"/>
          <w:sz w:val="22"/>
          <w:szCs w:val="22"/>
        </w:rPr>
        <w:t>18</w:t>
      </w:r>
      <w:r>
        <w:rPr>
          <w:rFonts w:ascii="宋体" w:hAnsi="宋体" w:cs="宋体" w:eastAsia="宋体" w:hint="default"/>
          <w:spacing w:val="-58"/>
          <w:sz w:val="22"/>
          <w:szCs w:val="22"/>
        </w:rPr>
        <w:t> </w:t>
      </w:r>
      <w:r>
        <w:rPr>
          <w:rFonts w:ascii="宋体" w:hAnsi="宋体" w:cs="宋体" w:eastAsia="宋体" w:hint="default"/>
          <w:sz w:val="22"/>
          <w:szCs w:val="22"/>
        </w:rPr>
        <w:t>位自然人持有</w:t>
      </w:r>
      <w:r>
        <w:rPr>
          <w:rFonts w:ascii="宋体" w:hAnsi="宋体" w:cs="宋体" w:eastAsia="宋体" w:hint="default"/>
          <w:spacing w:val="-58"/>
          <w:sz w:val="22"/>
          <w:szCs w:val="22"/>
        </w:rPr>
        <w:t> </w:t>
      </w:r>
      <w:r>
        <w:rPr>
          <w:rFonts w:ascii="宋体" w:hAnsi="宋体" w:cs="宋体" w:eastAsia="宋体" w:hint="default"/>
          <w:sz w:val="22"/>
          <w:szCs w:val="22"/>
        </w:rPr>
        <w:t>12,074,550</w:t>
      </w:r>
      <w:r>
        <w:rPr>
          <w:rFonts w:ascii="宋体" w:hAnsi="宋体" w:cs="宋体" w:eastAsia="宋体" w:hint="default"/>
          <w:spacing w:val="-58"/>
          <w:sz w:val="22"/>
          <w:szCs w:val="22"/>
        </w:rPr>
        <w:t> </w:t>
      </w:r>
      <w:r>
        <w:rPr>
          <w:rFonts w:ascii="宋体" w:hAnsi="宋体" w:cs="宋体" w:eastAsia="宋体" w:hint="default"/>
          <w:sz w:val="22"/>
          <w:szCs w:val="22"/>
        </w:rPr>
        <w:t>股，占总股本的</w:t>
      </w:r>
      <w:r>
        <w:rPr>
          <w:rFonts w:ascii="宋体" w:hAnsi="宋体" w:cs="宋体" w:eastAsia="宋体" w:hint="default"/>
          <w:spacing w:val="-58"/>
          <w:sz w:val="22"/>
          <w:szCs w:val="22"/>
        </w:rPr>
        <w:t> </w:t>
      </w:r>
      <w:r>
        <w:rPr>
          <w:rFonts w:ascii="宋体" w:hAnsi="宋体" w:cs="宋体" w:eastAsia="宋体" w:hint="default"/>
          <w:sz w:val="22"/>
          <w:szCs w:val="22"/>
        </w:rPr>
        <w:t>23.91%。</w:t>
      </w:r>
    </w:p>
    <w:p>
      <w:pPr>
        <w:spacing w:line="324" w:lineRule="auto" w:before="103"/>
        <w:ind w:left="1078" w:right="1061" w:firstLine="440"/>
        <w:jc w:val="both"/>
        <w:rPr>
          <w:rFonts w:ascii="宋体" w:hAnsi="宋体" w:cs="宋体" w:eastAsia="宋体" w:hint="default"/>
          <w:sz w:val="22"/>
          <w:szCs w:val="22"/>
        </w:rPr>
      </w:pPr>
      <w:r>
        <w:rPr>
          <w:rFonts w:ascii="宋体" w:hAnsi="宋体" w:cs="宋体" w:eastAsia="宋体" w:hint="default"/>
          <w:sz w:val="22"/>
          <w:szCs w:val="22"/>
        </w:rPr>
        <w:t>2005</w:t>
      </w:r>
      <w:r>
        <w:rPr>
          <w:rFonts w:ascii="宋体" w:hAnsi="宋体" w:cs="宋体" w:eastAsia="宋体" w:hint="default"/>
          <w:spacing w:val="-41"/>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宋体" w:hAnsi="宋体" w:cs="宋体" w:eastAsia="宋体" w:hint="default"/>
          <w:sz w:val="22"/>
          <w:szCs w:val="22"/>
        </w:rPr>
        <w:t>5</w:t>
      </w:r>
      <w:r>
        <w:rPr>
          <w:rFonts w:ascii="宋体" w:hAnsi="宋体" w:cs="宋体" w:eastAsia="宋体" w:hint="default"/>
          <w:spacing w:val="-41"/>
          <w:sz w:val="22"/>
          <w:szCs w:val="22"/>
        </w:rPr>
        <w:t> </w:t>
      </w:r>
      <w:r>
        <w:rPr>
          <w:rFonts w:ascii="宋体" w:hAnsi="宋体" w:cs="宋体" w:eastAsia="宋体" w:hint="default"/>
          <w:sz w:val="22"/>
          <w:szCs w:val="22"/>
        </w:rPr>
        <w:t>月，经中国证券监督管理委员会证监发行字(2005)18</w:t>
      </w:r>
      <w:r>
        <w:rPr>
          <w:rFonts w:ascii="宋体" w:hAnsi="宋体" w:cs="宋体" w:eastAsia="宋体" w:hint="default"/>
          <w:spacing w:val="-41"/>
          <w:sz w:val="22"/>
          <w:szCs w:val="22"/>
        </w:rPr>
        <w:t> </w:t>
      </w:r>
      <w:r>
        <w:rPr>
          <w:rFonts w:ascii="宋体" w:hAnsi="宋体" w:cs="宋体" w:eastAsia="宋体" w:hint="default"/>
          <w:sz w:val="22"/>
          <w:szCs w:val="22"/>
        </w:rPr>
        <w:t>号文核准，晶源电子向社会</w:t>
      </w:r>
      <w:r>
        <w:rPr>
          <w:rFonts w:ascii="宋体" w:hAnsi="宋体" w:cs="宋体" w:eastAsia="宋体" w:hint="default"/>
          <w:w w:val="99"/>
          <w:sz w:val="22"/>
          <w:szCs w:val="22"/>
        </w:rPr>
        <w:t> 公开发行人民币普通股(A</w:t>
      </w:r>
      <w:r>
        <w:rPr>
          <w:rFonts w:ascii="宋体" w:hAnsi="宋体" w:cs="宋体" w:eastAsia="宋体" w:hint="default"/>
          <w:spacing w:val="-53"/>
          <w:w w:val="99"/>
          <w:sz w:val="22"/>
          <w:szCs w:val="22"/>
        </w:rPr>
        <w:t> </w:t>
      </w:r>
      <w:r>
        <w:rPr>
          <w:rFonts w:ascii="宋体" w:hAnsi="宋体" w:cs="宋体" w:eastAsia="宋体" w:hint="default"/>
          <w:w w:val="99"/>
          <w:sz w:val="22"/>
          <w:szCs w:val="22"/>
        </w:rPr>
        <w:t>股)25,000,000</w:t>
      </w:r>
      <w:r>
        <w:rPr>
          <w:rFonts w:ascii="宋体" w:hAnsi="宋体" w:cs="宋体" w:eastAsia="宋体" w:hint="default"/>
          <w:spacing w:val="-53"/>
          <w:w w:val="99"/>
          <w:sz w:val="22"/>
          <w:szCs w:val="22"/>
        </w:rPr>
        <w:t> </w:t>
      </w:r>
      <w:r>
        <w:rPr>
          <w:rFonts w:ascii="宋体" w:hAnsi="宋体" w:cs="宋体" w:eastAsia="宋体" w:hint="default"/>
          <w:spacing w:val="-16"/>
          <w:w w:val="99"/>
          <w:sz w:val="22"/>
          <w:szCs w:val="22"/>
        </w:rPr>
        <w:t>股；2007</w:t>
      </w:r>
      <w:r>
        <w:rPr>
          <w:rFonts w:ascii="宋体" w:hAnsi="宋体" w:cs="宋体" w:eastAsia="宋体" w:hint="default"/>
          <w:spacing w:val="-53"/>
          <w:w w:val="99"/>
          <w:sz w:val="22"/>
          <w:szCs w:val="22"/>
        </w:rPr>
        <w:t> </w:t>
      </w:r>
      <w:r>
        <w:rPr>
          <w:rFonts w:ascii="宋体" w:hAnsi="宋体" w:cs="宋体" w:eastAsia="宋体" w:hint="default"/>
          <w:w w:val="99"/>
          <w:sz w:val="22"/>
          <w:szCs w:val="22"/>
        </w:rPr>
        <w:t>年</w:t>
      </w:r>
      <w:r>
        <w:rPr>
          <w:rFonts w:ascii="宋体" w:hAnsi="宋体" w:cs="宋体" w:eastAsia="宋体" w:hint="default"/>
          <w:spacing w:val="-53"/>
          <w:w w:val="99"/>
          <w:sz w:val="22"/>
          <w:szCs w:val="22"/>
        </w:rPr>
        <w:t> </w:t>
      </w:r>
      <w:r>
        <w:rPr>
          <w:rFonts w:ascii="宋体" w:hAnsi="宋体" w:cs="宋体" w:eastAsia="宋体" w:hint="default"/>
          <w:w w:val="99"/>
          <w:sz w:val="22"/>
          <w:szCs w:val="22"/>
        </w:rPr>
        <w:t>3</w:t>
      </w:r>
      <w:r>
        <w:rPr>
          <w:rFonts w:ascii="宋体" w:hAnsi="宋体" w:cs="宋体" w:eastAsia="宋体" w:hint="default"/>
          <w:spacing w:val="-53"/>
          <w:w w:val="99"/>
          <w:sz w:val="22"/>
          <w:szCs w:val="22"/>
        </w:rPr>
        <w:t> </w:t>
      </w:r>
      <w:r>
        <w:rPr>
          <w:rFonts w:ascii="宋体" w:hAnsi="宋体" w:cs="宋体" w:eastAsia="宋体" w:hint="default"/>
          <w:w w:val="99"/>
          <w:sz w:val="22"/>
          <w:szCs w:val="22"/>
        </w:rPr>
        <w:t>月经中国证券监督管理委员会证监发行字</w:t>
      </w:r>
      <w:r>
        <w:rPr>
          <w:rFonts w:ascii="宋体" w:hAnsi="宋体" w:cs="宋体" w:eastAsia="宋体" w:hint="default"/>
          <w:w w:val="99"/>
          <w:sz w:val="22"/>
          <w:szCs w:val="22"/>
        </w:rPr>
        <w:t> </w:t>
      </w:r>
      <w:r>
        <w:rPr>
          <w:rFonts w:ascii="宋体" w:hAnsi="宋体" w:cs="宋体" w:eastAsia="宋体" w:hint="default"/>
          <w:sz w:val="22"/>
          <w:szCs w:val="22"/>
        </w:rPr>
        <w:t>[2007]36 号文件核准，晶源电子向社会非公开定向发行人民币普通股 14,500,000 股并于</w:t>
      </w:r>
      <w:r>
        <w:rPr>
          <w:rFonts w:ascii="宋体" w:hAnsi="宋体" w:cs="宋体" w:eastAsia="宋体" w:hint="default"/>
          <w:spacing w:val="-57"/>
          <w:sz w:val="22"/>
          <w:szCs w:val="22"/>
        </w:rPr>
        <w:t> </w:t>
      </w:r>
      <w:r>
        <w:rPr>
          <w:rFonts w:ascii="宋体" w:hAnsi="宋体" w:cs="宋体" w:eastAsia="宋体" w:hint="default"/>
          <w:sz w:val="22"/>
          <w:szCs w:val="22"/>
        </w:rPr>
        <w:t>2007</w:t>
      </w:r>
    </w:p>
    <w:p>
      <w:pPr>
        <w:spacing w:before="25"/>
        <w:ind w:left="1078" w:right="0" w:firstLine="0"/>
        <w:jc w:val="both"/>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月在深圳证券交易所上市。非公开发行后，晶源电子总股本变更为</w:t>
      </w:r>
      <w:r>
        <w:rPr>
          <w:rFonts w:ascii="宋体" w:hAnsi="宋体" w:cs="宋体" w:eastAsia="宋体" w:hint="default"/>
          <w:spacing w:val="-57"/>
          <w:sz w:val="22"/>
          <w:szCs w:val="22"/>
        </w:rPr>
        <w:t> </w:t>
      </w:r>
      <w:r>
        <w:rPr>
          <w:rFonts w:ascii="宋体" w:hAnsi="宋体" w:cs="宋体" w:eastAsia="宋体" w:hint="default"/>
          <w:sz w:val="22"/>
          <w:szCs w:val="22"/>
        </w:rPr>
        <w:t>90,000,000</w:t>
      </w:r>
      <w:r>
        <w:rPr>
          <w:rFonts w:ascii="宋体" w:hAnsi="宋体" w:cs="宋体" w:eastAsia="宋体" w:hint="default"/>
          <w:spacing w:val="-55"/>
          <w:sz w:val="22"/>
          <w:szCs w:val="22"/>
        </w:rPr>
        <w:t> </w:t>
      </w:r>
      <w:r>
        <w:rPr>
          <w:rFonts w:ascii="宋体" w:hAnsi="宋体" w:cs="宋体" w:eastAsia="宋体" w:hint="default"/>
          <w:sz w:val="22"/>
          <w:szCs w:val="22"/>
        </w:rPr>
        <w:t>股；2008</w:t>
      </w:r>
      <w:r>
        <w:rPr>
          <w:rFonts w:ascii="宋体" w:hAnsi="宋体" w:cs="宋体" w:eastAsia="宋体" w:hint="default"/>
          <w:spacing w:val="-56"/>
          <w:sz w:val="22"/>
          <w:szCs w:val="22"/>
        </w:rPr>
        <w:t> </w:t>
      </w:r>
      <w:r>
        <w:rPr>
          <w:rFonts w:ascii="宋体" w:hAnsi="宋体" w:cs="宋体" w:eastAsia="宋体" w:hint="default"/>
          <w:sz w:val="22"/>
          <w:szCs w:val="22"/>
        </w:rPr>
        <w:t>年</w:t>
      </w:r>
    </w:p>
    <w:p>
      <w:pPr>
        <w:spacing w:before="102"/>
        <w:ind w:left="1078" w:right="0" w:firstLine="0"/>
        <w:jc w:val="both"/>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8"/>
          <w:sz w:val="22"/>
          <w:szCs w:val="22"/>
        </w:rPr>
        <w:t> </w:t>
      </w:r>
      <w:r>
        <w:rPr>
          <w:rFonts w:ascii="宋体" w:hAnsi="宋体" w:cs="宋体" w:eastAsia="宋体" w:hint="default"/>
          <w:sz w:val="22"/>
          <w:szCs w:val="22"/>
        </w:rPr>
        <w:t>月</w:t>
      </w:r>
      <w:r>
        <w:rPr>
          <w:rFonts w:ascii="宋体" w:hAnsi="宋体" w:cs="宋体" w:eastAsia="宋体" w:hint="default"/>
          <w:spacing w:val="-28"/>
          <w:sz w:val="22"/>
          <w:szCs w:val="22"/>
        </w:rPr>
        <w:t> </w:t>
      </w:r>
      <w:r>
        <w:rPr>
          <w:rFonts w:ascii="宋体" w:hAnsi="宋体" w:cs="宋体" w:eastAsia="宋体" w:hint="default"/>
          <w:sz w:val="22"/>
          <w:szCs w:val="22"/>
        </w:rPr>
        <w:t>3</w:t>
      </w:r>
      <w:r>
        <w:rPr>
          <w:rFonts w:ascii="宋体" w:hAnsi="宋体" w:cs="宋体" w:eastAsia="宋体" w:hint="default"/>
          <w:spacing w:val="-28"/>
          <w:sz w:val="22"/>
          <w:szCs w:val="22"/>
        </w:rPr>
        <w:t> </w:t>
      </w:r>
      <w:r>
        <w:rPr>
          <w:rFonts w:ascii="宋体" w:hAnsi="宋体" w:cs="宋体" w:eastAsia="宋体" w:hint="default"/>
          <w:sz w:val="22"/>
          <w:szCs w:val="22"/>
        </w:rPr>
        <w:t>日，根据</w:t>
      </w:r>
      <w:r>
        <w:rPr>
          <w:rFonts w:ascii="宋体" w:hAnsi="宋体" w:cs="宋体" w:eastAsia="宋体" w:hint="default"/>
          <w:spacing w:val="-28"/>
          <w:sz w:val="22"/>
          <w:szCs w:val="22"/>
        </w:rPr>
        <w:t> </w:t>
      </w:r>
      <w:r>
        <w:rPr>
          <w:rFonts w:ascii="宋体" w:hAnsi="宋体" w:cs="宋体" w:eastAsia="宋体" w:hint="default"/>
          <w:sz w:val="22"/>
          <w:szCs w:val="22"/>
        </w:rPr>
        <w:t>2008</w:t>
      </w:r>
      <w:r>
        <w:rPr>
          <w:rFonts w:ascii="宋体" w:hAnsi="宋体" w:cs="宋体" w:eastAsia="宋体" w:hint="default"/>
          <w:spacing w:val="-28"/>
          <w:sz w:val="22"/>
          <w:szCs w:val="22"/>
        </w:rPr>
        <w:t> </w:t>
      </w:r>
      <w:r>
        <w:rPr>
          <w:rFonts w:ascii="宋体" w:hAnsi="宋体" w:cs="宋体" w:eastAsia="宋体" w:hint="default"/>
          <w:sz w:val="22"/>
          <w:szCs w:val="22"/>
        </w:rPr>
        <w:t>年第三次临时股东大会决议和修改后的公司章程规定，晶源电子按每</w:t>
      </w:r>
      <w:r>
        <w:rPr>
          <w:rFonts w:ascii="宋体" w:hAnsi="宋体" w:cs="宋体" w:eastAsia="宋体" w:hint="default"/>
          <w:spacing w:val="-28"/>
          <w:sz w:val="22"/>
          <w:szCs w:val="22"/>
        </w:rPr>
        <w:t> </w:t>
      </w:r>
      <w:r>
        <w:rPr>
          <w:rFonts w:ascii="宋体" w:hAnsi="宋体" w:cs="宋体" w:eastAsia="宋体" w:hint="default"/>
          <w:sz w:val="22"/>
          <w:szCs w:val="22"/>
        </w:rPr>
        <w:t>10</w:t>
      </w:r>
    </w:p>
    <w:p>
      <w:pPr>
        <w:spacing w:after="0"/>
        <w:jc w:val="both"/>
        <w:rPr>
          <w:rFonts w:ascii="宋体" w:hAnsi="宋体" w:cs="宋体" w:eastAsia="宋体" w:hint="default"/>
          <w:sz w:val="22"/>
          <w:szCs w:val="22"/>
        </w:rPr>
        <w:sectPr>
          <w:type w:val="continuous"/>
          <w:pgSz w:w="11910" w:h="16840"/>
          <w:pgMar w:top="1600" w:bottom="280" w:left="340" w:right="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0" w:firstLine="0"/>
        <w:jc w:val="both"/>
        <w:rPr>
          <w:rFonts w:ascii="宋体" w:hAnsi="宋体" w:cs="宋体" w:eastAsia="宋体" w:hint="default"/>
          <w:sz w:val="22"/>
          <w:szCs w:val="22"/>
        </w:rPr>
      </w:pPr>
      <w:r>
        <w:rPr>
          <w:rFonts w:ascii="宋体" w:hAnsi="宋体" w:cs="宋体" w:eastAsia="宋体" w:hint="default"/>
          <w:sz w:val="22"/>
          <w:szCs w:val="22"/>
        </w:rPr>
        <w:t>股转增</w:t>
      </w:r>
      <w:r>
        <w:rPr>
          <w:rFonts w:ascii="宋体" w:hAnsi="宋体" w:cs="宋体" w:eastAsia="宋体" w:hint="default"/>
          <w:spacing w:val="-42"/>
          <w:sz w:val="22"/>
          <w:szCs w:val="22"/>
        </w:rPr>
        <w:t> </w:t>
      </w:r>
      <w:r>
        <w:rPr>
          <w:rFonts w:ascii="宋体" w:hAnsi="宋体" w:cs="宋体" w:eastAsia="宋体" w:hint="default"/>
          <w:sz w:val="22"/>
          <w:szCs w:val="22"/>
        </w:rPr>
        <w:t>5</w:t>
      </w:r>
      <w:r>
        <w:rPr>
          <w:rFonts w:ascii="宋体" w:hAnsi="宋体" w:cs="宋体" w:eastAsia="宋体" w:hint="default"/>
          <w:spacing w:val="-42"/>
          <w:sz w:val="22"/>
          <w:szCs w:val="22"/>
        </w:rPr>
        <w:t> </w:t>
      </w:r>
      <w:r>
        <w:rPr>
          <w:rFonts w:ascii="宋体" w:hAnsi="宋体" w:cs="宋体" w:eastAsia="宋体" w:hint="default"/>
          <w:sz w:val="22"/>
          <w:szCs w:val="22"/>
        </w:rPr>
        <w:t>股的比例，以资本公积向全体股东转增人民币普通股</w:t>
      </w:r>
      <w:r>
        <w:rPr>
          <w:rFonts w:ascii="宋体" w:hAnsi="宋体" w:cs="宋体" w:eastAsia="宋体" w:hint="default"/>
          <w:spacing w:val="-42"/>
          <w:sz w:val="22"/>
          <w:szCs w:val="22"/>
        </w:rPr>
        <w:t> </w:t>
      </w:r>
      <w:r>
        <w:rPr>
          <w:rFonts w:ascii="宋体" w:hAnsi="宋体" w:cs="宋体" w:eastAsia="宋体" w:hint="default"/>
          <w:sz w:val="22"/>
          <w:szCs w:val="22"/>
        </w:rPr>
        <w:t>45,000,000</w:t>
      </w:r>
      <w:r>
        <w:rPr>
          <w:rFonts w:ascii="宋体" w:hAnsi="宋体" w:cs="宋体" w:eastAsia="宋体" w:hint="default"/>
          <w:spacing w:val="-42"/>
          <w:sz w:val="22"/>
          <w:szCs w:val="22"/>
        </w:rPr>
        <w:t> </w:t>
      </w:r>
      <w:r>
        <w:rPr>
          <w:rFonts w:ascii="宋体" w:hAnsi="宋体" w:cs="宋体" w:eastAsia="宋体" w:hint="default"/>
          <w:sz w:val="22"/>
          <w:szCs w:val="22"/>
        </w:rPr>
        <w:t>股，转增后晶源电子</w:t>
      </w:r>
    </w:p>
    <w:p>
      <w:pPr>
        <w:spacing w:before="101"/>
        <w:ind w:left="138" w:right="0" w:firstLine="0"/>
        <w:jc w:val="both"/>
        <w:rPr>
          <w:rFonts w:ascii="宋体" w:hAnsi="宋体" w:cs="宋体" w:eastAsia="宋体" w:hint="default"/>
          <w:sz w:val="22"/>
          <w:szCs w:val="22"/>
        </w:rPr>
      </w:pPr>
      <w:r>
        <w:rPr>
          <w:rFonts w:ascii="宋体" w:hAnsi="宋体" w:cs="宋体" w:eastAsia="宋体" w:hint="default"/>
          <w:sz w:val="22"/>
          <w:szCs w:val="22"/>
        </w:rPr>
        <w:t>总股本变更为</w:t>
      </w:r>
      <w:r>
        <w:rPr>
          <w:rFonts w:ascii="宋体" w:hAnsi="宋体" w:cs="宋体" w:eastAsia="宋体" w:hint="default"/>
          <w:spacing w:val="-60"/>
          <w:sz w:val="22"/>
          <w:szCs w:val="22"/>
        </w:rPr>
        <w:t> </w:t>
      </w:r>
      <w:r>
        <w:rPr>
          <w:rFonts w:ascii="宋体" w:hAnsi="宋体" w:cs="宋体" w:eastAsia="宋体" w:hint="default"/>
          <w:sz w:val="22"/>
          <w:szCs w:val="22"/>
        </w:rPr>
        <w:t>135,000,000</w:t>
      </w:r>
      <w:r>
        <w:rPr>
          <w:rFonts w:ascii="宋体" w:hAnsi="宋体" w:cs="宋体" w:eastAsia="宋体" w:hint="default"/>
          <w:spacing w:val="-60"/>
          <w:sz w:val="22"/>
          <w:szCs w:val="22"/>
        </w:rPr>
        <w:t> </w:t>
      </w:r>
      <w:r>
        <w:rPr>
          <w:rFonts w:ascii="宋体" w:hAnsi="宋体" w:cs="宋体" w:eastAsia="宋体" w:hint="default"/>
          <w:sz w:val="22"/>
          <w:szCs w:val="22"/>
        </w:rPr>
        <w:t>股。</w:t>
      </w:r>
    </w:p>
    <w:p>
      <w:pPr>
        <w:spacing w:before="180"/>
        <w:ind w:left="578" w:right="0" w:firstLine="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21</w:t>
      </w:r>
      <w:r>
        <w:rPr>
          <w:rFonts w:ascii="宋体" w:hAnsi="宋体" w:cs="宋体" w:eastAsia="宋体" w:hint="default"/>
          <w:spacing w:val="-55"/>
          <w:sz w:val="22"/>
          <w:szCs w:val="22"/>
        </w:rPr>
        <w:t> </w:t>
      </w:r>
      <w:r>
        <w:rPr>
          <w:rFonts w:ascii="宋体" w:hAnsi="宋体" w:cs="宋体" w:eastAsia="宋体" w:hint="default"/>
          <w:sz w:val="22"/>
          <w:szCs w:val="22"/>
        </w:rPr>
        <w:t>日，晶源科技与公司签订了《同方股份有限公司与唐山晶源科技有限公司之</w:t>
      </w:r>
    </w:p>
    <w:p>
      <w:pPr>
        <w:spacing w:line="324" w:lineRule="auto" w:before="102"/>
        <w:ind w:left="138" w:right="143" w:firstLine="0"/>
        <w:jc w:val="both"/>
        <w:rPr>
          <w:rFonts w:ascii="宋体" w:hAnsi="宋体" w:cs="宋体" w:eastAsia="宋体" w:hint="default"/>
          <w:sz w:val="22"/>
          <w:szCs w:val="22"/>
        </w:rPr>
      </w:pPr>
      <w:r>
        <w:rPr>
          <w:rFonts w:ascii="宋体" w:hAnsi="宋体" w:cs="宋体" w:eastAsia="宋体" w:hint="default"/>
          <w:spacing w:val="-7"/>
          <w:w w:val="99"/>
          <w:sz w:val="22"/>
          <w:szCs w:val="22"/>
        </w:rPr>
        <w:t>发行股份购买资产协议》。2010</w:t>
      </w:r>
      <w:r>
        <w:rPr>
          <w:rFonts w:ascii="宋体" w:hAnsi="宋体" w:cs="宋体" w:eastAsia="宋体"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45"/>
          <w:w w:val="99"/>
          <w:sz w:val="22"/>
          <w:szCs w:val="22"/>
        </w:rPr>
        <w:t> </w:t>
      </w:r>
      <w:r>
        <w:rPr>
          <w:rFonts w:ascii="宋体" w:hAnsi="宋体" w:cs="宋体" w:eastAsia="宋体" w:hint="default"/>
          <w:w w:val="99"/>
          <w:sz w:val="22"/>
          <w:szCs w:val="22"/>
        </w:rPr>
        <w:t>6</w:t>
      </w:r>
      <w:r>
        <w:rPr>
          <w:rFonts w:ascii="宋体" w:hAnsi="宋体" w:cs="宋体" w:eastAsia="宋体" w:hint="default"/>
          <w:spacing w:val="-43"/>
          <w:w w:val="99"/>
          <w:sz w:val="22"/>
          <w:szCs w:val="22"/>
        </w:rPr>
        <w:t> </w:t>
      </w:r>
      <w:r>
        <w:rPr>
          <w:rFonts w:ascii="宋体" w:hAnsi="宋体" w:cs="宋体" w:eastAsia="宋体" w:hint="default"/>
          <w:w w:val="99"/>
          <w:sz w:val="22"/>
          <w:szCs w:val="22"/>
        </w:rPr>
        <w:t>月</w:t>
      </w:r>
      <w:r>
        <w:rPr>
          <w:rFonts w:ascii="宋体" w:hAnsi="宋体" w:cs="宋体" w:eastAsia="宋体" w:hint="default"/>
          <w:spacing w:val="-43"/>
          <w:w w:val="99"/>
          <w:sz w:val="22"/>
          <w:szCs w:val="22"/>
        </w:rPr>
        <w:t> </w:t>
      </w:r>
      <w:r>
        <w:rPr>
          <w:rFonts w:ascii="宋体" w:hAnsi="宋体" w:cs="宋体" w:eastAsia="宋体" w:hint="default"/>
          <w:w w:val="99"/>
          <w:sz w:val="22"/>
          <w:szCs w:val="22"/>
        </w:rPr>
        <w:t>28</w:t>
      </w:r>
      <w:r>
        <w:rPr>
          <w:rFonts w:ascii="宋体" w:hAnsi="宋体" w:cs="宋体" w:eastAsia="宋体" w:hint="default"/>
          <w:spacing w:val="-43"/>
          <w:w w:val="99"/>
          <w:sz w:val="22"/>
          <w:szCs w:val="22"/>
        </w:rPr>
        <w:t> </w:t>
      </w:r>
      <w:r>
        <w:rPr>
          <w:rFonts w:ascii="宋体" w:hAnsi="宋体" w:cs="宋体" w:eastAsia="宋体" w:hint="default"/>
          <w:w w:val="99"/>
          <w:sz w:val="22"/>
          <w:szCs w:val="22"/>
        </w:rPr>
        <w:t>日，公司受让晶源科技持有的晶源电子</w:t>
      </w:r>
      <w:r>
        <w:rPr>
          <w:rFonts w:ascii="宋体" w:hAnsi="宋体" w:cs="宋体" w:eastAsia="宋体" w:hint="default"/>
          <w:spacing w:val="-42"/>
          <w:w w:val="99"/>
          <w:sz w:val="22"/>
          <w:szCs w:val="22"/>
        </w:rPr>
        <w:t> </w:t>
      </w:r>
      <w:r>
        <w:rPr>
          <w:rFonts w:ascii="宋体" w:hAnsi="宋体" w:cs="宋体" w:eastAsia="宋体" w:hint="default"/>
          <w:w w:val="99"/>
          <w:sz w:val="22"/>
          <w:szCs w:val="22"/>
        </w:rPr>
        <w:t>3,375</w:t>
      </w:r>
      <w:r>
        <w:rPr>
          <w:rFonts w:ascii="宋体" w:hAnsi="宋体" w:cs="宋体" w:eastAsia="宋体" w:hint="default"/>
          <w:spacing w:val="-43"/>
          <w:w w:val="99"/>
          <w:sz w:val="22"/>
          <w:szCs w:val="22"/>
        </w:rPr>
        <w:t> </w:t>
      </w:r>
      <w:r>
        <w:rPr>
          <w:rFonts w:ascii="宋体" w:hAnsi="宋体" w:cs="宋体" w:eastAsia="宋体" w:hint="default"/>
          <w:w w:val="99"/>
          <w:sz w:val="22"/>
          <w:szCs w:val="22"/>
        </w:rPr>
        <w:t>万股股</w:t>
      </w:r>
      <w:r>
        <w:rPr>
          <w:rFonts w:ascii="宋体" w:hAnsi="宋体" w:cs="宋体" w:eastAsia="宋体" w:hint="default"/>
          <w:w w:val="99"/>
          <w:sz w:val="22"/>
          <w:szCs w:val="22"/>
        </w:rPr>
        <w:t> </w:t>
      </w:r>
      <w:r>
        <w:rPr>
          <w:rFonts w:ascii="宋体" w:hAnsi="宋体" w:cs="宋体" w:eastAsia="宋体" w:hint="default"/>
          <w:spacing w:val="-1"/>
          <w:sz w:val="22"/>
          <w:szCs w:val="22"/>
        </w:rPr>
        <w:t>份，在中国证券登记结算有限责任公司深圳分公司办理完毕过户登记手续。至此，公司持有晶源</w:t>
      </w:r>
      <w:r>
        <w:rPr>
          <w:rFonts w:ascii="宋体" w:hAnsi="宋体" w:cs="宋体" w:eastAsia="宋体" w:hint="default"/>
          <w:w w:val="99"/>
          <w:sz w:val="22"/>
          <w:szCs w:val="22"/>
        </w:rPr>
        <w:t> </w:t>
      </w:r>
      <w:r>
        <w:rPr>
          <w:rFonts w:ascii="宋体" w:hAnsi="宋体" w:cs="宋体" w:eastAsia="宋体" w:hint="default"/>
          <w:sz w:val="22"/>
          <w:szCs w:val="22"/>
        </w:rPr>
        <w:t>电子</w:t>
      </w:r>
      <w:r>
        <w:rPr>
          <w:rFonts w:ascii="宋体" w:hAnsi="宋体" w:cs="宋体" w:eastAsia="宋体" w:hint="default"/>
          <w:spacing w:val="-68"/>
          <w:sz w:val="22"/>
          <w:szCs w:val="22"/>
        </w:rPr>
        <w:t> </w:t>
      </w:r>
      <w:r>
        <w:rPr>
          <w:rFonts w:ascii="宋体" w:hAnsi="宋体" w:cs="宋体" w:eastAsia="宋体" w:hint="default"/>
          <w:sz w:val="22"/>
          <w:szCs w:val="22"/>
        </w:rPr>
        <w:t>3,375</w:t>
      </w:r>
      <w:r>
        <w:rPr>
          <w:rFonts w:ascii="宋体" w:hAnsi="宋体" w:cs="宋体" w:eastAsia="宋体" w:hint="default"/>
          <w:spacing w:val="-26"/>
          <w:sz w:val="22"/>
          <w:szCs w:val="22"/>
        </w:rPr>
        <w:t> </w:t>
      </w:r>
      <w:r>
        <w:rPr>
          <w:rFonts w:ascii="宋体" w:hAnsi="宋体" w:cs="宋体" w:eastAsia="宋体" w:hint="default"/>
          <w:sz w:val="22"/>
          <w:szCs w:val="22"/>
        </w:rPr>
        <w:t>万股，占晶源电子股本总额的</w:t>
      </w:r>
      <w:r>
        <w:rPr>
          <w:rFonts w:ascii="宋体" w:hAnsi="宋体" w:cs="宋体" w:eastAsia="宋体" w:hint="default"/>
          <w:spacing w:val="-68"/>
          <w:sz w:val="22"/>
          <w:szCs w:val="22"/>
        </w:rPr>
        <w:t> </w:t>
      </w:r>
      <w:r>
        <w:rPr>
          <w:rFonts w:ascii="宋体" w:hAnsi="宋体" w:cs="宋体" w:eastAsia="宋体" w:hint="default"/>
          <w:sz w:val="22"/>
          <w:szCs w:val="22"/>
        </w:rPr>
        <w:t>25%，成为晶源电子第一大股东；晶源科技持有晶源电</w:t>
      </w:r>
      <w:r>
        <w:rPr>
          <w:rFonts w:ascii="宋体" w:hAnsi="宋体" w:cs="宋体" w:eastAsia="宋体" w:hint="default"/>
          <w:w w:val="99"/>
          <w:sz w:val="22"/>
          <w:szCs w:val="22"/>
        </w:rPr>
        <w:t> </w:t>
      </w:r>
      <w:r>
        <w:rPr>
          <w:rFonts w:ascii="宋体" w:hAnsi="宋体" w:cs="宋体" w:eastAsia="宋体" w:hint="default"/>
          <w:sz w:val="22"/>
          <w:szCs w:val="22"/>
        </w:rPr>
        <w:t>子</w:t>
      </w:r>
      <w:r>
        <w:rPr>
          <w:rFonts w:ascii="宋体" w:hAnsi="宋体" w:cs="宋体" w:eastAsia="宋体" w:hint="default"/>
          <w:spacing w:val="-59"/>
          <w:sz w:val="22"/>
          <w:szCs w:val="22"/>
        </w:rPr>
        <w:t> </w:t>
      </w:r>
      <w:r>
        <w:rPr>
          <w:rFonts w:ascii="宋体" w:hAnsi="宋体" w:cs="宋体" w:eastAsia="宋体" w:hint="default"/>
          <w:sz w:val="22"/>
          <w:szCs w:val="22"/>
        </w:rPr>
        <w:t>1,390.1362</w:t>
      </w:r>
      <w:r>
        <w:rPr>
          <w:rFonts w:ascii="宋体" w:hAnsi="宋体" w:cs="宋体" w:eastAsia="宋体" w:hint="default"/>
          <w:spacing w:val="-7"/>
          <w:sz w:val="22"/>
          <w:szCs w:val="22"/>
        </w:rPr>
        <w:t> </w:t>
      </w:r>
      <w:r>
        <w:rPr>
          <w:rFonts w:ascii="宋体" w:hAnsi="宋体" w:cs="宋体" w:eastAsia="宋体" w:hint="default"/>
          <w:sz w:val="22"/>
          <w:szCs w:val="22"/>
        </w:rPr>
        <w:t>万股，占晶源电子股本总额的</w:t>
      </w:r>
      <w:r>
        <w:rPr>
          <w:rFonts w:ascii="宋体" w:hAnsi="宋体" w:cs="宋体" w:eastAsia="宋体" w:hint="default"/>
          <w:spacing w:val="-59"/>
          <w:sz w:val="22"/>
          <w:szCs w:val="22"/>
        </w:rPr>
        <w:t> </w:t>
      </w:r>
      <w:r>
        <w:rPr>
          <w:rFonts w:ascii="宋体" w:hAnsi="宋体" w:cs="宋体" w:eastAsia="宋体" w:hint="default"/>
          <w:sz w:val="22"/>
          <w:szCs w:val="22"/>
        </w:rPr>
        <w:t>10.3%，为晶源电子第二大股东。</w:t>
      </w:r>
    </w:p>
    <w:p>
      <w:pPr>
        <w:spacing w:line="324" w:lineRule="auto" w:before="103"/>
        <w:ind w:left="138" w:right="0" w:firstLine="440"/>
        <w:jc w:val="left"/>
        <w:rPr>
          <w:rFonts w:ascii="宋体" w:hAnsi="宋体" w:cs="宋体" w:eastAsia="宋体" w:hint="default"/>
          <w:sz w:val="22"/>
          <w:szCs w:val="22"/>
        </w:rPr>
      </w:pPr>
      <w:r>
        <w:rPr>
          <w:rFonts w:ascii="宋体" w:hAnsi="宋体" w:cs="宋体" w:eastAsia="宋体" w:hint="default"/>
          <w:spacing w:val="5"/>
          <w:sz w:val="22"/>
          <w:szCs w:val="22"/>
        </w:rPr>
        <w:t>晶源电子属于电子元器件制造业，生产和销售压电石英晶体器件。企业法人营业执照号为</w:t>
      </w:r>
      <w:r>
        <w:rPr>
          <w:rFonts w:ascii="宋体" w:hAnsi="宋体" w:cs="宋体" w:eastAsia="宋体" w:hint="default"/>
          <w:spacing w:val="5"/>
          <w:w w:val="99"/>
          <w:sz w:val="22"/>
          <w:szCs w:val="22"/>
        </w:rPr>
        <w:t> </w:t>
      </w:r>
      <w:r>
        <w:rPr>
          <w:rFonts w:ascii="宋体" w:hAnsi="宋体" w:cs="宋体" w:eastAsia="宋体" w:hint="default"/>
          <w:sz w:val="22"/>
          <w:szCs w:val="22"/>
        </w:rPr>
        <w:t>130000000000406；法定代表人为陆致成；晶源电子注册地址为河北省玉田县无终西街</w:t>
      </w:r>
      <w:r>
        <w:rPr>
          <w:rFonts w:ascii="宋体" w:hAnsi="宋体" w:cs="宋体" w:eastAsia="宋体" w:hint="default"/>
          <w:spacing w:val="-65"/>
          <w:sz w:val="22"/>
          <w:szCs w:val="22"/>
        </w:rPr>
        <w:t> </w:t>
      </w:r>
      <w:r>
        <w:rPr>
          <w:rFonts w:ascii="宋体" w:hAnsi="宋体" w:cs="宋体" w:eastAsia="宋体" w:hint="default"/>
          <w:sz w:val="22"/>
          <w:szCs w:val="22"/>
        </w:rPr>
        <w:t>3129</w:t>
      </w:r>
      <w:r>
        <w:rPr>
          <w:rFonts w:ascii="宋体" w:hAnsi="宋体" w:cs="宋体" w:eastAsia="宋体" w:hint="default"/>
          <w:spacing w:val="-65"/>
          <w:sz w:val="22"/>
          <w:szCs w:val="22"/>
        </w:rPr>
        <w:t> </w:t>
      </w:r>
      <w:r>
        <w:rPr>
          <w:rFonts w:ascii="宋体" w:hAnsi="宋体" w:cs="宋体" w:eastAsia="宋体" w:hint="default"/>
          <w:sz w:val="22"/>
          <w:szCs w:val="22"/>
        </w:rPr>
        <w:t>号。</w:t>
      </w:r>
    </w:p>
    <w:p>
      <w:pPr>
        <w:spacing w:before="103"/>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购买日为</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28</w:t>
      </w:r>
      <w:r>
        <w:rPr>
          <w:rFonts w:ascii="宋体" w:hAnsi="宋体" w:cs="宋体" w:eastAsia="宋体" w:hint="default"/>
          <w:spacing w:val="-57"/>
          <w:sz w:val="22"/>
          <w:szCs w:val="22"/>
        </w:rPr>
        <w:t> </w:t>
      </w:r>
      <w:r>
        <w:rPr>
          <w:rFonts w:ascii="宋体" w:hAnsi="宋体" w:cs="宋体" w:eastAsia="宋体" w:hint="default"/>
          <w:sz w:val="22"/>
          <w:szCs w:val="22"/>
        </w:rPr>
        <w:t>日，确定依据为：</w:t>
      </w:r>
    </w:p>
    <w:p>
      <w:pPr>
        <w:spacing w:before="180"/>
        <w:ind w:left="70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企业合并合同或协议已获股东大会通过；</w:t>
      </w:r>
    </w:p>
    <w:p>
      <w:pPr>
        <w:spacing w:line="324" w:lineRule="auto" w:before="180"/>
        <w:ind w:left="139" w:right="142"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7"/>
          <w:sz w:val="22"/>
          <w:szCs w:val="22"/>
        </w:rPr>
        <w:t> </w:t>
      </w:r>
      <w:r>
        <w:rPr>
          <w:rFonts w:ascii="宋体" w:hAnsi="宋体" w:cs="宋体" w:eastAsia="宋体" w:hint="default"/>
          <w:sz w:val="22"/>
          <w:szCs w:val="22"/>
        </w:rPr>
        <w:t>已获中国证券监督管理委员会《关于核准同方股份有限公司向唐山晶源科技有限公司发</w:t>
      </w:r>
      <w:r>
        <w:rPr>
          <w:rFonts w:ascii="宋体" w:hAnsi="宋体" w:cs="宋体" w:eastAsia="宋体" w:hint="default"/>
          <w:w w:val="99"/>
          <w:sz w:val="22"/>
          <w:szCs w:val="22"/>
        </w:rPr>
        <w:t> </w:t>
      </w:r>
      <w:r>
        <w:rPr>
          <w:rFonts w:ascii="宋体" w:hAnsi="宋体" w:cs="宋体" w:eastAsia="宋体" w:hint="default"/>
          <w:sz w:val="22"/>
          <w:szCs w:val="22"/>
        </w:rPr>
        <w:t>行股份购买资产的批复》(证监许可[2010]320</w:t>
      </w:r>
      <w:r>
        <w:rPr>
          <w:rFonts w:ascii="宋体" w:hAnsi="宋体" w:cs="宋体" w:eastAsia="宋体" w:hint="default"/>
          <w:spacing w:val="-11"/>
          <w:sz w:val="22"/>
          <w:szCs w:val="22"/>
        </w:rPr>
        <w:t> </w:t>
      </w:r>
      <w:r>
        <w:rPr>
          <w:rFonts w:ascii="宋体" w:hAnsi="宋体" w:cs="宋体" w:eastAsia="宋体" w:hint="default"/>
          <w:sz w:val="22"/>
          <w:szCs w:val="22"/>
        </w:rPr>
        <w:t>号)的批准；</w:t>
      </w:r>
    </w:p>
    <w:p>
      <w:pPr>
        <w:spacing w:line="324" w:lineRule="auto" w:before="103"/>
        <w:ind w:left="139" w:right="138" w:firstLine="567"/>
        <w:jc w:val="both"/>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2010</w:t>
      </w:r>
      <w:r>
        <w:rPr>
          <w:rFonts w:ascii="宋体" w:hAnsi="宋体" w:cs="宋体" w:eastAsia="宋体"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36"/>
          <w:sz w:val="22"/>
          <w:szCs w:val="22"/>
        </w:rPr>
        <w:t> </w:t>
      </w:r>
      <w:r>
        <w:rPr>
          <w:rFonts w:ascii="宋体" w:hAnsi="宋体" w:cs="宋体" w:eastAsia="宋体" w:hint="default"/>
          <w:sz w:val="22"/>
          <w:szCs w:val="22"/>
        </w:rPr>
        <w:t>6</w:t>
      </w:r>
      <w:r>
        <w:rPr>
          <w:rFonts w:ascii="宋体" w:hAnsi="宋体" w:cs="宋体" w:eastAsia="宋体"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36"/>
          <w:sz w:val="22"/>
          <w:szCs w:val="22"/>
        </w:rPr>
        <w:t> </w:t>
      </w:r>
      <w:r>
        <w:rPr>
          <w:rFonts w:ascii="宋体" w:hAnsi="宋体" w:cs="宋体" w:eastAsia="宋体" w:hint="default"/>
          <w:sz w:val="22"/>
          <w:szCs w:val="22"/>
        </w:rPr>
        <w:t>29</w:t>
      </w:r>
      <w:r>
        <w:rPr>
          <w:rFonts w:ascii="宋体" w:hAnsi="宋体" w:cs="宋体" w:eastAsia="宋体" w:hint="default"/>
          <w:spacing w:val="-3"/>
          <w:sz w:val="22"/>
          <w:szCs w:val="22"/>
        </w:rPr>
        <w:t> </w:t>
      </w:r>
      <w:r>
        <w:rPr>
          <w:rFonts w:ascii="宋体" w:hAnsi="宋体" w:cs="宋体" w:eastAsia="宋体" w:hint="default"/>
          <w:sz w:val="22"/>
          <w:szCs w:val="22"/>
        </w:rPr>
        <w:t>日，公司收到中国证券登记结算公司深圳分公司出具的《证券过户登</w:t>
      </w:r>
      <w:r>
        <w:rPr>
          <w:rFonts w:ascii="宋体" w:hAnsi="宋体" w:cs="宋体" w:eastAsia="宋体" w:hint="default"/>
          <w:w w:val="99"/>
          <w:sz w:val="22"/>
          <w:szCs w:val="22"/>
        </w:rPr>
        <w:t> </w:t>
      </w:r>
      <w:r>
        <w:rPr>
          <w:rFonts w:ascii="宋体" w:hAnsi="宋体" w:cs="宋体" w:eastAsia="宋体" w:hint="default"/>
          <w:spacing w:val="-1"/>
          <w:w w:val="99"/>
          <w:sz w:val="22"/>
          <w:szCs w:val="22"/>
        </w:rPr>
        <w:t>记确认书》，公司受让唐山晶源裕丰电子股份有限公司原控股股东唐山晶源科技有限公司持有的</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z w:val="22"/>
          <w:szCs w:val="22"/>
        </w:rPr>
        <w:t>晶源电子</w:t>
      </w:r>
      <w:r>
        <w:rPr>
          <w:rFonts w:ascii="宋体" w:hAnsi="宋体" w:cs="宋体" w:eastAsia="宋体" w:hint="default"/>
          <w:spacing w:val="-45"/>
          <w:sz w:val="22"/>
          <w:szCs w:val="22"/>
        </w:rPr>
        <w:t> </w:t>
      </w:r>
      <w:r>
        <w:rPr>
          <w:rFonts w:ascii="宋体" w:hAnsi="宋体" w:cs="宋体" w:eastAsia="宋体" w:hint="default"/>
          <w:sz w:val="22"/>
          <w:szCs w:val="22"/>
        </w:rPr>
        <w:t>3,375</w:t>
      </w:r>
      <w:r>
        <w:rPr>
          <w:rFonts w:ascii="宋体" w:hAnsi="宋体" w:cs="宋体" w:eastAsia="宋体" w:hint="default"/>
          <w:spacing w:val="-45"/>
          <w:sz w:val="22"/>
          <w:szCs w:val="22"/>
        </w:rPr>
        <w:t> </w:t>
      </w:r>
      <w:r>
        <w:rPr>
          <w:rFonts w:ascii="宋体" w:hAnsi="宋体" w:cs="宋体" w:eastAsia="宋体" w:hint="default"/>
          <w:sz w:val="22"/>
          <w:szCs w:val="22"/>
        </w:rPr>
        <w:t>万股股份（占该公司股本总额的</w:t>
      </w:r>
      <w:r>
        <w:rPr>
          <w:rFonts w:ascii="宋体" w:hAnsi="宋体" w:cs="宋体" w:eastAsia="宋体" w:hint="default"/>
          <w:spacing w:val="-45"/>
          <w:sz w:val="22"/>
          <w:szCs w:val="22"/>
        </w:rPr>
        <w:t> </w:t>
      </w:r>
      <w:r>
        <w:rPr>
          <w:rFonts w:ascii="宋体" w:hAnsi="宋体" w:cs="宋体" w:eastAsia="宋体" w:hint="default"/>
          <w:sz w:val="22"/>
          <w:szCs w:val="22"/>
        </w:rPr>
        <w:t>25%）已于</w:t>
      </w:r>
      <w:r>
        <w:rPr>
          <w:rFonts w:ascii="宋体" w:hAnsi="宋体" w:cs="宋体" w:eastAsia="宋体" w:hint="default"/>
          <w:spacing w:val="-45"/>
          <w:sz w:val="22"/>
          <w:szCs w:val="22"/>
        </w:rPr>
        <w:t> </w:t>
      </w:r>
      <w:r>
        <w:rPr>
          <w:rFonts w:ascii="宋体" w:hAnsi="宋体" w:cs="宋体" w:eastAsia="宋体" w:hint="default"/>
          <w:sz w:val="22"/>
          <w:szCs w:val="22"/>
        </w:rPr>
        <w:t>2010</w:t>
      </w:r>
      <w:r>
        <w:rPr>
          <w:rFonts w:ascii="宋体" w:hAnsi="宋体" w:cs="宋体" w:eastAsia="宋体"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6</w:t>
      </w:r>
      <w:r>
        <w:rPr>
          <w:rFonts w:ascii="宋体" w:hAnsi="宋体" w:cs="宋体" w:eastAsia="宋体"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宋体" w:hAnsi="宋体" w:cs="宋体" w:eastAsia="宋体" w:hint="default"/>
          <w:sz w:val="22"/>
          <w:szCs w:val="22"/>
        </w:rPr>
        <w:t>28</w:t>
      </w:r>
      <w:r>
        <w:rPr>
          <w:rFonts w:ascii="宋体" w:hAnsi="宋体" w:cs="宋体" w:eastAsia="宋体" w:hint="default"/>
          <w:spacing w:val="-3"/>
          <w:sz w:val="22"/>
          <w:szCs w:val="22"/>
        </w:rPr>
        <w:t> </w:t>
      </w:r>
      <w:r>
        <w:rPr>
          <w:rFonts w:ascii="宋体" w:hAnsi="宋体" w:cs="宋体" w:eastAsia="宋体" w:hint="default"/>
          <w:sz w:val="22"/>
          <w:szCs w:val="22"/>
        </w:rPr>
        <w:t>日完成过户登记手</w:t>
      </w:r>
      <w:r>
        <w:rPr>
          <w:rFonts w:ascii="宋体" w:hAnsi="宋体" w:cs="宋体" w:eastAsia="宋体" w:hint="default"/>
          <w:w w:val="99"/>
          <w:sz w:val="22"/>
          <w:szCs w:val="22"/>
        </w:rPr>
        <w:t> </w:t>
      </w:r>
      <w:r>
        <w:rPr>
          <w:rFonts w:ascii="宋体" w:hAnsi="宋体" w:cs="宋体" w:eastAsia="宋体" w:hint="default"/>
          <w:sz w:val="22"/>
          <w:szCs w:val="22"/>
        </w:rPr>
        <w:t>续；</w:t>
      </w:r>
    </w:p>
    <w:p>
      <w:pPr>
        <w:spacing w:line="324" w:lineRule="auto" w:before="103"/>
        <w:ind w:left="139" w:right="141" w:firstLine="567"/>
        <w:jc w:val="both"/>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
          <w:sz w:val="22"/>
          <w:szCs w:val="22"/>
        </w:rPr>
        <w:t>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7</w:t>
      </w:r>
      <w:r>
        <w:rPr>
          <w:rFonts w:ascii="宋体" w:hAnsi="宋体" w:cs="宋体" w:eastAsia="宋体"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15</w:t>
      </w:r>
      <w:r>
        <w:rPr>
          <w:rFonts w:ascii="宋体" w:hAnsi="宋体" w:cs="宋体" w:eastAsia="宋体" w:hint="default"/>
          <w:spacing w:val="-5"/>
          <w:sz w:val="22"/>
          <w:szCs w:val="22"/>
        </w:rPr>
        <w:t> </w:t>
      </w:r>
      <w:r>
        <w:rPr>
          <w:rFonts w:ascii="宋体" w:hAnsi="宋体" w:cs="宋体" w:eastAsia="宋体" w:hint="default"/>
          <w:sz w:val="22"/>
          <w:szCs w:val="22"/>
        </w:rPr>
        <w:t>日，信永中和会计师事务所出具</w:t>
      </w:r>
      <w:r>
        <w:rPr>
          <w:rFonts w:ascii="宋体" w:hAnsi="宋体" w:cs="宋体" w:eastAsia="宋体" w:hint="default"/>
          <w:spacing w:val="-58"/>
          <w:sz w:val="22"/>
          <w:szCs w:val="22"/>
        </w:rPr>
        <w:t> </w:t>
      </w:r>
      <w:r>
        <w:rPr>
          <w:rFonts w:ascii="宋体" w:hAnsi="宋体" w:cs="宋体" w:eastAsia="宋体" w:hint="default"/>
          <w:sz w:val="22"/>
          <w:szCs w:val="22"/>
        </w:rPr>
        <w:t>XYZH/2009A8014Y</w:t>
      </w:r>
      <w:r>
        <w:rPr>
          <w:rFonts w:ascii="宋体" w:hAnsi="宋体" w:cs="宋体" w:eastAsia="宋体" w:hint="default"/>
          <w:spacing w:val="-5"/>
          <w:sz w:val="22"/>
          <w:szCs w:val="22"/>
        </w:rPr>
        <w:t> </w:t>
      </w:r>
      <w:r>
        <w:rPr>
          <w:rFonts w:ascii="宋体" w:hAnsi="宋体" w:cs="宋体" w:eastAsia="宋体" w:hint="default"/>
          <w:sz w:val="22"/>
          <w:szCs w:val="22"/>
        </w:rPr>
        <w:t>号验资报告，对公</w:t>
      </w:r>
      <w:r>
        <w:rPr>
          <w:rFonts w:ascii="宋体" w:hAnsi="宋体" w:cs="宋体" w:eastAsia="宋体" w:hint="default"/>
          <w:w w:val="99"/>
          <w:sz w:val="22"/>
          <w:szCs w:val="22"/>
        </w:rPr>
        <w:t> </w:t>
      </w:r>
      <w:r>
        <w:rPr>
          <w:rFonts w:ascii="宋体" w:hAnsi="宋体" w:cs="宋体" w:eastAsia="宋体" w:hint="default"/>
          <w:sz w:val="22"/>
          <w:szCs w:val="22"/>
        </w:rPr>
        <w:t>司本次交易所涉及的新增股份验资事项进行了审验；</w:t>
      </w:r>
    </w:p>
    <w:p>
      <w:pPr>
        <w:spacing w:before="103"/>
        <w:ind w:left="706"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3"/>
          <w:sz w:val="22"/>
          <w:szCs w:val="22"/>
        </w:rPr>
        <w:t> </w:t>
      </w:r>
      <w:r>
        <w:rPr>
          <w:rFonts w:ascii="宋体" w:hAnsi="宋体" w:cs="宋体" w:eastAsia="宋体" w:hint="default"/>
          <w:sz w:val="22"/>
          <w:szCs w:val="22"/>
        </w:rPr>
        <w:t>本公司已于</w:t>
      </w:r>
      <w:r>
        <w:rPr>
          <w:rFonts w:ascii="宋体" w:hAnsi="宋体" w:cs="宋体" w:eastAsia="宋体" w:hint="default"/>
          <w:spacing w:val="-60"/>
          <w:sz w:val="22"/>
          <w:szCs w:val="22"/>
        </w:rPr>
        <w:t> </w:t>
      </w:r>
      <w:r>
        <w:rPr>
          <w:rFonts w:ascii="宋体" w:hAnsi="宋体" w:cs="宋体" w:eastAsia="宋体" w:hint="default"/>
          <w:sz w:val="22"/>
          <w:szCs w:val="22"/>
        </w:rPr>
        <w:t>2010</w:t>
      </w:r>
      <w:r>
        <w:rPr>
          <w:rFonts w:ascii="宋体" w:hAnsi="宋体" w:cs="宋体" w:eastAsia="宋体"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宋体" w:hAnsi="宋体" w:cs="宋体" w:eastAsia="宋体" w:hint="default"/>
          <w:sz w:val="22"/>
          <w:szCs w:val="22"/>
        </w:rPr>
        <w:t>7</w:t>
      </w:r>
      <w:r>
        <w:rPr>
          <w:rFonts w:ascii="宋体" w:hAnsi="宋体" w:cs="宋体" w:eastAsia="宋体"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宋体" w:hAnsi="宋体" w:cs="宋体" w:eastAsia="宋体" w:hint="default"/>
          <w:sz w:val="22"/>
          <w:szCs w:val="22"/>
        </w:rPr>
        <w:t>22</w:t>
      </w:r>
      <w:r>
        <w:rPr>
          <w:rFonts w:ascii="宋体" w:hAnsi="宋体" w:cs="宋体" w:eastAsia="宋体" w:hint="default"/>
          <w:spacing w:val="-3"/>
          <w:sz w:val="22"/>
          <w:szCs w:val="22"/>
        </w:rPr>
        <w:t> </w:t>
      </w:r>
      <w:r>
        <w:rPr>
          <w:rFonts w:ascii="宋体" w:hAnsi="宋体" w:cs="宋体" w:eastAsia="宋体" w:hint="default"/>
          <w:sz w:val="22"/>
          <w:szCs w:val="22"/>
        </w:rPr>
        <w:t>日收到中国登记结算公司上海分公司出具的证券变更登记</w:t>
      </w:r>
    </w:p>
    <w:p>
      <w:pPr>
        <w:spacing w:line="324" w:lineRule="auto" w:before="102"/>
        <w:ind w:left="139" w:right="141" w:firstLine="0"/>
        <w:jc w:val="both"/>
        <w:rPr>
          <w:rFonts w:ascii="宋体" w:hAnsi="宋体" w:cs="宋体" w:eastAsia="宋体" w:hint="default"/>
          <w:sz w:val="22"/>
          <w:szCs w:val="22"/>
        </w:rPr>
      </w:pPr>
      <w:r>
        <w:rPr>
          <w:rFonts w:ascii="宋体" w:hAnsi="宋体" w:cs="宋体" w:eastAsia="宋体" w:hint="default"/>
          <w:sz w:val="22"/>
          <w:szCs w:val="22"/>
        </w:rPr>
        <w:t>证明，本公司向唐山晶源科技有限公司发行的</w:t>
      </w:r>
      <w:r>
        <w:rPr>
          <w:rFonts w:ascii="宋体" w:hAnsi="宋体" w:cs="宋体" w:eastAsia="宋体" w:hint="default"/>
          <w:spacing w:val="-59"/>
          <w:sz w:val="22"/>
          <w:szCs w:val="22"/>
        </w:rPr>
        <w:t> </w:t>
      </w:r>
      <w:r>
        <w:rPr>
          <w:rFonts w:ascii="宋体" w:hAnsi="宋体" w:cs="宋体" w:eastAsia="宋体" w:hint="default"/>
          <w:sz w:val="22"/>
          <w:szCs w:val="22"/>
        </w:rPr>
        <w:t>1,688</w:t>
      </w:r>
      <w:r>
        <w:rPr>
          <w:rFonts w:ascii="宋体" w:hAnsi="宋体" w:cs="宋体" w:eastAsia="宋体" w:hint="default"/>
          <w:spacing w:val="-9"/>
          <w:sz w:val="22"/>
          <w:szCs w:val="22"/>
        </w:rPr>
        <w:t> </w:t>
      </w:r>
      <w:r>
        <w:rPr>
          <w:rFonts w:ascii="宋体" w:hAnsi="宋体" w:cs="宋体" w:eastAsia="宋体" w:hint="default"/>
          <w:sz w:val="22"/>
          <w:szCs w:val="22"/>
        </w:rPr>
        <w:t>万股已于</w:t>
      </w:r>
      <w:r>
        <w:rPr>
          <w:rFonts w:ascii="宋体" w:hAnsi="宋体" w:cs="宋体" w:eastAsia="宋体" w:hint="default"/>
          <w:spacing w:val="-60"/>
          <w:sz w:val="22"/>
          <w:szCs w:val="22"/>
        </w:rPr>
        <w:t> </w:t>
      </w:r>
      <w:r>
        <w:rPr>
          <w:rFonts w:ascii="宋体" w:hAnsi="宋体" w:cs="宋体" w:eastAsia="宋体" w:hint="default"/>
          <w:sz w:val="22"/>
          <w:szCs w:val="22"/>
        </w:rPr>
        <w:t>2010</w:t>
      </w:r>
      <w:r>
        <w:rPr>
          <w:rFonts w:ascii="宋体" w:hAnsi="宋体" w:cs="宋体" w:eastAsia="宋体"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7</w:t>
      </w:r>
      <w:r>
        <w:rPr>
          <w:rFonts w:ascii="宋体" w:hAnsi="宋体" w:cs="宋体" w:eastAsia="宋体"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21</w:t>
      </w:r>
      <w:r>
        <w:rPr>
          <w:rFonts w:ascii="宋体" w:hAnsi="宋体" w:cs="宋体" w:eastAsia="宋体" w:hint="default"/>
          <w:spacing w:val="-9"/>
          <w:sz w:val="22"/>
          <w:szCs w:val="22"/>
        </w:rPr>
        <w:t> </w:t>
      </w:r>
      <w:r>
        <w:rPr>
          <w:rFonts w:ascii="宋体" w:hAnsi="宋体" w:cs="宋体" w:eastAsia="宋体" w:hint="default"/>
          <w:sz w:val="22"/>
          <w:szCs w:val="22"/>
        </w:rPr>
        <w:t>日完成相关的证</w:t>
      </w:r>
      <w:r>
        <w:rPr>
          <w:rFonts w:ascii="宋体" w:hAnsi="宋体" w:cs="宋体" w:eastAsia="宋体" w:hint="default"/>
          <w:w w:val="99"/>
          <w:sz w:val="22"/>
          <w:szCs w:val="22"/>
        </w:rPr>
        <w:t> </w:t>
      </w:r>
      <w:r>
        <w:rPr>
          <w:rFonts w:ascii="宋体" w:hAnsi="宋体" w:cs="宋体" w:eastAsia="宋体" w:hint="default"/>
          <w:sz w:val="22"/>
          <w:szCs w:val="22"/>
        </w:rPr>
        <w:t>券登记手续；</w:t>
      </w:r>
    </w:p>
    <w:p>
      <w:pPr>
        <w:spacing w:line="324" w:lineRule="auto" w:before="103"/>
        <w:ind w:left="139" w:right="141" w:firstLine="567"/>
        <w:jc w:val="both"/>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56"/>
          <w:sz w:val="22"/>
          <w:szCs w:val="22"/>
        </w:rPr>
        <w:t> </w:t>
      </w:r>
      <w:r>
        <w:rPr>
          <w:rFonts w:ascii="宋体" w:hAnsi="宋体" w:cs="宋体" w:eastAsia="宋体" w:hint="default"/>
          <w:sz w:val="22"/>
          <w:szCs w:val="22"/>
        </w:rPr>
        <w:t>本公司实际上已经控制了唐山晶源裕丰电子股份有限公司的财务和经营政策，并享有相</w:t>
      </w:r>
      <w:r>
        <w:rPr>
          <w:rFonts w:ascii="宋体" w:hAnsi="宋体" w:cs="宋体" w:eastAsia="宋体" w:hint="default"/>
          <w:w w:val="99"/>
          <w:sz w:val="22"/>
          <w:szCs w:val="22"/>
        </w:rPr>
        <w:t> </w:t>
      </w:r>
      <w:r>
        <w:rPr>
          <w:rFonts w:ascii="宋体" w:hAnsi="宋体" w:cs="宋体" w:eastAsia="宋体" w:hint="default"/>
          <w:sz w:val="22"/>
          <w:szCs w:val="22"/>
        </w:rPr>
        <w:t>应的收益和风险。</w:t>
      </w:r>
    </w:p>
    <w:p>
      <w:pPr>
        <w:spacing w:before="103"/>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公司对晶源电子的投资成本为发行的权益性证券的公允价值（本公司定向发行的</w:t>
      </w:r>
      <w:r>
        <w:rPr>
          <w:rFonts w:ascii="宋体" w:hAnsi="宋体" w:cs="宋体" w:eastAsia="宋体" w:hint="default"/>
          <w:spacing w:val="46"/>
          <w:sz w:val="22"/>
          <w:szCs w:val="22"/>
        </w:rPr>
        <w:t> </w:t>
      </w:r>
      <w:r>
        <w:rPr>
          <w:rFonts w:ascii="宋体" w:hAnsi="宋体" w:cs="宋体" w:eastAsia="宋体" w:hint="default"/>
          <w:sz w:val="22"/>
          <w:szCs w:val="22"/>
        </w:rPr>
        <w:t>1688</w:t>
      </w:r>
    </w:p>
    <w:p>
      <w:pPr>
        <w:spacing w:before="102"/>
        <w:ind w:left="139" w:right="0" w:firstLine="0"/>
        <w:jc w:val="both"/>
        <w:rPr>
          <w:rFonts w:ascii="宋体" w:hAnsi="宋体" w:cs="宋体" w:eastAsia="宋体" w:hint="default"/>
          <w:sz w:val="22"/>
          <w:szCs w:val="22"/>
        </w:rPr>
      </w:pPr>
      <w:r>
        <w:rPr>
          <w:rFonts w:ascii="宋体" w:hAnsi="宋体" w:cs="宋体" w:eastAsia="宋体" w:hint="default"/>
          <w:sz w:val="22"/>
          <w:szCs w:val="22"/>
        </w:rPr>
        <w:t>万股限售股份，经北京天健兴业资产评估有限公司所出具的天兴评报字（2010）第</w:t>
      </w:r>
      <w:r>
        <w:rPr>
          <w:rFonts w:ascii="宋体" w:hAnsi="宋体" w:cs="宋体" w:eastAsia="宋体" w:hint="default"/>
          <w:spacing w:val="-86"/>
          <w:sz w:val="22"/>
          <w:szCs w:val="22"/>
        </w:rPr>
        <w:t> </w:t>
      </w:r>
      <w:r>
        <w:rPr>
          <w:rFonts w:ascii="宋体" w:hAnsi="宋体" w:cs="宋体" w:eastAsia="宋体" w:hint="default"/>
          <w:sz w:val="22"/>
          <w:szCs w:val="22"/>
        </w:rPr>
        <w:t>279</w:t>
      </w:r>
      <w:r>
        <w:rPr>
          <w:rFonts w:ascii="宋体" w:hAnsi="宋体" w:cs="宋体" w:eastAsia="宋体" w:hint="default"/>
          <w:spacing w:val="-86"/>
          <w:sz w:val="22"/>
          <w:szCs w:val="22"/>
        </w:rPr>
        <w:t> </w:t>
      </w:r>
      <w:r>
        <w:rPr>
          <w:rFonts w:ascii="宋体" w:hAnsi="宋体" w:cs="宋体" w:eastAsia="宋体" w:hint="default"/>
          <w:sz w:val="22"/>
          <w:szCs w:val="22"/>
        </w:rPr>
        <w:t>号评估报</w:t>
      </w:r>
    </w:p>
    <w:p>
      <w:pPr>
        <w:spacing w:before="102"/>
        <w:ind w:left="139" w:right="0" w:firstLine="0"/>
        <w:jc w:val="both"/>
        <w:rPr>
          <w:rFonts w:ascii="宋体" w:hAnsi="宋体" w:cs="宋体" w:eastAsia="宋体" w:hint="default"/>
          <w:sz w:val="22"/>
          <w:szCs w:val="22"/>
        </w:rPr>
      </w:pPr>
      <w:r>
        <w:rPr>
          <w:rFonts w:ascii="宋体" w:hAnsi="宋体" w:cs="宋体" w:eastAsia="宋体" w:hint="default"/>
          <w:w w:val="99"/>
          <w:sz w:val="22"/>
          <w:szCs w:val="22"/>
        </w:rPr>
        <w:t>告评估确认其价值为</w:t>
      </w:r>
      <w:r>
        <w:rPr>
          <w:rFonts w:ascii="宋体" w:hAnsi="宋体" w:cs="宋体" w:eastAsia="宋体" w:hint="default"/>
          <w:spacing w:val="-21"/>
          <w:sz w:val="22"/>
          <w:szCs w:val="22"/>
        </w:rPr>
        <w:t> </w:t>
      </w:r>
      <w:r>
        <w:rPr>
          <w:rFonts w:ascii="宋体" w:hAnsi="宋体" w:cs="宋体" w:eastAsia="宋体" w:hint="default"/>
          <w:w w:val="99"/>
          <w:sz w:val="22"/>
          <w:szCs w:val="22"/>
        </w:rPr>
        <w:t>30,25</w:t>
      </w:r>
      <w:r>
        <w:rPr>
          <w:rFonts w:ascii="宋体" w:hAnsi="宋体" w:cs="宋体" w:eastAsia="宋体" w:hint="default"/>
          <w:spacing w:val="-1"/>
          <w:w w:val="99"/>
          <w:sz w:val="22"/>
          <w:szCs w:val="22"/>
        </w:rPr>
        <w:t>7</w:t>
      </w:r>
      <w:r>
        <w:rPr>
          <w:rFonts w:ascii="宋体" w:hAnsi="宋体" w:cs="宋体" w:eastAsia="宋体" w:hint="default"/>
          <w:w w:val="99"/>
          <w:sz w:val="22"/>
          <w:szCs w:val="22"/>
        </w:rPr>
        <w:t>.57</w:t>
      </w:r>
      <w:r>
        <w:rPr>
          <w:rFonts w:ascii="宋体" w:hAnsi="宋体" w:cs="宋体" w:eastAsia="宋体" w:hint="default"/>
          <w:spacing w:val="-20"/>
          <w:sz w:val="22"/>
          <w:szCs w:val="22"/>
        </w:rPr>
        <w:t> </w:t>
      </w:r>
      <w:r>
        <w:rPr>
          <w:rFonts w:ascii="宋体" w:hAnsi="宋体" w:cs="宋体" w:eastAsia="宋体" w:hint="default"/>
          <w:spacing w:val="-2"/>
          <w:w w:val="99"/>
          <w:sz w:val="22"/>
          <w:szCs w:val="22"/>
        </w:rPr>
        <w:t>万</w:t>
      </w:r>
      <w:r>
        <w:rPr>
          <w:rFonts w:ascii="宋体" w:hAnsi="宋体" w:cs="宋体" w:eastAsia="宋体" w:hint="default"/>
          <w:w w:val="99"/>
          <w:sz w:val="22"/>
          <w:szCs w:val="22"/>
        </w:rPr>
        <w:t>元</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w:t>
      </w:r>
      <w:r>
        <w:rPr>
          <w:rFonts w:ascii="宋体" w:hAnsi="宋体" w:cs="宋体" w:eastAsia="宋体" w:hint="default"/>
          <w:w w:val="99"/>
          <w:sz w:val="22"/>
          <w:szCs w:val="22"/>
        </w:rPr>
        <w:t>基于</w:t>
      </w:r>
      <w:r>
        <w:rPr>
          <w:rFonts w:ascii="宋体" w:hAnsi="宋体" w:cs="宋体" w:eastAsia="宋体" w:hint="default"/>
          <w:spacing w:val="1"/>
          <w:w w:val="99"/>
          <w:sz w:val="22"/>
          <w:szCs w:val="22"/>
        </w:rPr>
        <w:t>重</w:t>
      </w:r>
      <w:r>
        <w:rPr>
          <w:rFonts w:ascii="宋体" w:hAnsi="宋体" w:cs="宋体" w:eastAsia="宋体" w:hint="default"/>
          <w:w w:val="99"/>
          <w:sz w:val="22"/>
          <w:szCs w:val="22"/>
        </w:rPr>
        <w:t>要性原</w:t>
      </w:r>
      <w:r>
        <w:rPr>
          <w:rFonts w:ascii="宋体" w:hAnsi="宋体" w:cs="宋体" w:eastAsia="宋体" w:hint="default"/>
          <w:spacing w:val="1"/>
          <w:w w:val="99"/>
          <w:sz w:val="22"/>
          <w:szCs w:val="22"/>
        </w:rPr>
        <w:t>则及</w:t>
      </w:r>
      <w:r>
        <w:rPr>
          <w:rFonts w:ascii="宋体" w:hAnsi="宋体" w:cs="宋体" w:eastAsia="宋体" w:hint="default"/>
          <w:w w:val="99"/>
          <w:sz w:val="22"/>
          <w:szCs w:val="22"/>
        </w:rPr>
        <w:t>成本效</w:t>
      </w:r>
      <w:r>
        <w:rPr>
          <w:rFonts w:ascii="宋体" w:hAnsi="宋体" w:cs="宋体" w:eastAsia="宋体" w:hint="default"/>
          <w:spacing w:val="1"/>
          <w:w w:val="99"/>
          <w:sz w:val="22"/>
          <w:szCs w:val="22"/>
        </w:rPr>
        <w:t>益原</w:t>
      </w:r>
      <w:r>
        <w:rPr>
          <w:rFonts w:ascii="宋体" w:hAnsi="宋体" w:cs="宋体" w:eastAsia="宋体" w:hint="default"/>
          <w:w w:val="99"/>
          <w:sz w:val="22"/>
          <w:szCs w:val="22"/>
        </w:rPr>
        <w:t>则，晶</w:t>
      </w:r>
      <w:r>
        <w:rPr>
          <w:rFonts w:ascii="宋体" w:hAnsi="宋体" w:cs="宋体" w:eastAsia="宋体" w:hint="default"/>
          <w:spacing w:val="1"/>
          <w:w w:val="99"/>
          <w:sz w:val="22"/>
          <w:szCs w:val="22"/>
        </w:rPr>
        <w:t>源电</w:t>
      </w:r>
      <w:r>
        <w:rPr>
          <w:rFonts w:ascii="宋体" w:hAnsi="宋体" w:cs="宋体" w:eastAsia="宋体" w:hint="default"/>
          <w:w w:val="99"/>
          <w:sz w:val="22"/>
          <w:szCs w:val="22"/>
        </w:rPr>
        <w:t>子可辨</w:t>
      </w:r>
      <w:r>
        <w:rPr>
          <w:rFonts w:ascii="宋体" w:hAnsi="宋体" w:cs="宋体" w:eastAsia="宋体" w:hint="default"/>
          <w:spacing w:val="1"/>
          <w:w w:val="99"/>
          <w:sz w:val="22"/>
          <w:szCs w:val="22"/>
        </w:rPr>
        <w:t>认资</w:t>
      </w:r>
      <w:r>
        <w:rPr>
          <w:rFonts w:ascii="宋体" w:hAnsi="宋体" w:cs="宋体" w:eastAsia="宋体" w:hint="default"/>
          <w:w w:val="99"/>
          <w:sz w:val="22"/>
          <w:szCs w:val="22"/>
        </w:rPr>
        <w:t>产</w:t>
      </w:r>
      <w:r>
        <w:rPr>
          <w:rFonts w:ascii="宋体" w:hAnsi="宋体" w:cs="宋体" w:eastAsia="宋体" w:hint="default"/>
          <w:sz w:val="22"/>
          <w:szCs w:val="22"/>
        </w:rPr>
      </w:r>
    </w:p>
    <w:p>
      <w:pPr>
        <w:spacing w:before="102"/>
        <w:ind w:left="139" w:right="0" w:firstLine="0"/>
        <w:jc w:val="both"/>
        <w:rPr>
          <w:rFonts w:ascii="宋体" w:hAnsi="宋体" w:cs="宋体" w:eastAsia="宋体" w:hint="default"/>
          <w:sz w:val="22"/>
          <w:szCs w:val="22"/>
        </w:rPr>
      </w:pPr>
      <w:r>
        <w:rPr>
          <w:rFonts w:ascii="宋体" w:hAnsi="宋体" w:cs="宋体" w:eastAsia="宋体" w:hint="default"/>
          <w:sz w:val="22"/>
          <w:szCs w:val="22"/>
        </w:rPr>
        <w:t>的公允价值与其账面价值相比，两者之间的差额不具重要性，视同晶源电子</w:t>
      </w:r>
      <w:r>
        <w:rPr>
          <w:rFonts w:ascii="宋体" w:hAnsi="宋体" w:cs="宋体" w:eastAsia="宋体" w:hint="default"/>
          <w:spacing w:val="-39"/>
          <w:sz w:val="22"/>
          <w:szCs w:val="22"/>
        </w:rPr>
        <w:t> </w:t>
      </w:r>
      <w:r>
        <w:rPr>
          <w:rFonts w:ascii="宋体" w:hAnsi="宋体" w:cs="宋体" w:eastAsia="宋体" w:hint="default"/>
          <w:sz w:val="22"/>
          <w:szCs w:val="22"/>
        </w:rPr>
        <w:t>6</w:t>
      </w:r>
      <w:r>
        <w:rPr>
          <w:rFonts w:ascii="宋体" w:hAnsi="宋体" w:cs="宋体" w:eastAsia="宋体" w:hint="default"/>
          <w:spacing w:val="-39"/>
          <w:sz w:val="22"/>
          <w:szCs w:val="22"/>
        </w:rPr>
        <w:t> </w:t>
      </w:r>
      <w:r>
        <w:rPr>
          <w:rFonts w:ascii="宋体" w:hAnsi="宋体" w:cs="宋体" w:eastAsia="宋体" w:hint="default"/>
          <w:sz w:val="22"/>
          <w:szCs w:val="22"/>
        </w:rPr>
        <w:t>月</w:t>
      </w:r>
      <w:r>
        <w:rPr>
          <w:rFonts w:ascii="宋体" w:hAnsi="宋体" w:cs="宋体" w:eastAsia="宋体" w:hint="default"/>
          <w:spacing w:val="-39"/>
          <w:sz w:val="22"/>
          <w:szCs w:val="22"/>
        </w:rPr>
        <w:t> </w:t>
      </w:r>
      <w:r>
        <w:rPr>
          <w:rFonts w:ascii="宋体" w:hAnsi="宋体" w:cs="宋体" w:eastAsia="宋体" w:hint="default"/>
          <w:sz w:val="22"/>
          <w:szCs w:val="22"/>
        </w:rPr>
        <w:t>28</w:t>
      </w:r>
      <w:r>
        <w:rPr>
          <w:rFonts w:ascii="宋体" w:hAnsi="宋体" w:cs="宋体" w:eastAsia="宋体" w:hint="default"/>
          <w:spacing w:val="-39"/>
          <w:sz w:val="22"/>
          <w:szCs w:val="22"/>
        </w:rPr>
        <w:t> </w:t>
      </w:r>
      <w:r>
        <w:rPr>
          <w:rFonts w:ascii="宋体" w:hAnsi="宋体" w:cs="宋体" w:eastAsia="宋体" w:hint="default"/>
          <w:sz w:val="22"/>
          <w:szCs w:val="22"/>
        </w:rPr>
        <w:t>日净资产的</w:t>
      </w:r>
    </w:p>
    <w:p>
      <w:pPr>
        <w:spacing w:line="324" w:lineRule="auto" w:before="102"/>
        <w:ind w:left="139" w:right="140" w:firstLine="0"/>
        <w:jc w:val="both"/>
        <w:rPr>
          <w:rFonts w:ascii="宋体" w:hAnsi="宋体" w:cs="宋体" w:eastAsia="宋体" w:hint="default"/>
          <w:sz w:val="22"/>
          <w:szCs w:val="22"/>
        </w:rPr>
      </w:pPr>
      <w:r>
        <w:rPr>
          <w:rFonts w:ascii="宋体" w:hAnsi="宋体" w:cs="宋体" w:eastAsia="宋体" w:hint="default"/>
          <w:sz w:val="22"/>
          <w:szCs w:val="22"/>
        </w:rPr>
        <w:t>账面价值即为其公允价值，合并成本与所享有的公允价值之间的差额 197,863,279.07</w:t>
      </w:r>
      <w:r>
        <w:rPr>
          <w:rFonts w:ascii="宋体" w:hAnsi="宋体" w:cs="宋体" w:eastAsia="宋体" w:hint="default"/>
          <w:spacing w:val="-54"/>
          <w:sz w:val="22"/>
          <w:szCs w:val="22"/>
        </w:rPr>
        <w:t> </w:t>
      </w:r>
      <w:r>
        <w:rPr>
          <w:rFonts w:ascii="宋体" w:hAnsi="宋体" w:cs="宋体" w:eastAsia="宋体" w:hint="default"/>
          <w:sz w:val="22"/>
          <w:szCs w:val="22"/>
        </w:rPr>
        <w:t>元确认为</w:t>
      </w:r>
      <w:r>
        <w:rPr>
          <w:rFonts w:ascii="宋体" w:hAnsi="宋体" w:cs="宋体" w:eastAsia="宋体" w:hint="default"/>
          <w:w w:val="99"/>
          <w:sz w:val="22"/>
          <w:szCs w:val="22"/>
        </w:rPr>
        <w:t> </w:t>
      </w:r>
      <w:r>
        <w:rPr>
          <w:rFonts w:ascii="宋体" w:hAnsi="宋体" w:cs="宋体" w:eastAsia="宋体" w:hint="default"/>
          <w:sz w:val="22"/>
          <w:szCs w:val="22"/>
        </w:rPr>
        <w:t>商誉。</w:t>
      </w:r>
    </w:p>
    <w:p>
      <w:pPr>
        <w:spacing w:after="0" w:line="324" w:lineRule="auto"/>
        <w:jc w:val="both"/>
        <w:rPr>
          <w:rFonts w:ascii="宋体" w:hAnsi="宋体" w:cs="宋体" w:eastAsia="宋体" w:hint="default"/>
          <w:sz w:val="22"/>
          <w:szCs w:val="22"/>
        </w:rPr>
        <w:sectPr>
          <w:headerReference w:type="default" r:id="rId38"/>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8"/>
          <w:sz w:val="22"/>
          <w:szCs w:val="22"/>
        </w:rPr>
        <w:t> </w:t>
      </w:r>
      <w:r>
        <w:rPr>
          <w:rFonts w:ascii="宋体" w:hAnsi="宋体" w:cs="宋体" w:eastAsia="宋体" w:hint="default"/>
          <w:sz w:val="22"/>
          <w:szCs w:val="22"/>
        </w:rPr>
        <w:t>晶源电子</w:t>
      </w:r>
      <w:r>
        <w:rPr>
          <w:rFonts w:ascii="宋体" w:hAnsi="宋体" w:cs="宋体" w:eastAsia="宋体" w:hint="default"/>
          <w:spacing w:val="-57"/>
          <w:sz w:val="22"/>
          <w:szCs w:val="22"/>
        </w:rPr>
        <w:t> </w:t>
      </w:r>
      <w:r>
        <w:rPr>
          <w:rFonts w:ascii="宋体" w:hAnsi="宋体" w:cs="宋体" w:eastAsia="宋体" w:hint="default"/>
          <w:sz w:val="22"/>
          <w:szCs w:val="22"/>
        </w:rPr>
        <w:t>2009</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30</w:t>
      </w:r>
      <w:r>
        <w:rPr>
          <w:rFonts w:ascii="宋体" w:hAnsi="宋体" w:cs="宋体" w:eastAsia="宋体" w:hint="default"/>
          <w:spacing w:val="-57"/>
          <w:sz w:val="22"/>
          <w:szCs w:val="22"/>
        </w:rPr>
        <w:t> </w:t>
      </w:r>
      <w:r>
        <w:rPr>
          <w:rFonts w:ascii="宋体" w:hAnsi="宋体" w:cs="宋体" w:eastAsia="宋体" w:hint="default"/>
          <w:sz w:val="22"/>
          <w:szCs w:val="22"/>
        </w:rPr>
        <w:t>日的资产负债情况：</w:t>
      </w:r>
    </w:p>
    <w:p>
      <w:pPr>
        <w:spacing w:line="240" w:lineRule="auto" w:before="5"/>
        <w:rPr>
          <w:rFonts w:ascii="宋体" w:hAnsi="宋体" w:cs="宋体" w:eastAsia="宋体" w:hint="default"/>
          <w:sz w:val="12"/>
          <w:szCs w:val="12"/>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8633;height:2" coordorigin="15,15" coordsize="8633,2">
              <v:shape style="position:absolute;left:15;top:15;width:8633;height:2" coordorigin="15,15" coordsize="8633,0" path="m15,15l8648,15e" filled="false" stroked="true" strokeweight="1.5pt" strokecolor="#000000">
                <v:path arrowok="t"/>
              </v:shape>
            </v:group>
          </v:group>
        </w:pict>
      </w:r>
      <w:r>
        <w:rPr>
          <w:rFonts w:ascii="宋体" w:hAnsi="宋体" w:cs="宋体" w:eastAsia="宋体" w:hint="default"/>
          <w:position w:val="0"/>
          <w:sz w:val="3"/>
          <w:szCs w:val="3"/>
        </w:rPr>
      </w:r>
    </w:p>
    <w:p>
      <w:pPr>
        <w:tabs>
          <w:tab w:pos="6780" w:val="left" w:leader="none"/>
        </w:tabs>
        <w:spacing w:line="174" w:lineRule="exact" w:before="0"/>
        <w:ind w:left="3758" w:right="0" w:firstLine="0"/>
        <w:jc w:val="left"/>
        <w:rPr>
          <w:rFonts w:ascii="宋体" w:hAnsi="宋体" w:cs="宋体" w:eastAsia="宋体" w:hint="default"/>
          <w:sz w:val="18"/>
          <w:szCs w:val="18"/>
        </w:rPr>
      </w:pPr>
      <w:r>
        <w:rPr>
          <w:rFonts w:ascii="宋体" w:hAnsi="宋体" w:cs="宋体" w:eastAsia="宋体" w:hint="default"/>
          <w:b/>
          <w:bCs/>
          <w:spacing w:val="15"/>
          <w:sz w:val="18"/>
          <w:szCs w:val="18"/>
        </w:rPr>
        <w:t>2010年6</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pacing w:val="15"/>
          <w:sz w:val="18"/>
          <w:szCs w:val="18"/>
        </w:rPr>
        <w:t>30日</w:t>
        <w:tab/>
      </w:r>
      <w:r>
        <w:rPr>
          <w:rFonts w:ascii="宋体" w:hAnsi="宋体" w:cs="宋体" w:eastAsia="宋体" w:hint="default"/>
          <w:b/>
          <w:bCs/>
          <w:spacing w:val="9"/>
          <w:sz w:val="18"/>
          <w:szCs w:val="18"/>
        </w:rPr>
        <w:t>2009年</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12月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184" w:lineRule="exact" w:before="0"/>
        <w:ind w:left="1489" w:right="0" w:firstLine="0"/>
        <w:jc w:val="left"/>
        <w:rPr>
          <w:rFonts w:ascii="宋体" w:hAnsi="宋体" w:cs="宋体" w:eastAsia="宋体" w:hint="default"/>
          <w:sz w:val="18"/>
          <w:szCs w:val="18"/>
        </w:rPr>
      </w:pPr>
      <w:r>
        <w:rPr/>
        <w:pict>
          <v:shape style="position:absolute;margin-left:84.779999pt;margin-top:5.703362pt;width:432pt;height:73.8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3"/>
                    <w:gridCol w:w="1570"/>
                    <w:gridCol w:w="1534"/>
                    <w:gridCol w:w="1534"/>
                    <w:gridCol w:w="1499"/>
                  </w:tblGrid>
                  <w:tr>
                    <w:trPr>
                      <w:trHeight w:val="293" w:hRule="exact"/>
                    </w:trPr>
                    <w:tc>
                      <w:tcPr>
                        <w:tcW w:w="2503" w:type="dxa"/>
                        <w:tcBorders>
                          <w:top w:val="nil" w:sz="6" w:space="0" w:color="auto"/>
                          <w:left w:val="nil" w:sz="6" w:space="0" w:color="auto"/>
                          <w:bottom w:val="single" w:sz="4" w:space="0" w:color="000000"/>
                          <w:right w:val="nil" w:sz="6" w:space="0" w:color="auto"/>
                        </w:tcBorders>
                      </w:tcPr>
                      <w:p>
                        <w:pP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41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9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r>
                  <w:tr>
                    <w:trPr>
                      <w:trHeight w:val="283" w:hRule="exact"/>
                    </w:trPr>
                    <w:tc>
                      <w:tcPr>
                        <w:tcW w:w="2503"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26" w:lineRule="exact"/>
                          <w:ind w:right="135"/>
                          <w:jc w:val="right"/>
                          <w:rPr>
                            <w:rFonts w:ascii="宋体" w:hAnsi="宋体" w:cs="宋体" w:eastAsia="宋体" w:hint="default"/>
                            <w:sz w:val="18"/>
                            <w:szCs w:val="18"/>
                          </w:rPr>
                        </w:pPr>
                        <w:r>
                          <w:rPr>
                            <w:rFonts w:ascii="宋体"/>
                            <w:sz w:val="18"/>
                          </w:rPr>
                          <w:t>501,318,674.68</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26" w:lineRule="exact"/>
                          <w:ind w:right="134"/>
                          <w:jc w:val="right"/>
                          <w:rPr>
                            <w:rFonts w:ascii="宋体" w:hAnsi="宋体" w:cs="宋体" w:eastAsia="宋体" w:hint="default"/>
                            <w:sz w:val="18"/>
                            <w:szCs w:val="18"/>
                          </w:rPr>
                        </w:pPr>
                        <w:r>
                          <w:rPr>
                            <w:rFonts w:ascii="宋体"/>
                            <w:sz w:val="18"/>
                          </w:rPr>
                          <w:t>501,318,674.68</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26" w:lineRule="exact"/>
                          <w:ind w:right="134"/>
                          <w:jc w:val="right"/>
                          <w:rPr>
                            <w:rFonts w:ascii="宋体" w:hAnsi="宋体" w:cs="宋体" w:eastAsia="宋体" w:hint="default"/>
                            <w:sz w:val="18"/>
                            <w:szCs w:val="18"/>
                          </w:rPr>
                        </w:pPr>
                        <w:r>
                          <w:rPr>
                            <w:rFonts w:ascii="宋体"/>
                            <w:sz w:val="18"/>
                          </w:rPr>
                          <w:t>489,493,869.89</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sz w:val="18"/>
                          </w:rPr>
                          <w:t>489,493,869.89</w:t>
                        </w:r>
                      </w:p>
                    </w:tc>
                  </w:tr>
                  <w:tr>
                    <w:trPr>
                      <w:trHeight w:val="283"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67,436,058.63</w:t>
                        </w:r>
                      </w:p>
                    </w:tc>
                    <w:tc>
                      <w:tcPr>
                        <w:tcW w:w="1534" w:type="dxa"/>
                        <w:tcBorders>
                          <w:top w:val="nil" w:sz="6" w:space="0" w:color="auto"/>
                          <w:left w:val="nil" w:sz="6" w:space="0" w:color="auto"/>
                          <w:bottom w:val="nil" w:sz="6" w:space="0" w:color="auto"/>
                          <w:right w:val="nil" w:sz="6" w:space="0" w:color="auto"/>
                        </w:tcBorders>
                      </w:tcPr>
                      <w:p>
                        <w:pPr>
                          <w:pStyle w:val="TableParagraph"/>
                          <w:spacing w:line="232" w:lineRule="exact"/>
                          <w:ind w:right="134"/>
                          <w:jc w:val="right"/>
                          <w:rPr>
                            <w:rFonts w:ascii="宋体" w:hAnsi="宋体" w:cs="宋体" w:eastAsia="宋体" w:hint="default"/>
                            <w:sz w:val="18"/>
                            <w:szCs w:val="18"/>
                          </w:rPr>
                        </w:pPr>
                        <w:r>
                          <w:rPr>
                            <w:rFonts w:ascii="宋体"/>
                            <w:sz w:val="18"/>
                          </w:rPr>
                          <w:t>67,436,058.63</w:t>
                        </w:r>
                      </w:p>
                    </w:tc>
                    <w:tc>
                      <w:tcPr>
                        <w:tcW w:w="1534" w:type="dxa"/>
                        <w:tcBorders>
                          <w:top w:val="nil" w:sz="6" w:space="0" w:color="auto"/>
                          <w:left w:val="nil" w:sz="6" w:space="0" w:color="auto"/>
                          <w:bottom w:val="nil" w:sz="6" w:space="0" w:color="auto"/>
                          <w:right w:val="nil" w:sz="6" w:space="0" w:color="auto"/>
                        </w:tcBorders>
                      </w:tcPr>
                      <w:p>
                        <w:pPr>
                          <w:pStyle w:val="TableParagraph"/>
                          <w:spacing w:line="232" w:lineRule="exact"/>
                          <w:ind w:right="134"/>
                          <w:jc w:val="right"/>
                          <w:rPr>
                            <w:rFonts w:ascii="宋体" w:hAnsi="宋体" w:cs="宋体" w:eastAsia="宋体" w:hint="default"/>
                            <w:sz w:val="18"/>
                            <w:szCs w:val="18"/>
                          </w:rPr>
                        </w:pPr>
                        <w:r>
                          <w:rPr>
                            <w:rFonts w:ascii="宋体"/>
                            <w:sz w:val="18"/>
                          </w:rPr>
                          <w:t>64,400,141.03</w:t>
                        </w:r>
                      </w:p>
                    </w:tc>
                    <w:tc>
                      <w:tcPr>
                        <w:tcW w:w="1499"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64,400,141.03</w:t>
                        </w:r>
                      </w:p>
                    </w:tc>
                  </w:tr>
                  <w:tr>
                    <w:trPr>
                      <w:trHeight w:val="283"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570" w:type="dxa"/>
                        <w:tcBorders>
                          <w:top w:val="nil" w:sz="6" w:space="0" w:color="auto"/>
                          <w:left w:val="nil" w:sz="6" w:space="0" w:color="auto"/>
                          <w:bottom w:val="nil" w:sz="6" w:space="0" w:color="auto"/>
                          <w:right w:val="nil" w:sz="6" w:space="0" w:color="auto"/>
                        </w:tcBorders>
                      </w:tcPr>
                      <w:p>
                        <w:pPr>
                          <w:pStyle w:val="TableParagraph"/>
                          <w:spacing w:line="231" w:lineRule="exact"/>
                          <w:ind w:right="135"/>
                          <w:jc w:val="right"/>
                          <w:rPr>
                            <w:rFonts w:ascii="宋体" w:hAnsi="宋体" w:cs="宋体" w:eastAsia="宋体" w:hint="default"/>
                            <w:sz w:val="18"/>
                            <w:szCs w:val="18"/>
                          </w:rPr>
                        </w:pPr>
                        <w:r>
                          <w:rPr>
                            <w:rFonts w:ascii="宋体"/>
                            <w:sz w:val="18"/>
                          </w:rPr>
                          <w:t>433,882,616.05</w:t>
                        </w:r>
                      </w:p>
                    </w:tc>
                    <w:tc>
                      <w:tcPr>
                        <w:tcW w:w="1534" w:type="dxa"/>
                        <w:tcBorders>
                          <w:top w:val="nil" w:sz="6" w:space="0" w:color="auto"/>
                          <w:left w:val="nil" w:sz="6" w:space="0" w:color="auto"/>
                          <w:bottom w:val="nil" w:sz="6" w:space="0" w:color="auto"/>
                          <w:right w:val="nil" w:sz="6" w:space="0" w:color="auto"/>
                        </w:tcBorders>
                      </w:tcPr>
                      <w:p>
                        <w:pPr>
                          <w:pStyle w:val="TableParagraph"/>
                          <w:spacing w:line="231" w:lineRule="exact"/>
                          <w:ind w:right="134"/>
                          <w:jc w:val="right"/>
                          <w:rPr>
                            <w:rFonts w:ascii="宋体" w:hAnsi="宋体" w:cs="宋体" w:eastAsia="宋体" w:hint="default"/>
                            <w:sz w:val="18"/>
                            <w:szCs w:val="18"/>
                          </w:rPr>
                        </w:pPr>
                        <w:r>
                          <w:rPr>
                            <w:rFonts w:ascii="宋体"/>
                            <w:sz w:val="18"/>
                          </w:rPr>
                          <w:t>433,882,616.05</w:t>
                        </w:r>
                      </w:p>
                    </w:tc>
                    <w:tc>
                      <w:tcPr>
                        <w:tcW w:w="1534" w:type="dxa"/>
                        <w:tcBorders>
                          <w:top w:val="nil" w:sz="6" w:space="0" w:color="auto"/>
                          <w:left w:val="nil" w:sz="6" w:space="0" w:color="auto"/>
                          <w:bottom w:val="nil" w:sz="6" w:space="0" w:color="auto"/>
                          <w:right w:val="nil" w:sz="6" w:space="0" w:color="auto"/>
                        </w:tcBorders>
                      </w:tcPr>
                      <w:p>
                        <w:pPr>
                          <w:pStyle w:val="TableParagraph"/>
                          <w:spacing w:line="231" w:lineRule="exact"/>
                          <w:ind w:right="134"/>
                          <w:jc w:val="right"/>
                          <w:rPr>
                            <w:rFonts w:ascii="宋体" w:hAnsi="宋体" w:cs="宋体" w:eastAsia="宋体" w:hint="default"/>
                            <w:sz w:val="18"/>
                            <w:szCs w:val="18"/>
                          </w:rPr>
                        </w:pPr>
                        <w:r>
                          <w:rPr>
                            <w:rFonts w:ascii="宋体"/>
                            <w:sz w:val="18"/>
                          </w:rPr>
                          <w:t>425,093,728.86</w:t>
                        </w:r>
                      </w:p>
                    </w:tc>
                    <w:tc>
                      <w:tcPr>
                        <w:tcW w:w="1499"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pacing w:val="-1"/>
                            <w:sz w:val="18"/>
                          </w:rPr>
                          <w:t>425,093,728.86</w:t>
                        </w:r>
                      </w:p>
                    </w:tc>
                  </w:tr>
                  <w:tr>
                    <w:trPr>
                      <w:trHeight w:val="304" w:hRule="exact"/>
                    </w:trPr>
                    <w:tc>
                      <w:tcPr>
                        <w:tcW w:w="2503"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70" w:type="dxa"/>
                        <w:tcBorders>
                          <w:top w:val="nil" w:sz="6" w:space="0" w:color="auto"/>
                          <w:left w:val="nil" w:sz="6" w:space="0" w:color="auto"/>
                          <w:bottom w:val="single" w:sz="12" w:space="0" w:color="000000"/>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418,849,683.71</w:t>
                        </w:r>
                      </w:p>
                    </w:tc>
                    <w:tc>
                      <w:tcPr>
                        <w:tcW w:w="1534" w:type="dxa"/>
                        <w:tcBorders>
                          <w:top w:val="nil" w:sz="6" w:space="0" w:color="auto"/>
                          <w:left w:val="nil" w:sz="6" w:space="0" w:color="auto"/>
                          <w:bottom w:val="single" w:sz="12" w:space="0" w:color="000000"/>
                          <w:right w:val="nil" w:sz="6" w:space="0" w:color="auto"/>
                        </w:tcBorders>
                      </w:tcPr>
                      <w:p>
                        <w:pPr>
                          <w:pStyle w:val="TableParagraph"/>
                          <w:spacing w:line="232" w:lineRule="exact"/>
                          <w:ind w:right="134"/>
                          <w:jc w:val="right"/>
                          <w:rPr>
                            <w:rFonts w:ascii="宋体" w:hAnsi="宋体" w:cs="宋体" w:eastAsia="宋体" w:hint="default"/>
                            <w:sz w:val="18"/>
                            <w:szCs w:val="18"/>
                          </w:rPr>
                        </w:pPr>
                        <w:r>
                          <w:rPr>
                            <w:rFonts w:ascii="宋体"/>
                            <w:sz w:val="18"/>
                          </w:rPr>
                          <w:t>418,849,683.71</w:t>
                        </w:r>
                      </w:p>
                    </w:tc>
                    <w:tc>
                      <w:tcPr>
                        <w:tcW w:w="1534" w:type="dxa"/>
                        <w:tcBorders>
                          <w:top w:val="nil" w:sz="6" w:space="0" w:color="auto"/>
                          <w:left w:val="nil" w:sz="6" w:space="0" w:color="auto"/>
                          <w:bottom w:val="single" w:sz="12" w:space="0" w:color="000000"/>
                          <w:right w:val="nil" w:sz="6" w:space="0" w:color="auto"/>
                        </w:tcBorders>
                      </w:tcPr>
                      <w:p>
                        <w:pPr>
                          <w:pStyle w:val="TableParagraph"/>
                          <w:spacing w:line="232" w:lineRule="exact"/>
                          <w:ind w:right="134"/>
                          <w:jc w:val="right"/>
                          <w:rPr>
                            <w:rFonts w:ascii="宋体" w:hAnsi="宋体" w:cs="宋体" w:eastAsia="宋体" w:hint="default"/>
                            <w:sz w:val="18"/>
                            <w:szCs w:val="18"/>
                          </w:rPr>
                        </w:pPr>
                        <w:r>
                          <w:rPr>
                            <w:rFonts w:ascii="宋体"/>
                            <w:sz w:val="18"/>
                          </w:rPr>
                          <w:t>410,987,819.00</w:t>
                        </w:r>
                      </w:p>
                    </w:tc>
                    <w:tc>
                      <w:tcPr>
                        <w:tcW w:w="1499" w:type="dxa"/>
                        <w:tcBorders>
                          <w:top w:val="nil" w:sz="6" w:space="0" w:color="auto"/>
                          <w:left w:val="nil" w:sz="6" w:space="0" w:color="auto"/>
                          <w:bottom w:val="single" w:sz="12"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410,987,819.00</w:t>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6"/>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8"/>
          <w:sz w:val="22"/>
          <w:szCs w:val="22"/>
        </w:rPr>
        <w:t> </w:t>
      </w:r>
      <w:r>
        <w:rPr>
          <w:rFonts w:ascii="宋体" w:hAnsi="宋体" w:cs="宋体" w:eastAsia="宋体" w:hint="default"/>
          <w:sz w:val="22"/>
          <w:szCs w:val="22"/>
        </w:rPr>
        <w:t>晶源电子</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30</w:t>
      </w:r>
      <w:r>
        <w:rPr>
          <w:rFonts w:ascii="宋体" w:hAnsi="宋体" w:cs="宋体" w:eastAsia="宋体" w:hint="default"/>
          <w:spacing w:val="-57"/>
          <w:sz w:val="22"/>
          <w:szCs w:val="22"/>
        </w:rPr>
        <w:t> </w:t>
      </w:r>
      <w:r>
        <w:rPr>
          <w:rFonts w:ascii="宋体" w:hAnsi="宋体" w:cs="宋体" w:eastAsia="宋体" w:hint="default"/>
          <w:sz w:val="22"/>
          <w:szCs w:val="22"/>
        </w:rPr>
        <w:t>日-2010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日的经营情况：</w:t>
      </w:r>
    </w:p>
    <w:p>
      <w:pPr>
        <w:spacing w:line="240" w:lineRule="auto" w:before="8"/>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3978"/>
        <w:gridCol w:w="4660"/>
      </w:tblGrid>
      <w:tr>
        <w:trPr>
          <w:trHeight w:val="303" w:hRule="exact"/>
        </w:trPr>
        <w:tc>
          <w:tcPr>
            <w:tcW w:w="397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4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6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3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82" w:hRule="exact"/>
        </w:trPr>
        <w:tc>
          <w:tcPr>
            <w:tcW w:w="397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660" w:type="dxa"/>
            <w:tcBorders>
              <w:top w:val="single" w:sz="4" w:space="0" w:color="000000"/>
              <w:left w:val="nil" w:sz="6" w:space="0" w:color="auto"/>
              <w:bottom w:val="nil" w:sz="6" w:space="0" w:color="auto"/>
              <w:right w:val="nil" w:sz="6" w:space="0" w:color="auto"/>
            </w:tcBorders>
          </w:tcPr>
          <w:p>
            <w:pPr>
              <w:pStyle w:val="TableParagraph"/>
              <w:spacing w:line="226" w:lineRule="exact"/>
              <w:ind w:right="1867"/>
              <w:jc w:val="right"/>
              <w:rPr>
                <w:rFonts w:ascii="宋体" w:hAnsi="宋体" w:cs="宋体" w:eastAsia="宋体" w:hint="default"/>
                <w:sz w:val="18"/>
                <w:szCs w:val="18"/>
              </w:rPr>
            </w:pPr>
            <w:r>
              <w:rPr>
                <w:rFonts w:ascii="宋体"/>
                <w:sz w:val="18"/>
              </w:rPr>
              <w:t>174,809,786.48</w:t>
            </w:r>
          </w:p>
        </w:tc>
      </w:tr>
      <w:tr>
        <w:trPr>
          <w:trHeight w:val="283"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660" w:type="dxa"/>
            <w:tcBorders>
              <w:top w:val="nil" w:sz="6" w:space="0" w:color="auto"/>
              <w:left w:val="nil" w:sz="6" w:space="0" w:color="auto"/>
              <w:bottom w:val="nil" w:sz="6" w:space="0" w:color="auto"/>
              <w:right w:val="nil" w:sz="6" w:space="0" w:color="auto"/>
            </w:tcBorders>
          </w:tcPr>
          <w:p>
            <w:pPr>
              <w:pStyle w:val="TableParagraph"/>
              <w:spacing w:line="232" w:lineRule="exact"/>
              <w:ind w:right="1867"/>
              <w:jc w:val="right"/>
              <w:rPr>
                <w:rFonts w:ascii="宋体" w:hAnsi="宋体" w:cs="宋体" w:eastAsia="宋体" w:hint="default"/>
                <w:sz w:val="18"/>
                <w:szCs w:val="18"/>
              </w:rPr>
            </w:pPr>
            <w:r>
              <w:rPr>
                <w:rFonts w:ascii="宋体"/>
                <w:sz w:val="18"/>
              </w:rPr>
              <w:t>15,437,162.42</w:t>
            </w:r>
          </w:p>
        </w:tc>
      </w:tr>
      <w:tr>
        <w:trPr>
          <w:trHeight w:val="283"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660" w:type="dxa"/>
            <w:tcBorders>
              <w:top w:val="nil" w:sz="6" w:space="0" w:color="auto"/>
              <w:left w:val="nil" w:sz="6" w:space="0" w:color="auto"/>
              <w:bottom w:val="nil" w:sz="6" w:space="0" w:color="auto"/>
              <w:right w:val="nil" w:sz="6" w:space="0" w:color="auto"/>
            </w:tcBorders>
          </w:tcPr>
          <w:p>
            <w:pPr>
              <w:pStyle w:val="TableParagraph"/>
              <w:spacing w:line="232" w:lineRule="exact"/>
              <w:ind w:right="1867"/>
              <w:jc w:val="right"/>
              <w:rPr>
                <w:rFonts w:ascii="宋体" w:hAnsi="宋体" w:cs="宋体" w:eastAsia="宋体" w:hint="default"/>
                <w:sz w:val="18"/>
                <w:szCs w:val="18"/>
              </w:rPr>
            </w:pPr>
            <w:r>
              <w:rPr>
                <w:rFonts w:ascii="宋体"/>
                <w:sz w:val="18"/>
              </w:rPr>
              <w:t>14,892,592.95</w:t>
            </w:r>
          </w:p>
        </w:tc>
      </w:tr>
      <w:tr>
        <w:trPr>
          <w:trHeight w:val="283"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4660" w:type="dxa"/>
            <w:tcBorders>
              <w:top w:val="nil" w:sz="6" w:space="0" w:color="auto"/>
              <w:left w:val="nil" w:sz="6" w:space="0" w:color="auto"/>
              <w:bottom w:val="nil" w:sz="6" w:space="0" w:color="auto"/>
              <w:right w:val="nil" w:sz="6" w:space="0" w:color="auto"/>
            </w:tcBorders>
          </w:tcPr>
          <w:p>
            <w:pPr>
              <w:pStyle w:val="TableParagraph"/>
              <w:spacing w:line="232" w:lineRule="exact"/>
              <w:ind w:right="1867"/>
              <w:jc w:val="right"/>
              <w:rPr>
                <w:rFonts w:ascii="宋体" w:hAnsi="宋体" w:cs="宋体" w:eastAsia="宋体" w:hint="default"/>
                <w:sz w:val="18"/>
                <w:szCs w:val="18"/>
              </w:rPr>
            </w:pPr>
            <w:r>
              <w:rPr>
                <w:rFonts w:ascii="宋体"/>
                <w:sz w:val="18"/>
              </w:rPr>
              <w:t>17,197,070.45</w:t>
            </w:r>
          </w:p>
        </w:tc>
      </w:tr>
      <w:tr>
        <w:trPr>
          <w:trHeight w:val="303" w:hRule="exact"/>
        </w:trPr>
        <w:tc>
          <w:tcPr>
            <w:tcW w:w="3978"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净现金流量</w:t>
            </w:r>
          </w:p>
        </w:tc>
        <w:tc>
          <w:tcPr>
            <w:tcW w:w="4660" w:type="dxa"/>
            <w:tcBorders>
              <w:top w:val="nil" w:sz="6" w:space="0" w:color="auto"/>
              <w:left w:val="nil" w:sz="6" w:space="0" w:color="auto"/>
              <w:bottom w:val="single" w:sz="12" w:space="0" w:color="000000"/>
              <w:right w:val="nil" w:sz="6" w:space="0" w:color="auto"/>
            </w:tcBorders>
          </w:tcPr>
          <w:p>
            <w:pPr>
              <w:pStyle w:val="TableParagraph"/>
              <w:spacing w:line="232" w:lineRule="exact"/>
              <w:ind w:right="1867"/>
              <w:jc w:val="right"/>
              <w:rPr>
                <w:rFonts w:ascii="宋体" w:hAnsi="宋体" w:cs="宋体" w:eastAsia="宋体" w:hint="default"/>
                <w:sz w:val="18"/>
                <w:szCs w:val="18"/>
              </w:rPr>
            </w:pPr>
            <w:r>
              <w:rPr>
                <w:rFonts w:ascii="宋体"/>
                <w:sz w:val="18"/>
              </w:rPr>
              <w:t>41,249,814.69</w:t>
            </w:r>
          </w:p>
        </w:tc>
      </w:tr>
    </w:tbl>
    <w:p>
      <w:pPr>
        <w:pStyle w:val="Heading3"/>
        <w:tabs>
          <w:tab w:pos="1398" w:val="left" w:leader="none"/>
        </w:tabs>
        <w:spacing w:line="240" w:lineRule="auto" w:before="63"/>
        <w:ind w:left="620" w:right="0"/>
        <w:jc w:val="left"/>
        <w:rPr>
          <w:b w:val="0"/>
          <w:bCs w:val="0"/>
        </w:rPr>
      </w:pPr>
      <w:bookmarkStart w:name="八、 合并财务报表主要项目注释 " w:id="11"/>
      <w:bookmarkEnd w:id="11"/>
      <w:r>
        <w:rPr>
          <w:b w:val="0"/>
          <w:bCs w:val="0"/>
        </w:rPr>
      </w:r>
      <w:r>
        <w:rPr>
          <w:w w:val="95"/>
        </w:rPr>
        <w:t>八、</w:t>
        <w:tab/>
      </w:r>
      <w:r>
        <w:rPr/>
        <w:t>合并财务报表主要项目注释</w:t>
      </w:r>
      <w:r>
        <w:rPr>
          <w:b w:val="0"/>
          <w:bCs w:val="0"/>
        </w:rPr>
      </w:r>
    </w:p>
    <w:p>
      <w:pPr>
        <w:spacing w:before="170"/>
        <w:ind w:left="578" w:right="0" w:firstLine="0"/>
        <w:jc w:val="left"/>
        <w:rPr>
          <w:rFonts w:ascii="宋体" w:hAnsi="宋体" w:cs="宋体" w:eastAsia="宋体" w:hint="default"/>
          <w:sz w:val="22"/>
          <w:szCs w:val="22"/>
        </w:rPr>
      </w:pPr>
      <w:r>
        <w:rPr>
          <w:rFonts w:ascii="宋体" w:hAnsi="宋体" w:cs="宋体" w:eastAsia="宋体" w:hint="default"/>
          <w:sz w:val="22"/>
          <w:szCs w:val="22"/>
        </w:rPr>
        <w:t>下列所披露的财务报表数据，除特别注明之外，“年初”系指</w:t>
      </w:r>
      <w:r>
        <w:rPr>
          <w:rFonts w:ascii="宋体" w:hAnsi="宋体" w:cs="宋体" w:eastAsia="宋体" w:hint="default"/>
          <w:spacing w:val="-46"/>
          <w:sz w:val="22"/>
          <w:szCs w:val="22"/>
        </w:rPr>
        <w:t> </w:t>
      </w:r>
      <w:r>
        <w:rPr>
          <w:rFonts w:ascii="宋体" w:hAnsi="宋体" w:cs="宋体" w:eastAsia="宋体" w:hint="default"/>
          <w:sz w:val="22"/>
          <w:szCs w:val="22"/>
        </w:rPr>
        <w:t>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6"/>
          <w:sz w:val="22"/>
          <w:szCs w:val="22"/>
        </w:rPr>
        <w:t> </w:t>
      </w:r>
      <w:r>
        <w:rPr>
          <w:rFonts w:ascii="宋体" w:hAnsi="宋体" w:cs="宋体" w:eastAsia="宋体" w:hint="default"/>
          <w:sz w:val="22"/>
          <w:szCs w:val="22"/>
        </w:rPr>
        <w:t>日，“年末”</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系指</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pacing w:val="-3"/>
          <w:sz w:val="22"/>
          <w:szCs w:val="22"/>
        </w:rPr>
        <w:t>日，“本年”系指</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pacing w:val="-4"/>
          <w:sz w:val="22"/>
          <w:szCs w:val="22"/>
        </w:rPr>
        <w:t>日，“上年”</w:t>
      </w:r>
      <w:r>
        <w:rPr>
          <w:rFonts w:ascii="宋体" w:hAnsi="宋体" w:cs="宋体" w:eastAsia="宋体" w:hint="default"/>
          <w:spacing w:val="-1"/>
          <w:sz w:val="22"/>
          <w:szCs w:val="22"/>
        </w:rPr>
        <w:t> </w:t>
      </w:r>
      <w:r>
        <w:rPr>
          <w:rFonts w:ascii="宋体" w:hAnsi="宋体" w:cs="宋体" w:eastAsia="宋体" w:hint="default"/>
          <w:sz w:val="22"/>
          <w:szCs w:val="22"/>
        </w:rPr>
        <w:t>系指</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日，货币单位为人民币元。</w:t>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610" w:footer="784" w:top="1080" w:bottom="980" w:left="1280" w:right="1140"/>
        </w:sectPr>
      </w:pPr>
    </w:p>
    <w:p>
      <w:pPr>
        <w:tabs>
          <w:tab w:pos="1045" w:val="left" w:leader="none"/>
        </w:tabs>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w w:val="95"/>
          <w:sz w:val="22"/>
          <w:szCs w:val="22"/>
        </w:rPr>
        <w:t>货币资金</w:t>
      </w:r>
      <w:r>
        <w:rPr>
          <w:rFonts w:ascii="宋体" w:hAnsi="宋体" w:cs="宋体" w:eastAsia="宋体" w:hint="default"/>
          <w:sz w:val="22"/>
          <w:szCs w:val="22"/>
        </w:rPr>
      </w:r>
    </w:p>
    <w:p>
      <w:pPr>
        <w:spacing w:line="240" w:lineRule="auto" w:before="8"/>
        <w:rPr>
          <w:rFonts w:ascii="宋体" w:hAnsi="宋体" w:cs="宋体" w:eastAsia="宋体" w:hint="default"/>
          <w:sz w:val="19"/>
          <w:szCs w:val="19"/>
        </w:rPr>
      </w:pPr>
    </w:p>
    <w:p>
      <w:pPr>
        <w:spacing w:line="218" w:lineRule="exact" w:before="0"/>
        <w:ind w:left="388" w:right="0" w:firstLine="0"/>
        <w:jc w:val="left"/>
        <w:rPr>
          <w:rFonts w:ascii="宋体" w:hAnsi="宋体" w:cs="宋体" w:eastAsia="宋体" w:hint="default"/>
          <w:sz w:val="18"/>
          <w:szCs w:val="18"/>
        </w:rPr>
      </w:pPr>
      <w:r>
        <w:rPr/>
        <w:pict>
          <v:group style="position:absolute;margin-left:78.360001pt;margin-top:-4.757991pt;width:445.1pt;height:.1pt;mso-position-horizontal-relative:page;mso-position-vertical-relative:paragraph;z-index:2224" coordorigin="1567,-95" coordsize="8902,2">
            <v:shape style="position:absolute;left:1567;top:-95;width:8902;height:2" coordorigin="1567,-95" coordsize="8902,0" path="m1567,-95l10469,-95e" filled="false" stroked="true" strokeweight="1.5pt" strokecolor="#000000">
              <v:path arrowok="t"/>
            </v:shape>
            <w10:wrap type="none"/>
          </v:group>
        </w:pict>
      </w:r>
      <w:r>
        <w:rPr/>
        <w:pict>
          <v:group style="position:absolute;margin-left:106.440002pt;margin-top:10.392010pt;width:417pt;height:.1pt;mso-position-horizontal-relative:page;mso-position-vertical-relative:paragraph;z-index:2248" coordorigin="2129,208" coordsize="8340,2">
            <v:shape style="position:absolute;left:2129;top:208;width:8340;height:2" coordorigin="2129,208" coordsize="8340,0" path="m2129,208l10469,208e" filled="false" stroked="true" strokeweight=".48pt" strokecolor="#000000">
              <v:path arrowok="t"/>
            </v:shape>
            <w10:wrap type="none"/>
          </v:group>
        </w:pict>
      </w:r>
      <w:r>
        <w:rPr>
          <w:rFonts w:ascii="宋体" w:hAnsi="宋体" w:cs="宋体" w:eastAsia="宋体" w:hint="default"/>
          <w:b/>
          <w:bCs/>
          <w:w w:val="99"/>
          <w:sz w:val="18"/>
          <w:szCs w:val="18"/>
        </w:rPr>
        <w:t>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20"/>
          <w:szCs w:val="20"/>
        </w:rPr>
      </w:pPr>
    </w:p>
    <w:p>
      <w:pPr>
        <w:tabs>
          <w:tab w:pos="4557" w:val="left" w:leader="none"/>
        </w:tabs>
        <w:spacing w:before="0"/>
        <w:ind w:left="388"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40"/>
          <w:cols w:num="2" w:equalWidth="0">
            <w:col w:w="1924" w:space="267"/>
            <w:col w:w="7299"/>
          </w:cols>
        </w:sectPr>
      </w:pPr>
    </w:p>
    <w:p>
      <w:pPr>
        <w:spacing w:line="112" w:lineRule="exact" w:before="0"/>
        <w:ind w:left="2734" w:right="2898" w:firstLine="0"/>
        <w:jc w:val="center"/>
        <w:rPr>
          <w:rFonts w:ascii="宋体" w:hAnsi="宋体" w:cs="宋体" w:eastAsia="宋体" w:hint="default"/>
          <w:sz w:val="18"/>
          <w:szCs w:val="18"/>
        </w:rPr>
      </w:pPr>
      <w:r>
        <w:rPr/>
        <w:pict>
          <v:shape style="position:absolute;margin-left:83.400002pt;margin-top:1.917pt;width:73.9pt;height:12.1pt;mso-position-horizontal-relative:page;mso-position-vertical-relative:paragraph;z-index:2296" type="#_x0000_t202" filled="false" stroked="false">
            <v:textbox inset="0,0,0,0">
              <w:txbxContent>
                <w:p>
                  <w:pPr>
                    <w:tabs>
                      <w:tab w:pos="1114" w:val="left" w:leader="none"/>
                    </w:tabs>
                    <w:spacing w:line="241"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position w:val="6"/>
                      <w:sz w:val="18"/>
                      <w:szCs w:val="18"/>
                    </w:rPr>
                    <w:t>目</w:t>
                    <w:tab/>
                  </w: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w:t>
      </w:r>
      <w:r>
        <w:rPr>
          <w:rFonts w:ascii="宋体" w:hAnsi="宋体" w:cs="宋体" w:eastAsia="宋体" w:hint="default"/>
          <w:sz w:val="18"/>
          <w:szCs w:val="18"/>
        </w:rPr>
      </w:r>
    </w:p>
    <w:p>
      <w:pPr>
        <w:tabs>
          <w:tab w:pos="3739" w:val="left" w:leader="none"/>
          <w:tab w:pos="5672" w:val="left" w:leader="none"/>
        </w:tabs>
        <w:spacing w:line="268" w:lineRule="exact" w:before="0"/>
        <w:ind w:left="2753" w:right="-19"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汇率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12" w:lineRule="exact" w:before="0"/>
        <w:ind w:left="387"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w:t>
      </w:r>
      <w:r>
        <w:rPr>
          <w:rFonts w:ascii="宋体" w:hAnsi="宋体" w:cs="宋体" w:eastAsia="宋体" w:hint="default"/>
          <w:sz w:val="18"/>
          <w:szCs w:val="18"/>
        </w:rPr>
      </w:r>
    </w:p>
    <w:p>
      <w:pPr>
        <w:tabs>
          <w:tab w:pos="1374" w:val="left" w:leader="none"/>
        </w:tabs>
        <w:spacing w:line="268" w:lineRule="exact" w:before="0"/>
        <w:ind w:left="387"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汇率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600" w:bottom="280" w:left="1280" w:right="1140"/>
          <w:cols w:num="2" w:equalWidth="0">
            <w:col w:w="6036" w:space="500"/>
            <w:col w:w="2954"/>
          </w:cols>
        </w:sectPr>
      </w:pPr>
    </w:p>
    <w:p>
      <w:pPr>
        <w:spacing w:line="143" w:lineRule="exact" w:before="0"/>
        <w:ind w:left="388" w:right="0" w:firstLine="0"/>
        <w:jc w:val="left"/>
        <w:rPr>
          <w:rFonts w:ascii="宋体" w:hAnsi="宋体" w:cs="宋体" w:eastAsia="宋体" w:hint="default"/>
          <w:sz w:val="18"/>
          <w:szCs w:val="18"/>
        </w:rPr>
      </w:pPr>
      <w:r>
        <w:rPr/>
        <w:pict>
          <v:group style="position:absolute;margin-left:78pt;margin-top:1.057670pt;width:445.45pt;height:.1pt;mso-position-horizontal-relative:page;mso-position-vertical-relative:paragraph;z-index:-1048768" coordorigin="1560,21" coordsize="8909,2">
            <v:shape style="position:absolute;left:1560;top:21;width:8909;height:2" coordorigin="1560,21" coordsize="8909,0" path="m1560,21l10469,21e" filled="false" stroked="true" strokeweight=".48pt" strokecolor="#000000">
              <v:path arrowok="t"/>
            </v:shape>
            <w10:wrap type="none"/>
          </v:group>
        </w:pict>
      </w:r>
      <w:r>
        <w:rPr>
          <w:rFonts w:ascii="宋体" w:hAnsi="宋体" w:cs="宋体" w:eastAsia="宋体" w:hint="default"/>
          <w:sz w:val="18"/>
          <w:szCs w:val="18"/>
        </w:rPr>
        <w:t>库存</w:t>
      </w:r>
    </w:p>
    <w:p>
      <w:pPr>
        <w:tabs>
          <w:tab w:pos="1323" w:val="left" w:leader="none"/>
          <w:tab w:pos="3837" w:val="left" w:leader="none"/>
          <w:tab w:pos="5403" w:val="left" w:leader="none"/>
          <w:tab w:pos="7918" w:val="left" w:leader="none"/>
        </w:tabs>
        <w:spacing w:line="250"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现金</w:t>
        <w:tab/>
      </w:r>
      <w:r>
        <w:rPr>
          <w:rFonts w:ascii="宋体" w:hAnsi="宋体" w:cs="宋体" w:eastAsia="宋体" w:hint="default"/>
          <w:sz w:val="18"/>
          <w:szCs w:val="18"/>
        </w:rPr>
        <w:t>8,325,625.39</w:t>
        <w:tab/>
        <w:t>8,325,625.39</w:t>
        <w:tab/>
        <w:t>13,325,120.11</w:t>
        <w:tab/>
        <w:t>13,325,120.11</w:t>
      </w:r>
    </w:p>
    <w:p>
      <w:pPr>
        <w:spacing w:line="218" w:lineRule="exact" w:before="0"/>
        <w:ind w:left="549" w:right="8715" w:firstLine="0"/>
        <w:jc w:val="center"/>
        <w:rPr>
          <w:rFonts w:ascii="宋体" w:hAnsi="宋体" w:cs="宋体" w:eastAsia="宋体" w:hint="default"/>
          <w:sz w:val="18"/>
          <w:szCs w:val="18"/>
        </w:rPr>
      </w:pPr>
      <w:r>
        <w:rPr>
          <w:rFonts w:ascii="宋体" w:hAnsi="宋体" w:cs="宋体" w:eastAsia="宋体" w:hint="default"/>
          <w:sz w:val="18"/>
          <w:szCs w:val="18"/>
        </w:rPr>
        <w:t>其</w:t>
      </w:r>
    </w:p>
    <w:p>
      <w:pPr>
        <w:tabs>
          <w:tab w:pos="1503" w:val="left" w:leader="none"/>
          <w:tab w:pos="2709" w:val="left" w:leader="none"/>
          <w:tab w:pos="3837" w:val="left" w:leader="none"/>
          <w:tab w:pos="5673" w:val="left" w:leader="none"/>
          <w:tab w:pos="6879" w:val="left" w:leader="none"/>
          <w:tab w:pos="8008" w:val="left" w:leader="none"/>
        </w:tabs>
        <w:spacing w:line="182" w:lineRule="exact" w:before="0"/>
        <w:ind w:left="388" w:right="0" w:firstLine="0"/>
        <w:jc w:val="left"/>
        <w:rPr>
          <w:rFonts w:ascii="宋体" w:hAnsi="宋体" w:cs="宋体" w:eastAsia="宋体" w:hint="default"/>
          <w:sz w:val="18"/>
          <w:szCs w:val="18"/>
        </w:rPr>
      </w:pPr>
      <w:r>
        <w:rPr>
          <w:rFonts w:ascii="宋体" w:hAnsi="宋体" w:cs="宋体" w:eastAsia="宋体" w:hint="default"/>
          <w:sz w:val="18"/>
          <w:szCs w:val="18"/>
        </w:rPr>
        <w:t>中：</w:t>
        <w:tab/>
        <w:t>220,755.98</w:t>
        <w:tab/>
        <w:t>6.6227</w:t>
        <w:tab/>
        <w:t>1,462,000.63</w:t>
        <w:tab/>
        <w:t>723,965.95</w:t>
        <w:tab/>
        <w:t>6.8282</w:t>
        <w:tab/>
        <w:t>4,943,384.30</w:t>
      </w:r>
    </w:p>
    <w:p>
      <w:pPr>
        <w:spacing w:line="200" w:lineRule="exact" w:before="32"/>
        <w:ind w:left="568" w:right="8716" w:hanging="180"/>
        <w:jc w:val="left"/>
        <w:rPr>
          <w:rFonts w:ascii="宋体" w:hAnsi="宋体" w:cs="宋体" w:eastAsia="宋体" w:hint="default"/>
          <w:sz w:val="18"/>
          <w:szCs w:val="18"/>
        </w:rPr>
      </w:pPr>
      <w:r>
        <w:rPr>
          <w:rFonts w:ascii="宋体" w:hAnsi="宋体" w:cs="宋体" w:eastAsia="宋体" w:hint="default"/>
          <w:sz w:val="18"/>
          <w:szCs w:val="18"/>
        </w:rPr>
        <w:t>美元 日</w:t>
      </w:r>
    </w:p>
    <w:p>
      <w:pPr>
        <w:tabs>
          <w:tab w:pos="1503" w:val="left" w:leader="none"/>
          <w:tab w:pos="2619" w:val="left" w:leader="none"/>
          <w:tab w:pos="4107" w:val="left" w:leader="none"/>
          <w:tab w:pos="5493" w:val="left" w:leader="none"/>
          <w:tab w:pos="6789" w:val="left" w:leader="none"/>
          <w:tab w:pos="8188" w:val="left" w:leader="none"/>
        </w:tabs>
        <w:spacing w:line="167"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557,679.00</w:t>
        <w:tab/>
        <w:t>0.08126</w:t>
        <w:tab/>
        <w:t>45,317.00</w:t>
        <w:tab/>
        <w:t>2,428,994.08</w:t>
        <w:tab/>
        <w:t>0.07378</w:t>
        <w:tab/>
        <w:t>179,211.18</w:t>
      </w:r>
    </w:p>
    <w:p>
      <w:pPr>
        <w:spacing w:line="150"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港</w:t>
      </w:r>
    </w:p>
    <w:p>
      <w:pPr>
        <w:tabs>
          <w:tab w:pos="1593" w:val="left" w:leader="none"/>
          <w:tab w:pos="2709" w:val="left" w:leader="none"/>
          <w:tab w:pos="4107" w:val="left" w:leader="none"/>
          <w:tab w:pos="6123" w:val="left" w:leader="none"/>
          <w:tab w:pos="6879" w:val="left" w:leader="none"/>
          <w:tab w:pos="9088" w:val="right" w:leader="none"/>
        </w:tabs>
        <w:spacing w:line="250"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84,873.00</w:t>
        <w:tab/>
        <w:t>0.8509</w:t>
        <w:tab/>
        <w:t>72,218.44</w:t>
        <w:tab/>
        <w:t>59.23</w:t>
        <w:tab/>
        <w:t>0.8805</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52.15</w:t>
      </w:r>
    </w:p>
    <w:p>
      <w:pPr>
        <w:spacing w:line="150"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欧</w:t>
      </w:r>
    </w:p>
    <w:p>
      <w:pPr>
        <w:tabs>
          <w:tab w:pos="1503" w:val="left" w:leader="none"/>
          <w:tab w:pos="2709" w:val="left" w:leader="none"/>
          <w:tab w:pos="3837" w:val="left" w:leader="none"/>
          <w:tab w:pos="5673" w:val="left" w:leader="none"/>
          <w:tab w:pos="6879" w:val="left" w:leader="none"/>
          <w:tab w:pos="8008" w:val="left" w:leader="none"/>
        </w:tabs>
        <w:spacing w:line="250"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130,478.00</w:t>
        <w:tab/>
        <w:t>8.8065</w:t>
        <w:tab/>
        <w:t>1,149,054.51</w:t>
        <w:tab/>
        <w:t>716,666.00</w:t>
        <w:tab/>
        <w:t>9.7971</w:t>
        <w:tab/>
        <w:t>7,021,248.47</w:t>
      </w:r>
    </w:p>
    <w:p>
      <w:pPr>
        <w:spacing w:line="218"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新</w:t>
      </w:r>
    </w:p>
    <w:p>
      <w:pPr>
        <w:tabs>
          <w:tab w:pos="1863" w:val="left" w:leader="none"/>
          <w:tab w:pos="2619" w:val="left" w:leader="none"/>
          <w:tab w:pos="4377" w:val="left" w:leader="none"/>
          <w:tab w:pos="6213" w:val="left" w:leader="none"/>
          <w:tab w:pos="6879" w:val="left" w:leader="none"/>
          <w:tab w:pos="8728" w:val="left" w:leader="none"/>
        </w:tabs>
        <w:spacing w:line="182" w:lineRule="exact" w:before="0"/>
        <w:ind w:left="388" w:right="0" w:firstLine="0"/>
        <w:jc w:val="left"/>
        <w:rPr>
          <w:rFonts w:ascii="宋体" w:hAnsi="宋体" w:cs="宋体" w:eastAsia="宋体" w:hint="default"/>
          <w:sz w:val="18"/>
          <w:szCs w:val="18"/>
        </w:rPr>
      </w:pPr>
      <w:r>
        <w:rPr>
          <w:rFonts w:ascii="宋体" w:hAnsi="宋体" w:cs="宋体" w:eastAsia="宋体" w:hint="default"/>
          <w:sz w:val="18"/>
          <w:szCs w:val="18"/>
        </w:rPr>
        <w:t>加坡</w:t>
        <w:tab/>
        <w:t>176.29</w:t>
        <w:tab/>
        <w:t>5.05588</w:t>
        <w:tab/>
        <w:t>891.30</w:t>
        <w:tab/>
        <w:t>0.00</w:t>
        <w:tab/>
        <w:t>4.9283</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00" w:lineRule="exact" w:before="32"/>
        <w:ind w:left="387" w:right="8717" w:firstLine="0"/>
        <w:jc w:val="left"/>
        <w:rPr>
          <w:rFonts w:ascii="宋体" w:hAnsi="宋体" w:cs="宋体" w:eastAsia="宋体" w:hint="default"/>
          <w:sz w:val="18"/>
          <w:szCs w:val="18"/>
        </w:rPr>
      </w:pPr>
      <w:r>
        <w:rPr>
          <w:rFonts w:ascii="宋体" w:hAnsi="宋体" w:cs="宋体" w:eastAsia="宋体" w:hint="default"/>
          <w:sz w:val="18"/>
          <w:szCs w:val="18"/>
        </w:rPr>
        <w:t>元 银行</w:t>
      </w:r>
    </w:p>
    <w:p>
      <w:pPr>
        <w:tabs>
          <w:tab w:pos="963" w:val="left" w:leader="none"/>
          <w:tab w:pos="3477" w:val="left" w:leader="none"/>
          <w:tab w:pos="5133" w:val="left" w:leader="none"/>
          <w:tab w:pos="7648" w:val="left" w:leader="none"/>
        </w:tabs>
        <w:spacing w:line="167" w:lineRule="exact" w:before="0"/>
        <w:ind w:left="387" w:right="0" w:firstLine="0"/>
        <w:jc w:val="left"/>
        <w:rPr>
          <w:rFonts w:ascii="宋体" w:hAnsi="宋体" w:cs="宋体" w:eastAsia="宋体" w:hint="default"/>
          <w:sz w:val="18"/>
          <w:szCs w:val="18"/>
        </w:rPr>
      </w:pPr>
      <w:r>
        <w:rPr>
          <w:rFonts w:ascii="宋体" w:hAnsi="宋体" w:cs="宋体" w:eastAsia="宋体" w:hint="default"/>
          <w:position w:val="-9"/>
          <w:sz w:val="18"/>
          <w:szCs w:val="18"/>
        </w:rPr>
        <w:t>存款</w:t>
        <w:tab/>
      </w:r>
      <w:r>
        <w:rPr>
          <w:rFonts w:ascii="宋体" w:hAnsi="宋体" w:cs="宋体" w:eastAsia="宋体" w:hint="default"/>
          <w:sz w:val="18"/>
          <w:szCs w:val="18"/>
        </w:rPr>
        <w:t>4,688,870,895.53</w:t>
        <w:tab/>
        <w:t>4,688,870,895.53</w:t>
        <w:tab/>
        <w:t>4,401,338,558.75</w:t>
        <w:tab/>
        <w:t>4,401,338,558.75</w:t>
      </w:r>
    </w:p>
    <w:p>
      <w:pPr>
        <w:spacing w:line="218"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其</w:t>
      </w:r>
    </w:p>
    <w:p>
      <w:pPr>
        <w:tabs>
          <w:tab w:pos="1233" w:val="left" w:leader="none"/>
          <w:tab w:pos="2709" w:val="left" w:leader="none"/>
          <w:tab w:pos="3657" w:val="left" w:leader="none"/>
          <w:tab w:pos="5403" w:val="left" w:leader="none"/>
          <w:tab w:pos="6879" w:val="left" w:leader="none"/>
          <w:tab w:pos="7828" w:val="left" w:leader="none"/>
        </w:tabs>
        <w:spacing w:line="182" w:lineRule="exact" w:before="0"/>
        <w:ind w:left="388" w:right="0" w:firstLine="0"/>
        <w:jc w:val="left"/>
        <w:rPr>
          <w:rFonts w:ascii="宋体" w:hAnsi="宋体" w:cs="宋体" w:eastAsia="宋体" w:hint="default"/>
          <w:sz w:val="18"/>
          <w:szCs w:val="18"/>
        </w:rPr>
      </w:pPr>
      <w:r>
        <w:rPr>
          <w:rFonts w:ascii="宋体" w:hAnsi="宋体" w:cs="宋体" w:eastAsia="宋体" w:hint="default"/>
          <w:sz w:val="18"/>
          <w:szCs w:val="18"/>
        </w:rPr>
        <w:t>中：</w:t>
        <w:tab/>
        <w:t>71,149,817.67</w:t>
        <w:tab/>
        <w:t>6.6227</w:t>
        <w:tab/>
        <w:t>471,203,897.49</w:t>
        <w:tab/>
        <w:t>44,382,917.89</w:t>
        <w:tab/>
        <w:t>6.8282</w:t>
        <w:tab/>
        <w:t>303,055,439.94</w:t>
      </w:r>
    </w:p>
    <w:p>
      <w:pPr>
        <w:spacing w:line="200" w:lineRule="exact" w:before="32"/>
        <w:ind w:left="568" w:right="8716" w:hanging="180"/>
        <w:jc w:val="left"/>
        <w:rPr>
          <w:rFonts w:ascii="宋体" w:hAnsi="宋体" w:cs="宋体" w:eastAsia="宋体" w:hint="default"/>
          <w:sz w:val="18"/>
          <w:szCs w:val="18"/>
        </w:rPr>
      </w:pPr>
      <w:r>
        <w:rPr>
          <w:rFonts w:ascii="宋体" w:hAnsi="宋体" w:cs="宋体" w:eastAsia="宋体" w:hint="default"/>
          <w:sz w:val="18"/>
          <w:szCs w:val="18"/>
        </w:rPr>
        <w:t>美元 日</w:t>
      </w:r>
    </w:p>
    <w:p>
      <w:pPr>
        <w:tabs>
          <w:tab w:pos="1143" w:val="left" w:leader="none"/>
          <w:tab w:pos="2619" w:val="left" w:leader="none"/>
          <w:tab w:pos="3747" w:val="left" w:leader="none"/>
          <w:tab w:pos="5403" w:val="left" w:leader="none"/>
          <w:tab w:pos="6789" w:val="left" w:leader="none"/>
          <w:tab w:pos="8008" w:val="left" w:leader="none"/>
        </w:tabs>
        <w:spacing w:line="167"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247,110,577.00</w:t>
        <w:tab/>
        <w:t>0.08126</w:t>
        <w:tab/>
        <w:t>20,080,205.49</w:t>
        <w:tab/>
        <w:t>17,588,546.10</w:t>
        <w:tab/>
        <w:t>0.07378</w:t>
        <w:tab/>
        <w:t>1,297,682.93</w:t>
      </w:r>
    </w:p>
    <w:p>
      <w:pPr>
        <w:spacing w:line="150"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港</w:t>
      </w:r>
    </w:p>
    <w:p>
      <w:pPr>
        <w:tabs>
          <w:tab w:pos="1143" w:val="left" w:leader="none"/>
          <w:tab w:pos="2709" w:val="left" w:leader="none"/>
          <w:tab w:pos="3657" w:val="left" w:leader="none"/>
          <w:tab w:pos="5403" w:val="left" w:leader="none"/>
          <w:tab w:pos="6879" w:val="left" w:leader="none"/>
          <w:tab w:pos="7918" w:val="left" w:leader="none"/>
        </w:tabs>
        <w:spacing w:line="250"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151,252,526.35</w:t>
        <w:tab/>
        <w:t>0.8509</w:t>
        <w:tab/>
        <w:t>128,700,774.67</w:t>
        <w:tab/>
        <w:t>86,146,884.25</w:t>
        <w:tab/>
        <w:t>0.8805</w:t>
        <w:tab/>
        <w:t>75,852,331.58</w:t>
      </w:r>
    </w:p>
    <w:p>
      <w:pPr>
        <w:spacing w:line="150"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欧</w:t>
      </w:r>
    </w:p>
    <w:p>
      <w:pPr>
        <w:tabs>
          <w:tab w:pos="1323" w:val="left" w:leader="none"/>
          <w:tab w:pos="2709" w:val="left" w:leader="none"/>
          <w:tab w:pos="3747" w:val="left" w:leader="none"/>
          <w:tab w:pos="5493" w:val="left" w:leader="none"/>
          <w:tab w:pos="6879" w:val="left" w:leader="none"/>
          <w:tab w:pos="7918" w:val="left" w:leader="none"/>
        </w:tabs>
        <w:spacing w:line="250"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8,545,861.73</w:t>
        <w:tab/>
        <w:t>8.8065</w:t>
        <w:tab/>
        <w:t>75,259,131.33</w:t>
        <w:tab/>
        <w:t>3,751,766.48</w:t>
        <w:tab/>
        <w:t>9.7971</w:t>
        <w:tab/>
        <w:t>36,756,431.38</w:t>
      </w:r>
    </w:p>
    <w:p>
      <w:pPr>
        <w:spacing w:line="150"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英</w:t>
      </w:r>
    </w:p>
    <w:p>
      <w:pPr>
        <w:tabs>
          <w:tab w:pos="1323" w:val="left" w:leader="none"/>
          <w:tab w:pos="2619" w:val="left" w:leader="none"/>
          <w:tab w:pos="3747" w:val="left" w:leader="none"/>
          <w:tab w:pos="5763" w:val="left" w:leader="none"/>
          <w:tab w:pos="6789" w:val="left" w:leader="none"/>
          <w:tab w:pos="8188" w:val="left" w:leader="none"/>
        </w:tabs>
        <w:spacing w:line="250" w:lineRule="exact" w:before="0"/>
        <w:ind w:left="388" w:right="0" w:firstLine="0"/>
        <w:jc w:val="left"/>
        <w:rPr>
          <w:rFonts w:ascii="宋体" w:hAnsi="宋体" w:cs="宋体" w:eastAsia="宋体" w:hint="default"/>
          <w:sz w:val="18"/>
          <w:szCs w:val="18"/>
        </w:rPr>
      </w:pPr>
      <w:r>
        <w:rPr>
          <w:rFonts w:ascii="宋体" w:hAnsi="宋体" w:cs="宋体" w:eastAsia="宋体" w:hint="default"/>
          <w:position w:val="-9"/>
          <w:sz w:val="18"/>
          <w:szCs w:val="18"/>
        </w:rPr>
        <w:t>镑</w:t>
        <w:tab/>
      </w:r>
      <w:r>
        <w:rPr>
          <w:rFonts w:ascii="宋体" w:hAnsi="宋体" w:cs="宋体" w:eastAsia="宋体" w:hint="default"/>
          <w:sz w:val="18"/>
          <w:szCs w:val="18"/>
        </w:rPr>
        <w:t>1,237,782.88</w:t>
        <w:tab/>
        <w:t>10.2182</w:t>
        <w:tab/>
        <w:t>12,647,913.02</w:t>
        <w:tab/>
        <w:t>70,752.55</w:t>
        <w:tab/>
        <w:t>10.9780</w:t>
        <w:tab/>
        <w:t>776,721.49</w:t>
      </w:r>
    </w:p>
    <w:p>
      <w:pPr>
        <w:spacing w:line="218"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新</w:t>
      </w:r>
    </w:p>
    <w:p>
      <w:pPr>
        <w:tabs>
          <w:tab w:pos="1503" w:val="left" w:leader="none"/>
          <w:tab w:pos="2619" w:val="left" w:leader="none"/>
          <w:tab w:pos="4017" w:val="left" w:leader="none"/>
          <w:tab w:pos="5673" w:val="left" w:leader="none"/>
          <w:tab w:pos="6879" w:val="left" w:leader="none"/>
          <w:tab w:pos="8008" w:val="left" w:leader="none"/>
        </w:tabs>
        <w:spacing w:line="183" w:lineRule="exact" w:before="0"/>
        <w:ind w:left="388" w:right="0" w:firstLine="0"/>
        <w:jc w:val="left"/>
        <w:rPr>
          <w:rFonts w:ascii="宋体" w:hAnsi="宋体" w:cs="宋体" w:eastAsia="宋体" w:hint="default"/>
          <w:sz w:val="18"/>
          <w:szCs w:val="18"/>
        </w:rPr>
      </w:pPr>
      <w:r>
        <w:rPr>
          <w:rFonts w:ascii="宋体" w:hAnsi="宋体" w:cs="宋体" w:eastAsia="宋体" w:hint="default"/>
          <w:sz w:val="18"/>
          <w:szCs w:val="18"/>
        </w:rPr>
        <w:t>加坡</w:t>
        <w:tab/>
        <w:t>140,214.40</w:t>
        <w:tab/>
        <w:t>5.05588</w:t>
        <w:tab/>
        <w:t>708,907.18</w:t>
        <w:tab/>
        <w:t>983,034.00</w:t>
        <w:tab/>
        <w:t>4.9283</w:t>
        <w:tab/>
        <w:t>4,844,686.46</w:t>
      </w:r>
    </w:p>
    <w:p>
      <w:pPr>
        <w:spacing w:line="218" w:lineRule="exact" w:before="0"/>
        <w:ind w:left="388" w:right="0"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30" w:lineRule="exact"/>
        <w:ind w:left="25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8.05pt;height:1.5pt;mso-position-horizontal-relative:char;mso-position-vertical-relative:line" coordorigin="0,0" coordsize="8961,30">
            <v:group style="position:absolute;left:15;top:15;width:591;height:2" coordorigin="15,15" coordsize="591,2">
              <v:shape style="position:absolute;left:15;top:15;width:591;height:2" coordorigin="15,15" coordsize="591,0" path="m15,15l605,15e" filled="false" stroked="true" strokeweight="1.5pt" strokecolor="#000000">
                <v:path arrowok="t"/>
              </v:shape>
            </v:group>
            <v:group style="position:absolute;left:591;top:15;width:1671;height:2" coordorigin="591,15" coordsize="1671,2">
              <v:shape style="position:absolute;left:591;top:15;width:1671;height:2" coordorigin="591,15" coordsize="1671,0" path="m591,15l2261,15e" filled="false" stroked="true" strokeweight="1.5pt" strokecolor="#000000">
                <v:path arrowok="t"/>
              </v:shape>
            </v:group>
            <v:group style="position:absolute;left:2247;top:15;width:861;height:2" coordorigin="2247,15" coordsize="861,2">
              <v:shape style="position:absolute;left:2247;top:15;width:861;height:2" coordorigin="2247,15" coordsize="861,0" path="m2247,15l3107,15e" filled="false" stroked="true" strokeweight="1.5pt" strokecolor="#000000">
                <v:path arrowok="t"/>
              </v:shape>
            </v:group>
            <v:group style="position:absolute;left:3093;top:15;width:1683;height:2" coordorigin="3093,15" coordsize="1683,2">
              <v:shape style="position:absolute;left:3093;top:15;width:1683;height:2" coordorigin="3093,15" coordsize="1683,0" path="m3093,15l4775,15e" filled="false" stroked="true" strokeweight="1.5pt" strokecolor="#000000">
                <v:path arrowok="t"/>
              </v:shape>
            </v:group>
            <v:group style="position:absolute;left:4761;top:15;width:1671;height:2" coordorigin="4761,15" coordsize="1671,2">
              <v:shape style="position:absolute;left:4761;top:15;width:1671;height:2" coordorigin="4761,15" coordsize="1671,0" path="m4761,15l6431,15e" filled="false" stroked="true" strokeweight="1.5pt" strokecolor="#000000">
                <v:path arrowok="t"/>
              </v:shape>
            </v:group>
            <v:group style="position:absolute;left:6417;top:15;width:861;height:2" coordorigin="6417,15" coordsize="861,2">
              <v:shape style="position:absolute;left:6417;top:15;width:861;height:2" coordorigin="6417,15" coordsize="861,0" path="m6417,15l7277,15e" filled="false" stroked="true" strokeweight="1.5pt" strokecolor="#000000">
                <v:path arrowok="t"/>
              </v:shape>
            </v:group>
            <v:group style="position:absolute;left:7263;top:15;width:1683;height:2" coordorigin="7263,15" coordsize="1683,2">
              <v:shape style="position:absolute;left:7263;top:15;width:1683;height:2" coordorigin="7263,15" coordsize="1683,0" path="m7263,15l89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5992" w:val="left" w:leader="none"/>
          <w:tab w:pos="8229" w:val="left" w:leader="none"/>
        </w:tabs>
        <w:spacing w:before="0"/>
        <w:ind w:left="4059" w:right="0" w:firstLine="0"/>
        <w:jc w:val="left"/>
        <w:rPr>
          <w:rFonts w:ascii="宋体" w:hAnsi="宋体" w:cs="宋体" w:eastAsia="宋体" w:hint="default"/>
          <w:sz w:val="18"/>
          <w:szCs w:val="18"/>
        </w:rPr>
      </w:pPr>
      <w:r>
        <w:rPr/>
        <w:pict>
          <v:shape style="position:absolute;margin-left:78.360001pt;margin-top:-17.780962pt;width:445.1pt;height:150.6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
                    <w:gridCol w:w="1663"/>
                    <w:gridCol w:w="872"/>
                    <w:gridCol w:w="1733"/>
                    <w:gridCol w:w="1545"/>
                    <w:gridCol w:w="866"/>
                    <w:gridCol w:w="1661"/>
                  </w:tblGrid>
                  <w:tr>
                    <w:trPr>
                      <w:trHeight w:val="302" w:hRule="exact"/>
                    </w:trPr>
                    <w:tc>
                      <w:tcPr>
                        <w:tcW w:w="562" w:type="dxa"/>
                        <w:tcBorders>
                          <w:top w:val="single" w:sz="12" w:space="0" w:color="000000"/>
                          <w:left w:val="nil" w:sz="6" w:space="0" w:color="auto"/>
                          <w:bottom w:val="nil" w:sz="6" w:space="0" w:color="auto"/>
                          <w:right w:val="nil" w:sz="6" w:space="0" w:color="auto"/>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2535"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right="80"/>
                          <w:jc w:val="right"/>
                          <w:rPr>
                            <w:rFonts w:ascii="宋体" w:hAnsi="宋体" w:cs="宋体" w:eastAsia="宋体" w:hint="default"/>
                            <w:sz w:val="18"/>
                            <w:szCs w:val="18"/>
                          </w:rPr>
                        </w:pPr>
                        <w:r>
                          <w:rPr>
                            <w:rFonts w:ascii="宋体" w:hAnsi="宋体" w:cs="宋体" w:eastAsia="宋体" w:hint="default"/>
                            <w:b/>
                            <w:bCs/>
                            <w:w w:val="95"/>
                            <w:sz w:val="18"/>
                            <w:szCs w:val="18"/>
                          </w:rPr>
                          <w:t>年末金额</w:t>
                        </w:r>
                        <w:r>
                          <w:rPr>
                            <w:rFonts w:ascii="宋体" w:hAnsi="宋体" w:cs="宋体" w:eastAsia="宋体" w:hint="default"/>
                            <w:sz w:val="18"/>
                            <w:szCs w:val="18"/>
                          </w:rPr>
                        </w:r>
                      </w:p>
                    </w:tc>
                    <w:tc>
                      <w:tcPr>
                        <w:tcW w:w="5805" w:type="dxa"/>
                        <w:gridSpan w:val="4"/>
                        <w:tcBorders>
                          <w:top w:val="single" w:sz="12" w:space="0" w:color="000000"/>
                          <w:left w:val="nil" w:sz="6" w:space="0" w:color="auto"/>
                          <w:bottom w:val="single" w:sz="4" w:space="0" w:color="000000"/>
                          <w:right w:val="nil" w:sz="6" w:space="0" w:color="auto"/>
                        </w:tcBorders>
                      </w:tcPr>
                      <w:p>
                        <w:pPr>
                          <w:pStyle w:val="TableParagraph"/>
                          <w:spacing w:line="226" w:lineRule="exact"/>
                          <w:ind w:left="336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50" w:hRule="exact"/>
                    </w:trPr>
                    <w:tc>
                      <w:tcPr>
                        <w:tcW w:w="562" w:type="dxa"/>
                        <w:tcBorders>
                          <w:top w:val="nil" w:sz="6" w:space="0" w:color="auto"/>
                          <w:left w:val="nil" w:sz="6" w:space="0" w:color="auto"/>
                          <w:bottom w:val="nil" w:sz="6" w:space="0" w:color="auto"/>
                          <w:right w:val="nil" w:sz="6" w:space="0" w:color="auto"/>
                        </w:tcBorders>
                      </w:tcPr>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535" w:type="dxa"/>
                        <w:gridSpan w:val="2"/>
                        <w:tcBorders>
                          <w:top w:val="nil" w:sz="6" w:space="0" w:color="auto"/>
                          <w:left w:val="nil" w:sz="6" w:space="0" w:color="auto"/>
                          <w:bottom w:val="nil" w:sz="6" w:space="0" w:color="auto"/>
                          <w:right w:val="nil" w:sz="6" w:space="0" w:color="auto"/>
                        </w:tcBorders>
                      </w:tcPr>
                      <w:p>
                        <w:pPr>
                          <w:pStyle w:val="TableParagraph"/>
                          <w:tabs>
                            <w:tab w:pos="1904" w:val="left" w:leader="none"/>
                          </w:tabs>
                          <w:spacing w:line="290" w:lineRule="exact"/>
                          <w:ind w:left="653"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原币</w:t>
                          <w:tab/>
                        </w:r>
                        <w:r>
                          <w:rPr>
                            <w:rFonts w:ascii="宋体" w:hAnsi="宋体" w:cs="宋体" w:eastAsia="宋体" w:hint="default"/>
                            <w:b/>
                            <w:bCs/>
                            <w:sz w:val="18"/>
                            <w:szCs w:val="18"/>
                          </w:rPr>
                          <w:t>折算</w:t>
                        </w:r>
                        <w:r>
                          <w:rPr>
                            <w:rFonts w:ascii="宋体" w:hAnsi="宋体" w:cs="宋体" w:eastAsia="宋体" w:hint="default"/>
                            <w:sz w:val="18"/>
                            <w:szCs w:val="18"/>
                          </w:rPr>
                        </w:r>
                      </w:p>
                    </w:tc>
                    <w:tc>
                      <w:tcPr>
                        <w:tcW w:w="5805" w:type="dxa"/>
                        <w:gridSpan w:val="4"/>
                        <w:tcBorders>
                          <w:top w:val="nil" w:sz="6" w:space="0" w:color="auto"/>
                          <w:left w:val="nil" w:sz="6" w:space="0" w:color="auto"/>
                          <w:bottom w:val="nil" w:sz="6" w:space="0" w:color="auto"/>
                          <w:right w:val="nil" w:sz="6" w:space="0" w:color="auto"/>
                        </w:tcBorders>
                      </w:tcPr>
                      <w:p>
                        <w:pPr>
                          <w:pStyle w:val="TableParagraph"/>
                          <w:spacing w:line="190" w:lineRule="exact"/>
                          <w:ind w:left="3539" w:right="0"/>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sz w:val="18"/>
                            <w:szCs w:val="18"/>
                          </w:rPr>
                        </w:r>
                      </w:p>
                    </w:tc>
                  </w:tr>
                  <w:tr>
                    <w:trPr>
                      <w:trHeight w:val="161" w:hRule="exact"/>
                    </w:trPr>
                    <w:tc>
                      <w:tcPr>
                        <w:tcW w:w="2225" w:type="dxa"/>
                        <w:gridSpan w:val="2"/>
                        <w:tcBorders>
                          <w:top w:val="nil" w:sz="6" w:space="0" w:color="auto"/>
                          <w:left w:val="nil" w:sz="6" w:space="0" w:color="auto"/>
                          <w:bottom w:val="single" w:sz="4" w:space="0" w:color="000000"/>
                          <w:right w:val="nil" w:sz="6" w:space="0" w:color="auto"/>
                        </w:tcBorders>
                      </w:tcPr>
                      <w:p>
                        <w:pPr/>
                      </w:p>
                    </w:tc>
                    <w:tc>
                      <w:tcPr>
                        <w:tcW w:w="872" w:type="dxa"/>
                        <w:tcBorders>
                          <w:top w:val="nil" w:sz="6" w:space="0" w:color="auto"/>
                          <w:left w:val="nil" w:sz="6" w:space="0" w:color="auto"/>
                          <w:bottom w:val="single" w:sz="4" w:space="0" w:color="000000"/>
                          <w:right w:val="nil" w:sz="6" w:space="0" w:color="auto"/>
                        </w:tcBorders>
                      </w:tcPr>
                      <w:p>
                        <w:pPr>
                          <w:pStyle w:val="TableParagraph"/>
                          <w:spacing w:line="140"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733" w:type="dxa"/>
                        <w:tcBorders>
                          <w:top w:val="nil" w:sz="6" w:space="0" w:color="auto"/>
                          <w:left w:val="nil" w:sz="6" w:space="0" w:color="auto"/>
                          <w:bottom w:val="single" w:sz="4" w:space="0" w:color="000000"/>
                          <w:right w:val="nil" w:sz="6" w:space="0" w:color="auto"/>
                        </w:tcBorders>
                      </w:tcPr>
                      <w:p>
                        <w:pPr/>
                      </w:p>
                    </w:tc>
                    <w:tc>
                      <w:tcPr>
                        <w:tcW w:w="1545" w:type="dxa"/>
                        <w:tcBorders>
                          <w:top w:val="nil" w:sz="6" w:space="0" w:color="auto"/>
                          <w:left w:val="nil" w:sz="6" w:space="0" w:color="auto"/>
                          <w:bottom w:val="single" w:sz="4" w:space="0" w:color="000000"/>
                          <w:right w:val="nil" w:sz="6" w:space="0" w:color="auto"/>
                        </w:tcBorders>
                      </w:tcPr>
                      <w:p>
                        <w:pPr/>
                      </w:p>
                    </w:tc>
                    <w:tc>
                      <w:tcPr>
                        <w:tcW w:w="866" w:type="dxa"/>
                        <w:tcBorders>
                          <w:top w:val="nil" w:sz="6" w:space="0" w:color="auto"/>
                          <w:left w:val="nil" w:sz="6" w:space="0" w:color="auto"/>
                          <w:bottom w:val="single" w:sz="4" w:space="0" w:color="000000"/>
                          <w:right w:val="nil" w:sz="6" w:space="0" w:color="auto"/>
                        </w:tcBorders>
                      </w:tcPr>
                      <w:p>
                        <w:pPr>
                          <w:pStyle w:val="TableParagraph"/>
                          <w:spacing w:line="140"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661" w:type="dxa"/>
                        <w:tcBorders>
                          <w:top w:val="nil" w:sz="6" w:space="0" w:color="auto"/>
                          <w:left w:val="nil" w:sz="6" w:space="0" w:color="auto"/>
                          <w:bottom w:val="single" w:sz="4" w:space="0" w:color="000000"/>
                          <w:right w:val="nil" w:sz="6" w:space="0" w:color="auto"/>
                        </w:tcBorders>
                      </w:tcPr>
                      <w:p>
                        <w:pPr/>
                      </w:p>
                    </w:tc>
                  </w:tr>
                  <w:tr>
                    <w:trPr>
                      <w:trHeight w:val="599" w:hRule="exact"/>
                    </w:trPr>
                    <w:tc>
                      <w:tcPr>
                        <w:tcW w:w="2225" w:type="dxa"/>
                        <w:gridSpan w:val="2"/>
                        <w:tcBorders>
                          <w:top w:val="single" w:sz="4" w:space="0" w:color="000000"/>
                          <w:left w:val="nil" w:sz="6" w:space="0" w:color="auto"/>
                          <w:bottom w:val="nil" w:sz="6" w:space="0" w:color="auto"/>
                          <w:right w:val="nil" w:sz="6" w:space="0" w:color="auto"/>
                        </w:tcBorders>
                      </w:tcPr>
                      <w:p>
                        <w:pPr>
                          <w:pStyle w:val="TableParagraph"/>
                          <w:spacing w:line="16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tabs>
                            <w:tab w:pos="856" w:val="left" w:leader="none"/>
                          </w:tabs>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w:t>
                          <w:tab/>
                          <w:t>377,626,664.87</w:t>
                        </w:r>
                      </w:p>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2" w:type="dxa"/>
                        <w:tcBorders>
                          <w:top w:val="single" w:sz="4" w:space="0" w:color="000000"/>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196"/>
                          <w:jc w:val="right"/>
                          <w:rPr>
                            <w:rFonts w:ascii="宋体" w:hAnsi="宋体" w:cs="宋体" w:eastAsia="宋体" w:hint="default"/>
                            <w:sz w:val="18"/>
                            <w:szCs w:val="18"/>
                          </w:rPr>
                        </w:pPr>
                        <w:r>
                          <w:rPr>
                            <w:rFonts w:ascii="宋体"/>
                            <w:sz w:val="18"/>
                          </w:rPr>
                          <w:t>377,626,664.87</w:t>
                        </w:r>
                      </w:p>
                    </w:tc>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85"/>
                          <w:jc w:val="right"/>
                          <w:rPr>
                            <w:rFonts w:ascii="宋体" w:hAnsi="宋体" w:cs="宋体" w:eastAsia="宋体" w:hint="default"/>
                            <w:sz w:val="18"/>
                            <w:szCs w:val="18"/>
                          </w:rPr>
                        </w:pPr>
                        <w:r>
                          <w:rPr>
                            <w:rFonts w:ascii="宋体"/>
                            <w:sz w:val="18"/>
                          </w:rPr>
                          <w:t>302,162,908.69</w:t>
                        </w:r>
                      </w:p>
                    </w:tc>
                    <w:tc>
                      <w:tcPr>
                        <w:tcW w:w="866"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宋体" w:hAnsi="宋体" w:cs="宋体" w:eastAsia="宋体" w:hint="default"/>
                            <w:sz w:val="18"/>
                            <w:szCs w:val="18"/>
                          </w:rPr>
                        </w:pPr>
                        <w:r>
                          <w:rPr>
                            <w:rFonts w:ascii="宋体"/>
                            <w:sz w:val="18"/>
                          </w:rPr>
                          <w:t>302,162,908.69</w:t>
                        </w:r>
                      </w:p>
                    </w:tc>
                  </w:tr>
                  <w:tr>
                    <w:trPr>
                      <w:trHeight w:val="550" w:hRule="exact"/>
                    </w:trPr>
                    <w:tc>
                      <w:tcPr>
                        <w:tcW w:w="2225" w:type="dxa"/>
                        <w:gridSpan w:val="2"/>
                        <w:tcBorders>
                          <w:top w:val="nil" w:sz="6" w:space="0" w:color="auto"/>
                          <w:left w:val="nil" w:sz="6" w:space="0" w:color="auto"/>
                          <w:bottom w:val="nil" w:sz="6" w:space="0" w:color="auto"/>
                          <w:right w:val="nil" w:sz="6" w:space="0" w:color="auto"/>
                        </w:tcBorders>
                      </w:tcPr>
                      <w:p>
                        <w:pPr>
                          <w:pStyle w:val="TableParagraph"/>
                          <w:spacing w:line="173" w:lineRule="exact"/>
                          <w:ind w:right="1481"/>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tabs>
                            <w:tab w:pos="1036" w:val="left" w:leader="none"/>
                          </w:tabs>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中：</w:t>
                          <w:tab/>
                          <w:t>1,729,578.54</w:t>
                        </w:r>
                      </w:p>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31"/>
                          <w:jc w:val="right"/>
                          <w:rPr>
                            <w:rFonts w:ascii="宋体" w:hAnsi="宋体" w:cs="宋体" w:eastAsia="宋体" w:hint="default"/>
                            <w:sz w:val="18"/>
                            <w:szCs w:val="18"/>
                          </w:rPr>
                        </w:pPr>
                        <w:r>
                          <w:rPr>
                            <w:rFonts w:ascii="宋体"/>
                            <w:sz w:val="18"/>
                          </w:rPr>
                          <w:t>6.6227</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96"/>
                          <w:jc w:val="right"/>
                          <w:rPr>
                            <w:rFonts w:ascii="宋体" w:hAnsi="宋体" w:cs="宋体" w:eastAsia="宋体" w:hint="default"/>
                            <w:sz w:val="18"/>
                            <w:szCs w:val="18"/>
                          </w:rPr>
                        </w:pPr>
                        <w:r>
                          <w:rPr>
                            <w:rFonts w:ascii="宋体"/>
                            <w:sz w:val="18"/>
                          </w:rPr>
                          <w:t>11,454,479.80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85"/>
                          <w:jc w:val="right"/>
                          <w:rPr>
                            <w:rFonts w:ascii="宋体" w:hAnsi="宋体" w:cs="宋体" w:eastAsia="宋体" w:hint="default"/>
                            <w:sz w:val="18"/>
                            <w:szCs w:val="18"/>
                          </w:rPr>
                        </w:pPr>
                        <w:r>
                          <w:rPr>
                            <w:rFonts w:ascii="宋体"/>
                            <w:sz w:val="18"/>
                          </w:rPr>
                          <w:t>1,596,936.94</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5"/>
                          <w:jc w:val="right"/>
                          <w:rPr>
                            <w:rFonts w:ascii="宋体" w:hAnsi="宋体" w:cs="宋体" w:eastAsia="宋体" w:hint="default"/>
                            <w:sz w:val="18"/>
                            <w:szCs w:val="18"/>
                          </w:rPr>
                        </w:pPr>
                        <w:r>
                          <w:rPr>
                            <w:rFonts w:ascii="宋体"/>
                            <w:sz w:val="18"/>
                          </w:rPr>
                          <w:t>6.8282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98"/>
                          <w:jc w:val="right"/>
                          <w:rPr>
                            <w:rFonts w:ascii="宋体" w:hAnsi="宋体" w:cs="宋体" w:eastAsia="宋体" w:hint="default"/>
                            <w:sz w:val="18"/>
                            <w:szCs w:val="18"/>
                          </w:rPr>
                        </w:pPr>
                        <w:r>
                          <w:rPr>
                            <w:rFonts w:ascii="宋体"/>
                            <w:spacing w:val="-1"/>
                            <w:sz w:val="18"/>
                          </w:rPr>
                          <w:t>10,904,204.81</w:t>
                        </w:r>
                      </w:p>
                    </w:tc>
                  </w:tr>
                  <w:tr>
                    <w:trPr>
                      <w:trHeight w:val="451" w:hRule="exact"/>
                    </w:trPr>
                    <w:tc>
                      <w:tcPr>
                        <w:tcW w:w="2225" w:type="dxa"/>
                        <w:gridSpan w:val="2"/>
                        <w:tcBorders>
                          <w:top w:val="nil" w:sz="6" w:space="0" w:color="auto"/>
                          <w:left w:val="nil" w:sz="6" w:space="0" w:color="auto"/>
                          <w:bottom w:val="nil" w:sz="6" w:space="0" w:color="auto"/>
                          <w:right w:val="nil" w:sz="6" w:space="0" w:color="auto"/>
                        </w:tcBorders>
                      </w:tcPr>
                      <w:p>
                        <w:pPr>
                          <w:pStyle w:val="TableParagraph"/>
                          <w:spacing w:line="168" w:lineRule="exact" w:before="5"/>
                          <w:ind w:left="280"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tabs>
                            <w:tab w:pos="1036" w:val="left" w:leader="none"/>
                          </w:tabs>
                          <w:spacing w:line="268" w:lineRule="exact"/>
                          <w:ind w:left="100" w:right="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9,020,029.00</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1"/>
                          <w:jc w:val="right"/>
                          <w:rPr>
                            <w:rFonts w:ascii="宋体" w:hAnsi="宋体" w:cs="宋体" w:eastAsia="宋体" w:hint="default"/>
                            <w:sz w:val="18"/>
                            <w:szCs w:val="18"/>
                          </w:rPr>
                        </w:pPr>
                        <w:r>
                          <w:rPr>
                            <w:rFonts w:ascii="宋体"/>
                            <w:sz w:val="18"/>
                          </w:rPr>
                          <w:t>0.08126</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6"/>
                          <w:jc w:val="right"/>
                          <w:rPr>
                            <w:rFonts w:ascii="宋体" w:hAnsi="宋体" w:cs="宋体" w:eastAsia="宋体" w:hint="default"/>
                            <w:sz w:val="18"/>
                            <w:szCs w:val="18"/>
                          </w:rPr>
                        </w:pPr>
                        <w:r>
                          <w:rPr>
                            <w:rFonts w:ascii="宋体"/>
                            <w:sz w:val="18"/>
                          </w:rPr>
                          <w:t>732,967.56</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5"/>
                          <w:jc w:val="right"/>
                          <w:rPr>
                            <w:rFonts w:ascii="宋体" w:hAnsi="宋体" w:cs="宋体" w:eastAsia="宋体" w:hint="default"/>
                            <w:sz w:val="18"/>
                            <w:szCs w:val="18"/>
                          </w:rPr>
                        </w:pPr>
                        <w:r>
                          <w:rPr>
                            <w:rFonts w:ascii="宋体"/>
                            <w:sz w:val="18"/>
                          </w:rPr>
                          <w:t>11,850,016.00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0.07378</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宋体" w:hAnsi="宋体" w:cs="宋体" w:eastAsia="宋体" w:hint="default"/>
                            <w:sz w:val="18"/>
                            <w:szCs w:val="18"/>
                          </w:rPr>
                        </w:pPr>
                        <w:r>
                          <w:rPr>
                            <w:rFonts w:ascii="宋体"/>
                            <w:sz w:val="18"/>
                          </w:rPr>
                          <w:t>874,294.18</w:t>
                        </w:r>
                      </w:p>
                    </w:tc>
                  </w:tr>
                  <w:tr>
                    <w:trPr>
                      <w:trHeight w:val="410" w:hRule="exact"/>
                    </w:trPr>
                    <w:tc>
                      <w:tcPr>
                        <w:tcW w:w="2225" w:type="dxa"/>
                        <w:gridSpan w:val="2"/>
                        <w:tcBorders>
                          <w:top w:val="nil" w:sz="6" w:space="0" w:color="auto"/>
                          <w:left w:val="nil" w:sz="6" w:space="0" w:color="auto"/>
                          <w:bottom w:val="single" w:sz="4" w:space="0" w:color="000000"/>
                          <w:right w:val="nil" w:sz="6" w:space="0" w:color="auto"/>
                        </w:tcBorders>
                      </w:tcPr>
                      <w:p>
                        <w:pPr>
                          <w:pStyle w:val="TableParagraph"/>
                          <w:spacing w:line="123" w:lineRule="exact"/>
                          <w:ind w:left="280" w:right="0"/>
                          <w:jc w:val="left"/>
                          <w:rPr>
                            <w:rFonts w:ascii="宋体" w:hAnsi="宋体" w:cs="宋体" w:eastAsia="宋体" w:hint="default"/>
                            <w:sz w:val="18"/>
                            <w:szCs w:val="18"/>
                          </w:rPr>
                        </w:pPr>
                        <w:r>
                          <w:rPr>
                            <w:rFonts w:ascii="宋体" w:hAnsi="宋体" w:cs="宋体" w:eastAsia="宋体" w:hint="default"/>
                            <w:sz w:val="18"/>
                            <w:szCs w:val="18"/>
                          </w:rPr>
                          <w:t>欧</w:t>
                        </w:r>
                      </w:p>
                      <w:p>
                        <w:pPr>
                          <w:pStyle w:val="TableParagraph"/>
                          <w:tabs>
                            <w:tab w:pos="1306" w:val="left" w:leader="none"/>
                          </w:tabs>
                          <w:spacing w:line="268" w:lineRule="exact"/>
                          <w:ind w:left="100" w:right="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99,771.91</w:t>
                        </w:r>
                      </w:p>
                    </w:tc>
                    <w:tc>
                      <w:tcPr>
                        <w:tcW w:w="87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1"/>
                          <w:jc w:val="right"/>
                          <w:rPr>
                            <w:rFonts w:ascii="宋体" w:hAnsi="宋体" w:cs="宋体" w:eastAsia="宋体" w:hint="default"/>
                            <w:sz w:val="18"/>
                            <w:szCs w:val="18"/>
                          </w:rPr>
                        </w:pPr>
                        <w:r>
                          <w:rPr>
                            <w:rFonts w:ascii="宋体"/>
                            <w:sz w:val="18"/>
                          </w:rPr>
                          <w:t>8.8065</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6"/>
                          <w:jc w:val="right"/>
                          <w:rPr>
                            <w:rFonts w:ascii="宋体" w:hAnsi="宋体" w:cs="宋体" w:eastAsia="宋体" w:hint="default"/>
                            <w:sz w:val="18"/>
                            <w:szCs w:val="18"/>
                          </w:rPr>
                        </w:pPr>
                        <w:r>
                          <w:rPr>
                            <w:rFonts w:ascii="宋体"/>
                            <w:sz w:val="18"/>
                          </w:rPr>
                          <w:t>878,641.33</w:t>
                        </w:r>
                      </w:p>
                    </w:tc>
                    <w:tc>
                      <w:tcPr>
                        <w:tcW w:w="15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5"/>
                          <w:jc w:val="right"/>
                          <w:rPr>
                            <w:rFonts w:ascii="宋体" w:hAnsi="宋体" w:cs="宋体" w:eastAsia="宋体" w:hint="default"/>
                            <w:sz w:val="18"/>
                            <w:szCs w:val="18"/>
                          </w:rPr>
                        </w:pPr>
                        <w:r>
                          <w:rPr>
                            <w:rFonts w:ascii="宋体"/>
                            <w:sz w:val="18"/>
                          </w:rPr>
                          <w:t>99,670.83</w:t>
                        </w:r>
                      </w:p>
                    </w:tc>
                    <w:tc>
                      <w:tcPr>
                        <w:tcW w:w="86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9.7971</w:t>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976,485.09</w:t>
                        </w:r>
                      </w:p>
                    </w:tc>
                  </w:tr>
                  <w:tr>
                    <w:trPr>
                      <w:trHeight w:val="289" w:hRule="exact"/>
                    </w:trPr>
                    <w:tc>
                      <w:tcPr>
                        <w:tcW w:w="2225" w:type="dxa"/>
                        <w:gridSpan w:val="2"/>
                        <w:tcBorders>
                          <w:top w:val="single" w:sz="4" w:space="0" w:color="000000"/>
                          <w:left w:val="nil" w:sz="6" w:space="0" w:color="auto"/>
                          <w:bottom w:val="nil" w:sz="6" w:space="0" w:color="auto"/>
                          <w:right w:val="nil" w:sz="6" w:space="0" w:color="auto"/>
                        </w:tcBorders>
                      </w:tcPr>
                      <w:p>
                        <w:pPr>
                          <w:pStyle w:val="TableParagraph"/>
                          <w:spacing w:line="185" w:lineRule="exact"/>
                          <w:ind w:left="100" w:right="0"/>
                          <w:jc w:val="lef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872" w:type="dxa"/>
                        <w:tcBorders>
                          <w:top w:val="single" w:sz="4" w:space="0" w:color="000000"/>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95"/>
                          <w:jc w:val="right"/>
                          <w:rPr>
                            <w:rFonts w:ascii="宋体" w:hAnsi="宋体" w:cs="宋体" w:eastAsia="宋体" w:hint="default"/>
                            <w:sz w:val="18"/>
                            <w:szCs w:val="18"/>
                          </w:rPr>
                        </w:pPr>
                        <w:r>
                          <w:rPr>
                            <w:rFonts w:ascii="宋体"/>
                            <w:b/>
                            <w:w w:val="95"/>
                            <w:sz w:val="18"/>
                          </w:rPr>
                          <w:t>5,074,823,185.79</w:t>
                        </w:r>
                        <w:r>
                          <w:rPr>
                            <w:rFonts w:ascii="宋体"/>
                            <w:sz w:val="18"/>
                          </w:rPr>
                        </w:r>
                      </w:p>
                    </w:tc>
                    <w:tc>
                      <w:tcPr>
                        <w:tcW w:w="1545" w:type="dxa"/>
                        <w:tcBorders>
                          <w:top w:val="single" w:sz="4" w:space="0" w:color="000000"/>
                          <w:left w:val="nil" w:sz="6" w:space="0" w:color="auto"/>
                          <w:bottom w:val="nil" w:sz="6" w:space="0" w:color="auto"/>
                          <w:right w:val="nil" w:sz="6" w:space="0" w:color="auto"/>
                        </w:tcBorders>
                      </w:tcPr>
                      <w:p>
                        <w:pPr/>
                      </w:p>
                    </w:tc>
                    <w:tc>
                      <w:tcPr>
                        <w:tcW w:w="866"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b/>
                            <w:w w:val="95"/>
                            <w:sz w:val="18"/>
                          </w:rPr>
                          <w:t>4,716,826,587.55</w:t>
                        </w:r>
                        <w:r>
                          <w:rPr>
                            <w:rFonts w:ascii="宋体"/>
                            <w:sz w:val="18"/>
                          </w:rPr>
                        </w:r>
                      </w:p>
                    </w:tc>
                  </w:tr>
                </w:tbl>
                <w:p>
                  <w:pPr/>
                </w:p>
              </w:txbxContent>
            </v:textbox>
            <w10:wrap type="none"/>
          </v:shape>
        </w:pict>
      </w:r>
      <w:r>
        <w:rPr>
          <w:rFonts w:ascii="宋体" w:hAnsi="宋体" w:cs="宋体" w:eastAsia="宋体" w:hint="default"/>
          <w:b/>
          <w:bCs/>
          <w:w w:val="95"/>
          <w:sz w:val="18"/>
          <w:szCs w:val="18"/>
        </w:rPr>
        <w:t>折合人民币</w:t>
        <w:tab/>
        <w:t>原币</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708" w:right="0" w:firstLine="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p>
      <w:pPr>
        <w:spacing w:line="30" w:lineRule="exact"/>
        <w:ind w:left="57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8.05pt;height:1.5pt;mso-position-horizontal-relative:char;mso-position-vertical-relative:line" coordorigin="0,0" coordsize="8961,30">
            <v:group style="position:absolute;left:15;top:15;width:591;height:2" coordorigin="15,15" coordsize="591,2">
              <v:shape style="position:absolute;left:15;top:15;width:591;height:2" coordorigin="15,15" coordsize="591,0" path="m15,15l605,15e" filled="false" stroked="true" strokeweight="1.5pt" strokecolor="#000000">
                <v:path arrowok="t"/>
              </v:shape>
            </v:group>
            <v:group style="position:absolute;left:591;top:15;width:1671;height:2" coordorigin="591,15" coordsize="1671,2">
              <v:shape style="position:absolute;left:591;top:15;width:1671;height:2" coordorigin="591,15" coordsize="1671,0" path="m591,15l2261,15e" filled="false" stroked="true" strokeweight="1.5pt" strokecolor="#000000">
                <v:path arrowok="t"/>
              </v:shape>
            </v:group>
            <v:group style="position:absolute;left:2247;top:15;width:861;height:2" coordorigin="2247,15" coordsize="861,2">
              <v:shape style="position:absolute;left:2247;top:15;width:861;height:2" coordorigin="2247,15" coordsize="861,0" path="m2247,15l3107,15e" filled="false" stroked="true" strokeweight="1.5pt" strokecolor="#000000">
                <v:path arrowok="t"/>
              </v:shape>
            </v:group>
            <v:group style="position:absolute;left:3093;top:15;width:1683;height:2" coordorigin="3093,15" coordsize="1683,2">
              <v:shape style="position:absolute;left:3093;top:15;width:1683;height:2" coordorigin="3093,15" coordsize="1683,0" path="m3093,15l4775,15e" filled="false" stroked="true" strokeweight="1.5pt" strokecolor="#000000">
                <v:path arrowok="t"/>
              </v:shape>
            </v:group>
            <v:group style="position:absolute;left:4761;top:15;width:1671;height:2" coordorigin="4761,15" coordsize="1671,2">
              <v:shape style="position:absolute;left:4761;top:15;width:1671;height:2" coordorigin="4761,15" coordsize="1671,0" path="m4761,15l6431,15e" filled="false" stroked="true" strokeweight="1.5pt" strokecolor="#000000">
                <v:path arrowok="t"/>
              </v:shape>
            </v:group>
            <v:group style="position:absolute;left:6417;top:15;width:861;height:2" coordorigin="6417,15" coordsize="861,2">
              <v:shape style="position:absolute;left:6417;top:15;width:861;height:2" coordorigin="6417,15" coordsize="861,0" path="m6417,15l7277,15e" filled="false" stroked="true" strokeweight="1.5pt" strokecolor="#000000">
                <v:path arrowok="t"/>
              </v:shape>
            </v:group>
            <v:group style="position:absolute;left:7263;top:15;width:1683;height:2" coordorigin="7263,15" coordsize="1683,2">
              <v:shape style="position:absolute;left:7263;top:15;width:1683;height:2" coordorigin="7263,15" coordsize="1683,0" path="m7263,15l8945,15e" filled="false" stroked="true" strokeweight="1.5pt" strokecolor="#000000">
                <v:path arrowok="t"/>
              </v:shape>
            </v:group>
          </v:group>
        </w:pict>
      </w:r>
      <w:r>
        <w:rPr>
          <w:rFonts w:ascii="宋体" w:hAnsi="宋体" w:cs="宋体" w:eastAsia="宋体" w:hint="default"/>
          <w:position w:val="0"/>
          <w:sz w:val="3"/>
          <w:szCs w:val="3"/>
        </w:rPr>
      </w:r>
    </w:p>
    <w:p>
      <w:pPr>
        <w:spacing w:before="110"/>
        <w:ind w:left="89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日，本公司之控股子公司唐山晶源裕丰电子股份有限公司以定期存款</w:t>
      </w:r>
    </w:p>
    <w:p>
      <w:pPr>
        <w:spacing w:before="102"/>
        <w:ind w:left="458" w:right="0" w:firstLine="0"/>
        <w:jc w:val="left"/>
        <w:rPr>
          <w:rFonts w:ascii="宋体" w:hAnsi="宋体" w:cs="宋体" w:eastAsia="宋体" w:hint="default"/>
          <w:sz w:val="22"/>
          <w:szCs w:val="22"/>
        </w:rPr>
      </w:pPr>
      <w:r>
        <w:rPr>
          <w:rFonts w:ascii="宋体" w:hAnsi="宋体" w:cs="宋体" w:eastAsia="宋体" w:hint="default"/>
          <w:sz w:val="22"/>
          <w:szCs w:val="22"/>
        </w:rPr>
        <w:t>21,850,000.00</w:t>
      </w:r>
      <w:r>
        <w:rPr>
          <w:rFonts w:ascii="宋体" w:hAnsi="宋体" w:cs="宋体" w:eastAsia="宋体" w:hint="default"/>
          <w:spacing w:val="-58"/>
          <w:sz w:val="22"/>
          <w:szCs w:val="22"/>
        </w:rPr>
        <w:t> </w:t>
      </w:r>
      <w:r>
        <w:rPr>
          <w:rFonts w:ascii="宋体" w:hAnsi="宋体" w:cs="宋体" w:eastAsia="宋体" w:hint="default"/>
          <w:sz w:val="22"/>
          <w:szCs w:val="22"/>
        </w:rPr>
        <w:t>元质押取得短期借款</w:t>
      </w:r>
      <w:r>
        <w:rPr>
          <w:rFonts w:ascii="宋体" w:hAnsi="宋体" w:cs="宋体" w:eastAsia="宋体" w:hint="default"/>
          <w:spacing w:val="-57"/>
          <w:sz w:val="22"/>
          <w:szCs w:val="22"/>
        </w:rPr>
        <w:t> </w:t>
      </w:r>
      <w:r>
        <w:rPr>
          <w:rFonts w:ascii="宋体" w:hAnsi="宋体" w:cs="宋体" w:eastAsia="宋体" w:hint="default"/>
          <w:sz w:val="22"/>
          <w:szCs w:val="22"/>
        </w:rPr>
        <w:t>3,246,089.00</w:t>
      </w:r>
      <w:r>
        <w:rPr>
          <w:rFonts w:ascii="宋体" w:hAnsi="宋体" w:cs="宋体" w:eastAsia="宋体" w:hint="default"/>
          <w:spacing w:val="-57"/>
          <w:sz w:val="22"/>
          <w:szCs w:val="22"/>
        </w:rPr>
        <w:t> </w:t>
      </w:r>
      <w:r>
        <w:rPr>
          <w:rFonts w:ascii="宋体" w:hAnsi="宋体" w:cs="宋体" w:eastAsia="宋体" w:hint="default"/>
          <w:spacing w:val="-6"/>
          <w:sz w:val="22"/>
          <w:szCs w:val="22"/>
        </w:rPr>
        <w:t>美元，折合人民币</w:t>
      </w:r>
      <w:r>
        <w:rPr>
          <w:rFonts w:ascii="宋体" w:hAnsi="宋体" w:cs="宋体" w:eastAsia="宋体" w:hint="default"/>
          <w:spacing w:val="-58"/>
          <w:sz w:val="22"/>
          <w:szCs w:val="22"/>
        </w:rPr>
        <w:t> </w:t>
      </w:r>
      <w:r>
        <w:rPr>
          <w:rFonts w:ascii="宋体" w:hAnsi="宋体" w:cs="宋体" w:eastAsia="宋体" w:hint="default"/>
          <w:sz w:val="22"/>
          <w:szCs w:val="22"/>
        </w:rPr>
        <w:t>21,497,608.70</w:t>
      </w:r>
      <w:r>
        <w:rPr>
          <w:rFonts w:ascii="宋体" w:hAnsi="宋体" w:cs="宋体" w:eastAsia="宋体" w:hint="default"/>
          <w:spacing w:val="-59"/>
          <w:sz w:val="22"/>
          <w:szCs w:val="22"/>
        </w:rPr>
        <w:t> </w:t>
      </w:r>
      <w:r>
        <w:rPr>
          <w:rFonts w:ascii="宋体" w:hAnsi="宋体" w:cs="宋体" w:eastAsia="宋体" w:hint="default"/>
          <w:spacing w:val="-10"/>
          <w:sz w:val="22"/>
          <w:szCs w:val="22"/>
        </w:rPr>
        <w:t>元；本公司</w:t>
      </w:r>
    </w:p>
    <w:p>
      <w:pPr>
        <w:spacing w:before="102"/>
        <w:ind w:left="458" w:right="0" w:firstLine="0"/>
        <w:jc w:val="left"/>
        <w:rPr>
          <w:rFonts w:ascii="宋体" w:hAnsi="宋体" w:cs="宋体" w:eastAsia="宋体" w:hint="default"/>
          <w:sz w:val="22"/>
          <w:szCs w:val="22"/>
        </w:rPr>
      </w:pPr>
      <w:r>
        <w:rPr>
          <w:rFonts w:ascii="宋体" w:hAnsi="宋体" w:cs="宋体" w:eastAsia="宋体" w:hint="default"/>
          <w:spacing w:val="22"/>
          <w:sz w:val="22"/>
          <w:szCs w:val="22"/>
        </w:rPr>
        <w:t>之全资子公司南通同方半导体有限公司以定期存单 </w:t>
      </w:r>
      <w:r>
        <w:rPr>
          <w:rFonts w:ascii="宋体" w:hAnsi="宋体" w:cs="宋体" w:eastAsia="宋体" w:hint="default"/>
          <w:sz w:val="22"/>
          <w:szCs w:val="22"/>
        </w:rPr>
        <w:t>56,154,960.00</w:t>
      </w:r>
      <w:r>
        <w:rPr>
          <w:rFonts w:ascii="宋体" w:hAnsi="宋体" w:cs="宋体" w:eastAsia="宋体" w:hint="default"/>
          <w:spacing w:val="28"/>
          <w:sz w:val="22"/>
          <w:szCs w:val="22"/>
        </w:rPr>
        <w:t> </w:t>
      </w:r>
      <w:r>
        <w:rPr>
          <w:rFonts w:ascii="宋体" w:hAnsi="宋体" w:cs="宋体" w:eastAsia="宋体" w:hint="default"/>
          <w:spacing w:val="21"/>
          <w:sz w:val="22"/>
          <w:szCs w:val="22"/>
        </w:rPr>
        <w:t>元质押取得短期借款</w:t>
      </w:r>
      <w:r>
        <w:rPr>
          <w:rFonts w:ascii="宋体" w:hAnsi="宋体" w:cs="宋体" w:eastAsia="宋体" w:hint="default"/>
          <w:spacing w:val="-86"/>
          <w:sz w:val="22"/>
          <w:szCs w:val="22"/>
        </w:rPr>
        <w:t> </w:t>
      </w:r>
      <w:r>
        <w:rPr>
          <w:rFonts w:ascii="宋体" w:hAnsi="宋体" w:cs="宋体" w:eastAsia="宋体" w:hint="default"/>
          <w:sz w:val="22"/>
          <w:szCs w:val="22"/>
        </w:rPr>
      </w:r>
    </w:p>
    <w:p>
      <w:pPr>
        <w:spacing w:before="102"/>
        <w:ind w:left="458" w:right="0" w:firstLine="0"/>
        <w:jc w:val="left"/>
        <w:rPr>
          <w:rFonts w:ascii="宋体" w:hAnsi="宋体" w:cs="宋体" w:eastAsia="宋体" w:hint="default"/>
          <w:sz w:val="22"/>
          <w:szCs w:val="22"/>
        </w:rPr>
      </w:pPr>
      <w:r>
        <w:rPr>
          <w:rFonts w:ascii="宋体" w:hAnsi="宋体" w:cs="宋体" w:eastAsia="宋体" w:hint="default"/>
          <w:sz w:val="22"/>
          <w:szCs w:val="22"/>
        </w:rPr>
        <w:t>8,479,164.08</w:t>
      </w:r>
      <w:r>
        <w:rPr>
          <w:rFonts w:ascii="宋体" w:hAnsi="宋体" w:cs="宋体" w:eastAsia="宋体" w:hint="default"/>
          <w:spacing w:val="-58"/>
          <w:sz w:val="22"/>
          <w:szCs w:val="22"/>
        </w:rPr>
        <w:t> </w:t>
      </w:r>
      <w:r>
        <w:rPr>
          <w:rFonts w:ascii="宋体" w:hAnsi="宋体" w:cs="宋体" w:eastAsia="宋体" w:hint="default"/>
          <w:sz w:val="22"/>
          <w:szCs w:val="22"/>
        </w:rPr>
        <w:t>美元，折合人民币</w:t>
      </w:r>
      <w:r>
        <w:rPr>
          <w:rFonts w:ascii="宋体" w:hAnsi="宋体" w:cs="宋体" w:eastAsia="宋体" w:hint="default"/>
          <w:spacing w:val="-58"/>
          <w:sz w:val="22"/>
          <w:szCs w:val="22"/>
        </w:rPr>
        <w:t> </w:t>
      </w:r>
      <w:r>
        <w:rPr>
          <w:rFonts w:ascii="宋体" w:hAnsi="宋体" w:cs="宋体" w:eastAsia="宋体" w:hint="default"/>
          <w:sz w:val="22"/>
          <w:szCs w:val="22"/>
        </w:rPr>
        <w:t>56,154,960.00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240" w:lineRule="auto" w:before="4"/>
        <w:rPr>
          <w:rFonts w:ascii="宋体" w:hAnsi="宋体" w:cs="宋体" w:eastAsia="宋体" w:hint="default"/>
          <w:sz w:val="11"/>
          <w:szCs w:val="11"/>
        </w:rPr>
      </w:pPr>
    </w:p>
    <w:tbl>
      <w:tblPr>
        <w:tblW w:w="0" w:type="auto"/>
        <w:jc w:val="left"/>
        <w:tblInd w:w="735" w:type="dxa"/>
        <w:tblLayout w:type="fixed"/>
        <w:tblCellMar>
          <w:top w:w="0" w:type="dxa"/>
          <w:left w:w="0" w:type="dxa"/>
          <w:bottom w:w="0" w:type="dxa"/>
          <w:right w:w="0" w:type="dxa"/>
        </w:tblCellMar>
        <w:tblLook w:val="01E0"/>
      </w:tblPr>
      <w:tblGrid>
        <w:gridCol w:w="5138"/>
        <w:gridCol w:w="1966"/>
        <w:gridCol w:w="1537"/>
      </w:tblGrid>
      <w:tr>
        <w:trPr>
          <w:trHeight w:val="498" w:hRule="exact"/>
        </w:trPr>
        <w:tc>
          <w:tcPr>
            <w:tcW w:w="5138" w:type="dxa"/>
            <w:tcBorders>
              <w:top w:val="nil" w:sz="6" w:space="0" w:color="auto"/>
              <w:left w:val="nil" w:sz="6" w:space="0" w:color="auto"/>
              <w:bottom w:val="single" w:sz="12" w:space="0" w:color="000000"/>
              <w:right w:val="nil" w:sz="6" w:space="0" w:color="auto"/>
            </w:tcBorders>
          </w:tcPr>
          <w:p>
            <w:pPr>
              <w:pStyle w:val="TableParagraph"/>
              <w:tabs>
                <w:tab w:pos="629" w:val="left" w:leader="none"/>
              </w:tabs>
              <w:spacing w:line="240" w:lineRule="auto" w:before="31"/>
              <w:ind w:left="176"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交易性金融资产</w:t>
            </w:r>
          </w:p>
        </w:tc>
        <w:tc>
          <w:tcPr>
            <w:tcW w:w="3502" w:type="dxa"/>
            <w:gridSpan w:val="2"/>
            <w:tcBorders>
              <w:top w:val="nil" w:sz="6" w:space="0" w:color="auto"/>
              <w:left w:val="nil" w:sz="6" w:space="0" w:color="auto"/>
              <w:bottom w:val="single" w:sz="12" w:space="0" w:color="000000"/>
              <w:right w:val="nil" w:sz="6" w:space="0" w:color="auto"/>
            </w:tcBorders>
          </w:tcPr>
          <w:p>
            <w:pPr/>
          </w:p>
        </w:tc>
      </w:tr>
      <w:tr>
        <w:trPr>
          <w:trHeight w:val="302" w:hRule="exact"/>
        </w:trPr>
        <w:tc>
          <w:tcPr>
            <w:tcW w:w="513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6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63"/>
              <w:jc w:val="right"/>
              <w:rPr>
                <w:rFonts w:ascii="宋体" w:hAnsi="宋体" w:cs="宋体" w:eastAsia="宋体" w:hint="default"/>
                <w:sz w:val="18"/>
                <w:szCs w:val="18"/>
              </w:rPr>
            </w:pPr>
            <w:r>
              <w:rPr>
                <w:rFonts w:ascii="宋体" w:hAnsi="宋体" w:cs="宋体" w:eastAsia="宋体" w:hint="default"/>
                <w:b/>
                <w:bCs/>
                <w:w w:val="95"/>
                <w:sz w:val="18"/>
                <w:szCs w:val="18"/>
              </w:rPr>
              <w:t>年末公允价值</w:t>
            </w:r>
            <w:r>
              <w:rPr>
                <w:rFonts w:ascii="宋体" w:hAnsi="宋体" w:cs="宋体" w:eastAsia="宋体" w:hint="default"/>
                <w:sz w:val="18"/>
                <w:szCs w:val="18"/>
              </w:rPr>
            </w:r>
          </w:p>
        </w:tc>
        <w:tc>
          <w:tcPr>
            <w:tcW w:w="1537"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b/>
                <w:bCs/>
                <w:w w:val="95"/>
                <w:sz w:val="18"/>
                <w:szCs w:val="18"/>
              </w:rPr>
              <w:t>年初公允价值</w:t>
            </w:r>
            <w:r>
              <w:rPr>
                <w:rFonts w:ascii="宋体" w:hAnsi="宋体" w:cs="宋体" w:eastAsia="宋体" w:hint="default"/>
                <w:sz w:val="18"/>
                <w:szCs w:val="18"/>
              </w:rPr>
            </w:r>
          </w:p>
        </w:tc>
      </w:tr>
      <w:tr>
        <w:trPr>
          <w:trHeight w:val="283" w:hRule="exact"/>
        </w:trPr>
        <w:tc>
          <w:tcPr>
            <w:tcW w:w="5138"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1966" w:type="dxa"/>
            <w:tcBorders>
              <w:top w:val="single" w:sz="4" w:space="0" w:color="000000"/>
              <w:left w:val="nil" w:sz="6" w:space="0" w:color="auto"/>
              <w:bottom w:val="nil" w:sz="6" w:space="0" w:color="auto"/>
              <w:right w:val="nil" w:sz="6" w:space="0" w:color="auto"/>
            </w:tcBorders>
          </w:tcPr>
          <w:p>
            <w:pPr>
              <w:pStyle w:val="TableParagraph"/>
              <w:spacing w:line="226" w:lineRule="exact"/>
              <w:ind w:right="162"/>
              <w:jc w:val="right"/>
              <w:rPr>
                <w:rFonts w:ascii="宋体" w:hAnsi="宋体" w:cs="宋体" w:eastAsia="宋体" w:hint="default"/>
                <w:sz w:val="18"/>
                <w:szCs w:val="18"/>
              </w:rPr>
            </w:pPr>
            <w:r>
              <w:rPr>
                <w:rFonts w:ascii="宋体"/>
                <w:sz w:val="18"/>
              </w:rPr>
              <w:t>108,925,522.38</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90,633,123.12</w:t>
            </w:r>
          </w:p>
        </w:tc>
      </w:tr>
      <w:tr>
        <w:trPr>
          <w:trHeight w:val="293" w:hRule="exact"/>
        </w:trPr>
        <w:tc>
          <w:tcPr>
            <w:tcW w:w="513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指定为以公允价值计量且其变动计入本期损益的金融资产</w:t>
            </w:r>
          </w:p>
        </w:tc>
        <w:tc>
          <w:tcPr>
            <w:tcW w:w="1966" w:type="dxa"/>
            <w:tcBorders>
              <w:top w:val="nil" w:sz="6" w:space="0" w:color="auto"/>
              <w:left w:val="nil" w:sz="6" w:space="0" w:color="auto"/>
              <w:bottom w:val="single" w:sz="4" w:space="0" w:color="000000"/>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sz w:val="18"/>
              </w:rPr>
              <w:t>42,493,637.04</w:t>
            </w:r>
          </w:p>
        </w:tc>
        <w:tc>
          <w:tcPr>
            <w:tcW w:w="1537"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26,973,300.05</w:t>
            </w:r>
          </w:p>
        </w:tc>
      </w:tr>
      <w:tr>
        <w:trPr>
          <w:trHeight w:val="304" w:hRule="exact"/>
        </w:trPr>
        <w:tc>
          <w:tcPr>
            <w:tcW w:w="513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6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64"/>
              <w:jc w:val="right"/>
              <w:rPr>
                <w:rFonts w:ascii="宋体" w:hAnsi="宋体" w:cs="宋体" w:eastAsia="宋体" w:hint="default"/>
                <w:sz w:val="18"/>
                <w:szCs w:val="18"/>
              </w:rPr>
            </w:pPr>
            <w:r>
              <w:rPr>
                <w:rFonts w:ascii="宋体"/>
                <w:b/>
                <w:w w:val="95"/>
                <w:sz w:val="18"/>
              </w:rPr>
              <w:t>151,419,159.42</w:t>
            </w:r>
            <w:r>
              <w:rPr>
                <w:rFonts w:ascii="宋体"/>
                <w:sz w:val="18"/>
              </w:rPr>
            </w:r>
          </w:p>
        </w:tc>
        <w:tc>
          <w:tcPr>
            <w:tcW w:w="153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117,606,423.17</w:t>
            </w:r>
            <w:r>
              <w:rPr>
                <w:rFonts w:ascii="宋体"/>
                <w:sz w:val="18"/>
              </w:rPr>
            </w:r>
          </w:p>
        </w:tc>
      </w:tr>
    </w:tbl>
    <w:p>
      <w:pPr>
        <w:spacing w:line="324" w:lineRule="auto" w:before="79"/>
        <w:ind w:left="458" w:right="462" w:firstLine="453"/>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5"/>
          <w:sz w:val="22"/>
          <w:szCs w:val="22"/>
        </w:rPr>
        <w:t> </w:t>
      </w:r>
      <w:r>
        <w:rPr>
          <w:rFonts w:ascii="宋体" w:hAnsi="宋体" w:cs="宋体" w:eastAsia="宋体" w:hint="default"/>
          <w:sz w:val="22"/>
          <w:szCs w:val="22"/>
        </w:rPr>
        <w:t>年末余额中交易性权益工具投资为本公司的股票及基金投资，指定为以公允价值计量且</w:t>
      </w:r>
      <w:r>
        <w:rPr>
          <w:rFonts w:ascii="宋体" w:hAnsi="宋体" w:cs="宋体" w:eastAsia="宋体" w:hint="default"/>
          <w:w w:val="99"/>
          <w:sz w:val="22"/>
          <w:szCs w:val="22"/>
        </w:rPr>
        <w:t> </w:t>
      </w:r>
      <w:r>
        <w:rPr>
          <w:rFonts w:ascii="宋体" w:hAnsi="宋体" w:cs="宋体" w:eastAsia="宋体" w:hint="default"/>
          <w:sz w:val="22"/>
          <w:szCs w:val="22"/>
        </w:rPr>
        <w:t>其变动计入本期损益的金融资产为本公司之子公司</w:t>
      </w:r>
      <w:r>
        <w:rPr>
          <w:rFonts w:ascii="宋体" w:hAnsi="宋体" w:cs="宋体" w:eastAsia="宋体" w:hint="default"/>
          <w:spacing w:val="-58"/>
          <w:sz w:val="22"/>
          <w:szCs w:val="22"/>
        </w:rPr>
        <w:t> </w:t>
      </w:r>
      <w:r>
        <w:rPr>
          <w:rFonts w:ascii="宋体" w:hAnsi="宋体" w:cs="宋体" w:eastAsia="宋体" w:hint="default"/>
          <w:sz w:val="22"/>
          <w:szCs w:val="22"/>
        </w:rPr>
        <w:t>Resuccess</w:t>
      </w:r>
      <w:r>
        <w:rPr>
          <w:rFonts w:ascii="宋体" w:hAnsi="宋体" w:cs="宋体" w:eastAsia="宋体" w:hint="default"/>
          <w:spacing w:val="-25"/>
          <w:sz w:val="22"/>
          <w:szCs w:val="22"/>
        </w:rPr>
        <w:t> </w:t>
      </w:r>
      <w:r>
        <w:rPr>
          <w:rFonts w:ascii="宋体" w:hAnsi="宋体" w:cs="宋体" w:eastAsia="宋体" w:hint="default"/>
          <w:sz w:val="22"/>
          <w:szCs w:val="22"/>
        </w:rPr>
        <w:t>investments</w:t>
      </w:r>
      <w:r>
        <w:rPr>
          <w:rFonts w:ascii="宋体" w:hAnsi="宋体" w:cs="宋体" w:eastAsia="宋体" w:hint="default"/>
          <w:spacing w:val="-24"/>
          <w:sz w:val="22"/>
          <w:szCs w:val="22"/>
        </w:rPr>
        <w:t> </w:t>
      </w:r>
      <w:r>
        <w:rPr>
          <w:rFonts w:ascii="宋体" w:hAnsi="宋体" w:cs="宋体" w:eastAsia="宋体" w:hint="default"/>
          <w:sz w:val="22"/>
          <w:szCs w:val="22"/>
        </w:rPr>
        <w:t>limited</w:t>
      </w:r>
      <w:r>
        <w:rPr>
          <w:rFonts w:ascii="宋体" w:hAnsi="宋体" w:cs="宋体" w:eastAsia="宋体" w:hint="default"/>
          <w:spacing w:val="-58"/>
          <w:sz w:val="22"/>
          <w:szCs w:val="22"/>
        </w:rPr>
        <w:t> </w:t>
      </w:r>
      <w:r>
        <w:rPr>
          <w:rFonts w:ascii="宋体" w:hAnsi="宋体" w:cs="宋体" w:eastAsia="宋体" w:hint="default"/>
          <w:sz w:val="22"/>
          <w:szCs w:val="22"/>
        </w:rPr>
        <w:t>持有的香港</w:t>
      </w:r>
      <w:r>
        <w:rPr>
          <w:rFonts w:ascii="宋体" w:hAnsi="宋体" w:cs="宋体" w:eastAsia="宋体" w:hint="default"/>
          <w:w w:val="99"/>
          <w:sz w:val="22"/>
          <w:szCs w:val="22"/>
        </w:rPr>
        <w:t> </w:t>
      </w:r>
      <w:r>
        <w:rPr>
          <w:rFonts w:ascii="宋体" w:hAnsi="宋体" w:cs="宋体" w:eastAsia="宋体" w:hint="default"/>
          <w:sz w:val="22"/>
          <w:szCs w:val="22"/>
        </w:rPr>
        <w:t>联交所上市公司事安集团有限公司和泰盛国际(控股)有限公司股票。</w:t>
      </w:r>
    </w:p>
    <w:p>
      <w:pPr>
        <w:spacing w:before="103"/>
        <w:ind w:left="91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本公司的交易性金融资产投资变现不存在重大限制。</w:t>
      </w:r>
    </w:p>
    <w:p>
      <w:pPr>
        <w:tabs>
          <w:tab w:pos="1365" w:val="left" w:leader="none"/>
        </w:tabs>
        <w:spacing w:before="180"/>
        <w:ind w:left="91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应收票据</w:t>
      </w:r>
    </w:p>
    <w:p>
      <w:pPr>
        <w:spacing w:line="240" w:lineRule="auto" w:before="3"/>
        <w:rPr>
          <w:rFonts w:ascii="宋体" w:hAnsi="宋体" w:cs="宋体" w:eastAsia="宋体" w:hint="default"/>
          <w:sz w:val="11"/>
          <w:szCs w:val="11"/>
        </w:rPr>
      </w:pPr>
    </w:p>
    <w:p>
      <w:pPr>
        <w:spacing w:line="30" w:lineRule="exact"/>
        <w:ind w:left="7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5311" w:val="left" w:leader="none"/>
          <w:tab w:pos="5607" w:val="left" w:leader="none"/>
          <w:tab w:pos="8104" w:val="left" w:leader="none"/>
          <w:tab w:pos="8311" w:val="left" w:leader="none"/>
        </w:tabs>
        <w:spacing w:line="297" w:lineRule="auto" w:before="0"/>
        <w:ind w:left="843" w:right="847" w:firstLine="0"/>
        <w:jc w:val="left"/>
        <w:rPr>
          <w:rFonts w:ascii="宋体" w:hAnsi="宋体" w:cs="宋体" w:eastAsia="宋体" w:hint="default"/>
          <w:sz w:val="18"/>
          <w:szCs w:val="18"/>
        </w:rPr>
      </w:pPr>
      <w:r>
        <w:rPr/>
        <w:pict>
          <v:group style="position:absolute;margin-left:84.779999pt;margin-top:14.832131pt;width:432pt;height:.1pt;mso-position-horizontal-relative:page;mso-position-vertical-relative:paragraph;z-index:-1048576" coordorigin="1696,297" coordsize="8640,2">
            <v:shape style="position:absolute;left:1696;top:297;width:8640;height:2" coordorigin="1696,297" coordsize="8640,0" path="m1696,297l10336,297e" filled="false" stroked="true" strokeweight=".48pt" strokecolor="#000000">
              <v:path arrowok="t"/>
            </v:shape>
            <w10:wrap type="none"/>
          </v:group>
        </w:pict>
      </w:r>
      <w:r>
        <w:rPr>
          <w:rFonts w:ascii="宋体" w:hAnsi="宋体" w:cs="宋体" w:eastAsia="宋体" w:hint="default"/>
          <w:b/>
          <w:bCs/>
          <w:w w:val="95"/>
          <w:sz w:val="18"/>
          <w:szCs w:val="18"/>
        </w:rPr>
        <w:t>票据种类</w:t>
        <w:tab/>
        <w:tab/>
        <w:t>年末金额</w:t>
        <w:tab/>
        <w:tab/>
      </w:r>
      <w:r>
        <w:rPr>
          <w:rFonts w:ascii="宋体" w:hAnsi="宋体" w:cs="宋体" w:eastAsia="宋体" w:hint="default"/>
          <w:b/>
          <w:bCs/>
          <w:sz w:val="18"/>
          <w:szCs w:val="18"/>
        </w:rPr>
        <w:t>年初金额</w:t>
      </w:r>
      <w:r>
        <w:rPr>
          <w:rFonts w:ascii="宋体" w:hAnsi="宋体" w:cs="宋体" w:eastAsia="宋体" w:hint="default"/>
          <w:b/>
          <w:bCs/>
          <w:w w:val="99"/>
          <w:sz w:val="18"/>
          <w:szCs w:val="18"/>
        </w:rPr>
        <w:t> </w:t>
      </w:r>
      <w:r>
        <w:rPr>
          <w:rFonts w:ascii="宋体" w:hAnsi="宋体" w:cs="宋体" w:eastAsia="宋体" w:hint="default"/>
          <w:sz w:val="18"/>
          <w:szCs w:val="18"/>
        </w:rPr>
        <w:t>银行承兑汇票</w:t>
        <w:tab/>
        <w:t>111,343,957.71</w:t>
        <w:tab/>
        <w:t>82,787,737.08</w:t>
      </w:r>
    </w:p>
    <w:p>
      <w:pPr>
        <w:tabs>
          <w:tab w:pos="5491" w:val="left" w:leader="none"/>
          <w:tab w:pos="8194" w:val="left" w:leader="none"/>
        </w:tabs>
        <w:spacing w:before="5"/>
        <w:ind w:left="843" w:right="0" w:firstLine="0"/>
        <w:jc w:val="left"/>
        <w:rPr>
          <w:rFonts w:ascii="宋体" w:hAnsi="宋体" w:cs="宋体" w:eastAsia="宋体" w:hint="default"/>
          <w:sz w:val="18"/>
          <w:szCs w:val="18"/>
        </w:rPr>
      </w:pPr>
      <w:r>
        <w:rPr>
          <w:rFonts w:ascii="宋体" w:hAnsi="宋体" w:cs="宋体" w:eastAsia="宋体" w:hint="default"/>
          <w:sz w:val="18"/>
          <w:szCs w:val="18"/>
        </w:rPr>
        <w:t>商业承兑汇票</w:t>
        <w:tab/>
        <w:t>3,668,439.00</w:t>
        <w:tab/>
        <w:t>1,405,631.00</w:t>
      </w:r>
    </w:p>
    <w:p>
      <w:pPr>
        <w:spacing w:line="240" w:lineRule="auto" w:before="4"/>
        <w:rPr>
          <w:rFonts w:ascii="宋体" w:hAnsi="宋体" w:cs="宋体" w:eastAsia="宋体" w:hint="default"/>
          <w:sz w:val="4"/>
          <w:szCs w:val="4"/>
        </w:rPr>
      </w:pPr>
    </w:p>
    <w:p>
      <w:pPr>
        <w:spacing w:line="20" w:lineRule="exact"/>
        <w:ind w:left="73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5300" w:val="left" w:leader="none"/>
          <w:tab w:pos="8094" w:val="left" w:leader="none"/>
        </w:tabs>
        <w:spacing w:before="0"/>
        <w:ind w:left="84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115,012,396.71</w:t>
        <w:tab/>
      </w:r>
      <w:r>
        <w:rPr>
          <w:rFonts w:ascii="宋体" w:hAnsi="宋体" w:cs="宋体" w:eastAsia="宋体" w:hint="default"/>
          <w:b/>
          <w:bCs/>
          <w:sz w:val="18"/>
          <w:szCs w:val="18"/>
        </w:rPr>
        <w:t>84,193,368.08</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p>
      <w:pPr>
        <w:spacing w:line="30" w:lineRule="exact"/>
        <w:ind w:left="70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3336;height:2" coordorigin="15,15" coordsize="3336,2">
              <v:shape style="position:absolute;left:15;top:15;width:3336;height:2" coordorigin="15,15" coordsize="3336,0" path="m15,15l3351,15e" filled="false" stroked="true" strokeweight="1.5pt" strokecolor="#000000">
                <v:path arrowok="t"/>
              </v:shape>
            </v:group>
            <v:group style="position:absolute;left:3337;top:15;width:2637;height:2" coordorigin="3337,15" coordsize="2637,2">
              <v:shape style="position:absolute;left:3337;top:15;width:2637;height:2" coordorigin="3337,15" coordsize="2637,0" path="m3337,15l5973,15e" filled="false" stroked="true" strokeweight="1.5pt" strokecolor="#000000">
                <v:path arrowok="t"/>
              </v:shape>
            </v:group>
            <v:group style="position:absolute;left:5959;top:15;width:2718;height:2" coordorigin="5959,15" coordsize="2718,2">
              <v:shape style="position:absolute;left:5959;top:15;width:2718;height:2" coordorigin="5959,15" coordsize="2718,0" path="m5959,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tabs>
          <w:tab w:pos="1365" w:val="left" w:leader="none"/>
        </w:tabs>
        <w:spacing w:before="31"/>
        <w:ind w:left="91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应收账款</w:t>
      </w:r>
    </w:p>
    <w:p>
      <w:pPr>
        <w:spacing w:before="163"/>
        <w:ind w:left="91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应收账款风险分类</w:t>
      </w:r>
    </w:p>
    <w:p>
      <w:pPr>
        <w:spacing w:line="240" w:lineRule="auto" w:before="6"/>
        <w:rPr>
          <w:rFonts w:ascii="宋体" w:hAnsi="宋体" w:cs="宋体" w:eastAsia="宋体" w:hint="default"/>
          <w:sz w:val="12"/>
          <w:szCs w:val="12"/>
        </w:rPr>
      </w:pPr>
    </w:p>
    <w:p>
      <w:pPr>
        <w:spacing w:line="30" w:lineRule="exact"/>
        <w:ind w:left="10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5.4pt;height:1.5pt;mso-position-horizontal-relative:char;mso-position-vertical-relative:line" coordorigin="0,0" coordsize="9908,30">
            <v:group style="position:absolute;left:15;top:15;width:5495;height:2" coordorigin="15,15" coordsize="5495,2">
              <v:shape style="position:absolute;left:15;top:15;width:5495;height:2" coordorigin="15,15" coordsize="5495,0" path="m15,15l5510,15e" filled="false" stroked="true" strokeweight="1.5pt" strokecolor="#000000">
                <v:path arrowok="t"/>
              </v:shape>
            </v:group>
            <v:group style="position:absolute;left:5510;top:15;width:4383;height:2" coordorigin="5510,15" coordsize="4383,2">
              <v:shape style="position:absolute;left:5510;top:15;width:4383;height:2" coordorigin="5510,15" coordsize="4383,0" path="m5510,15l9892,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960" w:right="820"/>
        </w:sectPr>
      </w:pPr>
    </w:p>
    <w:p>
      <w:pPr>
        <w:spacing w:line="240" w:lineRule="auto" w:before="11"/>
        <w:rPr>
          <w:rFonts w:ascii="宋体" w:hAnsi="宋体" w:cs="宋体" w:eastAsia="宋体" w:hint="default"/>
          <w:sz w:val="19"/>
          <w:szCs w:val="19"/>
        </w:rPr>
      </w:pPr>
    </w:p>
    <w:p>
      <w:pPr>
        <w:spacing w:before="0"/>
        <w:ind w:left="220" w:right="0" w:firstLine="0"/>
        <w:jc w:val="both"/>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p>
    <w:p>
      <w:pPr>
        <w:spacing w:line="200" w:lineRule="exact" w:before="135"/>
        <w:ind w:left="220" w:right="0" w:firstLine="0"/>
        <w:jc w:val="both"/>
        <w:rPr>
          <w:rFonts w:ascii="宋体" w:hAnsi="宋体" w:cs="宋体" w:eastAsia="宋体" w:hint="default"/>
          <w:sz w:val="16"/>
          <w:szCs w:val="16"/>
        </w:rPr>
      </w:pPr>
      <w:r>
        <w:rPr/>
        <w:pict>
          <v:group style="position:absolute;margin-left:54pt;margin-top:6.530303pt;width:493.9pt;height:.1pt;mso-position-horizontal-relative:page;mso-position-vertical-relative:paragraph;z-index:2536" coordorigin="1080,131" coordsize="9878,2">
            <v:shape style="position:absolute;left:1080;top:131;width:9878;height:2" coordorigin="1080,131" coordsize="9878,0" path="m1080,131l10957,131e" filled="false" stroked="true" strokeweight=".48pt" strokecolor="#000000">
              <v:path arrowok="t"/>
            </v:shape>
            <w10:wrap type="none"/>
          </v:group>
        </w:pict>
      </w:r>
      <w:r>
        <w:rPr>
          <w:rFonts w:ascii="宋体" w:hAnsi="宋体" w:cs="宋体" w:eastAsia="宋体" w:hint="default"/>
          <w:spacing w:val="9"/>
          <w:sz w:val="16"/>
          <w:szCs w:val="16"/>
        </w:rPr>
        <w:t>按组合计提</w:t>
      </w:r>
      <w:r>
        <w:rPr>
          <w:rFonts w:ascii="宋体" w:hAnsi="宋体" w:cs="宋体" w:eastAsia="宋体" w:hint="default"/>
          <w:w w:val="99"/>
          <w:sz w:val="16"/>
          <w:szCs w:val="16"/>
        </w:rPr>
        <w:t> </w:t>
      </w:r>
      <w:r>
        <w:rPr>
          <w:rFonts w:ascii="宋体" w:hAnsi="宋体" w:cs="宋体" w:eastAsia="宋体" w:hint="default"/>
          <w:spacing w:val="9"/>
          <w:sz w:val="16"/>
          <w:szCs w:val="16"/>
        </w:rPr>
        <w:t>坏账准备的</w:t>
      </w:r>
      <w:r>
        <w:rPr>
          <w:rFonts w:ascii="宋体" w:hAnsi="宋体" w:cs="宋体" w:eastAsia="宋体" w:hint="default"/>
          <w:w w:val="99"/>
          <w:sz w:val="16"/>
          <w:szCs w:val="16"/>
        </w:rPr>
        <w:t> </w:t>
      </w:r>
      <w:r>
        <w:rPr>
          <w:rFonts w:ascii="宋体" w:hAnsi="宋体" w:cs="宋体" w:eastAsia="宋体" w:hint="default"/>
          <w:sz w:val="16"/>
          <w:szCs w:val="16"/>
        </w:rPr>
        <w:t>应收账款：</w:t>
      </w:r>
    </w:p>
    <w:p>
      <w:pPr>
        <w:tabs>
          <w:tab w:pos="4413" w:val="left" w:leader="none"/>
        </w:tabs>
        <w:spacing w:before="0"/>
        <w:ind w:left="0" w:right="487" w:firstLine="0"/>
        <w:jc w:val="center"/>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tabs>
          <w:tab w:pos="2206" w:val="left" w:leader="none"/>
          <w:tab w:pos="4413" w:val="left" w:leader="none"/>
          <w:tab w:pos="6618" w:val="left" w:leader="none"/>
        </w:tabs>
        <w:spacing w:before="75"/>
        <w:ind w:left="0" w:right="408" w:firstLine="0"/>
        <w:jc w:val="center"/>
        <w:rPr>
          <w:rFonts w:ascii="宋体" w:hAnsi="宋体" w:cs="宋体" w:eastAsia="宋体" w:hint="default"/>
          <w:sz w:val="16"/>
          <w:szCs w:val="16"/>
        </w:rPr>
      </w:pPr>
      <w:r>
        <w:rPr/>
        <w:pict>
          <v:group style="position:absolute;margin-left:106.559998pt;margin-top:2.474055pt;width:441.3pt;height:.1pt;mso-position-horizontal-relative:page;mso-position-vertical-relative:paragraph;z-index:2488" coordorigin="2131,49" coordsize="8826,2">
            <v:shape style="position:absolute;left:2131;top:49;width:8826;height:2" coordorigin="2131,49" coordsize="8826,0" path="m2131,49l10957,49e" filled="false" stroked="true" strokeweight=".48pt" strokecolor="#000000">
              <v:path arrowok="t"/>
            </v:shape>
            <w10:wrap type="none"/>
          </v:group>
        </w:pict>
      </w:r>
      <w:r>
        <w:rPr>
          <w:rFonts w:ascii="宋体" w:hAnsi="宋体" w:cs="宋体" w:eastAsia="宋体" w:hint="default"/>
          <w:b/>
          <w:bCs/>
          <w:w w:val="95"/>
          <w:sz w:val="16"/>
          <w:szCs w:val="16"/>
        </w:rPr>
        <w:t>账面余额</w:t>
        <w:tab/>
        <w:t>坏账准备</w:t>
        <w:tab/>
        <w:t>账面余额</w:t>
        <w:tab/>
      </w:r>
      <w:r>
        <w:rPr>
          <w:rFonts w:ascii="宋体" w:hAnsi="宋体" w:cs="宋体" w:eastAsia="宋体" w:hint="default"/>
          <w:b/>
          <w:bCs/>
          <w:sz w:val="16"/>
          <w:szCs w:val="16"/>
        </w:rPr>
        <w:t>坏账准备</w:t>
      </w:r>
      <w:r>
        <w:rPr>
          <w:rFonts w:ascii="宋体" w:hAnsi="宋体" w:cs="宋体" w:eastAsia="宋体" w:hint="default"/>
          <w:sz w:val="16"/>
          <w:szCs w:val="16"/>
        </w:rPr>
      </w:r>
    </w:p>
    <w:p>
      <w:pPr>
        <w:tabs>
          <w:tab w:pos="1364" w:val="left" w:leader="none"/>
          <w:tab w:pos="2427" w:val="left" w:leader="none"/>
          <w:tab w:pos="3490" w:val="left" w:leader="none"/>
          <w:tab w:pos="4634" w:val="left" w:leader="none"/>
          <w:tab w:pos="5777" w:val="left" w:leader="none"/>
          <w:tab w:pos="6839" w:val="left" w:leader="none"/>
          <w:tab w:pos="7903" w:val="left" w:leader="none"/>
        </w:tabs>
        <w:spacing w:before="55"/>
        <w:ind w:left="220" w:right="0" w:firstLine="0"/>
        <w:jc w:val="left"/>
        <w:rPr>
          <w:rFonts w:ascii="宋体" w:hAnsi="宋体" w:cs="宋体" w:eastAsia="宋体" w:hint="default"/>
          <w:sz w:val="16"/>
          <w:szCs w:val="16"/>
        </w:rPr>
      </w:pPr>
      <w:r>
        <w:rPr/>
        <w:pict>
          <v:group style="position:absolute;margin-left:106.559998pt;margin-top:2.498425pt;width:441.3pt;height:.1pt;mso-position-horizontal-relative:page;mso-position-vertical-relative:paragraph;z-index:2512" coordorigin="2131,50" coordsize="8826,2">
            <v:shape style="position:absolute;left:2131;top:50;width:8826;height:2" coordorigin="2131,50" coordsize="8826,0" path="m2131,50l10957,50e" filled="false" stroked="true" strokeweight=".48pt" strokecolor="#000000">
              <v:path arrowok="t"/>
            </v:shape>
            <w10:wrap type="none"/>
          </v:group>
        </w:pict>
      </w:r>
      <w:r>
        <w:rPr>
          <w:rFonts w:ascii="宋体" w:hAnsi="宋体" w:cs="宋体" w:eastAsia="宋体" w:hint="default"/>
          <w:b/>
          <w:bCs/>
          <w:w w:val="95"/>
          <w:sz w:val="16"/>
          <w:szCs w:val="16"/>
        </w:rPr>
        <w:t>金额</w:t>
        <w:tab/>
        <w:t>比例</w:t>
        <w:tab/>
        <w:t>金额</w:t>
        <w:tab/>
        <w:t>比例</w:t>
        <w:tab/>
        <w:t>金额</w:t>
        <w:tab/>
        <w:t>比例</w:t>
        <w:tab/>
        <w:t>金额</w:t>
        <w:tab/>
      </w:r>
      <w:r>
        <w:rPr>
          <w:rFonts w:ascii="宋体" w:hAnsi="宋体" w:cs="宋体" w:eastAsia="宋体" w:hint="default"/>
          <w:b/>
          <w:bCs/>
          <w:sz w:val="16"/>
          <w:szCs w:val="16"/>
        </w:rPr>
        <w:t>比例</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280" w:left="960" w:right="820"/>
          <w:cols w:num="2" w:equalWidth="0">
            <w:col w:w="1070" w:space="480"/>
            <w:col w:w="8580"/>
          </w:cols>
        </w:sectPr>
      </w:pPr>
    </w:p>
    <w:p>
      <w:pPr>
        <w:tabs>
          <w:tab w:pos="1298" w:val="left" w:leader="none"/>
          <w:tab w:pos="2878" w:val="left" w:leader="none"/>
          <w:tab w:pos="3584" w:val="left" w:leader="none"/>
          <w:tab w:pos="5004" w:val="left" w:leader="none"/>
          <w:tab w:pos="5710" w:val="left" w:leader="none"/>
          <w:tab w:pos="7290" w:val="left" w:leader="none"/>
          <w:tab w:pos="7995" w:val="left" w:leader="none"/>
          <w:tab w:pos="9334" w:val="left" w:leader="none"/>
        </w:tabs>
        <w:spacing w:before="1"/>
        <w:ind w:left="220" w:right="0" w:firstLine="0"/>
        <w:jc w:val="left"/>
        <w:rPr>
          <w:rFonts w:ascii="宋体" w:hAnsi="宋体" w:cs="宋体" w:eastAsia="宋体" w:hint="default"/>
          <w:sz w:val="16"/>
          <w:szCs w:val="16"/>
        </w:rPr>
      </w:pPr>
      <w:r>
        <w:rPr>
          <w:rFonts w:ascii="宋体" w:hAnsi="宋体" w:cs="宋体" w:eastAsia="宋体" w:hint="default"/>
          <w:w w:val="95"/>
          <w:sz w:val="16"/>
          <w:szCs w:val="16"/>
        </w:rPr>
        <w:t>账龄组合</w:t>
        <w:tab/>
      </w:r>
      <w:r>
        <w:rPr>
          <w:rFonts w:ascii="宋体" w:hAnsi="宋体" w:cs="宋体" w:eastAsia="宋体" w:hint="default"/>
          <w:spacing w:val="-1"/>
          <w:sz w:val="16"/>
          <w:szCs w:val="16"/>
        </w:rPr>
        <w:t>4,165,378,289.88</w:t>
        <w:tab/>
        <w:t>96.56%</w:t>
        <w:tab/>
        <w:t>341,280,815.26</w:t>
        <w:tab/>
        <w:t>98.59%</w:t>
        <w:tab/>
        <w:t>3,266,627,395.86</w:t>
        <w:tab/>
        <w:t>95.45%</w:t>
        <w:tab/>
        <w:t>355,028,710.63</w:t>
        <w:tab/>
        <w:t>100.00%</w:t>
      </w:r>
    </w:p>
    <w:p>
      <w:pPr>
        <w:spacing w:before="17"/>
        <w:ind w:left="220" w:right="0" w:firstLine="0"/>
        <w:jc w:val="left"/>
        <w:rPr>
          <w:rFonts w:ascii="宋体" w:hAnsi="宋体" w:cs="宋体" w:eastAsia="宋体" w:hint="default"/>
          <w:sz w:val="16"/>
          <w:szCs w:val="16"/>
        </w:rPr>
      </w:pPr>
      <w:r>
        <w:rPr>
          <w:rFonts w:ascii="宋体" w:hAnsi="宋体" w:cs="宋体" w:eastAsia="宋体" w:hint="default"/>
          <w:spacing w:val="9"/>
          <w:sz w:val="16"/>
          <w:szCs w:val="16"/>
        </w:rPr>
        <w:t>装备信息产</w:t>
      </w:r>
    </w:p>
    <w:p>
      <w:pPr>
        <w:spacing w:after="0"/>
        <w:jc w:val="left"/>
        <w:rPr>
          <w:rFonts w:ascii="宋体" w:hAnsi="宋体" w:cs="宋体" w:eastAsia="宋体" w:hint="default"/>
          <w:sz w:val="16"/>
          <w:szCs w:val="16"/>
        </w:rPr>
        <w:sectPr>
          <w:type w:val="continuous"/>
          <w:pgSz w:w="11910" w:h="16840"/>
          <w:pgMar w:top="1600" w:bottom="280" w:left="960" w:right="820"/>
        </w:sectPr>
      </w:pPr>
    </w:p>
    <w:p>
      <w:pPr>
        <w:spacing w:line="200" w:lineRule="exact" w:before="18"/>
        <w:ind w:left="220" w:right="-16" w:firstLine="0"/>
        <w:jc w:val="left"/>
        <w:rPr>
          <w:rFonts w:ascii="宋体" w:hAnsi="宋体" w:cs="宋体" w:eastAsia="宋体" w:hint="default"/>
          <w:sz w:val="16"/>
          <w:szCs w:val="16"/>
        </w:rPr>
      </w:pPr>
      <w:r>
        <w:rPr>
          <w:rFonts w:ascii="宋体" w:hAnsi="宋体" w:cs="宋体" w:eastAsia="宋体" w:hint="default"/>
          <w:spacing w:val="9"/>
          <w:sz w:val="16"/>
          <w:szCs w:val="16"/>
        </w:rPr>
        <w:t>品（泰豪科</w:t>
      </w:r>
      <w:r>
        <w:rPr>
          <w:rFonts w:ascii="宋体" w:hAnsi="宋体" w:cs="宋体" w:eastAsia="宋体" w:hint="default"/>
          <w:w w:val="99"/>
          <w:sz w:val="16"/>
          <w:szCs w:val="16"/>
        </w:rPr>
        <w:t> </w:t>
      </w:r>
      <w:r>
        <w:rPr>
          <w:rFonts w:ascii="宋体" w:hAnsi="宋体" w:cs="宋体" w:eastAsia="宋体" w:hint="default"/>
          <w:sz w:val="16"/>
          <w:szCs w:val="16"/>
        </w:rPr>
        <w:t>技并入）</w:t>
      </w:r>
    </w:p>
    <w:p>
      <w:pPr>
        <w:tabs>
          <w:tab w:pos="1720" w:val="left" w:leader="none"/>
          <w:tab w:pos="3144" w:val="left" w:leader="none"/>
          <w:tab w:pos="3846" w:val="left" w:leader="none"/>
          <w:tab w:pos="4634" w:val="left" w:leader="none"/>
          <w:tab w:pos="6133" w:val="left" w:leader="none"/>
          <w:tab w:pos="7556" w:val="left" w:leader="none"/>
          <w:tab w:pos="8258" w:val="left" w:leader="none"/>
        </w:tabs>
        <w:spacing w:line="199" w:lineRule="exact" w:before="0"/>
        <w:ind w:left="220" w:right="0" w:firstLine="0"/>
        <w:jc w:val="left"/>
        <w:rPr>
          <w:rFonts w:ascii="宋体" w:hAnsi="宋体" w:cs="宋体" w:eastAsia="宋体" w:hint="default"/>
          <w:sz w:val="16"/>
          <w:szCs w:val="16"/>
        </w:rPr>
      </w:pPr>
      <w:r>
        <w:rPr>
          <w:spacing w:val="-1"/>
        </w:rPr>
        <w:br w:type="column"/>
      </w:r>
      <w:r>
        <w:rPr>
          <w:rFonts w:ascii="宋体"/>
          <w:spacing w:val="-1"/>
          <w:sz w:val="16"/>
        </w:rPr>
        <w:t>143,804,520.99</w:t>
        <w:tab/>
        <w:t>3.33%</w:t>
        <w:tab/>
      </w:r>
      <w:r>
        <w:rPr>
          <w:rFonts w:ascii="宋体"/>
          <w:w w:val="95"/>
          <w:sz w:val="16"/>
        </w:rPr>
        <w:t>0.00</w:t>
        <w:tab/>
      </w:r>
      <w:r>
        <w:rPr>
          <w:rFonts w:ascii="宋体"/>
          <w:spacing w:val="-1"/>
          <w:sz w:val="16"/>
        </w:rPr>
        <w:t>0.00%</w:t>
        <w:tab/>
        <w:t>155,839,449.60</w:t>
        <w:tab/>
        <w:t>4.55%</w:t>
        <w:tab/>
      </w:r>
      <w:r>
        <w:rPr>
          <w:rFonts w:ascii="宋体"/>
          <w:w w:val="95"/>
          <w:sz w:val="16"/>
        </w:rPr>
        <w:t>0.00</w:t>
        <w:tab/>
      </w:r>
      <w:r>
        <w:rPr>
          <w:rFonts w:ascii="宋体"/>
          <w:spacing w:val="-1"/>
          <w:sz w:val="16"/>
        </w:rPr>
        <w:t>0.00%</w:t>
      </w:r>
    </w:p>
    <w:p>
      <w:pPr>
        <w:spacing w:after="0" w:line="199" w:lineRule="exact"/>
        <w:jc w:val="left"/>
        <w:rPr>
          <w:rFonts w:ascii="宋体" w:hAnsi="宋体" w:cs="宋体" w:eastAsia="宋体" w:hint="default"/>
          <w:sz w:val="16"/>
          <w:szCs w:val="16"/>
        </w:rPr>
        <w:sectPr>
          <w:type w:val="continuous"/>
          <w:pgSz w:w="11910" w:h="16840"/>
          <w:pgMar w:top="1600" w:bottom="280" w:left="960" w:right="820"/>
          <w:cols w:num="2" w:equalWidth="0">
            <w:col w:w="1070" w:space="166"/>
            <w:col w:w="8894"/>
          </w:cols>
        </w:sectPr>
      </w:pPr>
    </w:p>
    <w:p>
      <w:pPr>
        <w:tabs>
          <w:tab w:pos="1298" w:val="left" w:leader="none"/>
          <w:tab w:pos="2878" w:val="left" w:leader="none"/>
          <w:tab w:pos="3584" w:val="left" w:leader="none"/>
          <w:tab w:pos="5004" w:val="left" w:leader="none"/>
          <w:tab w:pos="5710" w:val="left" w:leader="none"/>
          <w:tab w:pos="7209" w:val="left" w:leader="none"/>
          <w:tab w:pos="7995" w:val="left" w:leader="none"/>
          <w:tab w:pos="9334" w:val="left" w:leader="none"/>
        </w:tabs>
        <w:spacing w:before="0"/>
        <w:ind w:left="220" w:right="0" w:firstLine="0"/>
        <w:jc w:val="left"/>
        <w:rPr>
          <w:rFonts w:ascii="宋体" w:hAnsi="宋体" w:cs="宋体" w:eastAsia="宋体" w:hint="default"/>
          <w:sz w:val="16"/>
          <w:szCs w:val="16"/>
        </w:rPr>
      </w:pPr>
      <w:r>
        <w:rPr>
          <w:rFonts w:ascii="宋体" w:hAnsi="宋体" w:cs="宋体" w:eastAsia="宋体" w:hint="default"/>
          <w:w w:val="95"/>
          <w:sz w:val="16"/>
          <w:szCs w:val="16"/>
        </w:rPr>
        <w:t>组合小计</w:t>
        <w:tab/>
      </w:r>
      <w:r>
        <w:rPr>
          <w:rFonts w:ascii="宋体" w:hAnsi="宋体" w:cs="宋体" w:eastAsia="宋体" w:hint="default"/>
          <w:spacing w:val="-1"/>
          <w:sz w:val="16"/>
          <w:szCs w:val="16"/>
        </w:rPr>
        <w:t>4,309,182,810.87</w:t>
        <w:tab/>
        <w:t>99.89%</w:t>
        <w:tab/>
        <w:t>341,280,815.26</w:t>
        <w:tab/>
        <w:t>98.59%</w:t>
        <w:tab/>
        <w:t>3,422,466,845.46</w:t>
        <w:tab/>
        <w:t>100.00%</w:t>
        <w:tab/>
        <w:t>355,028,710.63</w:t>
        <w:tab/>
        <w:t>100.00%</w:t>
      </w:r>
    </w:p>
    <w:p>
      <w:pPr>
        <w:spacing w:after="0"/>
        <w:jc w:val="left"/>
        <w:rPr>
          <w:rFonts w:ascii="宋体" w:hAnsi="宋体" w:cs="宋体" w:eastAsia="宋体" w:hint="default"/>
          <w:sz w:val="16"/>
          <w:szCs w:val="16"/>
        </w:rPr>
        <w:sectPr>
          <w:type w:val="continuous"/>
          <w:pgSz w:w="11910" w:h="16840"/>
          <w:pgMar w:top="1600" w:bottom="280" w:left="96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0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5.4pt;height:1.5pt;mso-position-horizontal-relative:char;mso-position-vertical-relative:line" coordorigin="0,0" coordsize="9908,30">
            <v:group style="position:absolute;left:15;top:15;width:5495;height:2" coordorigin="15,15" coordsize="5495,2">
              <v:shape style="position:absolute;left:15;top:15;width:5495;height:2" coordorigin="15,15" coordsize="5495,0" path="m15,15l5510,15e" filled="false" stroked="true" strokeweight="1.5pt" strokecolor="#000000">
                <v:path arrowok="t"/>
              </v:shape>
            </v:group>
            <v:group style="position:absolute;left:5510;top:15;width:4383;height:2" coordorigin="5510,15" coordsize="4383,2">
              <v:shape style="position:absolute;left:5510;top:15;width:4383;height:2" coordorigin="5510,15" coordsize="4383,0" path="m5510,15l9892,15e" filled="false" stroked="true" strokeweight="1.5pt" strokecolor="#000000">
                <v:path arrowok="t"/>
              </v:shape>
            </v:group>
          </v:group>
        </w:pict>
      </w:r>
      <w:r>
        <w:rPr>
          <w:rFonts w:ascii="宋体" w:hAnsi="宋体" w:cs="宋体" w:eastAsia="宋体" w:hint="default"/>
          <w:position w:val="0"/>
          <w:sz w:val="3"/>
          <w:szCs w:val="3"/>
        </w:rPr>
      </w:r>
    </w:p>
    <w:p>
      <w:pPr>
        <w:tabs>
          <w:tab w:pos="7477" w:val="left" w:leader="none"/>
        </w:tabs>
        <w:spacing w:line="208" w:lineRule="exact" w:before="0"/>
        <w:ind w:left="3063" w:right="0" w:firstLine="0"/>
        <w:jc w:val="left"/>
        <w:rPr>
          <w:rFonts w:ascii="宋体" w:hAnsi="宋体" w:cs="宋体" w:eastAsia="宋体" w:hint="default"/>
          <w:sz w:val="16"/>
          <w:szCs w:val="16"/>
        </w:rPr>
      </w:pP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spacing w:line="240" w:lineRule="auto" w:before="7"/>
        <w:rPr>
          <w:rFonts w:ascii="宋体" w:hAnsi="宋体" w:cs="宋体" w:eastAsia="宋体" w:hint="default"/>
          <w:b/>
          <w:bCs/>
          <w:sz w:val="3"/>
          <w:szCs w:val="3"/>
        </w:rPr>
      </w:pPr>
    </w:p>
    <w:p>
      <w:pPr>
        <w:spacing w:line="20" w:lineRule="exact"/>
        <w:ind w:left="1166" w:right="0" w:firstLine="0"/>
        <w:rPr>
          <w:rFonts w:ascii="宋体" w:hAnsi="宋体" w:cs="宋体" w:eastAsia="宋体" w:hint="default"/>
          <w:sz w:val="2"/>
          <w:szCs w:val="2"/>
        </w:rPr>
      </w:pPr>
      <w:r>
        <w:rPr>
          <w:rFonts w:ascii="宋体" w:hAnsi="宋体" w:cs="宋体" w:eastAsia="宋体" w:hint="default"/>
          <w:sz w:val="2"/>
          <w:szCs w:val="2"/>
        </w:rPr>
        <w:pict>
          <v:group style="width:441.8pt;height:.5pt;mso-position-horizontal-relative:char;mso-position-vertical-relative:line" coordorigin="0,0" coordsize="8836,10">
            <v:group style="position:absolute;left:5;top:5;width:8826;height:2" coordorigin="5,5" coordsize="8826,2">
              <v:shape style="position:absolute;left:5;top:5;width:8826;height:2" coordorigin="5,5" coordsize="8826,0" path="m5,5l8831,5e" filled="false" stroked="true" strokeweight=".48pt" strokecolor="#000000">
                <v:path arrowok="t"/>
              </v:shape>
            </v:group>
          </v:group>
        </w:pict>
      </w:r>
      <w:r>
        <w:rPr>
          <w:rFonts w:ascii="宋体" w:hAnsi="宋体" w:cs="宋体" w:eastAsia="宋体" w:hint="default"/>
          <w:sz w:val="2"/>
          <w:szCs w:val="2"/>
        </w:rPr>
      </w:r>
    </w:p>
    <w:p>
      <w:pPr>
        <w:tabs>
          <w:tab w:pos="2000" w:val="left" w:leader="none"/>
          <w:tab w:pos="4207" w:val="left" w:leader="none"/>
          <w:tab w:pos="6413" w:val="left" w:leader="none"/>
          <w:tab w:pos="8619" w:val="left" w:leader="none"/>
        </w:tabs>
        <w:spacing w:before="0"/>
        <w:ind w:left="220" w:right="0" w:firstLine="0"/>
        <w:jc w:val="left"/>
        <w:rPr>
          <w:rFonts w:ascii="宋体" w:hAnsi="宋体" w:cs="宋体" w:eastAsia="宋体" w:hint="default"/>
          <w:sz w:val="16"/>
          <w:szCs w:val="16"/>
        </w:rPr>
      </w:pPr>
      <w:r>
        <w:rPr>
          <w:rFonts w:ascii="宋体" w:hAnsi="宋体" w:cs="宋体" w:eastAsia="宋体" w:hint="default"/>
          <w:b/>
          <w:bCs/>
          <w:w w:val="95"/>
          <w:position w:val="3"/>
          <w:sz w:val="16"/>
          <w:szCs w:val="16"/>
        </w:rPr>
        <w:t>项目</w:t>
        <w:tab/>
      </w:r>
      <w:r>
        <w:rPr>
          <w:rFonts w:ascii="宋体" w:hAnsi="宋体" w:cs="宋体" w:eastAsia="宋体" w:hint="default"/>
          <w:b/>
          <w:bCs/>
          <w:w w:val="95"/>
          <w:sz w:val="16"/>
          <w:szCs w:val="16"/>
        </w:rPr>
        <w:t>账面余额</w:t>
        <w:tab/>
        <w:t>坏账准备</w:t>
        <w:tab/>
        <w:t>账面余额</w:t>
        <w:tab/>
      </w:r>
      <w:r>
        <w:rPr>
          <w:rFonts w:ascii="宋体" w:hAnsi="宋体" w:cs="宋体" w:eastAsia="宋体" w:hint="default"/>
          <w:b/>
          <w:bCs/>
          <w:sz w:val="16"/>
          <w:szCs w:val="16"/>
        </w:rPr>
        <w:t>坏账准备</w:t>
      </w:r>
      <w:r>
        <w:rPr>
          <w:rFonts w:ascii="宋体" w:hAnsi="宋体" w:cs="宋体" w:eastAsia="宋体" w:hint="default"/>
          <w:sz w:val="16"/>
          <w:szCs w:val="16"/>
        </w:rPr>
      </w:r>
    </w:p>
    <w:p>
      <w:pPr>
        <w:spacing w:line="240" w:lineRule="auto" w:before="7"/>
        <w:rPr>
          <w:rFonts w:ascii="宋体" w:hAnsi="宋体" w:cs="宋体" w:eastAsia="宋体" w:hint="default"/>
          <w:b/>
          <w:bCs/>
          <w:sz w:val="3"/>
          <w:szCs w:val="3"/>
        </w:rPr>
      </w:pPr>
    </w:p>
    <w:p>
      <w:pPr>
        <w:spacing w:line="20" w:lineRule="exact"/>
        <w:ind w:left="1166" w:right="0" w:firstLine="0"/>
        <w:rPr>
          <w:rFonts w:ascii="宋体" w:hAnsi="宋体" w:cs="宋体" w:eastAsia="宋体" w:hint="default"/>
          <w:sz w:val="2"/>
          <w:szCs w:val="2"/>
        </w:rPr>
      </w:pPr>
      <w:r>
        <w:rPr>
          <w:rFonts w:ascii="宋体" w:hAnsi="宋体" w:cs="宋体" w:eastAsia="宋体" w:hint="default"/>
          <w:sz w:val="2"/>
          <w:szCs w:val="2"/>
        </w:rPr>
        <w:pict>
          <v:group style="width:441.8pt;height:.5pt;mso-position-horizontal-relative:char;mso-position-vertical-relative:line" coordorigin="0,0" coordsize="8836,10">
            <v:group style="position:absolute;left:5;top:5;width:8826;height:2" coordorigin="5,5" coordsize="8826,2">
              <v:shape style="position:absolute;left:5;top:5;width:8826;height:2" coordorigin="5,5" coordsize="8826,0" path="m5,5l8831,5e" filled="false" stroked="true" strokeweight=".48pt" strokecolor="#000000">
                <v:path arrowok="t"/>
              </v:shape>
            </v:group>
          </v:group>
        </w:pict>
      </w:r>
      <w:r>
        <w:rPr>
          <w:rFonts w:ascii="宋体" w:hAnsi="宋体" w:cs="宋体" w:eastAsia="宋体" w:hint="default"/>
          <w:sz w:val="2"/>
          <w:szCs w:val="2"/>
        </w:rPr>
      </w:r>
    </w:p>
    <w:p>
      <w:pPr>
        <w:tabs>
          <w:tab w:pos="2913" w:val="left" w:leader="none"/>
          <w:tab w:pos="3976" w:val="left" w:leader="none"/>
          <w:tab w:pos="5039" w:val="left" w:leader="none"/>
          <w:tab w:pos="6183" w:val="left" w:leader="none"/>
          <w:tab w:pos="7327" w:val="left" w:leader="none"/>
          <w:tab w:pos="8389" w:val="left" w:leader="none"/>
          <w:tab w:pos="9452" w:val="left" w:leader="none"/>
        </w:tabs>
        <w:spacing w:before="0"/>
        <w:ind w:left="1770" w:right="0" w:firstLine="0"/>
        <w:jc w:val="left"/>
        <w:rPr>
          <w:rFonts w:ascii="宋体" w:hAnsi="宋体" w:cs="宋体" w:eastAsia="宋体" w:hint="default"/>
          <w:sz w:val="16"/>
          <w:szCs w:val="16"/>
        </w:rPr>
      </w:pPr>
      <w:r>
        <w:rPr>
          <w:rFonts w:ascii="宋体" w:hAnsi="宋体" w:cs="宋体" w:eastAsia="宋体" w:hint="default"/>
          <w:b/>
          <w:bCs/>
          <w:w w:val="95"/>
          <w:sz w:val="16"/>
          <w:szCs w:val="16"/>
        </w:rPr>
        <w:t>金额</w:t>
        <w:tab/>
        <w:t>比例</w:t>
        <w:tab/>
        <w:t>金额</w:t>
        <w:tab/>
        <w:t>比例</w:t>
        <w:tab/>
        <w:t>金额</w:t>
        <w:tab/>
        <w:t>比例</w:t>
        <w:tab/>
        <w:t>金额</w:t>
        <w:tab/>
      </w:r>
      <w:r>
        <w:rPr>
          <w:rFonts w:ascii="宋体" w:hAnsi="宋体" w:cs="宋体" w:eastAsia="宋体" w:hint="default"/>
          <w:b/>
          <w:bCs/>
          <w:sz w:val="16"/>
          <w:szCs w:val="16"/>
        </w:rPr>
        <w:t>比例</w:t>
      </w:r>
      <w:r>
        <w:rPr>
          <w:rFonts w:ascii="宋体" w:hAnsi="宋体" w:cs="宋体" w:eastAsia="宋体" w:hint="default"/>
          <w:sz w:val="16"/>
          <w:szCs w:val="16"/>
        </w:rPr>
      </w:r>
    </w:p>
    <w:p>
      <w:pPr>
        <w:spacing w:line="240" w:lineRule="auto" w:before="10"/>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1057"/>
        <w:gridCol w:w="1507"/>
        <w:gridCol w:w="781"/>
        <w:gridCol w:w="1346"/>
        <w:gridCol w:w="781"/>
        <w:gridCol w:w="1506"/>
        <w:gridCol w:w="780"/>
        <w:gridCol w:w="2119"/>
      </w:tblGrid>
      <w:tr>
        <w:trPr>
          <w:trHeight w:val="207" w:hRule="exact"/>
        </w:trPr>
        <w:tc>
          <w:tcPr>
            <w:tcW w:w="1057" w:type="dxa"/>
            <w:tcBorders>
              <w:top w:val="single" w:sz="4" w:space="0" w:color="000000"/>
              <w:left w:val="nil" w:sz="6" w:space="0" w:color="auto"/>
              <w:bottom w:val="nil" w:sz="6" w:space="0" w:color="auto"/>
              <w:right w:val="nil" w:sz="6" w:space="0" w:color="auto"/>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pacing w:val="9"/>
                <w:sz w:val="16"/>
                <w:szCs w:val="16"/>
              </w:rPr>
              <w:t>单项金额虽</w:t>
            </w:r>
          </w:p>
        </w:tc>
        <w:tc>
          <w:tcPr>
            <w:tcW w:w="8820" w:type="dxa"/>
            <w:gridSpan w:val="7"/>
            <w:vMerge w:val="restart"/>
            <w:tcBorders>
              <w:top w:val="single" w:sz="4" w:space="0" w:color="000000"/>
              <w:left w:val="nil" w:sz="6" w:space="0" w:color="auto"/>
              <w:right w:val="nil" w:sz="6" w:space="0" w:color="auto"/>
            </w:tcBorders>
          </w:tcPr>
          <w:p>
            <w:pPr/>
          </w:p>
        </w:tc>
      </w:tr>
      <w:tr>
        <w:trPr>
          <w:trHeight w:val="200"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180" w:lineRule="exact"/>
              <w:ind w:left="100" w:right="0"/>
              <w:jc w:val="left"/>
              <w:rPr>
                <w:rFonts w:ascii="宋体" w:hAnsi="宋体" w:cs="宋体" w:eastAsia="宋体" w:hint="default"/>
                <w:sz w:val="16"/>
                <w:szCs w:val="16"/>
              </w:rPr>
            </w:pPr>
            <w:r>
              <w:rPr>
                <w:rFonts w:ascii="宋体" w:hAnsi="宋体" w:cs="宋体" w:eastAsia="宋体" w:hint="default"/>
                <w:spacing w:val="9"/>
                <w:sz w:val="16"/>
                <w:szCs w:val="16"/>
              </w:rPr>
              <w:t>不重大但单</w:t>
            </w:r>
          </w:p>
        </w:tc>
        <w:tc>
          <w:tcPr>
            <w:tcW w:w="8820" w:type="dxa"/>
            <w:gridSpan w:val="7"/>
            <w:vMerge/>
            <w:tcBorders>
              <w:left w:val="nil" w:sz="6" w:space="0" w:color="auto"/>
              <w:bottom w:val="nil" w:sz="6" w:space="0" w:color="auto"/>
              <w:right w:val="nil" w:sz="6" w:space="0" w:color="auto"/>
            </w:tcBorders>
          </w:tcPr>
          <w:p>
            <w:pPr/>
          </w:p>
        </w:tc>
      </w:tr>
      <w:tr>
        <w:trPr>
          <w:trHeight w:val="200"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181" w:lineRule="exact"/>
              <w:ind w:left="100" w:right="0"/>
              <w:jc w:val="left"/>
              <w:rPr>
                <w:rFonts w:ascii="宋体" w:hAnsi="宋体" w:cs="宋体" w:eastAsia="宋体" w:hint="default"/>
                <w:sz w:val="16"/>
                <w:szCs w:val="16"/>
              </w:rPr>
            </w:pPr>
            <w:r>
              <w:rPr>
                <w:rFonts w:ascii="宋体" w:hAnsi="宋体" w:cs="宋体" w:eastAsia="宋体" w:hint="default"/>
                <w:spacing w:val="9"/>
                <w:sz w:val="16"/>
                <w:szCs w:val="16"/>
              </w:rPr>
              <w:t>项计提坏账</w:t>
            </w:r>
          </w:p>
        </w:tc>
        <w:tc>
          <w:tcPr>
            <w:tcW w:w="1507"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6"/>
                <w:szCs w:val="16"/>
              </w:rPr>
            </w:pPr>
            <w:r>
              <w:rPr>
                <w:rFonts w:ascii="宋体"/>
                <w:spacing w:val="-1"/>
                <w:sz w:val="16"/>
              </w:rPr>
              <w:t>4,866,000.00</w:t>
            </w:r>
          </w:p>
        </w:tc>
        <w:tc>
          <w:tcPr>
            <w:tcW w:w="781"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6"/>
                <w:szCs w:val="16"/>
              </w:rPr>
            </w:pPr>
            <w:r>
              <w:rPr>
                <w:rFonts w:ascii="宋体"/>
                <w:spacing w:val="-1"/>
                <w:sz w:val="16"/>
              </w:rPr>
              <w:t>0.11%</w:t>
            </w:r>
          </w:p>
        </w:tc>
        <w:tc>
          <w:tcPr>
            <w:tcW w:w="1346"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6"/>
                <w:szCs w:val="16"/>
              </w:rPr>
            </w:pPr>
            <w:r>
              <w:rPr>
                <w:rFonts w:ascii="宋体"/>
                <w:spacing w:val="-1"/>
                <w:sz w:val="16"/>
              </w:rPr>
              <w:t>4,866,000.00</w:t>
            </w:r>
          </w:p>
        </w:tc>
        <w:tc>
          <w:tcPr>
            <w:tcW w:w="781"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6"/>
                <w:szCs w:val="16"/>
              </w:rPr>
            </w:pPr>
            <w:r>
              <w:rPr>
                <w:rFonts w:ascii="宋体"/>
                <w:spacing w:val="-1"/>
                <w:sz w:val="16"/>
              </w:rPr>
              <w:t>1.41%</w:t>
            </w:r>
          </w:p>
        </w:tc>
        <w:tc>
          <w:tcPr>
            <w:tcW w:w="1506"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780"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6"/>
                <w:szCs w:val="16"/>
              </w:rPr>
            </w:pPr>
            <w:r>
              <w:rPr>
                <w:rFonts w:ascii="宋体"/>
                <w:spacing w:val="-1"/>
                <w:sz w:val="16"/>
              </w:rPr>
              <w:t>0.00%</w:t>
            </w:r>
          </w:p>
        </w:tc>
        <w:tc>
          <w:tcPr>
            <w:tcW w:w="2119" w:type="dxa"/>
            <w:tcBorders>
              <w:top w:val="nil" w:sz="6" w:space="0" w:color="auto"/>
              <w:left w:val="nil" w:sz="6" w:space="0" w:color="auto"/>
              <w:bottom w:val="nil" w:sz="6" w:space="0" w:color="auto"/>
              <w:right w:val="nil" w:sz="6" w:space="0" w:color="auto"/>
            </w:tcBorders>
          </w:tcPr>
          <w:p>
            <w:pPr>
              <w:pStyle w:val="TableParagraph"/>
              <w:tabs>
                <w:tab w:pos="701" w:val="left" w:leader="none"/>
              </w:tabs>
              <w:spacing w:line="180" w:lineRule="exact"/>
              <w:ind w:right="100"/>
              <w:jc w:val="right"/>
              <w:rPr>
                <w:rFonts w:ascii="宋体" w:hAnsi="宋体" w:cs="宋体" w:eastAsia="宋体" w:hint="default"/>
                <w:sz w:val="16"/>
                <w:szCs w:val="16"/>
              </w:rPr>
            </w:pPr>
            <w:r>
              <w:rPr>
                <w:rFonts w:ascii="宋体"/>
                <w:w w:val="95"/>
                <w:sz w:val="16"/>
              </w:rPr>
              <w:t>0.00</w:t>
              <w:tab/>
            </w:r>
            <w:r>
              <w:rPr>
                <w:rFonts w:ascii="宋体"/>
                <w:spacing w:val="-1"/>
                <w:sz w:val="16"/>
              </w:rPr>
              <w:t>0.00%</w:t>
            </w:r>
          </w:p>
        </w:tc>
      </w:tr>
      <w:tr>
        <w:trPr>
          <w:trHeight w:val="200"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179" w:lineRule="exact"/>
              <w:ind w:left="100" w:right="0"/>
              <w:jc w:val="left"/>
              <w:rPr>
                <w:rFonts w:ascii="宋体" w:hAnsi="宋体" w:cs="宋体" w:eastAsia="宋体" w:hint="default"/>
                <w:sz w:val="16"/>
                <w:szCs w:val="16"/>
              </w:rPr>
            </w:pPr>
            <w:r>
              <w:rPr>
                <w:rFonts w:ascii="宋体" w:hAnsi="宋体" w:cs="宋体" w:eastAsia="宋体" w:hint="default"/>
                <w:spacing w:val="9"/>
                <w:sz w:val="16"/>
                <w:szCs w:val="16"/>
              </w:rPr>
              <w:t>准备的应收</w:t>
            </w:r>
          </w:p>
        </w:tc>
        <w:tc>
          <w:tcPr>
            <w:tcW w:w="1507"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r>
      <w:tr>
        <w:trPr>
          <w:trHeight w:val="203" w:hRule="exact"/>
        </w:trPr>
        <w:tc>
          <w:tcPr>
            <w:tcW w:w="1057" w:type="dxa"/>
            <w:tcBorders>
              <w:top w:val="nil" w:sz="6" w:space="0" w:color="auto"/>
              <w:left w:val="nil" w:sz="6" w:space="0" w:color="auto"/>
              <w:bottom w:val="single" w:sz="4" w:space="0" w:color="000000"/>
              <w:right w:val="nil" w:sz="6" w:space="0" w:color="auto"/>
            </w:tcBorders>
          </w:tcPr>
          <w:p>
            <w:pPr>
              <w:pStyle w:val="TableParagraph"/>
              <w:spacing w:line="180" w:lineRule="exact"/>
              <w:ind w:left="100" w:right="0"/>
              <w:jc w:val="left"/>
              <w:rPr>
                <w:rFonts w:ascii="宋体" w:hAnsi="宋体" w:cs="宋体" w:eastAsia="宋体" w:hint="default"/>
                <w:sz w:val="16"/>
                <w:szCs w:val="16"/>
              </w:rPr>
            </w:pPr>
            <w:r>
              <w:rPr>
                <w:rFonts w:ascii="宋体" w:hAnsi="宋体" w:cs="宋体" w:eastAsia="宋体" w:hint="default"/>
                <w:sz w:val="16"/>
                <w:szCs w:val="16"/>
              </w:rPr>
              <w:t>账款</w:t>
            </w:r>
          </w:p>
        </w:tc>
        <w:tc>
          <w:tcPr>
            <w:tcW w:w="1507" w:type="dxa"/>
            <w:tcBorders>
              <w:top w:val="nil" w:sz="6" w:space="0" w:color="auto"/>
              <w:left w:val="nil" w:sz="6" w:space="0" w:color="auto"/>
              <w:bottom w:val="single" w:sz="4" w:space="0" w:color="000000"/>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
        </w:tc>
        <w:tc>
          <w:tcPr>
            <w:tcW w:w="2119" w:type="dxa"/>
            <w:tcBorders>
              <w:top w:val="nil" w:sz="6" w:space="0" w:color="auto"/>
              <w:left w:val="nil" w:sz="6" w:space="0" w:color="auto"/>
              <w:bottom w:val="single" w:sz="4" w:space="0" w:color="000000"/>
              <w:right w:val="nil" w:sz="6" w:space="0" w:color="auto"/>
            </w:tcBorders>
          </w:tcPr>
          <w:p>
            <w:pPr/>
          </w:p>
        </w:tc>
      </w:tr>
      <w:tr>
        <w:trPr>
          <w:trHeight w:val="275" w:hRule="exact"/>
        </w:trPr>
        <w:tc>
          <w:tcPr>
            <w:tcW w:w="1057" w:type="dxa"/>
            <w:tcBorders>
              <w:top w:val="single" w:sz="4" w:space="0" w:color="000000"/>
              <w:left w:val="nil" w:sz="6" w:space="0" w:color="auto"/>
              <w:bottom w:val="single" w:sz="12" w:space="0" w:color="000000"/>
              <w:right w:val="nil" w:sz="6" w:space="0" w:color="auto"/>
            </w:tcBorders>
          </w:tcPr>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50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b/>
                <w:w w:val="95"/>
                <w:sz w:val="16"/>
              </w:rPr>
              <w:t>4,314,048,810.87</w:t>
            </w:r>
            <w:r>
              <w:rPr>
                <w:rFonts w:ascii="宋体"/>
                <w:sz w:val="16"/>
              </w:rPr>
            </w:r>
          </w:p>
        </w:tc>
        <w:tc>
          <w:tcPr>
            <w:tcW w:w="78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8"/>
              <w:jc w:val="right"/>
              <w:rPr>
                <w:rFonts w:ascii="宋体" w:hAnsi="宋体" w:cs="宋体" w:eastAsia="宋体" w:hint="default"/>
                <w:sz w:val="16"/>
                <w:szCs w:val="16"/>
              </w:rPr>
            </w:pPr>
            <w:r>
              <w:rPr>
                <w:rFonts w:ascii="宋体"/>
                <w:b/>
                <w:w w:val="95"/>
                <w:sz w:val="16"/>
              </w:rPr>
              <w:t>100.00%</w:t>
            </w:r>
            <w:r>
              <w:rPr>
                <w:rFonts w:ascii="宋体"/>
                <w:sz w:val="16"/>
              </w:rPr>
            </w: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b/>
                <w:w w:val="95"/>
                <w:sz w:val="16"/>
              </w:rPr>
              <w:t>346,146,815.26</w:t>
            </w:r>
            <w:r>
              <w:rPr>
                <w:rFonts w:ascii="宋体"/>
                <w:sz w:val="16"/>
              </w:rPr>
            </w:r>
          </w:p>
        </w:tc>
        <w:tc>
          <w:tcPr>
            <w:tcW w:w="78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b/>
                <w:w w:val="95"/>
                <w:sz w:val="16"/>
              </w:rPr>
              <w:t>100.00%</w:t>
            </w:r>
            <w:r>
              <w:rPr>
                <w:rFonts w:ascii="宋体"/>
                <w:sz w:val="16"/>
              </w:rPr>
            </w:r>
          </w:p>
        </w:tc>
        <w:tc>
          <w:tcPr>
            <w:tcW w:w="150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b/>
                <w:w w:val="95"/>
                <w:sz w:val="16"/>
              </w:rPr>
              <w:t>3,422,466,845.46</w:t>
            </w:r>
            <w:r>
              <w:rPr>
                <w:rFonts w:ascii="宋体"/>
                <w:sz w:val="16"/>
              </w:rPr>
            </w:r>
          </w:p>
        </w:tc>
        <w:tc>
          <w:tcPr>
            <w:tcW w:w="78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5"/>
              <w:jc w:val="right"/>
              <w:rPr>
                <w:rFonts w:ascii="宋体" w:hAnsi="宋体" w:cs="宋体" w:eastAsia="宋体" w:hint="default"/>
                <w:sz w:val="16"/>
                <w:szCs w:val="16"/>
              </w:rPr>
            </w:pPr>
            <w:r>
              <w:rPr>
                <w:rFonts w:ascii="宋体"/>
                <w:b/>
                <w:w w:val="95"/>
                <w:sz w:val="16"/>
              </w:rPr>
              <w:t>100.00%</w:t>
            </w:r>
            <w:r>
              <w:rPr>
                <w:rFonts w:ascii="宋体"/>
                <w:sz w:val="16"/>
              </w:rPr>
            </w:r>
          </w:p>
        </w:tc>
        <w:tc>
          <w:tcPr>
            <w:tcW w:w="2119" w:type="dxa"/>
            <w:tcBorders>
              <w:top w:val="single" w:sz="4" w:space="0" w:color="000000"/>
              <w:left w:val="nil" w:sz="6" w:space="0" w:color="auto"/>
              <w:bottom w:val="single" w:sz="12" w:space="0" w:color="000000"/>
              <w:right w:val="nil" w:sz="6" w:space="0" w:color="auto"/>
            </w:tcBorders>
          </w:tcPr>
          <w:p>
            <w:pPr>
              <w:pStyle w:val="TableParagraph"/>
              <w:tabs>
                <w:tab w:pos="1344" w:val="left" w:leader="none"/>
              </w:tabs>
              <w:spacing w:line="240" w:lineRule="auto"/>
              <w:ind w:right="100"/>
              <w:jc w:val="right"/>
              <w:rPr>
                <w:rFonts w:ascii="宋体" w:hAnsi="宋体" w:cs="宋体" w:eastAsia="宋体" w:hint="default"/>
                <w:sz w:val="16"/>
                <w:szCs w:val="16"/>
              </w:rPr>
            </w:pPr>
            <w:r>
              <w:rPr>
                <w:rFonts w:ascii="宋体"/>
                <w:b/>
                <w:w w:val="95"/>
                <w:sz w:val="16"/>
              </w:rPr>
              <w:t>355,028,710.63</w:t>
              <w:tab/>
              <w:t>100.00%</w:t>
            </w:r>
            <w:r>
              <w:rPr>
                <w:rFonts w:ascii="宋体"/>
                <w:sz w:val="16"/>
              </w:rPr>
            </w:r>
          </w:p>
        </w:tc>
      </w:tr>
    </w:tbl>
    <w:p>
      <w:pPr>
        <w:spacing w:before="79"/>
        <w:ind w:left="102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按账龄分析法计提坏账准备的应收账款</w:t>
      </w:r>
    </w:p>
    <w:p>
      <w:pPr>
        <w:spacing w:line="240" w:lineRule="auto" w:before="6"/>
        <w:rPr>
          <w:rFonts w:ascii="宋体" w:hAnsi="宋体" w:cs="宋体" w:eastAsia="宋体" w:hint="default"/>
          <w:sz w:val="12"/>
          <w:szCs w:val="12"/>
        </w:rPr>
      </w:pPr>
    </w:p>
    <w:p>
      <w:pPr>
        <w:spacing w:line="30" w:lineRule="exact"/>
        <w:ind w:left="7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7016" w:val="left" w:leader="none"/>
        </w:tabs>
        <w:spacing w:line="175" w:lineRule="exact" w:before="0"/>
        <w:ind w:left="3012"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146" w:lineRule="exact" w:before="0"/>
        <w:ind w:left="844" w:right="0" w:firstLine="0"/>
        <w:jc w:val="left"/>
        <w:rPr>
          <w:rFonts w:ascii="宋体" w:hAnsi="宋体" w:cs="宋体" w:eastAsia="宋体" w:hint="default"/>
          <w:sz w:val="18"/>
          <w:szCs w:val="18"/>
        </w:rPr>
      </w:pPr>
      <w:r>
        <w:rPr/>
        <w:pict>
          <v:group style="position:absolute;margin-left:116.220001pt;margin-top:5.643362pt;width:400.5pt;height:.1pt;mso-position-horizontal-relative:page;mso-position-vertical-relative:paragraph;z-index:2680" coordorigin="2324,113" coordsize="8010,2">
            <v:shape style="position:absolute;left:2324;top:113;width:8010;height:2" coordorigin="2324,113" coordsize="8010,0" path="m2324,113l10334,113e" filled="false" stroked="true" strokeweight=".48pt" strokecolor="#000000">
              <v:path arrowok="t"/>
            </v:shape>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3283" w:val="left" w:leader="none"/>
          <w:tab w:pos="4270" w:val="left" w:leader="none"/>
          <w:tab w:pos="6028" w:val="left" w:leader="none"/>
          <w:tab w:pos="7287" w:val="left" w:leader="none"/>
          <w:tab w:pos="8276" w:val="left" w:leader="none"/>
        </w:tabs>
        <w:spacing w:line="198" w:lineRule="exact" w:before="0"/>
        <w:ind w:left="2024"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t>金额</w:t>
        <w:tab/>
        <w:t>比例</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before="11"/>
        <w:ind w:left="844" w:right="0" w:firstLine="0"/>
        <w:jc w:val="left"/>
        <w:rPr>
          <w:rFonts w:ascii="宋体" w:hAnsi="宋体" w:cs="宋体" w:eastAsia="宋体" w:hint="default"/>
          <w:sz w:val="18"/>
          <w:szCs w:val="18"/>
        </w:rPr>
      </w:pPr>
      <w:r>
        <w:rPr/>
        <w:pict>
          <v:group style="position:absolute;margin-left:84.839996pt;margin-top:2.962022pt;width:431.9pt;height:.1pt;mso-position-horizontal-relative:page;mso-position-vertical-relative:paragraph;z-index:-1048336" coordorigin="1697,59" coordsize="8638,2">
            <v:shape style="position:absolute;left:1697;top:59;width:8638;height:2" coordorigin="1697,59" coordsize="8638,0" path="m1697,59l10334,59e" filled="false" stroked="true" strokeweight=".24pt" strokecolor="#000000">
              <v:path arrowok="t"/>
            </v:shape>
            <w10:wrap type="none"/>
          </v:group>
        </w:pict>
      </w:r>
      <w:r>
        <w:rPr/>
        <w:pict>
          <v:shape style="position:absolute;margin-left:84.779999pt;margin-top:8.304346pt;width:432pt;height:228.9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4"/>
                    <w:gridCol w:w="794"/>
                    <w:gridCol w:w="1542"/>
                    <w:gridCol w:w="1668"/>
                    <w:gridCol w:w="790"/>
                    <w:gridCol w:w="1542"/>
                  </w:tblGrid>
                  <w:tr>
                    <w:trPr>
                      <w:trHeight w:val="290" w:hRule="exact"/>
                    </w:trPr>
                    <w:tc>
                      <w:tcPr>
                        <w:tcW w:w="2304" w:type="dxa"/>
                        <w:tcBorders>
                          <w:top w:val="nil" w:sz="6" w:space="0" w:color="auto"/>
                          <w:left w:val="nil" w:sz="6" w:space="0" w:color="auto"/>
                          <w:bottom w:val="nil" w:sz="6" w:space="0" w:color="auto"/>
                          <w:right w:val="nil" w:sz="6" w:space="0" w:color="auto"/>
                        </w:tcBorders>
                      </w:tcPr>
                      <w:p>
                        <w:pPr>
                          <w:pStyle w:val="TableParagraph"/>
                          <w:tabs>
                            <w:tab w:pos="755" w:val="left" w:leader="none"/>
                          </w:tabs>
                          <w:spacing w:line="280" w:lineRule="exact"/>
                          <w:ind w:left="109" w:right="0"/>
                          <w:jc w:val="left"/>
                          <w:rPr>
                            <w:rFonts w:ascii="宋体" w:hAnsi="宋体" w:cs="宋体" w:eastAsia="宋体" w:hint="default"/>
                            <w:sz w:val="18"/>
                            <w:szCs w:val="18"/>
                          </w:rPr>
                        </w:pPr>
                        <w:r>
                          <w:rPr>
                            <w:rFonts w:ascii="宋体" w:hAnsi="宋体" w:cs="宋体" w:eastAsia="宋体" w:hint="default"/>
                            <w:position w:val="-9"/>
                            <w:sz w:val="18"/>
                            <w:szCs w:val="18"/>
                          </w:rPr>
                          <w:t>以内</w:t>
                          <w:tab/>
                        </w:r>
                        <w:r>
                          <w:rPr>
                            <w:rFonts w:ascii="宋体" w:hAnsi="宋体" w:cs="宋体" w:eastAsia="宋体" w:hint="default"/>
                            <w:sz w:val="18"/>
                            <w:szCs w:val="18"/>
                          </w:rPr>
                          <w:t>3,024,362,715.52</w:t>
                        </w:r>
                      </w:p>
                    </w:tc>
                    <w:tc>
                      <w:tcPr>
                        <w:tcW w:w="79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宋体" w:hAnsi="宋体" w:cs="宋体" w:eastAsia="宋体" w:hint="default"/>
                            <w:sz w:val="18"/>
                            <w:szCs w:val="18"/>
                          </w:rPr>
                        </w:pPr>
                        <w:r>
                          <w:rPr>
                            <w:rFonts w:ascii="宋体"/>
                            <w:sz w:val="18"/>
                          </w:rPr>
                          <w:t>72.61%</w:t>
                        </w:r>
                      </w:p>
                    </w:tc>
                    <w:tc>
                      <w:tcPr>
                        <w:tcW w:w="1542"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30,243,627.15</w:t>
                        </w:r>
                      </w:p>
                    </w:tc>
                    <w:tc>
                      <w:tcPr>
                        <w:tcW w:w="1668"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2,324,939,645.33</w:t>
                        </w:r>
                      </w:p>
                    </w:tc>
                    <w:tc>
                      <w:tcPr>
                        <w:tcW w:w="790" w:type="dxa"/>
                        <w:tcBorders>
                          <w:top w:val="nil" w:sz="6" w:space="0" w:color="auto"/>
                          <w:left w:val="nil" w:sz="6" w:space="0" w:color="auto"/>
                          <w:bottom w:val="nil" w:sz="6" w:space="0" w:color="auto"/>
                          <w:right w:val="nil" w:sz="6" w:space="0" w:color="auto"/>
                        </w:tcBorders>
                      </w:tcPr>
                      <w:p>
                        <w:pPr>
                          <w:pStyle w:val="TableParagraph"/>
                          <w:spacing w:line="180" w:lineRule="exact"/>
                          <w:ind w:right="44"/>
                          <w:jc w:val="right"/>
                          <w:rPr>
                            <w:rFonts w:ascii="宋体" w:hAnsi="宋体" w:cs="宋体" w:eastAsia="宋体" w:hint="default"/>
                            <w:sz w:val="18"/>
                            <w:szCs w:val="18"/>
                          </w:rPr>
                        </w:pPr>
                        <w:r>
                          <w:rPr>
                            <w:rFonts w:ascii="宋体"/>
                            <w:sz w:val="18"/>
                          </w:rPr>
                          <w:t>71.17%</w:t>
                        </w:r>
                      </w:p>
                    </w:tc>
                    <w:tc>
                      <w:tcPr>
                        <w:tcW w:w="1542" w:type="dxa"/>
                        <w:tcBorders>
                          <w:top w:val="nil" w:sz="6" w:space="0" w:color="auto"/>
                          <w:left w:val="nil" w:sz="6" w:space="0" w:color="auto"/>
                          <w:bottom w:val="nil" w:sz="6" w:space="0" w:color="auto"/>
                          <w:right w:val="nil" w:sz="6" w:space="0" w:color="auto"/>
                        </w:tcBorders>
                      </w:tcPr>
                      <w:p>
                        <w:pPr>
                          <w:pStyle w:val="TableParagraph"/>
                          <w:spacing w:line="180" w:lineRule="exact"/>
                          <w:ind w:right="100"/>
                          <w:jc w:val="right"/>
                          <w:rPr>
                            <w:rFonts w:ascii="宋体" w:hAnsi="宋体" w:cs="宋体" w:eastAsia="宋体" w:hint="default"/>
                            <w:sz w:val="18"/>
                            <w:szCs w:val="18"/>
                          </w:rPr>
                        </w:pPr>
                        <w:r>
                          <w:rPr>
                            <w:rFonts w:ascii="宋体"/>
                            <w:spacing w:val="-1"/>
                            <w:sz w:val="18"/>
                          </w:rPr>
                          <w:t>24,807,790.95</w:t>
                        </w:r>
                      </w:p>
                    </w:tc>
                  </w:tr>
                  <w:tr>
                    <w:trPr>
                      <w:trHeight w:val="40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123" w:lineRule="exact"/>
                          <w:ind w:left="109" w:right="0"/>
                          <w:jc w:val="left"/>
                          <w:rPr>
                            <w:rFonts w:ascii="宋体" w:hAnsi="宋体" w:cs="宋体" w:eastAsia="宋体" w:hint="default"/>
                            <w:sz w:val="18"/>
                            <w:szCs w:val="18"/>
                          </w:rPr>
                        </w:pPr>
                        <w:r>
                          <w:rPr>
                            <w:rFonts w:ascii="宋体"/>
                            <w:sz w:val="18"/>
                          </w:rPr>
                          <w:t>1-2</w:t>
                        </w:r>
                      </w:p>
                      <w:p>
                        <w:pPr>
                          <w:pStyle w:val="TableParagraph"/>
                          <w:tabs>
                            <w:tab w:pos="935" w:val="left" w:leader="none"/>
                          </w:tabs>
                          <w:spacing w:line="268" w:lineRule="exact"/>
                          <w:ind w:left="109" w:right="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624,390,262.44</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18"/>
                            <w:szCs w:val="18"/>
                          </w:rPr>
                        </w:pPr>
                        <w:r>
                          <w:rPr>
                            <w:rFonts w:ascii="宋体"/>
                            <w:sz w:val="18"/>
                          </w:rPr>
                          <w:t>14.99%</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31,219,513.12</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416,138,822.29</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
                          <w:jc w:val="right"/>
                          <w:rPr>
                            <w:rFonts w:ascii="宋体" w:hAnsi="宋体" w:cs="宋体" w:eastAsia="宋体" w:hint="default"/>
                            <w:sz w:val="18"/>
                            <w:szCs w:val="18"/>
                          </w:rPr>
                        </w:pPr>
                        <w:r>
                          <w:rPr>
                            <w:rFonts w:ascii="宋体"/>
                            <w:sz w:val="18"/>
                          </w:rPr>
                          <w:t>12.74%</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宋体" w:hAnsi="宋体" w:cs="宋体" w:eastAsia="宋体" w:hint="default"/>
                            <w:sz w:val="18"/>
                            <w:szCs w:val="18"/>
                          </w:rPr>
                        </w:pPr>
                        <w:r>
                          <w:rPr>
                            <w:rFonts w:ascii="宋体"/>
                            <w:spacing w:val="-1"/>
                            <w:sz w:val="18"/>
                          </w:rPr>
                          <w:t>20,806,941.11</w:t>
                        </w:r>
                      </w:p>
                    </w:tc>
                  </w:tr>
                  <w:tr>
                    <w:trPr>
                      <w:trHeight w:val="40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122" w:lineRule="exact"/>
                          <w:ind w:left="109" w:right="0"/>
                          <w:jc w:val="left"/>
                          <w:rPr>
                            <w:rFonts w:ascii="宋体" w:hAnsi="宋体" w:cs="宋体" w:eastAsia="宋体" w:hint="default"/>
                            <w:sz w:val="18"/>
                            <w:szCs w:val="18"/>
                          </w:rPr>
                        </w:pPr>
                        <w:r>
                          <w:rPr>
                            <w:rFonts w:ascii="宋体"/>
                            <w:sz w:val="18"/>
                          </w:rPr>
                          <w:t>2-3</w:t>
                        </w:r>
                      </w:p>
                      <w:p>
                        <w:pPr>
                          <w:pStyle w:val="TableParagraph"/>
                          <w:tabs>
                            <w:tab w:pos="935" w:val="left" w:leader="none"/>
                          </w:tabs>
                          <w:spacing w:line="268" w:lineRule="exact"/>
                          <w:ind w:left="109" w:right="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163,753,153.19</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
                          <w:jc w:val="right"/>
                          <w:rPr>
                            <w:rFonts w:ascii="宋体" w:hAnsi="宋体" w:cs="宋体" w:eastAsia="宋体" w:hint="default"/>
                            <w:sz w:val="18"/>
                            <w:szCs w:val="18"/>
                          </w:rPr>
                        </w:pPr>
                        <w:r>
                          <w:rPr>
                            <w:rFonts w:ascii="宋体"/>
                            <w:sz w:val="18"/>
                          </w:rPr>
                          <w:t>3.93%</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24,562,972.98</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143,108,827.76</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
                          <w:jc w:val="right"/>
                          <w:rPr>
                            <w:rFonts w:ascii="宋体" w:hAnsi="宋体" w:cs="宋体" w:eastAsia="宋体" w:hint="default"/>
                            <w:sz w:val="18"/>
                            <w:szCs w:val="18"/>
                          </w:rPr>
                        </w:pPr>
                        <w:r>
                          <w:rPr>
                            <w:rFonts w:ascii="宋体"/>
                            <w:sz w:val="18"/>
                          </w:rPr>
                          <w:t>4.38%</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pacing w:val="-1"/>
                            <w:sz w:val="18"/>
                          </w:rPr>
                          <w:t>21,466,324.16</w:t>
                        </w:r>
                      </w:p>
                    </w:tc>
                  </w:tr>
                  <w:tr>
                    <w:trPr>
                      <w:trHeight w:val="40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123" w:lineRule="exact"/>
                          <w:ind w:left="108" w:right="0"/>
                          <w:jc w:val="left"/>
                          <w:rPr>
                            <w:rFonts w:ascii="宋体" w:hAnsi="宋体" w:cs="宋体" w:eastAsia="宋体" w:hint="default"/>
                            <w:sz w:val="18"/>
                            <w:szCs w:val="18"/>
                          </w:rPr>
                        </w:pPr>
                        <w:r>
                          <w:rPr>
                            <w:rFonts w:ascii="宋体"/>
                            <w:sz w:val="18"/>
                          </w:rPr>
                          <w:t>3-4</w:t>
                        </w:r>
                      </w:p>
                      <w:p>
                        <w:pPr>
                          <w:pStyle w:val="TableParagraph"/>
                          <w:tabs>
                            <w:tab w:pos="1025"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93,810,733.68</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18"/>
                            <w:szCs w:val="18"/>
                          </w:rPr>
                        </w:pPr>
                        <w:r>
                          <w:rPr>
                            <w:rFonts w:ascii="宋体"/>
                            <w:sz w:val="18"/>
                          </w:rPr>
                          <w:t>2.25%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28,143,220.10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82,616,458.94</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
                          <w:jc w:val="right"/>
                          <w:rPr>
                            <w:rFonts w:ascii="宋体" w:hAnsi="宋体" w:cs="宋体" w:eastAsia="宋体" w:hint="default"/>
                            <w:sz w:val="18"/>
                            <w:szCs w:val="18"/>
                          </w:rPr>
                        </w:pPr>
                        <w:r>
                          <w:rPr>
                            <w:rFonts w:ascii="宋体"/>
                            <w:sz w:val="18"/>
                          </w:rPr>
                          <w:t>2.53%</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宋体" w:hAnsi="宋体" w:cs="宋体" w:eastAsia="宋体" w:hint="default"/>
                            <w:sz w:val="18"/>
                            <w:szCs w:val="18"/>
                          </w:rPr>
                        </w:pPr>
                        <w:r>
                          <w:rPr>
                            <w:rFonts w:ascii="宋体"/>
                            <w:spacing w:val="-1"/>
                            <w:sz w:val="18"/>
                          </w:rPr>
                          <w:t>24,784,937.68</w:t>
                        </w:r>
                      </w:p>
                    </w:tc>
                  </w:tr>
                  <w:tr>
                    <w:trPr>
                      <w:trHeight w:val="40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122" w:lineRule="exact"/>
                          <w:ind w:left="108" w:right="0"/>
                          <w:jc w:val="left"/>
                          <w:rPr>
                            <w:rFonts w:ascii="宋体" w:hAnsi="宋体" w:cs="宋体" w:eastAsia="宋体" w:hint="default"/>
                            <w:sz w:val="18"/>
                            <w:szCs w:val="18"/>
                          </w:rPr>
                        </w:pPr>
                        <w:r>
                          <w:rPr>
                            <w:rFonts w:ascii="宋体"/>
                            <w:sz w:val="18"/>
                          </w:rPr>
                          <w:t>4-5</w:t>
                        </w:r>
                      </w:p>
                      <w:p>
                        <w:pPr>
                          <w:pStyle w:val="TableParagraph"/>
                          <w:tabs>
                            <w:tab w:pos="1025"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63,899,886.31</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
                          <w:jc w:val="right"/>
                          <w:rPr>
                            <w:rFonts w:ascii="宋体" w:hAnsi="宋体" w:cs="宋体" w:eastAsia="宋体" w:hint="default"/>
                            <w:sz w:val="18"/>
                            <w:szCs w:val="18"/>
                          </w:rPr>
                        </w:pPr>
                        <w:r>
                          <w:rPr>
                            <w:rFonts w:ascii="宋体"/>
                            <w:sz w:val="18"/>
                          </w:rPr>
                          <w:t>1.53%</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31,949,943.16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73,321,849.62</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
                          <w:jc w:val="right"/>
                          <w:rPr>
                            <w:rFonts w:ascii="宋体" w:hAnsi="宋体" w:cs="宋体" w:eastAsia="宋体" w:hint="default"/>
                            <w:sz w:val="18"/>
                            <w:szCs w:val="18"/>
                          </w:rPr>
                        </w:pPr>
                        <w:r>
                          <w:rPr>
                            <w:rFonts w:ascii="宋体"/>
                            <w:sz w:val="18"/>
                          </w:rPr>
                          <w:t>2.25%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pacing w:val="-1"/>
                            <w:sz w:val="18"/>
                          </w:rPr>
                          <w:t>36,660,924.81</w:t>
                        </w:r>
                      </w:p>
                    </w:tc>
                  </w:tr>
                  <w:tr>
                    <w:trPr>
                      <w:trHeight w:val="411" w:hRule="exact"/>
                    </w:trPr>
                    <w:tc>
                      <w:tcPr>
                        <w:tcW w:w="2304" w:type="dxa"/>
                        <w:tcBorders>
                          <w:top w:val="nil" w:sz="6" w:space="0" w:color="auto"/>
                          <w:left w:val="nil" w:sz="6" w:space="0" w:color="auto"/>
                          <w:bottom w:val="single" w:sz="4" w:space="0" w:color="000000"/>
                          <w:right w:val="nil" w:sz="6" w:space="0" w:color="auto"/>
                        </w:tcBorders>
                      </w:tcPr>
                      <w:p>
                        <w:pPr>
                          <w:pStyle w:val="TableParagraph"/>
                          <w:spacing w:line="122"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年</w:t>
                        </w:r>
                      </w:p>
                      <w:p>
                        <w:pPr>
                          <w:pStyle w:val="TableParagraph"/>
                          <w:tabs>
                            <w:tab w:pos="935"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以上</w:t>
                          <w:tab/>
                        </w:r>
                        <w:r>
                          <w:rPr>
                            <w:rFonts w:ascii="宋体" w:hAnsi="宋体" w:cs="宋体" w:eastAsia="宋体" w:hint="default"/>
                            <w:sz w:val="18"/>
                            <w:szCs w:val="18"/>
                          </w:rPr>
                          <w:t>195,161,538.74</w:t>
                        </w:r>
                      </w:p>
                    </w:tc>
                    <w:tc>
                      <w:tcPr>
                        <w:tcW w:w="79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9"/>
                          <w:jc w:val="right"/>
                          <w:rPr>
                            <w:rFonts w:ascii="宋体" w:hAnsi="宋体" w:cs="宋体" w:eastAsia="宋体" w:hint="default"/>
                            <w:sz w:val="18"/>
                            <w:szCs w:val="18"/>
                          </w:rPr>
                        </w:pPr>
                        <w:r>
                          <w:rPr>
                            <w:rFonts w:ascii="宋体"/>
                            <w:sz w:val="18"/>
                          </w:rPr>
                          <w:t>4.69%</w:t>
                        </w: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195,161,538.75</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226,501,791.92</w:t>
                        </w:r>
                      </w:p>
                    </w:tc>
                    <w:tc>
                      <w:tcPr>
                        <w:tcW w:w="7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5"/>
                          <w:jc w:val="right"/>
                          <w:rPr>
                            <w:rFonts w:ascii="宋体" w:hAnsi="宋体" w:cs="宋体" w:eastAsia="宋体" w:hint="default"/>
                            <w:sz w:val="18"/>
                            <w:szCs w:val="18"/>
                          </w:rPr>
                        </w:pPr>
                        <w:r>
                          <w:rPr>
                            <w:rFonts w:ascii="宋体"/>
                            <w:sz w:val="18"/>
                          </w:rPr>
                          <w:t>6.93%</w:t>
                        </w: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pacing w:val="-1"/>
                            <w:sz w:val="18"/>
                          </w:rPr>
                          <w:t>226,501,791.92</w:t>
                        </w:r>
                      </w:p>
                    </w:tc>
                  </w:tr>
                  <w:tr>
                    <w:trPr>
                      <w:trHeight w:val="304" w:hRule="exact"/>
                    </w:trPr>
                    <w:tc>
                      <w:tcPr>
                        <w:tcW w:w="2304" w:type="dxa"/>
                        <w:tcBorders>
                          <w:top w:val="single" w:sz="4" w:space="0" w:color="000000"/>
                          <w:left w:val="nil" w:sz="6" w:space="0" w:color="auto"/>
                          <w:bottom w:val="single" w:sz="12" w:space="0" w:color="000000"/>
                          <w:right w:val="nil" w:sz="6" w:space="0" w:color="auto"/>
                        </w:tcBorders>
                      </w:tcPr>
                      <w:p>
                        <w:pPr>
                          <w:pStyle w:val="TableParagraph"/>
                          <w:tabs>
                            <w:tab w:pos="743" w:val="left" w:leader="none"/>
                          </w:tabs>
                          <w:spacing w:line="227"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4,165,378,289.88</w:t>
                        </w:r>
                        <w:r>
                          <w:rPr>
                            <w:rFonts w:ascii="宋体" w:hAnsi="宋体" w:cs="宋体" w:eastAsia="宋体" w:hint="default"/>
                            <w:sz w:val="18"/>
                            <w:szCs w:val="18"/>
                          </w:rPr>
                        </w:r>
                      </w:p>
                    </w:tc>
                    <w:tc>
                      <w:tcPr>
                        <w:tcW w:w="79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9"/>
                          <w:jc w:val="right"/>
                          <w:rPr>
                            <w:rFonts w:ascii="宋体" w:hAnsi="宋体" w:cs="宋体" w:eastAsia="宋体" w:hint="default"/>
                            <w:sz w:val="18"/>
                            <w:szCs w:val="18"/>
                          </w:rPr>
                        </w:pPr>
                        <w:r>
                          <w:rPr>
                            <w:rFonts w:ascii="宋体"/>
                            <w:b/>
                            <w:w w:val="95"/>
                            <w:sz w:val="18"/>
                          </w:rPr>
                          <w:t>100.00%</w:t>
                        </w:r>
                        <w:r>
                          <w:rPr>
                            <w:rFonts w:ascii="宋体"/>
                            <w:sz w:val="18"/>
                          </w:rPr>
                        </w:r>
                      </w:p>
                    </w:tc>
                    <w:tc>
                      <w:tcPr>
                        <w:tcW w:w="154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341,280,815.26</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b/>
                            <w:w w:val="95"/>
                            <w:sz w:val="18"/>
                          </w:rPr>
                          <w:t>3,266,627,395.86</w:t>
                        </w:r>
                        <w:r>
                          <w:rPr>
                            <w:rFonts w:ascii="宋体"/>
                            <w:sz w:val="18"/>
                          </w:rPr>
                        </w:r>
                      </w:p>
                    </w:tc>
                    <w:tc>
                      <w:tcPr>
                        <w:tcW w:w="79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4"/>
                          <w:jc w:val="right"/>
                          <w:rPr>
                            <w:rFonts w:ascii="宋体" w:hAnsi="宋体" w:cs="宋体" w:eastAsia="宋体" w:hint="default"/>
                            <w:sz w:val="18"/>
                            <w:szCs w:val="18"/>
                          </w:rPr>
                        </w:pPr>
                        <w:r>
                          <w:rPr>
                            <w:rFonts w:ascii="宋体"/>
                            <w:b/>
                            <w:sz w:val="18"/>
                          </w:rPr>
                          <w:t>100.00%</w:t>
                        </w:r>
                        <w:r>
                          <w:rPr>
                            <w:rFonts w:ascii="宋体"/>
                            <w:sz w:val="18"/>
                          </w:rPr>
                        </w:r>
                      </w:p>
                    </w:tc>
                    <w:tc>
                      <w:tcPr>
                        <w:tcW w:w="154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1"/>
                          <w:jc w:val="right"/>
                          <w:rPr>
                            <w:rFonts w:ascii="宋体" w:hAnsi="宋体" w:cs="宋体" w:eastAsia="宋体" w:hint="default"/>
                            <w:sz w:val="18"/>
                            <w:szCs w:val="18"/>
                          </w:rPr>
                        </w:pPr>
                        <w:r>
                          <w:rPr>
                            <w:rFonts w:ascii="宋体"/>
                            <w:b/>
                            <w:w w:val="95"/>
                            <w:sz w:val="18"/>
                          </w:rPr>
                          <w:t>355,028,710.63</w:t>
                        </w:r>
                        <w:r>
                          <w:rPr>
                            <w:rFonts w:ascii="宋体"/>
                            <w:sz w:val="18"/>
                          </w:rPr>
                        </w:r>
                      </w:p>
                    </w:tc>
                  </w:tr>
                  <w:tr>
                    <w:trPr>
                      <w:trHeight w:val="576" w:hRule="exact"/>
                    </w:trPr>
                    <w:tc>
                      <w:tcPr>
                        <w:tcW w:w="864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9"/>
                          <w:ind w:left="290"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
                            <w:sz w:val="22"/>
                            <w:szCs w:val="22"/>
                          </w:rPr>
                          <w:t> </w:t>
                        </w:r>
                        <w:r>
                          <w:rPr>
                            <w:rFonts w:ascii="宋体" w:hAnsi="宋体" w:cs="宋体" w:eastAsia="宋体" w:hint="default"/>
                            <w:sz w:val="22"/>
                            <w:szCs w:val="22"/>
                          </w:rPr>
                          <w:t>采用其他方法计提坏账准备的应收账款</w:t>
                        </w:r>
                      </w:p>
                    </w:tc>
                  </w:tr>
                  <w:tr>
                    <w:trPr>
                      <w:trHeight w:val="302" w:hRule="exact"/>
                    </w:trPr>
                    <w:tc>
                      <w:tcPr>
                        <w:tcW w:w="23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36"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84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3"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2333"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8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294" w:hRule="exact"/>
                    </w:trPr>
                    <w:tc>
                      <w:tcPr>
                        <w:tcW w:w="230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泰豪科技并入</w:t>
                        </w:r>
                      </w:p>
                    </w:tc>
                    <w:tc>
                      <w:tcPr>
                        <w:tcW w:w="2336" w:type="dxa"/>
                        <w:gridSpan w:val="2"/>
                        <w:tcBorders>
                          <w:top w:val="single" w:sz="4" w:space="0" w:color="000000"/>
                          <w:left w:val="nil" w:sz="6" w:space="0" w:color="auto"/>
                          <w:bottom w:val="single" w:sz="4" w:space="0" w:color="000000"/>
                          <w:right w:val="nil" w:sz="6" w:space="0" w:color="auto"/>
                        </w:tcBorders>
                      </w:tcPr>
                      <w:p>
                        <w:pPr>
                          <w:pStyle w:val="TableParagraph"/>
                          <w:spacing w:line="226" w:lineRule="exact"/>
                          <w:ind w:left="914" w:right="0"/>
                          <w:jc w:val="left"/>
                          <w:rPr>
                            <w:rFonts w:ascii="宋体" w:hAnsi="宋体" w:cs="宋体" w:eastAsia="宋体" w:hint="default"/>
                            <w:sz w:val="18"/>
                            <w:szCs w:val="18"/>
                          </w:rPr>
                        </w:pPr>
                        <w:r>
                          <w:rPr>
                            <w:rFonts w:ascii="宋体"/>
                            <w:sz w:val="18"/>
                          </w:rPr>
                          <w:t>143,804,520.99</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4" w:right="0"/>
                          <w:jc w:val="center"/>
                          <w:rPr>
                            <w:rFonts w:ascii="宋体" w:hAnsi="宋体" w:cs="宋体" w:eastAsia="宋体" w:hint="default"/>
                            <w:sz w:val="18"/>
                            <w:szCs w:val="18"/>
                          </w:rPr>
                        </w:pPr>
                        <w:r>
                          <w:rPr>
                            <w:rFonts w:ascii="宋体"/>
                            <w:sz w:val="18"/>
                          </w:rPr>
                          <w:t>0.00</w:t>
                        </w:r>
                      </w:p>
                    </w:tc>
                    <w:tc>
                      <w:tcPr>
                        <w:tcW w:w="2333" w:type="dxa"/>
                        <w:gridSpan w:val="2"/>
                        <w:tcBorders>
                          <w:top w:val="single" w:sz="4" w:space="0" w:color="000000"/>
                          <w:left w:val="nil" w:sz="6" w:space="0" w:color="auto"/>
                          <w:bottom w:val="single" w:sz="4" w:space="0" w:color="000000"/>
                          <w:right w:val="nil" w:sz="6" w:space="0" w:color="auto"/>
                        </w:tcBorders>
                      </w:tcPr>
                      <w:p>
                        <w:pPr>
                          <w:pStyle w:val="TableParagraph"/>
                          <w:spacing w:line="226" w:lineRule="exact"/>
                          <w:ind w:left="63" w:right="0"/>
                          <w:jc w:val="center"/>
                          <w:rPr>
                            <w:rFonts w:ascii="宋体" w:hAnsi="宋体" w:cs="宋体" w:eastAsia="宋体" w:hint="default"/>
                            <w:sz w:val="18"/>
                            <w:szCs w:val="18"/>
                          </w:rPr>
                        </w:pPr>
                        <w:r>
                          <w:rPr>
                            <w:rFonts w:ascii="宋体"/>
                            <w:sz w:val="18"/>
                          </w:rPr>
                          <w:t>0.00%</w:t>
                        </w:r>
                      </w:p>
                    </w:tc>
                  </w:tr>
                  <w:tr>
                    <w:trPr>
                      <w:trHeight w:val="303" w:hRule="exact"/>
                    </w:trPr>
                    <w:tc>
                      <w:tcPr>
                        <w:tcW w:w="230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36"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904" w:right="0"/>
                          <w:jc w:val="left"/>
                          <w:rPr>
                            <w:rFonts w:ascii="宋体" w:hAnsi="宋体" w:cs="宋体" w:eastAsia="宋体" w:hint="default"/>
                            <w:sz w:val="18"/>
                            <w:szCs w:val="18"/>
                          </w:rPr>
                        </w:pPr>
                        <w:r>
                          <w:rPr>
                            <w:rFonts w:ascii="宋体"/>
                            <w:b/>
                            <w:sz w:val="18"/>
                          </w:rPr>
                          <w:t>143,804,520.99</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 w:right="0"/>
                          <w:jc w:val="center"/>
                          <w:rPr>
                            <w:rFonts w:ascii="宋体" w:hAnsi="宋体" w:cs="宋体" w:eastAsia="宋体" w:hint="default"/>
                            <w:sz w:val="18"/>
                            <w:szCs w:val="18"/>
                          </w:rPr>
                        </w:pPr>
                        <w:r>
                          <w:rPr>
                            <w:rFonts w:ascii="宋体"/>
                            <w:b/>
                            <w:sz w:val="18"/>
                          </w:rPr>
                          <w:t>0.00</w:t>
                        </w:r>
                        <w:r>
                          <w:rPr>
                            <w:rFonts w:ascii="宋体"/>
                            <w:sz w:val="18"/>
                          </w:rPr>
                        </w:r>
                      </w:p>
                    </w:tc>
                    <w:tc>
                      <w:tcPr>
                        <w:tcW w:w="2333"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62" w:right="0"/>
                          <w:jc w:val="center"/>
                          <w:rPr>
                            <w:rFonts w:ascii="宋体" w:hAnsi="宋体" w:cs="宋体" w:eastAsia="宋体" w:hint="default"/>
                            <w:sz w:val="18"/>
                            <w:szCs w:val="18"/>
                          </w:rPr>
                        </w:pPr>
                        <w:r>
                          <w:rPr>
                            <w:rFonts w:ascii="宋体"/>
                            <w:b/>
                            <w:sz w:val="18"/>
                          </w:rPr>
                          <w:t>0.00%</w:t>
                        </w:r>
                        <w:r>
                          <w:rPr>
                            <w:rFonts w:ascii="宋体"/>
                            <w:sz w:val="18"/>
                          </w:rPr>
                        </w:r>
                      </w:p>
                    </w:tc>
                  </w:tr>
                  <w:tr>
                    <w:trPr>
                      <w:trHeight w:val="497" w:hRule="exact"/>
                    </w:trPr>
                    <w:tc>
                      <w:tcPr>
                        <w:tcW w:w="864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9"/>
                          <w:ind w:left="290"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年末单项金额虽不重大但单独计提坏账准备的应收账款</w:t>
                        </w:r>
                      </w:p>
                    </w:tc>
                  </w:tr>
                </w:tbl>
                <w:p>
                  <w:pPr/>
                </w:p>
              </w:txbxContent>
            </v:textbox>
            <w10:wrap type="none"/>
          </v:shape>
        </w:pic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tbl>
      <w:tblPr>
        <w:tblW w:w="0" w:type="auto"/>
        <w:jc w:val="left"/>
        <w:tblInd w:w="735" w:type="dxa"/>
        <w:tblLayout w:type="fixed"/>
        <w:tblCellMar>
          <w:top w:w="0" w:type="dxa"/>
          <w:left w:w="0" w:type="dxa"/>
          <w:bottom w:w="0" w:type="dxa"/>
          <w:right w:w="0" w:type="dxa"/>
        </w:tblCellMar>
        <w:tblLook w:val="01E0"/>
      </w:tblPr>
      <w:tblGrid>
        <w:gridCol w:w="3610"/>
        <w:gridCol w:w="1459"/>
        <w:gridCol w:w="1315"/>
        <w:gridCol w:w="1013"/>
        <w:gridCol w:w="1243"/>
      </w:tblGrid>
      <w:tr>
        <w:trPr>
          <w:trHeight w:val="303" w:hRule="exact"/>
        </w:trPr>
        <w:tc>
          <w:tcPr>
            <w:tcW w:w="361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01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70"/>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24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6"/>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82" w:hRule="exact"/>
        </w:trPr>
        <w:tc>
          <w:tcPr>
            <w:tcW w:w="361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华北电网有限公司北京电力公司</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26,000.00</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26" w:lineRule="exact"/>
              <w:ind w:right="116"/>
              <w:jc w:val="right"/>
              <w:rPr>
                <w:rFonts w:ascii="宋体" w:hAnsi="宋体" w:cs="宋体" w:eastAsia="宋体" w:hint="default"/>
                <w:sz w:val="18"/>
                <w:szCs w:val="18"/>
              </w:rPr>
            </w:pPr>
            <w:r>
              <w:rPr>
                <w:rFonts w:ascii="宋体"/>
                <w:sz w:val="18"/>
              </w:rPr>
              <w:t>26,000.00</w:t>
            </w:r>
          </w:p>
        </w:tc>
        <w:tc>
          <w:tcPr>
            <w:tcW w:w="1013" w:type="dxa"/>
            <w:tcBorders>
              <w:top w:val="single" w:sz="4" w:space="0" w:color="000000"/>
              <w:left w:val="nil" w:sz="6" w:space="0" w:color="auto"/>
              <w:bottom w:val="nil" w:sz="6" w:space="0" w:color="auto"/>
              <w:right w:val="nil" w:sz="6" w:space="0" w:color="auto"/>
            </w:tcBorders>
          </w:tcPr>
          <w:p>
            <w:pPr>
              <w:pStyle w:val="TableParagraph"/>
              <w:spacing w:line="226" w:lineRule="exact"/>
              <w:ind w:right="150"/>
              <w:jc w:val="right"/>
              <w:rPr>
                <w:rFonts w:ascii="宋体" w:hAnsi="宋体" w:cs="宋体" w:eastAsia="宋体" w:hint="default"/>
                <w:sz w:val="18"/>
                <w:szCs w:val="18"/>
              </w:rPr>
            </w:pPr>
            <w:r>
              <w:rPr>
                <w:rFonts w:ascii="宋体"/>
                <w:sz w:val="18"/>
              </w:rPr>
              <w:t>100.00%</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26" w:lineRule="exact"/>
              <w:ind w:right="36"/>
              <w:jc w:val="center"/>
              <w:rPr>
                <w:rFonts w:ascii="宋体" w:hAnsi="宋体" w:cs="宋体" w:eastAsia="宋体" w:hint="default"/>
                <w:sz w:val="18"/>
                <w:szCs w:val="18"/>
              </w:rPr>
            </w:pPr>
            <w:r>
              <w:rPr>
                <w:rFonts w:ascii="宋体" w:hAnsi="宋体" w:cs="宋体" w:eastAsia="宋体" w:hint="default"/>
                <w:sz w:val="18"/>
                <w:szCs w:val="18"/>
              </w:rPr>
              <w:t>无收回可能</w:t>
            </w:r>
          </w:p>
        </w:tc>
      </w:tr>
      <w:tr>
        <w:trPr>
          <w:trHeight w:val="283" w:hRule="exact"/>
        </w:trPr>
        <w:tc>
          <w:tcPr>
            <w:tcW w:w="361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广东省广电集团有限公司佛山供电分公司</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160,000.00</w:t>
            </w:r>
          </w:p>
        </w:tc>
        <w:tc>
          <w:tcPr>
            <w:tcW w:w="1315" w:type="dxa"/>
            <w:tcBorders>
              <w:top w:val="nil" w:sz="6" w:space="0" w:color="auto"/>
              <w:left w:val="nil" w:sz="6" w:space="0" w:color="auto"/>
              <w:bottom w:val="nil" w:sz="6" w:space="0" w:color="auto"/>
              <w:right w:val="nil" w:sz="6" w:space="0" w:color="auto"/>
            </w:tcBorders>
          </w:tcPr>
          <w:p>
            <w:pPr>
              <w:pStyle w:val="TableParagraph"/>
              <w:spacing w:line="232" w:lineRule="exact"/>
              <w:ind w:right="116"/>
              <w:jc w:val="right"/>
              <w:rPr>
                <w:rFonts w:ascii="宋体" w:hAnsi="宋体" w:cs="宋体" w:eastAsia="宋体" w:hint="default"/>
                <w:sz w:val="18"/>
                <w:szCs w:val="18"/>
              </w:rPr>
            </w:pPr>
            <w:r>
              <w:rPr>
                <w:rFonts w:ascii="宋体"/>
                <w:sz w:val="18"/>
              </w:rPr>
              <w:t>160,000.00</w:t>
            </w:r>
          </w:p>
        </w:tc>
        <w:tc>
          <w:tcPr>
            <w:tcW w:w="1013" w:type="dxa"/>
            <w:tcBorders>
              <w:top w:val="nil" w:sz="6" w:space="0" w:color="auto"/>
              <w:left w:val="nil" w:sz="6" w:space="0" w:color="auto"/>
              <w:bottom w:val="nil" w:sz="6" w:space="0" w:color="auto"/>
              <w:right w:val="nil" w:sz="6" w:space="0" w:color="auto"/>
            </w:tcBorders>
          </w:tcPr>
          <w:p>
            <w:pPr>
              <w:pStyle w:val="TableParagraph"/>
              <w:spacing w:line="232" w:lineRule="exact"/>
              <w:ind w:right="150"/>
              <w:jc w:val="right"/>
              <w:rPr>
                <w:rFonts w:ascii="宋体" w:hAnsi="宋体" w:cs="宋体" w:eastAsia="宋体" w:hint="default"/>
                <w:sz w:val="18"/>
                <w:szCs w:val="18"/>
              </w:rPr>
            </w:pPr>
            <w:r>
              <w:rPr>
                <w:rFonts w:ascii="宋体"/>
                <w:sz w:val="18"/>
              </w:rPr>
              <w:t>100.00%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32" w:lineRule="exact"/>
              <w:ind w:right="36"/>
              <w:jc w:val="center"/>
              <w:rPr>
                <w:rFonts w:ascii="宋体" w:hAnsi="宋体" w:cs="宋体" w:eastAsia="宋体" w:hint="default"/>
                <w:sz w:val="18"/>
                <w:szCs w:val="18"/>
              </w:rPr>
            </w:pPr>
            <w:r>
              <w:rPr>
                <w:rFonts w:ascii="宋体" w:hAnsi="宋体" w:cs="宋体" w:eastAsia="宋体" w:hint="default"/>
                <w:sz w:val="18"/>
                <w:szCs w:val="18"/>
              </w:rPr>
              <w:t>无收回可能</w:t>
            </w:r>
          </w:p>
        </w:tc>
      </w:tr>
      <w:tr>
        <w:trPr>
          <w:trHeight w:val="293" w:hRule="exact"/>
        </w:trPr>
        <w:tc>
          <w:tcPr>
            <w:tcW w:w="361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北京三祥科创高新技术有限公司</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4,680,000.00</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32" w:lineRule="exact"/>
              <w:ind w:right="116"/>
              <w:jc w:val="right"/>
              <w:rPr>
                <w:rFonts w:ascii="宋体" w:hAnsi="宋体" w:cs="宋体" w:eastAsia="宋体" w:hint="default"/>
                <w:sz w:val="18"/>
                <w:szCs w:val="18"/>
              </w:rPr>
            </w:pPr>
            <w:r>
              <w:rPr>
                <w:rFonts w:ascii="宋体"/>
                <w:sz w:val="18"/>
              </w:rPr>
              <w:t>4,680,000.00</w:t>
            </w:r>
          </w:p>
        </w:tc>
        <w:tc>
          <w:tcPr>
            <w:tcW w:w="1013" w:type="dxa"/>
            <w:tcBorders>
              <w:top w:val="nil" w:sz="6" w:space="0" w:color="auto"/>
              <w:left w:val="nil" w:sz="6" w:space="0" w:color="auto"/>
              <w:bottom w:val="single" w:sz="4" w:space="0" w:color="000000"/>
              <w:right w:val="nil" w:sz="6" w:space="0" w:color="auto"/>
            </w:tcBorders>
          </w:tcPr>
          <w:p>
            <w:pPr>
              <w:pStyle w:val="TableParagraph"/>
              <w:spacing w:line="232" w:lineRule="exact"/>
              <w:ind w:right="150"/>
              <w:jc w:val="right"/>
              <w:rPr>
                <w:rFonts w:ascii="宋体" w:hAnsi="宋体" w:cs="宋体" w:eastAsia="宋体" w:hint="default"/>
                <w:sz w:val="18"/>
                <w:szCs w:val="18"/>
              </w:rPr>
            </w:pPr>
            <w:r>
              <w:rPr>
                <w:rFonts w:ascii="宋体"/>
                <w:sz w:val="18"/>
              </w:rPr>
              <w:t>100.00%</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232" w:lineRule="exact"/>
              <w:ind w:right="36"/>
              <w:jc w:val="center"/>
              <w:rPr>
                <w:rFonts w:ascii="宋体" w:hAnsi="宋体" w:cs="宋体" w:eastAsia="宋体" w:hint="default"/>
                <w:sz w:val="18"/>
                <w:szCs w:val="18"/>
              </w:rPr>
            </w:pPr>
            <w:r>
              <w:rPr>
                <w:rFonts w:ascii="宋体" w:hAnsi="宋体" w:cs="宋体" w:eastAsia="宋体" w:hint="default"/>
                <w:sz w:val="18"/>
                <w:szCs w:val="18"/>
              </w:rPr>
              <w:t>无收回可能</w:t>
            </w:r>
          </w:p>
        </w:tc>
      </w:tr>
      <w:tr>
        <w:trPr>
          <w:trHeight w:val="304" w:hRule="exact"/>
        </w:trPr>
        <w:tc>
          <w:tcPr>
            <w:tcW w:w="361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4,866,000.00</w:t>
            </w:r>
            <w:r>
              <w:rPr>
                <w:rFonts w:ascii="宋体"/>
                <w:sz w:val="18"/>
              </w:rPr>
            </w: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15"/>
              <w:jc w:val="right"/>
              <w:rPr>
                <w:rFonts w:ascii="宋体" w:hAnsi="宋体" w:cs="宋体" w:eastAsia="宋体" w:hint="default"/>
                <w:sz w:val="18"/>
                <w:szCs w:val="18"/>
              </w:rPr>
            </w:pPr>
            <w:r>
              <w:rPr>
                <w:rFonts w:ascii="宋体"/>
                <w:b/>
                <w:w w:val="95"/>
                <w:sz w:val="18"/>
              </w:rPr>
              <w:t>4,866,000.00</w:t>
            </w:r>
            <w:r>
              <w:rPr>
                <w:rFonts w:ascii="宋体"/>
                <w:sz w:val="18"/>
              </w:rPr>
            </w:r>
          </w:p>
        </w:tc>
        <w:tc>
          <w:tcPr>
            <w:tcW w:w="1013" w:type="dxa"/>
            <w:tcBorders>
              <w:top w:val="single" w:sz="4" w:space="0" w:color="000000"/>
              <w:left w:val="nil" w:sz="6" w:space="0" w:color="auto"/>
              <w:bottom w:val="single" w:sz="12" w:space="0" w:color="000000"/>
              <w:right w:val="nil" w:sz="6" w:space="0" w:color="auto"/>
            </w:tcBorders>
          </w:tcPr>
          <w:p>
            <w:pPr/>
          </w:p>
        </w:tc>
        <w:tc>
          <w:tcPr>
            <w:tcW w:w="1243" w:type="dxa"/>
            <w:tcBorders>
              <w:top w:val="single" w:sz="4" w:space="0" w:color="000000"/>
              <w:left w:val="nil" w:sz="6" w:space="0" w:color="auto"/>
              <w:bottom w:val="single" w:sz="12" w:space="0" w:color="000000"/>
              <w:right w:val="nil" w:sz="6" w:space="0" w:color="auto"/>
            </w:tcBorders>
          </w:tcPr>
          <w:p>
            <w:pPr/>
          </w:p>
        </w:tc>
      </w:tr>
    </w:tbl>
    <w:p>
      <w:pPr>
        <w:spacing w:before="79"/>
        <w:ind w:left="911" w:right="0"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本公司之控股子公司泰豪科技股份有限公司以应收账款 3,389,540.00</w:t>
      </w:r>
      <w:r>
        <w:rPr>
          <w:rFonts w:ascii="宋体" w:hAnsi="宋体" w:cs="宋体" w:eastAsia="宋体" w:hint="default"/>
          <w:spacing w:val="-75"/>
          <w:sz w:val="22"/>
          <w:szCs w:val="22"/>
        </w:rPr>
        <w:t> </w:t>
      </w:r>
      <w:r>
        <w:rPr>
          <w:rFonts w:ascii="宋体" w:hAnsi="宋体" w:cs="宋体" w:eastAsia="宋体" w:hint="default"/>
          <w:sz w:val="22"/>
          <w:szCs w:val="22"/>
        </w:rPr>
        <w:t>元质押取得借款</w:t>
      </w:r>
    </w:p>
    <w:p>
      <w:pPr>
        <w:spacing w:before="102"/>
        <w:ind w:left="458" w:right="0" w:firstLine="0"/>
        <w:jc w:val="left"/>
        <w:rPr>
          <w:rFonts w:ascii="宋体" w:hAnsi="宋体" w:cs="宋体" w:eastAsia="宋体" w:hint="default"/>
          <w:sz w:val="22"/>
          <w:szCs w:val="22"/>
        </w:rPr>
      </w:pPr>
      <w:r>
        <w:rPr>
          <w:rFonts w:ascii="宋体" w:hAnsi="宋体" w:cs="宋体" w:eastAsia="宋体" w:hint="default"/>
          <w:sz w:val="22"/>
          <w:szCs w:val="22"/>
        </w:rPr>
        <w:t>3,389,540.00</w:t>
      </w:r>
      <w:r>
        <w:rPr>
          <w:rFonts w:ascii="宋体" w:hAnsi="宋体" w:cs="宋体" w:eastAsia="宋体" w:hint="default"/>
          <w:spacing w:val="-56"/>
          <w:sz w:val="22"/>
          <w:szCs w:val="22"/>
        </w:rPr>
        <w:t> </w:t>
      </w:r>
      <w:r>
        <w:rPr>
          <w:rFonts w:ascii="宋体" w:hAnsi="宋体" w:cs="宋体" w:eastAsia="宋体" w:hint="default"/>
          <w:sz w:val="22"/>
          <w:szCs w:val="22"/>
        </w:rPr>
        <w:t>元；本公司之子公司沈阳同方多媒体科技有限公司以应收账款</w:t>
      </w:r>
      <w:r>
        <w:rPr>
          <w:rFonts w:ascii="宋体" w:hAnsi="宋体" w:cs="宋体" w:eastAsia="宋体" w:hint="default"/>
          <w:spacing w:val="-57"/>
          <w:sz w:val="22"/>
          <w:szCs w:val="22"/>
        </w:rPr>
        <w:t> </w:t>
      </w:r>
      <w:r>
        <w:rPr>
          <w:rFonts w:ascii="宋体" w:hAnsi="宋体" w:cs="宋体" w:eastAsia="宋体" w:hint="default"/>
          <w:sz w:val="22"/>
          <w:szCs w:val="22"/>
        </w:rPr>
        <w:t>145,513,767.55</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before="102"/>
        <w:ind w:left="458" w:right="0" w:firstLine="0"/>
        <w:jc w:val="left"/>
        <w:rPr>
          <w:rFonts w:ascii="宋体" w:hAnsi="宋体" w:cs="宋体" w:eastAsia="宋体" w:hint="default"/>
          <w:sz w:val="22"/>
          <w:szCs w:val="22"/>
        </w:rPr>
      </w:pPr>
      <w:r>
        <w:rPr>
          <w:rFonts w:ascii="宋体" w:hAnsi="宋体" w:cs="宋体" w:eastAsia="宋体" w:hint="default"/>
          <w:w w:val="99"/>
          <w:sz w:val="22"/>
          <w:szCs w:val="22"/>
        </w:rPr>
        <w:t>质押取得借款</w:t>
      </w:r>
      <w:r>
        <w:rPr>
          <w:rFonts w:ascii="宋体" w:hAnsi="宋体" w:cs="宋体" w:eastAsia="宋体" w:hint="default"/>
          <w:spacing w:val="-55"/>
          <w:sz w:val="22"/>
          <w:szCs w:val="22"/>
        </w:rPr>
        <w:t> </w:t>
      </w:r>
      <w:r>
        <w:rPr>
          <w:rFonts w:ascii="宋体" w:hAnsi="宋体" w:cs="宋体" w:eastAsia="宋体" w:hint="default"/>
          <w:w w:val="99"/>
          <w:sz w:val="22"/>
          <w:szCs w:val="22"/>
        </w:rPr>
        <w:t>115</w:t>
      </w:r>
      <w:r>
        <w:rPr>
          <w:rFonts w:ascii="宋体" w:hAnsi="宋体" w:cs="宋体" w:eastAsia="宋体" w:hint="default"/>
          <w:spacing w:val="-1"/>
          <w:w w:val="99"/>
          <w:sz w:val="22"/>
          <w:szCs w:val="22"/>
        </w:rPr>
        <w:t>,</w:t>
      </w:r>
      <w:r>
        <w:rPr>
          <w:rFonts w:ascii="宋体" w:hAnsi="宋体" w:cs="宋体" w:eastAsia="宋体" w:hint="default"/>
          <w:w w:val="99"/>
          <w:sz w:val="22"/>
          <w:szCs w:val="22"/>
        </w:rPr>
        <w:t>00</w:t>
      </w:r>
      <w:r>
        <w:rPr>
          <w:rFonts w:ascii="宋体" w:hAnsi="宋体" w:cs="宋体" w:eastAsia="宋体" w:hint="default"/>
          <w:spacing w:val="-1"/>
          <w:w w:val="99"/>
          <w:sz w:val="22"/>
          <w:szCs w:val="22"/>
        </w:rPr>
        <w:t>0,</w:t>
      </w:r>
      <w:r>
        <w:rPr>
          <w:rFonts w:ascii="宋体" w:hAnsi="宋体" w:cs="宋体" w:eastAsia="宋体" w:hint="default"/>
          <w:w w:val="99"/>
          <w:sz w:val="22"/>
          <w:szCs w:val="22"/>
        </w:rPr>
        <w:t>000</w:t>
      </w:r>
      <w:r>
        <w:rPr>
          <w:rFonts w:ascii="宋体" w:hAnsi="宋体" w:cs="宋体" w:eastAsia="宋体" w:hint="default"/>
          <w:spacing w:val="-1"/>
          <w:w w:val="99"/>
          <w:sz w:val="22"/>
          <w:szCs w:val="22"/>
        </w:rPr>
        <w:t>.</w:t>
      </w:r>
      <w:r>
        <w:rPr>
          <w:rFonts w:ascii="宋体" w:hAnsi="宋体" w:cs="宋体" w:eastAsia="宋体" w:hint="default"/>
          <w:w w:val="99"/>
          <w:sz w:val="22"/>
          <w:szCs w:val="22"/>
        </w:rPr>
        <w:t>00</w:t>
      </w:r>
      <w:r>
        <w:rPr>
          <w:rFonts w:ascii="宋体" w:hAnsi="宋体" w:cs="宋体" w:eastAsia="宋体" w:hint="default"/>
          <w:spacing w:val="-55"/>
          <w:sz w:val="22"/>
          <w:szCs w:val="22"/>
        </w:rPr>
        <w:t> </w:t>
      </w:r>
      <w:r>
        <w:rPr>
          <w:rFonts w:ascii="宋体" w:hAnsi="宋体" w:cs="宋体" w:eastAsia="宋体" w:hint="default"/>
          <w:w w:val="99"/>
          <w:sz w:val="22"/>
          <w:szCs w:val="22"/>
        </w:rPr>
        <w:t>元</w:t>
      </w:r>
      <w:r>
        <w:rPr>
          <w:rFonts w:ascii="宋体" w:hAnsi="宋体" w:cs="宋体" w:eastAsia="宋体" w:hint="default"/>
          <w:spacing w:val="-96"/>
          <w:w w:val="99"/>
          <w:sz w:val="22"/>
          <w:szCs w:val="22"/>
        </w:rPr>
        <w:t>，</w:t>
      </w:r>
      <w:r>
        <w:rPr>
          <w:rFonts w:ascii="宋体" w:hAnsi="宋体" w:cs="宋体" w:eastAsia="宋体" w:hint="default"/>
          <w:w w:val="99"/>
          <w:sz w:val="22"/>
          <w:szCs w:val="22"/>
        </w:rPr>
        <w:t>以应收账款</w:t>
      </w:r>
      <w:r>
        <w:rPr>
          <w:rFonts w:ascii="宋体" w:hAnsi="宋体" w:cs="宋体" w:eastAsia="宋体" w:hint="default"/>
          <w:spacing w:val="-54"/>
          <w:sz w:val="22"/>
          <w:szCs w:val="22"/>
        </w:rPr>
        <w:t> </w:t>
      </w:r>
      <w:r>
        <w:rPr>
          <w:rFonts w:ascii="宋体" w:hAnsi="宋体" w:cs="宋体" w:eastAsia="宋体" w:hint="default"/>
          <w:w w:val="99"/>
          <w:sz w:val="22"/>
          <w:szCs w:val="22"/>
        </w:rPr>
        <w:t>16,170,680.00</w:t>
      </w:r>
      <w:r>
        <w:rPr>
          <w:rFonts w:ascii="宋体" w:hAnsi="宋体" w:cs="宋体" w:eastAsia="宋体" w:hint="default"/>
          <w:spacing w:val="-55"/>
          <w:sz w:val="22"/>
          <w:szCs w:val="22"/>
        </w:rPr>
        <w:t> </w:t>
      </w:r>
      <w:r>
        <w:rPr>
          <w:rFonts w:ascii="宋体" w:hAnsi="宋体" w:cs="宋体" w:eastAsia="宋体" w:hint="default"/>
          <w:w w:val="99"/>
          <w:sz w:val="22"/>
          <w:szCs w:val="22"/>
        </w:rPr>
        <w:t>美元质押取得借款</w:t>
      </w:r>
      <w:r>
        <w:rPr>
          <w:rFonts w:ascii="宋体" w:hAnsi="宋体" w:cs="宋体" w:eastAsia="宋体" w:hint="default"/>
          <w:spacing w:val="-55"/>
          <w:sz w:val="22"/>
          <w:szCs w:val="22"/>
        </w:rPr>
        <w:t> </w:t>
      </w:r>
      <w:r>
        <w:rPr>
          <w:rFonts w:ascii="宋体" w:hAnsi="宋体" w:cs="宋体" w:eastAsia="宋体" w:hint="default"/>
          <w:w w:val="99"/>
          <w:sz w:val="22"/>
          <w:szCs w:val="22"/>
        </w:rPr>
        <w:t>12,933,000</w:t>
      </w:r>
      <w:r>
        <w:rPr>
          <w:rFonts w:ascii="宋体" w:hAnsi="宋体" w:cs="宋体" w:eastAsia="宋体" w:hint="default"/>
          <w:spacing w:val="1"/>
          <w:w w:val="99"/>
          <w:sz w:val="22"/>
          <w:szCs w:val="22"/>
        </w:rPr>
        <w:t>.</w:t>
      </w:r>
      <w:r>
        <w:rPr>
          <w:rFonts w:ascii="宋体" w:hAnsi="宋体" w:cs="宋体" w:eastAsia="宋体" w:hint="default"/>
          <w:w w:val="99"/>
          <w:sz w:val="22"/>
          <w:szCs w:val="22"/>
        </w:rPr>
        <w:t>00</w:t>
      </w:r>
      <w:r>
        <w:rPr>
          <w:rFonts w:ascii="宋体" w:hAnsi="宋体" w:cs="宋体" w:eastAsia="宋体" w:hint="default"/>
          <w:sz w:val="22"/>
          <w:szCs w:val="22"/>
        </w:rPr>
      </w:r>
    </w:p>
    <w:p>
      <w:pPr>
        <w:spacing w:before="102"/>
        <w:ind w:left="458" w:right="0" w:firstLine="0"/>
        <w:jc w:val="left"/>
        <w:rPr>
          <w:rFonts w:ascii="宋体" w:hAnsi="宋体" w:cs="宋体" w:eastAsia="宋体" w:hint="default"/>
          <w:sz w:val="22"/>
          <w:szCs w:val="22"/>
        </w:rPr>
      </w:pPr>
      <w:r>
        <w:rPr>
          <w:rFonts w:ascii="宋体" w:hAnsi="宋体" w:cs="宋体" w:eastAsia="宋体" w:hint="default"/>
          <w:sz w:val="22"/>
          <w:szCs w:val="22"/>
        </w:rPr>
        <w:t>美元，折合人民币</w:t>
      </w:r>
      <w:r>
        <w:rPr>
          <w:rFonts w:ascii="宋体" w:hAnsi="宋体" w:cs="宋体" w:eastAsia="宋体" w:hint="default"/>
          <w:spacing w:val="-60"/>
          <w:sz w:val="22"/>
          <w:szCs w:val="22"/>
        </w:rPr>
        <w:t> </w:t>
      </w:r>
      <w:r>
        <w:rPr>
          <w:rFonts w:ascii="宋体" w:hAnsi="宋体" w:cs="宋体" w:eastAsia="宋体" w:hint="default"/>
          <w:sz w:val="22"/>
          <w:szCs w:val="22"/>
        </w:rPr>
        <w:t>85,651,379.10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91" w:lineRule="auto" w:before="180"/>
        <w:ind w:left="912" w:right="1079"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6"/>
          <w:sz w:val="22"/>
          <w:szCs w:val="22"/>
        </w:rPr>
        <w:t> </w:t>
      </w:r>
      <w:r>
        <w:rPr>
          <w:rFonts w:ascii="宋体" w:hAnsi="宋体" w:cs="宋体" w:eastAsia="宋体" w:hint="default"/>
          <w:sz w:val="22"/>
          <w:szCs w:val="22"/>
        </w:rPr>
        <w:t>5%（含</w:t>
      </w:r>
      <w:r>
        <w:rPr>
          <w:rFonts w:ascii="宋体" w:hAnsi="宋体" w:cs="宋体" w:eastAsia="宋体" w:hint="default"/>
          <w:spacing w:val="-56"/>
          <w:sz w:val="22"/>
          <w:szCs w:val="22"/>
        </w:rPr>
        <w:t> </w:t>
      </w:r>
      <w:r>
        <w:rPr>
          <w:rFonts w:ascii="宋体" w:hAnsi="宋体" w:cs="宋体" w:eastAsia="宋体" w:hint="default"/>
          <w:sz w:val="22"/>
          <w:szCs w:val="22"/>
        </w:rPr>
        <w:t>5%）以上表决权股份的股东单位欠款。</w:t>
      </w:r>
      <w:r>
        <w:rPr>
          <w:rFonts w:ascii="宋体" w:hAnsi="宋体" w:cs="宋体" w:eastAsia="宋体" w:hint="default"/>
          <w:w w:val="99"/>
          <w:sz w:val="22"/>
          <w:szCs w:val="22"/>
        </w:rPr>
        <w:t> </w:t>
      </w: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9"/>
          <w:sz w:val="22"/>
          <w:szCs w:val="22"/>
        </w:rPr>
        <w:t> </w:t>
      </w:r>
      <w:r>
        <w:rPr>
          <w:rFonts w:ascii="宋体" w:hAnsi="宋体" w:cs="宋体" w:eastAsia="宋体" w:hint="default"/>
          <w:sz w:val="22"/>
          <w:szCs w:val="22"/>
        </w:rPr>
        <w:t>518,330,355.53</w:t>
      </w:r>
      <w:r>
        <w:rPr>
          <w:rFonts w:ascii="宋体" w:hAnsi="宋体" w:cs="宋体" w:eastAsia="宋体" w:hint="default"/>
          <w:spacing w:val="-59"/>
          <w:sz w:val="22"/>
          <w:szCs w:val="22"/>
        </w:rPr>
        <w:t> </w:t>
      </w:r>
      <w:r>
        <w:rPr>
          <w:rFonts w:ascii="宋体" w:hAnsi="宋体" w:cs="宋体" w:eastAsia="宋体" w:hint="default"/>
          <w:sz w:val="22"/>
          <w:szCs w:val="22"/>
        </w:rPr>
        <w:t>元，占应收账款总额的</w:t>
      </w:r>
      <w:r>
        <w:rPr>
          <w:rFonts w:ascii="宋体" w:hAnsi="宋体" w:cs="宋体" w:eastAsia="宋体" w:hint="default"/>
          <w:spacing w:val="-59"/>
          <w:sz w:val="22"/>
          <w:szCs w:val="22"/>
        </w:rPr>
        <w:t> </w:t>
      </w:r>
      <w:r>
        <w:rPr>
          <w:rFonts w:ascii="宋体" w:hAnsi="宋体" w:cs="宋体" w:eastAsia="宋体" w:hint="default"/>
          <w:sz w:val="22"/>
          <w:szCs w:val="22"/>
        </w:rPr>
        <w:t>12.01%</w:t>
      </w:r>
    </w:p>
    <w:p>
      <w:pPr>
        <w:spacing w:line="324" w:lineRule="auto" w:before="41"/>
        <w:ind w:left="458" w:right="0" w:firstLine="453"/>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1"/>
          <w:sz w:val="22"/>
          <w:szCs w:val="22"/>
        </w:rPr>
        <w:t> </w:t>
      </w:r>
      <w:r>
        <w:rPr>
          <w:rFonts w:ascii="宋体" w:hAnsi="宋体" w:cs="宋体" w:eastAsia="宋体" w:hint="default"/>
          <w:sz w:val="22"/>
          <w:szCs w:val="22"/>
        </w:rPr>
        <w:t>年末余额中应收关联方款项合计</w:t>
      </w:r>
      <w:r>
        <w:rPr>
          <w:rFonts w:ascii="宋体" w:hAnsi="宋体" w:cs="宋体" w:eastAsia="宋体" w:hint="default"/>
          <w:spacing w:val="-61"/>
          <w:sz w:val="22"/>
          <w:szCs w:val="22"/>
        </w:rPr>
        <w:t> </w:t>
      </w:r>
      <w:r>
        <w:rPr>
          <w:rFonts w:ascii="宋体" w:hAnsi="宋体" w:cs="宋体" w:eastAsia="宋体" w:hint="default"/>
          <w:sz w:val="22"/>
          <w:szCs w:val="22"/>
        </w:rPr>
        <w:t>96,885,907.72</w:t>
      </w:r>
      <w:r>
        <w:rPr>
          <w:rFonts w:ascii="宋体" w:hAnsi="宋体" w:cs="宋体" w:eastAsia="宋体" w:hint="default"/>
          <w:spacing w:val="-61"/>
          <w:sz w:val="22"/>
          <w:szCs w:val="22"/>
        </w:rPr>
        <w:t> </w:t>
      </w:r>
      <w:r>
        <w:rPr>
          <w:rFonts w:ascii="宋体" w:hAnsi="宋体" w:cs="宋体" w:eastAsia="宋体" w:hint="default"/>
          <w:sz w:val="22"/>
          <w:szCs w:val="22"/>
        </w:rPr>
        <w:t>元，占应收账款总额的</w:t>
      </w:r>
      <w:r>
        <w:rPr>
          <w:rFonts w:ascii="宋体" w:hAnsi="宋体" w:cs="宋体" w:eastAsia="宋体" w:hint="default"/>
          <w:spacing w:val="-61"/>
          <w:sz w:val="22"/>
          <w:szCs w:val="22"/>
        </w:rPr>
        <w:t> </w:t>
      </w:r>
      <w:r>
        <w:rPr>
          <w:rFonts w:ascii="宋体" w:hAnsi="宋体" w:cs="宋体" w:eastAsia="宋体" w:hint="default"/>
          <w:sz w:val="22"/>
          <w:szCs w:val="22"/>
        </w:rPr>
        <w:t>2.25%，详见附</w:t>
      </w:r>
      <w:r>
        <w:rPr>
          <w:rFonts w:ascii="宋体" w:hAnsi="宋体" w:cs="宋体" w:eastAsia="宋体" w:hint="default"/>
          <w:w w:val="99"/>
          <w:sz w:val="22"/>
          <w:szCs w:val="22"/>
        </w:rPr>
        <w:t> </w:t>
      </w:r>
      <w:r>
        <w:rPr>
          <w:rFonts w:ascii="宋体" w:hAnsi="宋体" w:cs="宋体" w:eastAsia="宋体" w:hint="default"/>
          <w:spacing w:val="-32"/>
          <w:w w:val="99"/>
          <w:sz w:val="22"/>
          <w:szCs w:val="22"/>
        </w:rPr>
        <w:t>注十、（三）。</w:t>
      </w:r>
      <w:r>
        <w:rPr>
          <w:rFonts w:ascii="宋体" w:hAnsi="宋体" w:cs="宋体" w:eastAsia="宋体" w:hint="default"/>
          <w:spacing w:val="-32"/>
          <w:sz w:val="22"/>
          <w:szCs w:val="22"/>
        </w:rPr>
      </w:r>
    </w:p>
    <w:p>
      <w:pPr>
        <w:spacing w:after="0" w:line="324" w:lineRule="auto"/>
        <w:jc w:val="left"/>
        <w:rPr>
          <w:rFonts w:ascii="宋体" w:hAnsi="宋体" w:cs="宋体" w:eastAsia="宋体" w:hint="default"/>
          <w:sz w:val="22"/>
          <w:szCs w:val="22"/>
        </w:rPr>
        <w:sectPr>
          <w:pgSz w:w="11910" w:h="16840"/>
          <w:pgMar w:header="610" w:footer="784" w:top="1080" w:bottom="980" w:left="960" w:right="8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7"/>
          <w:sz w:val="22"/>
          <w:szCs w:val="22"/>
        </w:rPr>
        <w:t> </w:t>
      </w:r>
      <w:r>
        <w:rPr>
          <w:rFonts w:ascii="宋体" w:hAnsi="宋体" w:cs="宋体" w:eastAsia="宋体" w:hint="default"/>
          <w:sz w:val="22"/>
          <w:szCs w:val="22"/>
        </w:rPr>
        <w:t>应收账款中外币余额</w:t>
      </w:r>
    </w:p>
    <w:p>
      <w:pPr>
        <w:spacing w:line="240" w:lineRule="auto" w:before="5"/>
        <w:rPr>
          <w:rFonts w:ascii="宋体" w:hAnsi="宋体" w:cs="宋体" w:eastAsia="宋体" w:hint="default"/>
          <w:sz w:val="12"/>
          <w:szCs w:val="12"/>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8633;height:2" coordorigin="15,15" coordsize="8633,2">
              <v:shape style="position:absolute;left:15;top:15;width:8633;height:2" coordorigin="15,15" coordsize="8633,0" path="m15,15l8648,15e" filled="false" stroked="true" strokeweight="1.5pt" strokecolor="#000000">
                <v:path arrowok="t"/>
              </v:shape>
            </v:group>
          </v:group>
        </w:pict>
      </w:r>
      <w:r>
        <w:rPr>
          <w:rFonts w:ascii="宋体" w:hAnsi="宋体" w:cs="宋体" w:eastAsia="宋体" w:hint="default"/>
          <w:position w:val="0"/>
          <w:sz w:val="3"/>
          <w:szCs w:val="3"/>
        </w:rPr>
      </w:r>
    </w:p>
    <w:p>
      <w:pPr>
        <w:tabs>
          <w:tab w:pos="2715" w:val="left" w:leader="none"/>
          <w:tab w:pos="6705" w:val="left" w:leader="none"/>
        </w:tabs>
        <w:spacing w:line="298" w:lineRule="exact" w:before="0"/>
        <w:ind w:left="523" w:right="0" w:firstLine="0"/>
        <w:jc w:val="left"/>
        <w:rPr>
          <w:rFonts w:ascii="宋体" w:hAnsi="宋体" w:cs="宋体" w:eastAsia="宋体" w:hint="default"/>
          <w:sz w:val="18"/>
          <w:szCs w:val="18"/>
        </w:rPr>
      </w:pPr>
      <w:r>
        <w:rPr/>
        <w:pict>
          <v:group style="position:absolute;margin-left:117.779999pt;margin-top:14.4pt;width:399pt;height:.1pt;mso-position-horizontal-relative:page;mso-position-vertical-relative:paragraph;z-index:-1048120" coordorigin="2356,288" coordsize="7980,2">
            <v:shape style="position:absolute;left:2356;top:288;width:7980;height:2" coordorigin="2356,288" coordsize="7980,0" path="m2356,288l10336,288e" filled="false" stroked="true" strokeweight=".48pt" strokecolor="#000000">
              <v:path arrowok="t"/>
            </v:shape>
            <w10:wrap type="none"/>
          </v:group>
        </w:pict>
      </w:r>
      <w:r>
        <w:rPr>
          <w:rFonts w:ascii="宋体" w:hAnsi="宋体" w:cs="宋体" w:eastAsia="宋体" w:hint="default"/>
          <w:b/>
          <w:bCs/>
          <w:position w:val="-8"/>
          <w:sz w:val="18"/>
          <w:szCs w:val="18"/>
        </w:rPr>
        <w:t>外</w:t>
      </w:r>
      <w:r>
        <w:rPr>
          <w:rFonts w:ascii="宋体" w:hAnsi="宋体" w:cs="宋体" w:eastAsia="宋体" w:hint="default"/>
          <w:b/>
          <w:bCs/>
          <w:spacing w:val="-2"/>
          <w:position w:val="-8"/>
          <w:sz w:val="18"/>
          <w:szCs w:val="18"/>
        </w:rPr>
        <w:t> </w:t>
      </w:r>
      <w:r>
        <w:rPr>
          <w:rFonts w:ascii="宋体" w:hAnsi="宋体" w:cs="宋体" w:eastAsia="宋体" w:hint="default"/>
          <w:b/>
          <w:bCs/>
          <w:position w:val="-8"/>
          <w:sz w:val="18"/>
          <w:szCs w:val="18"/>
        </w:rPr>
        <w:t>币</w:t>
        <w:tab/>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after="0" w:line="298" w:lineRule="exact"/>
        <w:jc w:val="left"/>
        <w:rPr>
          <w:rFonts w:ascii="宋体" w:hAnsi="宋体" w:cs="宋体" w:eastAsia="宋体" w:hint="default"/>
          <w:sz w:val="18"/>
          <w:szCs w:val="18"/>
        </w:rPr>
        <w:sectPr>
          <w:pgSz w:w="11910" w:h="16840"/>
          <w:pgMar w:header="610" w:footer="784" w:top="1080" w:bottom="980" w:left="1280" w:right="1140"/>
        </w:sectPr>
      </w:pPr>
    </w:p>
    <w:p>
      <w:pPr>
        <w:spacing w:line="112" w:lineRule="exact" w:before="0"/>
        <w:ind w:left="2692" w:right="2718" w:firstLine="0"/>
        <w:jc w:val="center"/>
        <w:rPr>
          <w:rFonts w:ascii="宋体" w:hAnsi="宋体" w:cs="宋体" w:eastAsia="宋体" w:hint="default"/>
          <w:sz w:val="18"/>
          <w:szCs w:val="18"/>
        </w:rPr>
      </w:pPr>
      <w:r>
        <w:rPr/>
        <w:pict>
          <v:shape style="position:absolute;margin-left:90.18pt;margin-top:1.917pt;width:73.95pt;height:12.1pt;mso-position-horizontal-relative:page;mso-position-vertical-relative:paragraph;z-index:2968" type="#_x0000_t202" filled="false" stroked="false">
            <v:textbox inset="0,0,0,0">
              <w:txbxContent>
                <w:p>
                  <w:pPr>
                    <w:tabs>
                      <w:tab w:pos="1115" w:val="left" w:leader="none"/>
                    </w:tabs>
                    <w:spacing w:line="24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名称</w:t>
                    <w:tab/>
                  </w:r>
                  <w:r>
                    <w:rPr>
                      <w:rFonts w:ascii="宋体" w:hAnsi="宋体" w:cs="宋体" w:eastAsia="宋体" w:hint="default"/>
                      <w:b/>
                      <w:bCs/>
                      <w:position w:val="-5"/>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折算汇</w:t>
      </w:r>
      <w:r>
        <w:rPr>
          <w:rFonts w:ascii="宋体" w:hAnsi="宋体" w:cs="宋体" w:eastAsia="宋体" w:hint="default"/>
          <w:sz w:val="18"/>
          <w:szCs w:val="18"/>
        </w:rPr>
      </w:r>
    </w:p>
    <w:p>
      <w:pPr>
        <w:tabs>
          <w:tab w:pos="3786" w:val="left" w:leader="none"/>
          <w:tab w:pos="5629" w:val="left" w:leader="none"/>
        </w:tabs>
        <w:spacing w:line="268" w:lineRule="exact" w:before="0"/>
        <w:ind w:left="2891" w:right="-19"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12" w:lineRule="exact" w:before="0"/>
        <w:ind w:left="52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tabs>
          <w:tab w:pos="1599" w:val="left" w:leader="none"/>
        </w:tabs>
        <w:spacing w:line="268" w:lineRule="exact" w:before="0"/>
        <w:ind w:left="704"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600" w:bottom="280" w:left="1280" w:right="1140"/>
          <w:cols w:num="2" w:equalWidth="0">
            <w:col w:w="5993" w:space="184"/>
            <w:col w:w="3313"/>
          </w:cols>
        </w:sect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1190" w:val="left" w:leader="none"/>
          <w:tab w:pos="2756" w:val="left" w:leader="none"/>
          <w:tab w:pos="3524" w:val="left" w:leader="none"/>
          <w:tab w:pos="5180" w:val="left" w:leader="none"/>
          <w:tab w:pos="6746" w:val="left" w:leader="none"/>
          <w:tab w:pos="7694"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美元</w:t>
        <w:tab/>
        <w:t>186,632,764.29</w:t>
        <w:tab/>
        <w:t>6.6227</w:t>
        <w:tab/>
        <w:t>1,236,012,808.06</w:t>
        <w:tab/>
        <w:t>142,073,050.19</w:t>
        <w:tab/>
        <w:t>6.8282</w:t>
        <w:tab/>
        <w:t>970,103,201.31</w:t>
      </w:r>
    </w:p>
    <w:p>
      <w:pPr>
        <w:tabs>
          <w:tab w:pos="1370" w:val="left" w:leader="none"/>
          <w:tab w:pos="2756" w:val="left" w:leader="none"/>
          <w:tab w:pos="3794" w:val="left" w:leader="none"/>
          <w:tab w:pos="5360" w:val="left" w:leader="none"/>
          <w:tab w:pos="6746" w:val="left" w:leader="none"/>
          <w:tab w:pos="7784"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欧元</w:t>
        <w:tab/>
        <w:t>5,048,231.36</w:t>
        <w:tab/>
        <w:t>8.8065</w:t>
        <w:tab/>
        <w:t>44,457,249.47</w:t>
        <w:tab/>
        <w:t>5,523,393.04</w:t>
        <w:tab/>
        <w:t>9.7971</w:t>
        <w:tab/>
        <w:t>54,113,233.95</w:t>
      </w:r>
    </w:p>
    <w:p>
      <w:pPr>
        <w:tabs>
          <w:tab w:pos="1280" w:val="left" w:leader="none"/>
          <w:tab w:pos="2666" w:val="left" w:leader="none"/>
          <w:tab w:pos="3884" w:val="left" w:leader="none"/>
          <w:tab w:pos="5270" w:val="left" w:leader="none"/>
          <w:tab w:pos="6656" w:val="left" w:leader="none"/>
          <w:tab w:pos="7874"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日元</w:t>
        <w:tab/>
        <w:t>31,248,428.00</w:t>
        <w:tab/>
        <w:t>0.08126</w:t>
        <w:tab/>
        <w:t>2,539,247.26</w:t>
        <w:tab/>
        <w:t>19,340,988.00</w:t>
        <w:tab/>
        <w:t>0.07378</w:t>
        <w:tab/>
        <w:t>1,426,978.09</w:t>
      </w:r>
    </w:p>
    <w:p>
      <w:pPr>
        <w:tabs>
          <w:tab w:pos="1190" w:val="left" w:leader="none"/>
          <w:tab w:pos="2756" w:val="left" w:leader="none"/>
          <w:tab w:pos="3704" w:val="left" w:leader="none"/>
          <w:tab w:pos="5270" w:val="left" w:leader="none"/>
          <w:tab w:pos="6746" w:val="left" w:leader="none"/>
          <w:tab w:pos="7784"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港元</w:t>
        <w:tab/>
        <w:t>147,355,151.07</w:t>
        <w:tab/>
        <w:t>0.8509</w:t>
        <w:tab/>
        <w:t>125,384,498.05</w:t>
        <w:tab/>
        <w:t>21,015,955.46</w:t>
        <w:tab/>
        <w:t>0.8805</w:t>
        <w:tab/>
        <w:t>18,504,548.78</w:t>
      </w:r>
    </w:p>
    <w:p>
      <w:pPr>
        <w:spacing w:line="168" w:lineRule="exact" w:before="7"/>
        <w:ind w:left="523" w:right="0" w:firstLine="0"/>
        <w:jc w:val="left"/>
        <w:rPr>
          <w:rFonts w:ascii="宋体" w:hAnsi="宋体" w:cs="宋体" w:eastAsia="宋体" w:hint="default"/>
          <w:sz w:val="18"/>
          <w:szCs w:val="18"/>
        </w:rPr>
      </w:pPr>
      <w:r>
        <w:rPr>
          <w:rFonts w:ascii="宋体" w:hAnsi="宋体" w:cs="宋体" w:eastAsia="宋体" w:hint="default"/>
          <w:sz w:val="18"/>
          <w:szCs w:val="18"/>
        </w:rPr>
        <w:t>挪</w:t>
      </w:r>
      <w:r>
        <w:rPr>
          <w:rFonts w:ascii="宋体" w:hAnsi="宋体" w:cs="宋体" w:eastAsia="宋体" w:hint="default"/>
          <w:spacing w:val="1"/>
          <w:sz w:val="18"/>
          <w:szCs w:val="18"/>
        </w:rPr>
        <w:t> </w:t>
      </w:r>
      <w:r>
        <w:rPr>
          <w:rFonts w:ascii="宋体" w:hAnsi="宋体" w:cs="宋体" w:eastAsia="宋体" w:hint="default"/>
          <w:sz w:val="18"/>
          <w:szCs w:val="18"/>
        </w:rPr>
        <w:t>威</w:t>
      </w:r>
      <w:r>
        <w:rPr>
          <w:rFonts w:ascii="宋体" w:hAnsi="宋体" w:cs="宋体" w:eastAsia="宋体" w:hint="default"/>
          <w:spacing w:val="1"/>
          <w:sz w:val="18"/>
          <w:szCs w:val="18"/>
        </w:rPr>
        <w:t> </w:t>
      </w:r>
      <w:r>
        <w:rPr>
          <w:rFonts w:ascii="宋体" w:hAnsi="宋体" w:cs="宋体" w:eastAsia="宋体" w:hint="default"/>
          <w:sz w:val="18"/>
          <w:szCs w:val="18"/>
        </w:rPr>
      </w:r>
    </w:p>
    <w:p>
      <w:pPr>
        <w:tabs>
          <w:tab w:pos="2090" w:val="left" w:leader="none"/>
          <w:tab w:pos="2666" w:val="left" w:leader="none"/>
          <w:tab w:pos="4604" w:val="left" w:leader="none"/>
          <w:tab w:pos="5540" w:val="left" w:leader="none"/>
          <w:tab w:pos="6746" w:val="left" w:leader="none"/>
          <w:tab w:pos="8054" w:val="left" w:leader="none"/>
        </w:tabs>
        <w:spacing w:line="268" w:lineRule="exact" w:before="0"/>
        <w:ind w:left="523" w:right="0" w:firstLine="0"/>
        <w:jc w:val="left"/>
        <w:rPr>
          <w:rFonts w:ascii="宋体" w:hAnsi="宋体" w:cs="宋体" w:eastAsia="宋体" w:hint="default"/>
          <w:sz w:val="18"/>
          <w:szCs w:val="18"/>
        </w:rPr>
      </w:pPr>
      <w:r>
        <w:rPr>
          <w:rFonts w:ascii="宋体" w:hAnsi="宋体" w:cs="宋体" w:eastAsia="宋体" w:hint="default"/>
          <w:position w:val="-9"/>
          <w:sz w:val="18"/>
          <w:szCs w:val="18"/>
        </w:rPr>
        <w:t>克朗</w:t>
        <w:tab/>
      </w:r>
      <w:r>
        <w:rPr>
          <w:rFonts w:ascii="宋体" w:hAnsi="宋体" w:cs="宋体" w:eastAsia="宋体" w:hint="default"/>
          <w:sz w:val="18"/>
          <w:szCs w:val="18"/>
        </w:rPr>
        <w:t>0.00</w:t>
        <w:tab/>
        <w:t>1.08872</w:t>
        <w:tab/>
        <w:t>0.00</w:t>
        <w:tab/>
        <w:t>326,550.00</w:t>
        <w:tab/>
        <w:t>1.2187</w:t>
        <w:tab/>
        <w:t>397,966.49</w:t>
      </w:r>
    </w:p>
    <w:p>
      <w:pPr>
        <w:tabs>
          <w:tab w:pos="1550" w:val="left" w:leader="none"/>
          <w:tab w:pos="2666" w:val="left" w:leader="none"/>
          <w:tab w:pos="3884" w:val="left" w:leader="none"/>
          <w:tab w:pos="5540" w:val="left" w:leader="none"/>
          <w:tab w:pos="6656" w:val="left" w:leader="none"/>
          <w:tab w:pos="7874" w:val="left" w:leader="none"/>
        </w:tabs>
        <w:spacing w:before="5"/>
        <w:ind w:left="523" w:right="0" w:firstLine="0"/>
        <w:jc w:val="left"/>
        <w:rPr>
          <w:rFonts w:ascii="宋体" w:hAnsi="宋体" w:cs="宋体" w:eastAsia="宋体" w:hint="default"/>
          <w:sz w:val="18"/>
          <w:szCs w:val="18"/>
        </w:rPr>
      </w:pPr>
      <w:r>
        <w:rPr>
          <w:rFonts w:ascii="宋体" w:hAnsi="宋体" w:cs="宋体" w:eastAsia="宋体" w:hint="default"/>
          <w:sz w:val="18"/>
          <w:szCs w:val="18"/>
        </w:rPr>
        <w:t>英镑</w:t>
        <w:tab/>
        <w:t>563,289.60</w:t>
        <w:tab/>
        <w:t>10.2182</w:t>
        <w:tab/>
        <w:t>5,755,805.79</w:t>
        <w:tab/>
        <w:t>902,700.00</w:t>
        <w:tab/>
        <w:t>10.9780</w:t>
        <w:tab/>
        <w:t>9,909,840.60</w:t>
      </w:r>
    </w:p>
    <w:p>
      <w:pPr>
        <w:spacing w:line="168" w:lineRule="exact" w:before="7"/>
        <w:ind w:left="523" w:right="0" w:firstLine="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1"/>
          <w:sz w:val="18"/>
          <w:szCs w:val="18"/>
        </w:rPr>
        <w:t> </w:t>
      </w:r>
      <w:r>
        <w:rPr>
          <w:rFonts w:ascii="宋体" w:hAnsi="宋体" w:cs="宋体" w:eastAsia="宋体" w:hint="default"/>
          <w:sz w:val="18"/>
          <w:szCs w:val="18"/>
        </w:rPr>
        <w:t>加</w:t>
      </w:r>
      <w:r>
        <w:rPr>
          <w:rFonts w:ascii="宋体" w:hAnsi="宋体" w:cs="宋体" w:eastAsia="宋体" w:hint="default"/>
          <w:spacing w:val="1"/>
          <w:sz w:val="18"/>
          <w:szCs w:val="18"/>
        </w:rPr>
        <w:t> </w:t>
      </w:r>
      <w:r>
        <w:rPr>
          <w:rFonts w:ascii="宋体" w:hAnsi="宋体" w:cs="宋体" w:eastAsia="宋体" w:hint="default"/>
          <w:sz w:val="18"/>
          <w:szCs w:val="18"/>
        </w:rPr>
      </w:r>
    </w:p>
    <w:p>
      <w:pPr>
        <w:tabs>
          <w:tab w:pos="1370" w:val="left" w:leader="none"/>
          <w:tab w:pos="2666" w:val="left" w:leader="none"/>
          <w:tab w:pos="3794" w:val="left" w:leader="none"/>
          <w:tab w:pos="5540" w:val="left" w:leader="none"/>
          <w:tab w:pos="6746" w:val="left" w:leader="none"/>
          <w:tab w:pos="8054" w:val="left" w:leader="none"/>
        </w:tabs>
        <w:spacing w:line="268" w:lineRule="exact" w:before="0"/>
        <w:ind w:left="523" w:right="0" w:firstLine="0"/>
        <w:jc w:val="left"/>
        <w:rPr>
          <w:rFonts w:ascii="宋体" w:hAnsi="宋体" w:cs="宋体" w:eastAsia="宋体" w:hint="default"/>
          <w:sz w:val="18"/>
          <w:szCs w:val="18"/>
        </w:rPr>
      </w:pPr>
      <w:r>
        <w:rPr>
          <w:rFonts w:ascii="宋体" w:hAnsi="宋体" w:cs="宋体" w:eastAsia="宋体" w:hint="default"/>
          <w:position w:val="-9"/>
          <w:sz w:val="18"/>
          <w:szCs w:val="18"/>
        </w:rPr>
        <w:t>坡元</w:t>
        <w:tab/>
      </w:r>
      <w:r>
        <w:rPr>
          <w:rFonts w:ascii="宋体" w:hAnsi="宋体" w:cs="宋体" w:eastAsia="宋体" w:hint="default"/>
          <w:sz w:val="18"/>
          <w:szCs w:val="18"/>
        </w:rPr>
        <w:t>7,565,186.00</w:t>
        <w:tab/>
        <w:t>5.05588</w:t>
        <w:tab/>
        <w:t>38,248,672.59</w:t>
        <w:tab/>
        <w:t>114,623.00</w:t>
        <w:tab/>
        <w:t>4.9283</w:t>
        <w:tab/>
        <w:t>564,896.53</w:t>
      </w: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3512" w:val="left" w:leader="none"/>
          <w:tab w:pos="7502"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1,452,398,281.22</w:t>
        <w:tab/>
      </w:r>
      <w:r>
        <w:rPr>
          <w:rFonts w:ascii="宋体" w:hAnsi="宋体" w:cs="宋体" w:eastAsia="宋体" w:hint="default"/>
          <w:b/>
          <w:bCs/>
          <w:sz w:val="18"/>
          <w:szCs w:val="18"/>
        </w:rPr>
        <w:t>1,055,020,665.75</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682;height:2" coordorigin="15,15" coordsize="682,2">
              <v:shape style="position:absolute;left:15;top:15;width:682;height:2" coordorigin="15,15" coordsize="682,0" path="m15,15l697,15e" filled="false" stroked="true" strokeweight="1.5pt" strokecolor="#000000">
                <v:path arrowok="t"/>
              </v:shape>
            </v:group>
            <v:group style="position:absolute;left:682;top:15;width:1491;height:2" coordorigin="682,15" coordsize="1491,2">
              <v:shape style="position:absolute;left:682;top:15;width:1491;height:2" coordorigin="682,15" coordsize="1491,0" path="m682,15l2173,15e" filled="false" stroked="true" strokeweight="1.5pt" strokecolor="#000000">
                <v:path arrowok="t"/>
              </v:shape>
            </v:group>
            <v:group style="position:absolute;left:2158;top:15;width:861;height:2" coordorigin="2158,15" coordsize="861,2">
              <v:shape style="position:absolute;left:2158;top:15;width:861;height:2" coordorigin="2158,15" coordsize="861,0" path="m2158,15l3019,15e" filled="false" stroked="true" strokeweight="1.5pt" strokecolor="#000000">
                <v:path arrowok="t"/>
              </v:shape>
            </v:group>
            <v:group style="position:absolute;left:3004;top:15;width:1683;height:2" coordorigin="3004,15" coordsize="1683,2">
              <v:shape style="position:absolute;left:3004;top:15;width:1683;height:2" coordorigin="3004,15" coordsize="1683,0" path="m3004,15l4687,15e" filled="false" stroked="true" strokeweight="1.5pt" strokecolor="#000000">
                <v:path arrowok="t"/>
              </v:shape>
            </v:group>
            <v:group style="position:absolute;left:4672;top:15;width:1491;height:2" coordorigin="4672,15" coordsize="1491,2">
              <v:shape style="position:absolute;left:4672;top:15;width:1491;height:2" coordorigin="4672,15" coordsize="1491,0" path="m4672,15l6163,15e" filled="false" stroked="true" strokeweight="1.5pt" strokecolor="#000000">
                <v:path arrowok="t"/>
              </v:shape>
            </v:group>
            <v:group style="position:absolute;left:6148;top:15;width:861;height:2" coordorigin="6148,15" coordsize="861,2">
              <v:shape style="position:absolute;left:6148;top:15;width:861;height:2" coordorigin="6148,15" coordsize="861,0" path="m6148,15l7009,15e" filled="false" stroked="true" strokeweight="1.5pt" strokecolor="#000000">
                <v:path arrowok="t"/>
              </v:shape>
            </v:group>
            <v:group style="position:absolute;left:6994;top:15;width:1683;height:2" coordorigin="6994,15" coordsize="1683,2">
              <v:shape style="position:absolute;left:6994;top:15;width:1683;height:2" coordorigin="6994,15" coordsize="1683,0" path="m6994,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tabs>
          <w:tab w:pos="1045" w:val="left" w:leader="none"/>
        </w:tabs>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预付款项</w:t>
      </w:r>
    </w:p>
    <w:p>
      <w:pPr>
        <w:spacing w:line="240" w:lineRule="auto" w:before="3"/>
        <w:rPr>
          <w:rFonts w:ascii="宋体" w:hAnsi="宋体" w:cs="宋体" w:eastAsia="宋体" w:hint="default"/>
          <w:sz w:val="11"/>
          <w:szCs w:val="11"/>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8633;height:2" coordorigin="15,15" coordsize="8633,2">
              <v:shape style="position:absolute;left:15;top:15;width:8633;height:2" coordorigin="15,15" coordsize="8633,0" path="m15,15l8648,15e" filled="false" stroked="true" strokeweight="1.5pt" strokecolor="#000000">
                <v:path arrowok="t"/>
              </v:shape>
            </v:group>
          </v:group>
        </w:pict>
      </w:r>
      <w:r>
        <w:rPr>
          <w:rFonts w:ascii="宋体" w:hAnsi="宋体" w:cs="宋体" w:eastAsia="宋体" w:hint="default"/>
          <w:position w:val="0"/>
          <w:sz w:val="3"/>
          <w:szCs w:val="3"/>
        </w:rPr>
      </w:r>
    </w:p>
    <w:p>
      <w:pPr>
        <w:tabs>
          <w:tab w:pos="7070" w:val="left" w:leader="none"/>
        </w:tabs>
        <w:spacing w:line="226" w:lineRule="exact" w:before="0"/>
        <w:ind w:left="3748" w:right="0" w:firstLine="0"/>
        <w:jc w:val="left"/>
        <w:rPr>
          <w:rFonts w:ascii="宋体" w:hAnsi="宋体" w:cs="宋体" w:eastAsia="宋体" w:hint="default"/>
          <w:sz w:val="18"/>
          <w:szCs w:val="18"/>
        </w:rPr>
      </w:pPr>
      <w:r>
        <w:rPr/>
        <w:pict>
          <v:shape style="position:absolute;margin-left:84.779999pt;margin-top:8.885325pt;width:432pt;height:93.9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8"/>
                    <w:gridCol w:w="2550"/>
                    <w:gridCol w:w="1355"/>
                    <w:gridCol w:w="1945"/>
                    <w:gridCol w:w="1262"/>
                  </w:tblGrid>
                  <w:tr>
                    <w:trPr>
                      <w:trHeight w:val="403" w:hRule="exact"/>
                    </w:trPr>
                    <w:tc>
                      <w:tcPr>
                        <w:tcW w:w="1528"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3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27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3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282" w:hRule="exact"/>
                    </w:trPr>
                    <w:tc>
                      <w:tcPr>
                        <w:tcW w:w="1528"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550" w:type="dxa"/>
                        <w:tcBorders>
                          <w:top w:val="single" w:sz="4" w:space="0" w:color="000000"/>
                          <w:left w:val="nil" w:sz="6" w:space="0" w:color="auto"/>
                          <w:bottom w:val="nil" w:sz="6" w:space="0" w:color="auto"/>
                          <w:right w:val="nil" w:sz="6" w:space="0" w:color="auto"/>
                        </w:tcBorders>
                      </w:tcPr>
                      <w:p>
                        <w:pPr>
                          <w:pStyle w:val="TableParagraph"/>
                          <w:spacing w:line="226" w:lineRule="exact"/>
                          <w:ind w:right="349"/>
                          <w:jc w:val="right"/>
                          <w:rPr>
                            <w:rFonts w:ascii="宋体" w:hAnsi="宋体" w:cs="宋体" w:eastAsia="宋体" w:hint="default"/>
                            <w:sz w:val="18"/>
                            <w:szCs w:val="18"/>
                          </w:rPr>
                        </w:pPr>
                        <w:r>
                          <w:rPr>
                            <w:rFonts w:ascii="宋体"/>
                            <w:sz w:val="18"/>
                          </w:rPr>
                          <w:t>1,087,461,268.00</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26" w:lineRule="exact"/>
                          <w:ind w:right="152"/>
                          <w:jc w:val="right"/>
                          <w:rPr>
                            <w:rFonts w:ascii="宋体" w:hAnsi="宋体" w:cs="宋体" w:eastAsia="宋体" w:hint="default"/>
                            <w:sz w:val="18"/>
                            <w:szCs w:val="18"/>
                          </w:rPr>
                        </w:pPr>
                        <w:r>
                          <w:rPr>
                            <w:rFonts w:ascii="宋体"/>
                            <w:sz w:val="18"/>
                          </w:rPr>
                          <w:t>67.37%</w:t>
                        </w:r>
                      </w:p>
                    </w:tc>
                    <w:tc>
                      <w:tcPr>
                        <w:tcW w:w="1945" w:type="dxa"/>
                        <w:tcBorders>
                          <w:top w:val="single" w:sz="4" w:space="0" w:color="000000"/>
                          <w:left w:val="nil" w:sz="6" w:space="0" w:color="auto"/>
                          <w:bottom w:val="nil" w:sz="6" w:space="0" w:color="auto"/>
                          <w:right w:val="nil" w:sz="6" w:space="0" w:color="auto"/>
                        </w:tcBorders>
                      </w:tcPr>
                      <w:p>
                        <w:pPr>
                          <w:pStyle w:val="TableParagraph"/>
                          <w:spacing w:line="226" w:lineRule="exact"/>
                          <w:ind w:right="335"/>
                          <w:jc w:val="right"/>
                          <w:rPr>
                            <w:rFonts w:ascii="宋体" w:hAnsi="宋体" w:cs="宋体" w:eastAsia="宋体" w:hint="default"/>
                            <w:sz w:val="18"/>
                            <w:szCs w:val="18"/>
                          </w:rPr>
                        </w:pPr>
                        <w:r>
                          <w:rPr>
                            <w:rFonts w:ascii="宋体"/>
                            <w:sz w:val="18"/>
                          </w:rPr>
                          <w:t>1,102,408,111.42</w:t>
                        </w:r>
                      </w:p>
                    </w:tc>
                    <w:tc>
                      <w:tcPr>
                        <w:tcW w:w="1262" w:type="dxa"/>
                        <w:tcBorders>
                          <w:top w:val="single" w:sz="4" w:space="0" w:color="000000"/>
                          <w:left w:val="nil" w:sz="6" w:space="0" w:color="auto"/>
                          <w:bottom w:val="nil" w:sz="6" w:space="0" w:color="auto"/>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sz w:val="18"/>
                          </w:rPr>
                          <w:t>73.71%</w:t>
                        </w:r>
                      </w:p>
                    </w:tc>
                  </w:tr>
                  <w:tr>
                    <w:trPr>
                      <w:trHeight w:val="283"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0" w:type="dxa"/>
                        <w:tcBorders>
                          <w:top w:val="nil" w:sz="6" w:space="0" w:color="auto"/>
                          <w:left w:val="nil" w:sz="6" w:space="0" w:color="auto"/>
                          <w:bottom w:val="nil" w:sz="6" w:space="0" w:color="auto"/>
                          <w:right w:val="nil" w:sz="6" w:space="0" w:color="auto"/>
                        </w:tcBorders>
                      </w:tcPr>
                      <w:p>
                        <w:pPr>
                          <w:pStyle w:val="TableParagraph"/>
                          <w:spacing w:line="232" w:lineRule="exact"/>
                          <w:ind w:right="349"/>
                          <w:jc w:val="right"/>
                          <w:rPr>
                            <w:rFonts w:ascii="宋体" w:hAnsi="宋体" w:cs="宋体" w:eastAsia="宋体" w:hint="default"/>
                            <w:sz w:val="18"/>
                            <w:szCs w:val="18"/>
                          </w:rPr>
                        </w:pPr>
                        <w:r>
                          <w:rPr>
                            <w:rFonts w:ascii="宋体"/>
                            <w:sz w:val="18"/>
                          </w:rPr>
                          <w:t>348,107,848.99</w:t>
                        </w:r>
                      </w:p>
                    </w:tc>
                    <w:tc>
                      <w:tcPr>
                        <w:tcW w:w="1355"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21.56%</w:t>
                        </w:r>
                      </w:p>
                    </w:tc>
                    <w:tc>
                      <w:tcPr>
                        <w:tcW w:w="1945" w:type="dxa"/>
                        <w:tcBorders>
                          <w:top w:val="nil" w:sz="6" w:space="0" w:color="auto"/>
                          <w:left w:val="nil" w:sz="6" w:space="0" w:color="auto"/>
                          <w:bottom w:val="nil" w:sz="6" w:space="0" w:color="auto"/>
                          <w:right w:val="nil" w:sz="6" w:space="0" w:color="auto"/>
                        </w:tcBorders>
                      </w:tcPr>
                      <w:p>
                        <w:pPr>
                          <w:pStyle w:val="TableParagraph"/>
                          <w:spacing w:line="232" w:lineRule="exact"/>
                          <w:ind w:right="335"/>
                          <w:jc w:val="right"/>
                          <w:rPr>
                            <w:rFonts w:ascii="宋体" w:hAnsi="宋体" w:cs="宋体" w:eastAsia="宋体" w:hint="default"/>
                            <w:sz w:val="18"/>
                            <w:szCs w:val="18"/>
                          </w:rPr>
                        </w:pPr>
                        <w:r>
                          <w:rPr>
                            <w:rFonts w:ascii="宋体"/>
                            <w:sz w:val="18"/>
                          </w:rPr>
                          <w:t>161,742,514.72</w:t>
                        </w:r>
                      </w:p>
                    </w:tc>
                    <w:tc>
                      <w:tcPr>
                        <w:tcW w:w="126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10.81%</w:t>
                        </w:r>
                      </w:p>
                    </w:tc>
                  </w:tr>
                  <w:tr>
                    <w:trPr>
                      <w:trHeight w:val="283"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0" w:type="dxa"/>
                        <w:tcBorders>
                          <w:top w:val="nil" w:sz="6" w:space="0" w:color="auto"/>
                          <w:left w:val="nil" w:sz="6" w:space="0" w:color="auto"/>
                          <w:bottom w:val="nil" w:sz="6" w:space="0" w:color="auto"/>
                          <w:right w:val="nil" w:sz="6" w:space="0" w:color="auto"/>
                        </w:tcBorders>
                      </w:tcPr>
                      <w:p>
                        <w:pPr>
                          <w:pStyle w:val="TableParagraph"/>
                          <w:spacing w:line="232" w:lineRule="exact"/>
                          <w:ind w:right="349"/>
                          <w:jc w:val="right"/>
                          <w:rPr>
                            <w:rFonts w:ascii="宋体" w:hAnsi="宋体" w:cs="宋体" w:eastAsia="宋体" w:hint="default"/>
                            <w:sz w:val="18"/>
                            <w:szCs w:val="18"/>
                          </w:rPr>
                        </w:pPr>
                        <w:r>
                          <w:rPr>
                            <w:rFonts w:ascii="宋体"/>
                            <w:sz w:val="18"/>
                          </w:rPr>
                          <w:t>64,405,431.62</w:t>
                        </w:r>
                      </w:p>
                    </w:tc>
                    <w:tc>
                      <w:tcPr>
                        <w:tcW w:w="1355"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3.99%</w:t>
                        </w:r>
                      </w:p>
                    </w:tc>
                    <w:tc>
                      <w:tcPr>
                        <w:tcW w:w="1945" w:type="dxa"/>
                        <w:tcBorders>
                          <w:top w:val="nil" w:sz="6" w:space="0" w:color="auto"/>
                          <w:left w:val="nil" w:sz="6" w:space="0" w:color="auto"/>
                          <w:bottom w:val="nil" w:sz="6" w:space="0" w:color="auto"/>
                          <w:right w:val="nil" w:sz="6" w:space="0" w:color="auto"/>
                        </w:tcBorders>
                      </w:tcPr>
                      <w:p>
                        <w:pPr>
                          <w:pStyle w:val="TableParagraph"/>
                          <w:spacing w:line="232" w:lineRule="exact"/>
                          <w:ind w:right="335"/>
                          <w:jc w:val="right"/>
                          <w:rPr>
                            <w:rFonts w:ascii="宋体" w:hAnsi="宋体" w:cs="宋体" w:eastAsia="宋体" w:hint="default"/>
                            <w:sz w:val="18"/>
                            <w:szCs w:val="18"/>
                          </w:rPr>
                        </w:pPr>
                        <w:r>
                          <w:rPr>
                            <w:rFonts w:ascii="宋体"/>
                            <w:sz w:val="18"/>
                          </w:rPr>
                          <w:t>135,476,581.32</w:t>
                        </w:r>
                      </w:p>
                    </w:tc>
                    <w:tc>
                      <w:tcPr>
                        <w:tcW w:w="126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9.06%</w:t>
                        </w:r>
                      </w:p>
                    </w:tc>
                  </w:tr>
                  <w:tr>
                    <w:trPr>
                      <w:trHeight w:val="294" w:hRule="exact"/>
                    </w:trPr>
                    <w:tc>
                      <w:tcPr>
                        <w:tcW w:w="152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550" w:type="dxa"/>
                        <w:tcBorders>
                          <w:top w:val="nil" w:sz="6" w:space="0" w:color="auto"/>
                          <w:left w:val="nil" w:sz="6" w:space="0" w:color="auto"/>
                          <w:bottom w:val="single" w:sz="4" w:space="0" w:color="000000"/>
                          <w:right w:val="nil" w:sz="6" w:space="0" w:color="auto"/>
                        </w:tcBorders>
                      </w:tcPr>
                      <w:p>
                        <w:pPr>
                          <w:pStyle w:val="TableParagraph"/>
                          <w:spacing w:line="232" w:lineRule="exact"/>
                          <w:ind w:right="349"/>
                          <w:jc w:val="right"/>
                          <w:rPr>
                            <w:rFonts w:ascii="宋体" w:hAnsi="宋体" w:cs="宋体" w:eastAsia="宋体" w:hint="default"/>
                            <w:sz w:val="18"/>
                            <w:szCs w:val="18"/>
                          </w:rPr>
                        </w:pPr>
                        <w:r>
                          <w:rPr>
                            <w:rFonts w:ascii="宋体"/>
                            <w:sz w:val="18"/>
                          </w:rPr>
                          <w:t>114,248,536.26</w:t>
                        </w:r>
                      </w:p>
                    </w:tc>
                    <w:tc>
                      <w:tcPr>
                        <w:tcW w:w="1355" w:type="dxa"/>
                        <w:tcBorders>
                          <w:top w:val="nil" w:sz="6" w:space="0" w:color="auto"/>
                          <w:left w:val="nil" w:sz="6" w:space="0" w:color="auto"/>
                          <w:bottom w:val="single" w:sz="4" w:space="0" w:color="000000"/>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7.08%</w:t>
                        </w:r>
                      </w:p>
                    </w:tc>
                    <w:tc>
                      <w:tcPr>
                        <w:tcW w:w="1945" w:type="dxa"/>
                        <w:tcBorders>
                          <w:top w:val="nil" w:sz="6" w:space="0" w:color="auto"/>
                          <w:left w:val="nil" w:sz="6" w:space="0" w:color="auto"/>
                          <w:bottom w:val="single" w:sz="4" w:space="0" w:color="000000"/>
                          <w:right w:val="nil" w:sz="6" w:space="0" w:color="auto"/>
                        </w:tcBorders>
                      </w:tcPr>
                      <w:p>
                        <w:pPr>
                          <w:pStyle w:val="TableParagraph"/>
                          <w:spacing w:line="232" w:lineRule="exact"/>
                          <w:ind w:right="335"/>
                          <w:jc w:val="right"/>
                          <w:rPr>
                            <w:rFonts w:ascii="宋体" w:hAnsi="宋体" w:cs="宋体" w:eastAsia="宋体" w:hint="default"/>
                            <w:sz w:val="18"/>
                            <w:szCs w:val="18"/>
                          </w:rPr>
                        </w:pPr>
                        <w:r>
                          <w:rPr>
                            <w:rFonts w:ascii="宋体"/>
                            <w:sz w:val="18"/>
                          </w:rPr>
                          <w:t>96,069,712.42</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6.42%</w:t>
                        </w:r>
                      </w:p>
                    </w:tc>
                  </w:tr>
                  <w:tr>
                    <w:trPr>
                      <w:trHeight w:val="303" w:hRule="exact"/>
                    </w:trPr>
                    <w:tc>
                      <w:tcPr>
                        <w:tcW w:w="152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49"/>
                          <w:jc w:val="right"/>
                          <w:rPr>
                            <w:rFonts w:ascii="宋体" w:hAnsi="宋体" w:cs="宋体" w:eastAsia="宋体" w:hint="default"/>
                            <w:sz w:val="18"/>
                            <w:szCs w:val="18"/>
                          </w:rPr>
                        </w:pPr>
                        <w:r>
                          <w:rPr>
                            <w:rFonts w:ascii="宋体"/>
                            <w:b/>
                            <w:w w:val="95"/>
                            <w:sz w:val="18"/>
                          </w:rPr>
                          <w:t>1,614,223,084.87</w:t>
                        </w:r>
                        <w:r>
                          <w:rPr>
                            <w:rFonts w:ascii="宋体"/>
                            <w:sz w:val="18"/>
                          </w:rPr>
                        </w:r>
                      </w:p>
                    </w:tc>
                    <w:tc>
                      <w:tcPr>
                        <w:tcW w:w="135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2"/>
                          <w:jc w:val="right"/>
                          <w:rPr>
                            <w:rFonts w:ascii="宋体" w:hAnsi="宋体" w:cs="宋体" w:eastAsia="宋体" w:hint="default"/>
                            <w:sz w:val="18"/>
                            <w:szCs w:val="18"/>
                          </w:rPr>
                        </w:pPr>
                        <w:r>
                          <w:rPr>
                            <w:rFonts w:ascii="宋体"/>
                            <w:b/>
                            <w:w w:val="95"/>
                            <w:sz w:val="18"/>
                          </w:rPr>
                          <w:t>100.00%</w:t>
                        </w:r>
                        <w:r>
                          <w:rPr>
                            <w:rFonts w:ascii="宋体"/>
                            <w:sz w:val="18"/>
                          </w:rPr>
                        </w:r>
                      </w:p>
                    </w:tc>
                    <w:tc>
                      <w:tcPr>
                        <w:tcW w:w="194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36"/>
                          <w:jc w:val="right"/>
                          <w:rPr>
                            <w:rFonts w:ascii="宋体" w:hAnsi="宋体" w:cs="宋体" w:eastAsia="宋体" w:hint="default"/>
                            <w:sz w:val="18"/>
                            <w:szCs w:val="18"/>
                          </w:rPr>
                        </w:pPr>
                        <w:r>
                          <w:rPr>
                            <w:rFonts w:ascii="宋体"/>
                            <w:b/>
                            <w:w w:val="95"/>
                            <w:sz w:val="18"/>
                          </w:rPr>
                          <w:t>1,495,696,919.88</w:t>
                        </w:r>
                        <w:r>
                          <w:rPr>
                            <w:rFonts w:ascii="宋体"/>
                            <w:sz w:val="18"/>
                          </w:rPr>
                        </w:r>
                      </w:p>
                    </w:tc>
                    <w:tc>
                      <w:tcPr>
                        <w:tcW w:w="126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100.00%</w:t>
                        </w:r>
                        <w:r>
                          <w:rPr>
                            <w:rFonts w:ascii="宋体"/>
                            <w:sz w:val="18"/>
                          </w:rPr>
                        </w:r>
                      </w:p>
                    </w:tc>
                  </w:tr>
                </w:tbl>
                <w:p>
                  <w:pPr/>
                </w:p>
              </w:txbxContent>
            </v:textbox>
            <w10:wrap type="none"/>
          </v:shape>
        </w:pict>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2406" w:right="0" w:firstLine="0"/>
        <w:rPr>
          <w:rFonts w:ascii="宋体" w:hAnsi="宋体" w:cs="宋体" w:eastAsia="宋体" w:hint="default"/>
          <w:sz w:val="2"/>
          <w:szCs w:val="2"/>
        </w:rPr>
      </w:pPr>
      <w:r>
        <w:rPr>
          <w:rFonts w:ascii="宋体" w:hAnsi="宋体" w:cs="宋体" w:eastAsia="宋体" w:hint="default"/>
          <w:sz w:val="2"/>
          <w:szCs w:val="2"/>
        </w:rPr>
        <w:pict>
          <v:group style="width:332.7pt;height:.5pt;mso-position-horizontal-relative:char;mso-position-vertical-relative:line" coordorigin="0,0" coordsize="6654,10">
            <v:group style="position:absolute;left:5;top:5;width:6645;height:2" coordorigin="5,5" coordsize="6645,2">
              <v:shape style="position:absolute;left:5;top:5;width:6645;height:2" coordorigin="5,5" coordsize="6645,0" path="m5,5l664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line="357" w:lineRule="auto" w:before="31"/>
        <w:ind w:left="591" w:right="569"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8"/>
          <w:sz w:val="22"/>
          <w:szCs w:val="22"/>
        </w:rPr>
        <w:t> </w:t>
      </w:r>
      <w:r>
        <w:rPr>
          <w:rFonts w:ascii="宋体" w:hAnsi="宋体" w:cs="宋体" w:eastAsia="宋体" w:hint="default"/>
          <w:sz w:val="22"/>
          <w:szCs w:val="22"/>
        </w:rPr>
        <w:t>348,677,239.30</w:t>
      </w:r>
      <w:r>
        <w:rPr>
          <w:rFonts w:ascii="宋体" w:hAnsi="宋体" w:cs="宋体" w:eastAsia="宋体" w:hint="default"/>
          <w:spacing w:val="-58"/>
          <w:sz w:val="22"/>
          <w:szCs w:val="22"/>
        </w:rPr>
        <w:t> </w:t>
      </w:r>
      <w:r>
        <w:rPr>
          <w:rFonts w:ascii="宋体" w:hAnsi="宋体" w:cs="宋体" w:eastAsia="宋体" w:hint="default"/>
          <w:sz w:val="22"/>
          <w:szCs w:val="22"/>
        </w:rPr>
        <w:t>元，占年末预付账款的</w:t>
      </w:r>
      <w:r>
        <w:rPr>
          <w:rFonts w:ascii="宋体" w:hAnsi="宋体" w:cs="宋体" w:eastAsia="宋体" w:hint="default"/>
          <w:spacing w:val="-58"/>
          <w:sz w:val="22"/>
          <w:szCs w:val="22"/>
        </w:rPr>
        <w:t> </w:t>
      </w:r>
      <w:r>
        <w:rPr>
          <w:rFonts w:ascii="宋体" w:hAnsi="宋体" w:cs="宋体" w:eastAsia="宋体" w:hint="default"/>
          <w:sz w:val="22"/>
          <w:szCs w:val="22"/>
        </w:rPr>
        <w:t>21.60%。</w:t>
      </w:r>
      <w:r>
        <w:rPr>
          <w:rFonts w:ascii="宋体" w:hAnsi="宋体" w:cs="宋体" w:eastAsia="宋体" w:hint="default"/>
          <w:w w:val="99"/>
          <w:sz w:val="22"/>
          <w:szCs w:val="22"/>
        </w:rPr>
        <w:t> </w:t>
      </w: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年末预付账款中不含持本公司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p>
    <w:p>
      <w:pPr>
        <w:spacing w:line="259" w:lineRule="auto" w:before="0"/>
        <w:ind w:left="138" w:right="0" w:firstLine="45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
          <w:sz w:val="22"/>
          <w:szCs w:val="22"/>
        </w:rPr>
        <w:t> </w:t>
      </w:r>
      <w:r>
        <w:rPr>
          <w:rFonts w:ascii="宋体" w:hAnsi="宋体" w:cs="宋体" w:eastAsia="宋体" w:hint="default"/>
          <w:sz w:val="22"/>
          <w:szCs w:val="22"/>
        </w:rPr>
        <w:t>期末余额中预付关联方款项合计</w:t>
      </w:r>
      <w:r>
        <w:rPr>
          <w:rFonts w:ascii="宋体" w:hAnsi="宋体" w:cs="宋体" w:eastAsia="宋体" w:hint="default"/>
          <w:spacing w:val="-61"/>
          <w:sz w:val="22"/>
          <w:szCs w:val="22"/>
        </w:rPr>
        <w:t> </w:t>
      </w:r>
      <w:r>
        <w:rPr>
          <w:rFonts w:ascii="宋体" w:hAnsi="宋体" w:cs="宋体" w:eastAsia="宋体" w:hint="default"/>
          <w:sz w:val="22"/>
          <w:szCs w:val="22"/>
        </w:rPr>
        <w:t>39,327,357.51</w:t>
      </w:r>
      <w:r>
        <w:rPr>
          <w:rFonts w:ascii="宋体" w:hAnsi="宋体" w:cs="宋体" w:eastAsia="宋体" w:hint="default"/>
          <w:spacing w:val="-61"/>
          <w:sz w:val="22"/>
          <w:szCs w:val="22"/>
        </w:rPr>
        <w:t> </w:t>
      </w:r>
      <w:r>
        <w:rPr>
          <w:rFonts w:ascii="宋体" w:hAnsi="宋体" w:cs="宋体" w:eastAsia="宋体" w:hint="default"/>
          <w:sz w:val="22"/>
          <w:szCs w:val="22"/>
        </w:rPr>
        <w:t>元，占预付款项总额的</w:t>
      </w:r>
      <w:r>
        <w:rPr>
          <w:rFonts w:ascii="宋体" w:hAnsi="宋体" w:cs="宋体" w:eastAsia="宋体" w:hint="default"/>
          <w:spacing w:val="-61"/>
          <w:sz w:val="22"/>
          <w:szCs w:val="22"/>
        </w:rPr>
        <w:t> </w:t>
      </w:r>
      <w:r>
        <w:rPr>
          <w:rFonts w:ascii="宋体" w:hAnsi="宋体" w:cs="宋体" w:eastAsia="宋体" w:hint="default"/>
          <w:sz w:val="22"/>
          <w:szCs w:val="22"/>
        </w:rPr>
        <w:t>2.24%，详见附</w:t>
      </w:r>
      <w:r>
        <w:rPr>
          <w:rFonts w:ascii="宋体" w:hAnsi="宋体" w:cs="宋体" w:eastAsia="宋体" w:hint="default"/>
          <w:w w:val="99"/>
          <w:sz w:val="22"/>
          <w:szCs w:val="22"/>
        </w:rPr>
        <w:t> </w:t>
      </w:r>
      <w:r>
        <w:rPr>
          <w:rFonts w:ascii="宋体" w:hAnsi="宋体" w:cs="宋体" w:eastAsia="宋体" w:hint="default"/>
          <w:spacing w:val="-32"/>
          <w:w w:val="99"/>
          <w:sz w:val="22"/>
          <w:szCs w:val="22"/>
        </w:rPr>
        <w:t>注十、（三）。</w:t>
      </w:r>
      <w:r>
        <w:rPr>
          <w:rFonts w:ascii="宋体" w:hAnsi="宋体" w:cs="宋体" w:eastAsia="宋体" w:hint="default"/>
          <w:spacing w:val="-32"/>
          <w:sz w:val="22"/>
          <w:szCs w:val="22"/>
        </w:rPr>
      </w:r>
    </w:p>
    <w:p>
      <w:pPr>
        <w:spacing w:before="124"/>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预付款项中外币余额</w:t>
      </w:r>
    </w:p>
    <w:p>
      <w:pPr>
        <w:spacing w:line="240" w:lineRule="auto" w:before="6"/>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6836" w:val="left" w:leader="none"/>
        </w:tabs>
        <w:spacing w:line="203" w:lineRule="exact" w:before="0"/>
        <w:ind w:left="3114"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95" w:lineRule="exact" w:before="0"/>
        <w:ind w:left="524" w:right="0" w:firstLine="0"/>
        <w:jc w:val="left"/>
        <w:rPr>
          <w:rFonts w:ascii="宋体" w:hAnsi="宋体" w:cs="宋体" w:eastAsia="宋体" w:hint="default"/>
          <w:sz w:val="18"/>
          <w:szCs w:val="18"/>
        </w:rPr>
      </w:pPr>
      <w:r>
        <w:rPr/>
        <w:pict>
          <v:group style="position:absolute;margin-left:144.539993pt;margin-top:4.263404pt;width:372.2pt;height:.1pt;mso-position-horizontal-relative:page;mso-position-vertical-relative:paragraph;z-index:2944" coordorigin="2891,85" coordsize="7444,2">
            <v:shape style="position:absolute;left:2891;top:85;width:7444;height:2" coordorigin="2891,85" coordsize="7444,0" path="m2891,85l10334,85e" filled="false" stroked="true" strokeweight=".48pt" strokecolor="#000000">
              <v:path arrowok="t"/>
            </v:shape>
            <w10:wrap type="none"/>
          </v:group>
        </w:pict>
      </w:r>
      <w:r>
        <w:rPr>
          <w:rFonts w:ascii="宋体" w:hAnsi="宋体" w:cs="宋体" w:eastAsia="宋体" w:hint="default"/>
          <w:b/>
          <w:bCs/>
          <w:sz w:val="18"/>
          <w:szCs w:val="18"/>
        </w:rPr>
        <w:t>外币名称</w:t>
      </w:r>
      <w:r>
        <w:rPr>
          <w:rFonts w:ascii="宋体" w:hAnsi="宋体" w:cs="宋体" w:eastAsia="宋体" w:hint="default"/>
          <w:sz w:val="18"/>
          <w:szCs w:val="18"/>
        </w:rPr>
      </w:r>
    </w:p>
    <w:p>
      <w:pPr>
        <w:spacing w:after="0" w:line="95" w:lineRule="exact"/>
        <w:jc w:val="left"/>
        <w:rPr>
          <w:rFonts w:ascii="宋体" w:hAnsi="宋体" w:cs="宋体" w:eastAsia="宋体" w:hint="default"/>
          <w:sz w:val="18"/>
          <w:szCs w:val="18"/>
        </w:rPr>
        <w:sectPr>
          <w:type w:val="continuous"/>
          <w:pgSz w:w="11910" w:h="16840"/>
          <w:pgMar w:top="1600" w:bottom="280" w:left="1280" w:right="1140"/>
        </w:sectPr>
      </w:pPr>
    </w:p>
    <w:p>
      <w:pPr>
        <w:tabs>
          <w:tab w:pos="3155" w:val="left" w:leader="none"/>
        </w:tabs>
        <w:spacing w:line="280" w:lineRule="exact" w:before="0"/>
        <w:ind w:left="2129" w:right="-19" w:firstLine="0"/>
        <w:jc w:val="left"/>
        <w:rPr>
          <w:rFonts w:ascii="宋体" w:hAnsi="宋体" w:cs="宋体" w:eastAsia="宋体" w:hint="default"/>
          <w:sz w:val="18"/>
          <w:szCs w:val="18"/>
        </w:rPr>
      </w:pPr>
      <w:r>
        <w:rPr/>
        <w:pict>
          <v:shape style="position:absolute;margin-left:84.839996pt;margin-top:10.017pt;width:431.9pt;height:214.1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9"/>
                    <w:gridCol w:w="1519"/>
                    <w:gridCol w:w="846"/>
                    <w:gridCol w:w="755"/>
                    <w:gridCol w:w="731"/>
                    <w:gridCol w:w="804"/>
                    <w:gridCol w:w="586"/>
                    <w:gridCol w:w="849"/>
                    <w:gridCol w:w="1479"/>
                  </w:tblGrid>
                  <w:tr>
                    <w:trPr>
                      <w:trHeight w:val="200" w:hRule="exact"/>
                    </w:trPr>
                    <w:tc>
                      <w:tcPr>
                        <w:tcW w:w="2587" w:type="dxa"/>
                        <w:gridSpan w:val="2"/>
                        <w:tcBorders>
                          <w:top w:val="nil" w:sz="6" w:space="0" w:color="auto"/>
                          <w:left w:val="nil" w:sz="6" w:space="0" w:color="auto"/>
                          <w:bottom w:val="single" w:sz="4" w:space="0" w:color="000000"/>
                          <w:right w:val="nil" w:sz="6" w:space="0" w:color="auto"/>
                        </w:tcBorders>
                      </w:tcPr>
                      <w:p>
                        <w:pPr/>
                      </w:p>
                    </w:tc>
                    <w:tc>
                      <w:tcPr>
                        <w:tcW w:w="846"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486" w:type="dxa"/>
                        <w:gridSpan w:val="2"/>
                        <w:tcBorders>
                          <w:top w:val="nil" w:sz="6" w:space="0" w:color="auto"/>
                          <w:left w:val="nil" w:sz="6" w:space="0" w:color="auto"/>
                          <w:bottom w:val="single" w:sz="4" w:space="0" w:color="000000"/>
                          <w:right w:val="nil" w:sz="6" w:space="0" w:color="auto"/>
                        </w:tcBorders>
                      </w:tcPr>
                      <w:p>
                        <w:pPr/>
                      </w:p>
                    </w:tc>
                    <w:tc>
                      <w:tcPr>
                        <w:tcW w:w="1390" w:type="dxa"/>
                        <w:gridSpan w:val="2"/>
                        <w:tcBorders>
                          <w:top w:val="nil" w:sz="6" w:space="0" w:color="auto"/>
                          <w:left w:val="nil" w:sz="6" w:space="0" w:color="auto"/>
                          <w:bottom w:val="single" w:sz="4" w:space="0" w:color="000000"/>
                          <w:right w:val="nil" w:sz="6" w:space="0" w:color="auto"/>
                        </w:tcBorders>
                      </w:tcPr>
                      <w:p>
                        <w:pPr/>
                      </w:p>
                    </w:tc>
                    <w:tc>
                      <w:tcPr>
                        <w:tcW w:w="849"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479" w:type="dxa"/>
                        <w:tcBorders>
                          <w:top w:val="nil" w:sz="6" w:space="0" w:color="auto"/>
                          <w:left w:val="nil" w:sz="6" w:space="0" w:color="auto"/>
                          <w:bottom w:val="single" w:sz="4" w:space="0" w:color="000000"/>
                          <w:right w:val="nil" w:sz="6" w:space="0" w:color="auto"/>
                        </w:tcBorders>
                      </w:tcPr>
                      <w:p>
                        <w:pPr/>
                      </w:p>
                    </w:tc>
                  </w:tr>
                  <w:tr>
                    <w:trPr>
                      <w:trHeight w:val="282" w:hRule="exact"/>
                    </w:trPr>
                    <w:tc>
                      <w:tcPr>
                        <w:tcW w:w="106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19,120,454.55</w:t>
                        </w:r>
                      </w:p>
                    </w:tc>
                    <w:tc>
                      <w:tcPr>
                        <w:tcW w:w="846" w:type="dxa"/>
                        <w:tcBorders>
                          <w:top w:val="single" w:sz="4" w:space="0" w:color="000000"/>
                          <w:left w:val="nil" w:sz="6" w:space="0" w:color="auto"/>
                          <w:bottom w:val="nil" w:sz="6" w:space="0" w:color="auto"/>
                          <w:right w:val="nil" w:sz="6" w:space="0" w:color="auto"/>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6.6227</w:t>
                        </w:r>
                      </w:p>
                    </w:tc>
                    <w:tc>
                      <w:tcPr>
                        <w:tcW w:w="1486"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17" w:right="0"/>
                          <w:jc w:val="left"/>
                          <w:rPr>
                            <w:rFonts w:ascii="宋体" w:hAnsi="宋体" w:cs="宋体" w:eastAsia="宋体" w:hint="default"/>
                            <w:sz w:val="18"/>
                            <w:szCs w:val="18"/>
                          </w:rPr>
                        </w:pPr>
                        <w:r>
                          <w:rPr>
                            <w:rFonts w:ascii="宋体"/>
                            <w:sz w:val="18"/>
                          </w:rPr>
                          <w:t>126,629,034.35</w:t>
                        </w:r>
                      </w:p>
                    </w:tc>
                    <w:tc>
                      <w:tcPr>
                        <w:tcW w:w="1390"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sz w:val="18"/>
                          </w:rPr>
                          <w:t>30,290,759.35</w:t>
                        </w:r>
                      </w:p>
                    </w:tc>
                    <w:tc>
                      <w:tcPr>
                        <w:tcW w:w="849"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z w:val="18"/>
                          </w:rPr>
                          <w:t>6.8282</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206,831,362.99</w:t>
                        </w:r>
                      </w:p>
                    </w:tc>
                  </w:tr>
                  <w:tr>
                    <w:trPr>
                      <w:trHeight w:val="283"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981,060.00</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left="90" w:right="0"/>
                          <w:jc w:val="center"/>
                          <w:rPr>
                            <w:rFonts w:ascii="宋体" w:hAnsi="宋体" w:cs="宋体" w:eastAsia="宋体" w:hint="default"/>
                            <w:sz w:val="18"/>
                            <w:szCs w:val="18"/>
                          </w:rPr>
                        </w:pPr>
                        <w:r>
                          <w:rPr>
                            <w:rFonts w:ascii="宋体"/>
                            <w:sz w:val="18"/>
                          </w:rPr>
                          <w:t>8.8065</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297" w:right="0"/>
                          <w:jc w:val="left"/>
                          <w:rPr>
                            <w:rFonts w:ascii="宋体" w:hAnsi="宋体" w:cs="宋体" w:eastAsia="宋体" w:hint="default"/>
                            <w:sz w:val="18"/>
                            <w:szCs w:val="18"/>
                          </w:rPr>
                        </w:pPr>
                        <w:r>
                          <w:rPr>
                            <w:rFonts w:ascii="宋体"/>
                            <w:sz w:val="18"/>
                          </w:rPr>
                          <w:t>8,639,704.89</w:t>
                        </w:r>
                      </w:p>
                    </w:tc>
                    <w:tc>
                      <w:tcPr>
                        <w:tcW w:w="139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98" w:right="0"/>
                          <w:jc w:val="left"/>
                          <w:rPr>
                            <w:rFonts w:ascii="宋体" w:hAnsi="宋体" w:cs="宋体" w:eastAsia="宋体" w:hint="default"/>
                            <w:sz w:val="18"/>
                            <w:szCs w:val="18"/>
                          </w:rPr>
                        </w:pPr>
                        <w:r>
                          <w:rPr>
                            <w:rFonts w:ascii="宋体"/>
                            <w:sz w:val="18"/>
                          </w:rPr>
                          <w:t>2,381,320.00</w:t>
                        </w:r>
                      </w:p>
                    </w:tc>
                    <w:tc>
                      <w:tcPr>
                        <w:tcW w:w="84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9.7971</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23,330,030.17</w:t>
                        </w:r>
                      </w:p>
                    </w:tc>
                  </w:tr>
                  <w:tr>
                    <w:trPr>
                      <w:trHeight w:val="283"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364,611.00</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0.08126</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67" w:right="0"/>
                          <w:jc w:val="left"/>
                          <w:rPr>
                            <w:rFonts w:ascii="宋体" w:hAnsi="宋体" w:cs="宋体" w:eastAsia="宋体" w:hint="default"/>
                            <w:sz w:val="18"/>
                            <w:szCs w:val="18"/>
                          </w:rPr>
                        </w:pPr>
                        <w:r>
                          <w:rPr>
                            <w:rFonts w:ascii="宋体"/>
                            <w:sz w:val="18"/>
                          </w:rPr>
                          <w:t>29,628.29</w:t>
                        </w:r>
                      </w:p>
                    </w:tc>
                    <w:tc>
                      <w:tcPr>
                        <w:tcW w:w="139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918" w:right="0"/>
                          <w:jc w:val="left"/>
                          <w:rPr>
                            <w:rFonts w:ascii="宋体" w:hAnsi="宋体" w:cs="宋体" w:eastAsia="宋体" w:hint="default"/>
                            <w:sz w:val="18"/>
                            <w:szCs w:val="18"/>
                          </w:rPr>
                        </w:pPr>
                        <w:r>
                          <w:rPr>
                            <w:rFonts w:ascii="宋体"/>
                            <w:sz w:val="18"/>
                          </w:rPr>
                          <w:t>0.00</w:t>
                        </w:r>
                      </w:p>
                    </w:tc>
                    <w:tc>
                      <w:tcPr>
                        <w:tcW w:w="84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0.07378</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19"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3,240.00</w:t>
                        </w:r>
                      </w:p>
                    </w:tc>
                    <w:tc>
                      <w:tcPr>
                        <w:tcW w:w="846" w:type="dxa"/>
                        <w:tcBorders>
                          <w:top w:val="nil" w:sz="6" w:space="0" w:color="auto"/>
                          <w:left w:val="nil" w:sz="6" w:space="0" w:color="auto"/>
                          <w:bottom w:val="nil" w:sz="6" w:space="0" w:color="auto"/>
                          <w:right w:val="nil" w:sz="6" w:space="0" w:color="auto"/>
                        </w:tcBorders>
                      </w:tcPr>
                      <w:p>
                        <w:pPr>
                          <w:pStyle w:val="TableParagraph"/>
                          <w:spacing w:line="231" w:lineRule="exact"/>
                          <w:ind w:left="90" w:right="0"/>
                          <w:jc w:val="center"/>
                          <w:rPr>
                            <w:rFonts w:ascii="宋体" w:hAnsi="宋体" w:cs="宋体" w:eastAsia="宋体" w:hint="default"/>
                            <w:sz w:val="18"/>
                            <w:szCs w:val="18"/>
                          </w:rPr>
                        </w:pPr>
                        <w:r>
                          <w:rPr>
                            <w:rFonts w:ascii="宋体"/>
                            <w:sz w:val="18"/>
                          </w:rPr>
                          <w:t>0.8509</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657" w:right="0"/>
                          <w:jc w:val="left"/>
                          <w:rPr>
                            <w:rFonts w:ascii="宋体" w:hAnsi="宋体" w:cs="宋体" w:eastAsia="宋体" w:hint="default"/>
                            <w:sz w:val="18"/>
                            <w:szCs w:val="18"/>
                          </w:rPr>
                        </w:pPr>
                        <w:r>
                          <w:rPr>
                            <w:rFonts w:ascii="宋体"/>
                            <w:sz w:val="18"/>
                          </w:rPr>
                          <w:t>2,756.92</w:t>
                        </w:r>
                      </w:p>
                    </w:tc>
                    <w:tc>
                      <w:tcPr>
                        <w:tcW w:w="1390"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558" w:right="0"/>
                          <w:jc w:val="left"/>
                          <w:rPr>
                            <w:rFonts w:ascii="宋体" w:hAnsi="宋体" w:cs="宋体" w:eastAsia="宋体" w:hint="default"/>
                            <w:sz w:val="18"/>
                            <w:szCs w:val="18"/>
                          </w:rPr>
                        </w:pPr>
                        <w:r>
                          <w:rPr>
                            <w:rFonts w:ascii="宋体"/>
                            <w:sz w:val="18"/>
                          </w:rPr>
                          <w:t>3,240.00</w:t>
                        </w:r>
                      </w:p>
                    </w:tc>
                    <w:tc>
                      <w:tcPr>
                        <w:tcW w:w="849"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0.8805</w:t>
                        </w:r>
                      </w:p>
                    </w:tc>
                    <w:tc>
                      <w:tcPr>
                        <w:tcW w:w="1479"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2,852.82</w:t>
                        </w:r>
                      </w:p>
                    </w:tc>
                  </w:tr>
                  <w:tr>
                    <w:trPr>
                      <w:trHeight w:val="283"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790,179.00</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1.54016</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297" w:right="0"/>
                          <w:jc w:val="left"/>
                          <w:rPr>
                            <w:rFonts w:ascii="宋体" w:hAnsi="宋体" w:cs="宋体" w:eastAsia="宋体" w:hint="default"/>
                            <w:sz w:val="18"/>
                            <w:szCs w:val="18"/>
                          </w:rPr>
                        </w:pPr>
                        <w:r>
                          <w:rPr>
                            <w:rFonts w:ascii="宋体"/>
                            <w:sz w:val="18"/>
                          </w:rPr>
                          <w:t>1,217,002.09</w:t>
                        </w:r>
                      </w:p>
                    </w:tc>
                    <w:tc>
                      <w:tcPr>
                        <w:tcW w:w="139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918" w:right="0"/>
                          <w:jc w:val="left"/>
                          <w:rPr>
                            <w:rFonts w:ascii="宋体" w:hAnsi="宋体" w:cs="宋体" w:eastAsia="宋体" w:hint="default"/>
                            <w:sz w:val="18"/>
                            <w:szCs w:val="18"/>
                          </w:rPr>
                        </w:pPr>
                        <w:r>
                          <w:rPr>
                            <w:rFonts w:ascii="宋体"/>
                            <w:sz w:val="18"/>
                          </w:rPr>
                          <w:t>0.00</w:t>
                        </w:r>
                      </w:p>
                    </w:tc>
                    <w:tc>
                      <w:tcPr>
                        <w:tcW w:w="84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3.17591</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138,840.00</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10.2182</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297" w:right="0"/>
                          <w:jc w:val="left"/>
                          <w:rPr>
                            <w:rFonts w:ascii="宋体" w:hAnsi="宋体" w:cs="宋体" w:eastAsia="宋体" w:hint="default"/>
                            <w:sz w:val="18"/>
                            <w:szCs w:val="18"/>
                          </w:rPr>
                        </w:pPr>
                        <w:r>
                          <w:rPr>
                            <w:rFonts w:ascii="宋体"/>
                            <w:sz w:val="18"/>
                          </w:rPr>
                          <w:t>1,418,694.89</w:t>
                        </w:r>
                      </w:p>
                    </w:tc>
                    <w:tc>
                      <w:tcPr>
                        <w:tcW w:w="139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58" w:right="0"/>
                          <w:jc w:val="left"/>
                          <w:rPr>
                            <w:rFonts w:ascii="宋体" w:hAnsi="宋体" w:cs="宋体" w:eastAsia="宋体" w:hint="default"/>
                            <w:sz w:val="18"/>
                            <w:szCs w:val="18"/>
                          </w:rPr>
                        </w:pPr>
                        <w:r>
                          <w:rPr>
                            <w:rFonts w:ascii="宋体"/>
                            <w:sz w:val="18"/>
                          </w:rPr>
                          <w:t>4,226.00</w:t>
                        </w:r>
                      </w:p>
                    </w:tc>
                    <w:tc>
                      <w:tcPr>
                        <w:tcW w:w="84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10.9780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46,393.03</w:t>
                        </w:r>
                      </w:p>
                    </w:tc>
                  </w:tr>
                  <w:tr>
                    <w:trPr>
                      <w:trHeight w:val="294" w:hRule="exact"/>
                    </w:trPr>
                    <w:tc>
                      <w:tcPr>
                        <w:tcW w:w="106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19,936.55</w:t>
                        </w:r>
                      </w:p>
                    </w:tc>
                    <w:tc>
                      <w:tcPr>
                        <w:tcW w:w="846"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5.05588</w:t>
                        </w:r>
                      </w:p>
                    </w:tc>
                    <w:tc>
                      <w:tcPr>
                        <w:tcW w:w="1486"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477" w:right="0"/>
                          <w:jc w:val="left"/>
                          <w:rPr>
                            <w:rFonts w:ascii="宋体" w:hAnsi="宋体" w:cs="宋体" w:eastAsia="宋体" w:hint="default"/>
                            <w:sz w:val="18"/>
                            <w:szCs w:val="18"/>
                          </w:rPr>
                        </w:pPr>
                        <w:r>
                          <w:rPr>
                            <w:rFonts w:ascii="宋体"/>
                            <w:sz w:val="18"/>
                          </w:rPr>
                          <w:t>100,796.80</w:t>
                        </w:r>
                      </w:p>
                    </w:tc>
                    <w:tc>
                      <w:tcPr>
                        <w:tcW w:w="1390"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558" w:right="0"/>
                          <w:jc w:val="left"/>
                          <w:rPr>
                            <w:rFonts w:ascii="宋体" w:hAnsi="宋体" w:cs="宋体" w:eastAsia="宋体" w:hint="default"/>
                            <w:sz w:val="18"/>
                            <w:szCs w:val="18"/>
                          </w:rPr>
                        </w:pPr>
                        <w:r>
                          <w:rPr>
                            <w:rFonts w:ascii="宋体"/>
                            <w:sz w:val="18"/>
                          </w:rPr>
                          <w:t>6,797.00</w:t>
                        </w:r>
                      </w:p>
                    </w:tc>
                    <w:tc>
                      <w:tcPr>
                        <w:tcW w:w="849"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4.9283</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33,497.66</w:t>
                        </w:r>
                      </w:p>
                    </w:tc>
                  </w:tr>
                  <w:tr>
                    <w:trPr>
                      <w:trHeight w:val="303" w:hRule="exact"/>
                    </w:trPr>
                    <w:tc>
                      <w:tcPr>
                        <w:tcW w:w="106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9" w:type="dxa"/>
                        <w:tcBorders>
                          <w:top w:val="single" w:sz="4" w:space="0" w:color="000000"/>
                          <w:left w:val="nil" w:sz="6" w:space="0" w:color="auto"/>
                          <w:bottom w:val="single" w:sz="12" w:space="0" w:color="000000"/>
                          <w:right w:val="nil" w:sz="6" w:space="0" w:color="auto"/>
                        </w:tcBorders>
                      </w:tcPr>
                      <w:p>
                        <w:pPr/>
                      </w:p>
                    </w:tc>
                    <w:tc>
                      <w:tcPr>
                        <w:tcW w:w="846" w:type="dxa"/>
                        <w:tcBorders>
                          <w:top w:val="single" w:sz="4" w:space="0" w:color="000000"/>
                          <w:left w:val="nil" w:sz="6" w:space="0" w:color="auto"/>
                          <w:bottom w:val="single" w:sz="12" w:space="0" w:color="000000"/>
                          <w:right w:val="nil" w:sz="6" w:space="0" w:color="auto"/>
                        </w:tcBorders>
                      </w:tcPr>
                      <w:p>
                        <w:pPr/>
                      </w:p>
                    </w:tc>
                    <w:tc>
                      <w:tcPr>
                        <w:tcW w:w="1486"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b/>
                            <w:sz w:val="18"/>
                          </w:rPr>
                          <w:t>138,037,618.23</w:t>
                        </w:r>
                        <w:r>
                          <w:rPr>
                            <w:rFonts w:ascii="宋体"/>
                            <w:sz w:val="18"/>
                          </w:rPr>
                        </w:r>
                      </w:p>
                    </w:tc>
                    <w:tc>
                      <w:tcPr>
                        <w:tcW w:w="1390" w:type="dxa"/>
                        <w:gridSpan w:val="2"/>
                        <w:tcBorders>
                          <w:top w:val="single" w:sz="4" w:space="0" w:color="000000"/>
                          <w:left w:val="nil" w:sz="6" w:space="0" w:color="auto"/>
                          <w:bottom w:val="single" w:sz="12" w:space="0" w:color="000000"/>
                          <w:right w:val="nil" w:sz="6" w:space="0" w:color="auto"/>
                        </w:tcBorders>
                      </w:tcPr>
                      <w:p>
                        <w:pPr/>
                      </w:p>
                    </w:tc>
                    <w:tc>
                      <w:tcPr>
                        <w:tcW w:w="849" w:type="dxa"/>
                        <w:tcBorders>
                          <w:top w:val="single" w:sz="4" w:space="0" w:color="000000"/>
                          <w:left w:val="nil" w:sz="6" w:space="0" w:color="auto"/>
                          <w:bottom w:val="single" w:sz="12" w:space="0" w:color="000000"/>
                          <w:right w:val="nil" w:sz="6" w:space="0" w:color="auto"/>
                        </w:tcBorders>
                      </w:tcPr>
                      <w:p>
                        <w:pP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230,244,136.67</w:t>
                        </w:r>
                        <w:r>
                          <w:rPr>
                            <w:rFonts w:ascii="宋体"/>
                            <w:sz w:val="18"/>
                          </w:rPr>
                        </w:r>
                      </w:p>
                    </w:tc>
                  </w:tr>
                  <w:tr>
                    <w:trPr>
                      <w:trHeight w:val="576" w:hRule="exact"/>
                    </w:trPr>
                    <w:tc>
                      <w:tcPr>
                        <w:tcW w:w="2587" w:type="dxa"/>
                        <w:gridSpan w:val="2"/>
                        <w:tcBorders>
                          <w:top w:val="nil" w:sz="6" w:space="0" w:color="auto"/>
                          <w:left w:val="nil" w:sz="6" w:space="0" w:color="auto"/>
                          <w:bottom w:val="single" w:sz="12" w:space="0" w:color="000000"/>
                          <w:right w:val="nil" w:sz="6" w:space="0" w:color="auto"/>
                        </w:tcBorders>
                      </w:tcPr>
                      <w:p>
                        <w:pPr>
                          <w:pStyle w:val="TableParagraph"/>
                          <w:tabs>
                            <w:tab w:pos="628" w:val="left" w:leader="none"/>
                          </w:tabs>
                          <w:spacing w:line="240" w:lineRule="auto" w:before="109"/>
                          <w:ind w:left="17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6.</w:t>
                          <w:tab/>
                        </w:r>
                        <w:r>
                          <w:rPr>
                            <w:rFonts w:ascii="宋体" w:hAnsi="宋体" w:cs="宋体" w:eastAsia="宋体" w:hint="default"/>
                            <w:sz w:val="22"/>
                            <w:szCs w:val="22"/>
                          </w:rPr>
                          <w:t>应收利息</w:t>
                        </w:r>
                      </w:p>
                    </w:tc>
                    <w:tc>
                      <w:tcPr>
                        <w:tcW w:w="1601" w:type="dxa"/>
                        <w:gridSpan w:val="2"/>
                        <w:tcBorders>
                          <w:top w:val="nil" w:sz="6" w:space="0" w:color="auto"/>
                          <w:left w:val="nil" w:sz="6" w:space="0" w:color="auto"/>
                          <w:bottom w:val="single" w:sz="12" w:space="0" w:color="000000"/>
                          <w:right w:val="nil" w:sz="6" w:space="0" w:color="auto"/>
                        </w:tcBorders>
                      </w:tcPr>
                      <w:p>
                        <w:pPr/>
                      </w:p>
                    </w:tc>
                    <w:tc>
                      <w:tcPr>
                        <w:tcW w:w="1535" w:type="dxa"/>
                        <w:gridSpan w:val="2"/>
                        <w:tcBorders>
                          <w:top w:val="nil" w:sz="6" w:space="0" w:color="auto"/>
                          <w:left w:val="nil" w:sz="6" w:space="0" w:color="auto"/>
                          <w:bottom w:val="single" w:sz="12" w:space="0" w:color="000000"/>
                          <w:right w:val="nil" w:sz="6" w:space="0" w:color="auto"/>
                        </w:tcBorders>
                      </w:tcPr>
                      <w:p>
                        <w:pPr/>
                      </w:p>
                    </w:tc>
                    <w:tc>
                      <w:tcPr>
                        <w:tcW w:w="1436" w:type="dxa"/>
                        <w:gridSpan w:val="2"/>
                        <w:tcBorders>
                          <w:top w:val="nil" w:sz="6" w:space="0" w:color="auto"/>
                          <w:left w:val="nil" w:sz="6" w:space="0" w:color="auto"/>
                          <w:bottom w:val="single" w:sz="12" w:space="0" w:color="000000"/>
                          <w:right w:val="nil" w:sz="6" w:space="0" w:color="auto"/>
                        </w:tcBorders>
                      </w:tcPr>
                      <w:p>
                        <w:pPr/>
                      </w:p>
                    </w:tc>
                    <w:tc>
                      <w:tcPr>
                        <w:tcW w:w="1479"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2587"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1"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42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35"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36"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25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5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2" w:hRule="exact"/>
                    </w:trPr>
                    <w:tc>
                      <w:tcPr>
                        <w:tcW w:w="2587"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中国银行定期存款利息</w:t>
                        </w:r>
                      </w:p>
                    </w:tc>
                    <w:tc>
                      <w:tcPr>
                        <w:tcW w:w="1601"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444" w:right="0"/>
                          <w:jc w:val="left"/>
                          <w:rPr>
                            <w:rFonts w:ascii="宋体" w:hAnsi="宋体" w:cs="宋体" w:eastAsia="宋体" w:hint="default"/>
                            <w:sz w:val="18"/>
                            <w:szCs w:val="18"/>
                          </w:rPr>
                        </w:pPr>
                        <w:r>
                          <w:rPr>
                            <w:rFonts w:ascii="宋体"/>
                            <w:sz w:val="18"/>
                          </w:rPr>
                          <w:t>565,665.00</w:t>
                        </w:r>
                      </w:p>
                    </w:tc>
                    <w:tc>
                      <w:tcPr>
                        <w:tcW w:w="1535"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378" w:right="0"/>
                          <w:jc w:val="left"/>
                          <w:rPr>
                            <w:rFonts w:ascii="宋体" w:hAnsi="宋体" w:cs="宋体" w:eastAsia="宋体" w:hint="default"/>
                            <w:sz w:val="18"/>
                            <w:szCs w:val="18"/>
                          </w:rPr>
                        </w:pPr>
                        <w:r>
                          <w:rPr>
                            <w:rFonts w:ascii="宋体"/>
                            <w:sz w:val="18"/>
                          </w:rPr>
                          <w:t>432,083.46</w:t>
                        </w:r>
                      </w:p>
                    </w:tc>
                    <w:tc>
                      <w:tcPr>
                        <w:tcW w:w="1436"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378" w:right="0"/>
                          <w:jc w:val="left"/>
                          <w:rPr>
                            <w:rFonts w:ascii="宋体" w:hAnsi="宋体" w:cs="宋体" w:eastAsia="宋体" w:hint="default"/>
                            <w:sz w:val="18"/>
                            <w:szCs w:val="18"/>
                          </w:rPr>
                        </w:pPr>
                        <w:r>
                          <w:rPr>
                            <w:rFonts w:ascii="宋体"/>
                            <w:sz w:val="18"/>
                          </w:rPr>
                          <w:t>636,572.46</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361,176.00</w:t>
                        </w:r>
                      </w:p>
                    </w:tc>
                  </w:tr>
                  <w:tr>
                    <w:trPr>
                      <w:trHeight w:val="294" w:hRule="exact"/>
                    </w:trPr>
                    <w:tc>
                      <w:tcPr>
                        <w:tcW w:w="2587"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1"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435" w:right="0"/>
                          <w:jc w:val="left"/>
                          <w:rPr>
                            <w:rFonts w:ascii="宋体" w:hAnsi="宋体" w:cs="宋体" w:eastAsia="宋体" w:hint="default"/>
                            <w:sz w:val="18"/>
                            <w:szCs w:val="18"/>
                          </w:rPr>
                        </w:pPr>
                        <w:r>
                          <w:rPr>
                            <w:rFonts w:ascii="宋体"/>
                            <w:b/>
                            <w:sz w:val="18"/>
                          </w:rPr>
                          <w:t>565,665.00</w:t>
                        </w:r>
                        <w:r>
                          <w:rPr>
                            <w:rFonts w:ascii="宋体"/>
                            <w:sz w:val="18"/>
                          </w:rPr>
                        </w:r>
                      </w:p>
                    </w:tc>
                    <w:tc>
                      <w:tcPr>
                        <w:tcW w:w="1535"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369" w:right="0"/>
                          <w:jc w:val="left"/>
                          <w:rPr>
                            <w:rFonts w:ascii="宋体" w:hAnsi="宋体" w:cs="宋体" w:eastAsia="宋体" w:hint="default"/>
                            <w:sz w:val="18"/>
                            <w:szCs w:val="18"/>
                          </w:rPr>
                        </w:pPr>
                        <w:r>
                          <w:rPr>
                            <w:rFonts w:ascii="宋体"/>
                            <w:b/>
                            <w:sz w:val="18"/>
                          </w:rPr>
                          <w:t>432,083.46</w:t>
                        </w:r>
                        <w:r>
                          <w:rPr>
                            <w:rFonts w:ascii="宋体"/>
                            <w:sz w:val="18"/>
                          </w:rPr>
                        </w:r>
                      </w:p>
                    </w:tc>
                    <w:tc>
                      <w:tcPr>
                        <w:tcW w:w="1436"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369" w:right="0"/>
                          <w:jc w:val="left"/>
                          <w:rPr>
                            <w:rFonts w:ascii="宋体" w:hAnsi="宋体" w:cs="宋体" w:eastAsia="宋体" w:hint="default"/>
                            <w:sz w:val="18"/>
                            <w:szCs w:val="18"/>
                          </w:rPr>
                        </w:pPr>
                        <w:r>
                          <w:rPr>
                            <w:rFonts w:ascii="宋体"/>
                            <w:b/>
                            <w:sz w:val="18"/>
                          </w:rPr>
                          <w:t>636,572.46</w:t>
                        </w:r>
                        <w:r>
                          <w:rPr>
                            <w:rFonts w:ascii="宋体"/>
                            <w:sz w:val="18"/>
                          </w:rPr>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361,176.00</w:t>
                        </w:r>
                        <w:r>
                          <w:rPr>
                            <w:rFonts w:ascii="宋体"/>
                            <w:sz w:val="18"/>
                          </w:rPr>
                        </w:r>
                      </w:p>
                    </w:tc>
                  </w:tr>
                  <w:tr>
                    <w:trPr>
                      <w:trHeight w:val="303" w:hRule="exact"/>
                    </w:trPr>
                    <w:tc>
                      <w:tcPr>
                        <w:tcW w:w="2587"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其中：一年以上应收未收利息</w:t>
                        </w:r>
                      </w:p>
                    </w:tc>
                    <w:tc>
                      <w:tcPr>
                        <w:tcW w:w="1601"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984" w:right="0"/>
                          <w:jc w:val="left"/>
                          <w:rPr>
                            <w:rFonts w:ascii="宋体" w:hAnsi="宋体" w:cs="宋体" w:eastAsia="宋体" w:hint="default"/>
                            <w:sz w:val="18"/>
                            <w:szCs w:val="18"/>
                          </w:rPr>
                        </w:pPr>
                        <w:r>
                          <w:rPr>
                            <w:rFonts w:ascii="宋体"/>
                            <w:sz w:val="18"/>
                          </w:rPr>
                          <w:t>0.00</w:t>
                        </w:r>
                      </w:p>
                    </w:tc>
                    <w:tc>
                      <w:tcPr>
                        <w:tcW w:w="1535"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918" w:right="0"/>
                          <w:jc w:val="left"/>
                          <w:rPr>
                            <w:rFonts w:ascii="宋体" w:hAnsi="宋体" w:cs="宋体" w:eastAsia="宋体" w:hint="default"/>
                            <w:sz w:val="18"/>
                            <w:szCs w:val="18"/>
                          </w:rPr>
                        </w:pPr>
                        <w:r>
                          <w:rPr>
                            <w:rFonts w:ascii="宋体"/>
                            <w:sz w:val="18"/>
                          </w:rPr>
                          <w:t>0.00</w:t>
                        </w:r>
                      </w:p>
                    </w:tc>
                    <w:tc>
                      <w:tcPr>
                        <w:tcW w:w="1436"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918" w:right="0"/>
                          <w:jc w:val="left"/>
                          <w:rPr>
                            <w:rFonts w:ascii="宋体" w:hAnsi="宋体" w:cs="宋体" w:eastAsia="宋体" w:hint="default"/>
                            <w:sz w:val="18"/>
                            <w:szCs w:val="18"/>
                          </w:rPr>
                        </w:pPr>
                        <w:r>
                          <w:rPr>
                            <w:rFonts w:ascii="宋体"/>
                            <w:sz w:val="18"/>
                          </w:rPr>
                          <w:t>0.00</w:t>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0.00</w:t>
                        </w:r>
                      </w:p>
                    </w:tc>
                  </w:tr>
                </w:tbl>
                <w:p>
                  <w:pPr/>
                </w:p>
              </w:txbxContent>
            </v:textbox>
            <w10:wrap type="none"/>
          </v:shape>
        </w:pict>
      </w:r>
      <w:r>
        <w:rPr>
          <w:rFonts w:ascii="宋体" w:hAnsi="宋体" w:cs="宋体" w:eastAsia="宋体" w:hint="default"/>
          <w:b/>
          <w:bCs/>
          <w:w w:val="95"/>
          <w:position w:val="-9"/>
          <w:sz w:val="18"/>
          <w:szCs w:val="18"/>
        </w:rPr>
        <w:t>原币</w:t>
        <w:tab/>
      </w:r>
      <w:r>
        <w:rPr>
          <w:rFonts w:ascii="宋体" w:hAnsi="宋体" w:cs="宋体" w:eastAsia="宋体" w:hint="default"/>
          <w:b/>
          <w:bCs/>
          <w:sz w:val="18"/>
          <w:szCs w:val="18"/>
        </w:rPr>
        <w:t>折算汇</w:t>
      </w:r>
      <w:r>
        <w:rPr>
          <w:rFonts w:ascii="宋体" w:hAnsi="宋体" w:cs="宋体" w:eastAsia="宋体" w:hint="default"/>
          <w:sz w:val="18"/>
          <w:szCs w:val="18"/>
        </w:rPr>
      </w:r>
    </w:p>
    <w:p>
      <w:pPr>
        <w:tabs>
          <w:tab w:pos="2109" w:val="left" w:leader="none"/>
        </w:tabs>
        <w:spacing w:before="44"/>
        <w:ind w:left="401" w:right="-19"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80" w:lineRule="exact" w:before="0"/>
        <w:ind w:left="627"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spacing w:before="44"/>
        <w:ind w:left="40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40"/>
          <w:cols w:num="4" w:equalWidth="0">
            <w:col w:w="3699" w:space="40"/>
            <w:col w:w="2472" w:space="40"/>
            <w:col w:w="1171" w:space="40"/>
            <w:col w:w="2028"/>
          </w:cols>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tabs>
          <w:tab w:pos="1445" w:val="left" w:leader="none"/>
        </w:tabs>
        <w:spacing w:before="31"/>
        <w:ind w:left="991" w:right="69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7.</w:t>
        <w:tab/>
      </w:r>
      <w:r>
        <w:rPr>
          <w:rFonts w:ascii="宋体" w:hAnsi="宋体" w:cs="宋体" w:eastAsia="宋体" w:hint="default"/>
          <w:sz w:val="22"/>
          <w:szCs w:val="22"/>
        </w:rPr>
        <w:t>应收股利</w:t>
      </w:r>
    </w:p>
    <w:p>
      <w:pPr>
        <w:spacing w:line="240" w:lineRule="auto" w:before="2"/>
        <w:rPr>
          <w:rFonts w:ascii="宋体" w:hAnsi="宋体" w:cs="宋体" w:eastAsia="宋体" w:hint="default"/>
          <w:sz w:val="11"/>
          <w:szCs w:val="11"/>
        </w:rPr>
      </w:pPr>
    </w:p>
    <w:p>
      <w:pPr>
        <w:spacing w:line="30" w:lineRule="exact"/>
        <w:ind w:left="8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3973" w:val="left" w:leader="none"/>
          <w:tab w:pos="4053" w:val="left" w:leader="none"/>
          <w:tab w:pos="5424" w:val="left" w:leader="none"/>
          <w:tab w:pos="5943" w:val="left" w:leader="none"/>
          <w:tab w:pos="6949" w:val="left" w:leader="none"/>
          <w:tab w:pos="7025" w:val="left" w:leader="none"/>
          <w:tab w:pos="8476" w:val="left" w:leader="none"/>
          <w:tab w:pos="8994" w:val="left" w:leader="none"/>
        </w:tabs>
        <w:spacing w:line="297" w:lineRule="auto" w:before="0"/>
        <w:ind w:left="923" w:right="907" w:firstLine="0"/>
        <w:jc w:val="left"/>
        <w:rPr>
          <w:rFonts w:ascii="宋体" w:hAnsi="宋体" w:cs="宋体" w:eastAsia="宋体" w:hint="default"/>
          <w:sz w:val="18"/>
          <w:szCs w:val="18"/>
        </w:rPr>
      </w:pPr>
      <w:r>
        <w:rPr/>
        <w:pict>
          <v:group style="position:absolute;margin-left:84.779999pt;margin-top:14.892021pt;width:432pt;height:.1pt;mso-position-horizontal-relative:page;mso-position-vertical-relative:paragraph;z-index:-1047856" coordorigin="1696,298" coordsize="8640,2">
            <v:shape style="position:absolute;left:1696;top:298;width:8640;height:2" coordorigin="1696,298" coordsize="8640,0" path="m1696,298l10336,298e" filled="false" stroked="true" strokeweight=".48pt" strokecolor="#000000">
              <v:path arrowok="t"/>
            </v:shape>
            <w10:wrap type="none"/>
          </v:group>
        </w:pict>
      </w:r>
      <w:r>
        <w:rPr>
          <w:rFonts w:ascii="宋体" w:hAnsi="宋体" w:cs="宋体" w:eastAsia="宋体" w:hint="default"/>
          <w:b/>
          <w:bCs/>
          <w:w w:val="95"/>
          <w:sz w:val="18"/>
          <w:szCs w:val="18"/>
        </w:rPr>
        <w:t>项目</w:t>
        <w:tab/>
        <w:tab/>
        <w:t>年初金额</w:t>
        <w:tab/>
        <w:t>本年增加</w:t>
        <w:tab/>
        <w:t>本年减少</w:t>
        <w:tab/>
      </w:r>
      <w:r>
        <w:rPr>
          <w:rFonts w:ascii="宋体" w:hAnsi="宋体" w:cs="宋体" w:eastAsia="宋体" w:hint="default"/>
          <w:b/>
          <w:bCs/>
          <w:sz w:val="18"/>
          <w:szCs w:val="18"/>
        </w:rPr>
        <w:t>年末金额</w:t>
      </w:r>
      <w:r>
        <w:rPr>
          <w:rFonts w:ascii="宋体" w:hAnsi="宋体" w:cs="宋体" w:eastAsia="宋体" w:hint="default"/>
          <w:b/>
          <w:bCs/>
          <w:w w:val="99"/>
          <w:sz w:val="18"/>
          <w:szCs w:val="18"/>
        </w:rPr>
        <w:t> </w:t>
      </w:r>
      <w:r>
        <w:rPr>
          <w:rFonts w:ascii="宋体" w:hAnsi="宋体" w:cs="宋体" w:eastAsia="宋体" w:hint="default"/>
          <w:sz w:val="18"/>
          <w:szCs w:val="18"/>
        </w:rPr>
        <w:t>北京同方创信科技有限公司</w:t>
        <w:tab/>
        <w:t>2,056,157.12</w:t>
        <w:tab/>
        <w:tab/>
        <w:t>0.00</w:t>
        <w:tab/>
        <w:tab/>
        <w:t>2,056,157.12</w:t>
      </w:r>
      <w:r>
        <w:rPr>
          <w:rFonts w:ascii="Times New Roman" w:hAnsi="Times New Roman" w:cs="Times New Roman" w:eastAsia="Times New Roman" w:hint="default"/>
          <w:b/>
          <w:bCs/>
          <w:sz w:val="18"/>
          <w:szCs w:val="18"/>
        </w:rPr>
        <w:tab/>
        <w:tab/>
      </w:r>
      <w:r>
        <w:rPr>
          <w:rFonts w:ascii="宋体" w:hAnsi="宋体" w:cs="宋体" w:eastAsia="宋体" w:hint="default"/>
          <w:sz w:val="18"/>
          <w:szCs w:val="18"/>
        </w:rPr>
        <w:t>0.00</w:t>
      </w:r>
    </w:p>
    <w:p>
      <w:pPr>
        <w:tabs>
          <w:tab w:pos="4153" w:val="left" w:leader="none"/>
          <w:tab w:pos="5943" w:val="left" w:leader="none"/>
          <w:tab w:pos="7205" w:val="left" w:leader="none"/>
          <w:tab w:pos="8994" w:val="left" w:leader="none"/>
        </w:tabs>
        <w:spacing w:before="4"/>
        <w:ind w:left="923" w:right="690" w:firstLine="0"/>
        <w:jc w:val="left"/>
        <w:rPr>
          <w:rFonts w:ascii="宋体" w:hAnsi="宋体" w:cs="宋体" w:eastAsia="宋体" w:hint="default"/>
          <w:sz w:val="18"/>
          <w:szCs w:val="18"/>
        </w:rPr>
      </w:pPr>
      <w:r>
        <w:rPr>
          <w:rFonts w:ascii="宋体" w:hAnsi="宋体" w:cs="宋体" w:eastAsia="宋体" w:hint="default"/>
          <w:sz w:val="18"/>
          <w:szCs w:val="18"/>
        </w:rPr>
        <w:t>云南云电同方科技有限公司</w:t>
        <w:tab/>
        <w:t>751,626.61</w:t>
        <w:tab/>
        <w:t>0.00</w:t>
        <w:tab/>
        <w:t>751,626.61</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40" w:lineRule="auto" w:before="5"/>
        <w:rPr>
          <w:rFonts w:ascii="宋体" w:hAnsi="宋体" w:cs="宋体" w:eastAsia="宋体" w:hint="default"/>
          <w:sz w:val="4"/>
          <w:szCs w:val="4"/>
        </w:rPr>
      </w:pPr>
    </w:p>
    <w:p>
      <w:pPr>
        <w:spacing w:line="20" w:lineRule="exact"/>
        <w:ind w:left="8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3965" w:val="left" w:leader="none"/>
          <w:tab w:pos="5939" w:val="left" w:leader="none"/>
          <w:tab w:pos="7016" w:val="left" w:leader="none"/>
          <w:tab w:pos="8990" w:val="left" w:leader="none"/>
        </w:tabs>
        <w:spacing w:before="0"/>
        <w:ind w:left="923" w:right="69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2,807,783.73</w:t>
        <w:tab/>
        <w:t>0.00</w:t>
        <w:tab/>
        <w:t>2,807,783.73</w:t>
      </w:r>
      <w:r>
        <w:rPr>
          <w:rFonts w:ascii="Times New Roman" w:hAnsi="Times New Roman" w:cs="Times New Roman" w:eastAsia="Times New Roman" w:hint="default"/>
          <w:b/>
          <w:bCs/>
          <w:w w:val="95"/>
          <w:sz w:val="18"/>
          <w:szCs w:val="18"/>
        </w:rPr>
        <w:tab/>
      </w:r>
      <w:r>
        <w:rPr>
          <w:rFonts w:ascii="宋体" w:hAnsi="宋体" w:cs="宋体" w:eastAsia="宋体" w:hint="default"/>
          <w:b/>
          <w:bCs/>
          <w:sz w:val="18"/>
          <w:szCs w:val="18"/>
        </w:rPr>
        <w:t>0.00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7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867;height:2" coordorigin="15,15" coordsize="2867,2">
              <v:shape style="position:absolute;left:15;top:15;width:2867;height:2" coordorigin="15,15" coordsize="2867,0" path="m15,15l2882,15e" filled="false" stroked="true" strokeweight="1.5pt" strokecolor="#000000">
                <v:path arrowok="t"/>
              </v:shape>
            </v:group>
            <v:group style="position:absolute;left:2867;top:15;width:1509;height:2" coordorigin="2867,15" coordsize="1509,2">
              <v:shape style="position:absolute;left:2867;top:15;width:1509;height:2" coordorigin="2867,15" coordsize="1509,0" path="m2867,15l4376,15e" filled="false" stroked="true" strokeweight="1.5pt" strokecolor="#000000">
                <v:path arrowok="t"/>
              </v:shape>
            </v:group>
            <v:group style="position:absolute;left:4361;top:15;width:1264;height:2" coordorigin="4361,15" coordsize="1264,2">
              <v:shape style="position:absolute;left:4361;top:15;width:1264;height:2" coordorigin="4361,15" coordsize="1264,0" path="m4361,15l5625,15e" filled="false" stroked="true" strokeweight="1.5pt" strokecolor="#000000">
                <v:path arrowok="t"/>
              </v:shape>
            </v:group>
            <v:group style="position:absolute;left:5611;top:15;width:30;height:2" coordorigin="5611,15" coordsize="30,2">
              <v:shape style="position:absolute;left:5611;top:15;width:30;height:2" coordorigin="5611,15" coordsize="30,0" path="m5611,15l5641,15e" filled="false" stroked="true" strokeweight="1.5pt" strokecolor="#000000">
                <v:path arrowok="t"/>
              </v:shape>
            </v:group>
            <v:group style="position:absolute;left:5641;top:15;width:1787;height:2" coordorigin="5641,15" coordsize="1787,2">
              <v:shape style="position:absolute;left:5641;top:15;width:1787;height:2" coordorigin="5641,15" coordsize="1787,0" path="m5641,15l7427,15e" filled="false" stroked="true" strokeweight="1.5pt" strokecolor="#000000">
                <v:path arrowok="t"/>
              </v:shape>
            </v:group>
            <v:group style="position:absolute;left:7413;top:15;width:1264;height:2" coordorigin="7413,15" coordsize="1264,2">
              <v:shape style="position:absolute;left:7413;top:15;width:1264;height:2" coordorigin="7413,15" coordsize="1264,0" path="m7413,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tabs>
          <w:tab w:pos="1445" w:val="left" w:leader="none"/>
        </w:tabs>
        <w:spacing w:before="31"/>
        <w:ind w:left="991" w:right="69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8.</w:t>
        <w:tab/>
      </w:r>
      <w:r>
        <w:rPr>
          <w:rFonts w:ascii="宋体" w:hAnsi="宋体" w:cs="宋体" w:eastAsia="宋体" w:hint="default"/>
          <w:sz w:val="22"/>
          <w:szCs w:val="22"/>
        </w:rPr>
        <w:t>其他应收款</w:t>
      </w:r>
    </w:p>
    <w:p>
      <w:pPr>
        <w:spacing w:before="163"/>
        <w:ind w:left="991" w:right="69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其他应收款风险分类</w:t>
      </w:r>
    </w:p>
    <w:p>
      <w:pPr>
        <w:spacing w:line="240" w:lineRule="auto" w:before="6"/>
        <w:rPr>
          <w:rFonts w:ascii="宋体" w:hAnsi="宋体" w:cs="宋体" w:eastAsia="宋体" w:hint="default"/>
          <w:sz w:val="12"/>
          <w:szCs w:val="12"/>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502.45pt;height:1.5pt;mso-position-horizontal-relative:char;mso-position-vertical-relative:line" coordorigin="0,0" coordsize="10049,30">
            <v:group style="position:absolute;left:15;top:15;width:5718;height:2" coordorigin="15,15" coordsize="5718,2">
              <v:shape style="position:absolute;left:15;top:15;width:5718;height:2" coordorigin="15,15" coordsize="5718,0" path="m15,15l5733,15e" filled="false" stroked="true" strokeweight="1.5pt" strokecolor="#000000">
                <v:path arrowok="t"/>
              </v:shape>
            </v:group>
            <v:group style="position:absolute;left:5733;top:15;width:4301;height:2" coordorigin="5733,15" coordsize="4301,2">
              <v:shape style="position:absolute;left:5733;top:15;width:4301;height:2" coordorigin="5733,15" coordsize="4301,0" path="m5733,15l1003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880" w:right="760"/>
        </w:sectPr>
      </w:pPr>
    </w:p>
    <w:p>
      <w:pPr>
        <w:spacing w:line="240" w:lineRule="auto" w:before="1"/>
        <w:rPr>
          <w:rFonts w:ascii="宋体" w:hAnsi="宋体" w:cs="宋体" w:eastAsia="宋体" w:hint="default"/>
          <w:sz w:val="23"/>
          <w:szCs w:val="23"/>
        </w:rPr>
      </w:pPr>
    </w:p>
    <w:p>
      <w:pPr>
        <w:spacing w:before="0"/>
        <w:ind w:left="230" w:right="0" w:firstLine="0"/>
        <w:jc w:val="both"/>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p>
    <w:p>
      <w:pPr>
        <w:spacing w:line="240" w:lineRule="auto" w:before="8"/>
        <w:rPr>
          <w:rFonts w:ascii="宋体" w:hAnsi="宋体" w:cs="宋体" w:eastAsia="宋体" w:hint="default"/>
          <w:b/>
          <w:bCs/>
          <w:sz w:val="13"/>
          <w:szCs w:val="13"/>
        </w:rPr>
      </w:pPr>
    </w:p>
    <w:p>
      <w:pPr>
        <w:spacing w:line="200" w:lineRule="exact" w:before="0"/>
        <w:ind w:left="230" w:right="0" w:firstLine="0"/>
        <w:jc w:val="both"/>
        <w:rPr>
          <w:rFonts w:ascii="宋体" w:hAnsi="宋体" w:cs="宋体" w:eastAsia="宋体" w:hint="default"/>
          <w:sz w:val="16"/>
          <w:szCs w:val="16"/>
        </w:rPr>
      </w:pPr>
      <w:r>
        <w:rPr/>
        <w:pict>
          <v:group style="position:absolute;margin-left:50.459999pt;margin-top:-.219587pt;width:500.95pt;height:.1pt;mso-position-horizontal-relative:page;mso-position-vertical-relative:paragraph;z-index:3256" coordorigin="1009,-4" coordsize="10019,2">
            <v:shape style="position:absolute;left:1009;top:-4;width:10019;height:2" coordorigin="1009,-4" coordsize="10019,0" path="m1009,-4l11028,-4e" filled="false" stroked="true" strokeweight=".48pt" strokecolor="#000000">
              <v:path arrowok="t"/>
            </v:shape>
            <w10:wrap type="none"/>
          </v:group>
        </w:pict>
      </w:r>
      <w:r>
        <w:rPr>
          <w:rFonts w:ascii="宋体" w:hAnsi="宋体" w:cs="宋体" w:eastAsia="宋体" w:hint="default"/>
          <w:spacing w:val="6"/>
          <w:w w:val="95"/>
          <w:sz w:val="16"/>
          <w:szCs w:val="16"/>
        </w:rPr>
        <w:t>按组合计提坏</w:t>
      </w:r>
      <w:r>
        <w:rPr>
          <w:rFonts w:ascii="宋体" w:hAnsi="宋体" w:cs="宋体" w:eastAsia="宋体" w:hint="default"/>
          <w:spacing w:val="-30"/>
          <w:w w:val="95"/>
          <w:sz w:val="16"/>
          <w:szCs w:val="16"/>
        </w:rPr>
        <w:t> </w:t>
      </w:r>
      <w:r>
        <w:rPr>
          <w:rFonts w:ascii="宋体" w:hAnsi="宋体" w:cs="宋体" w:eastAsia="宋体" w:hint="default"/>
          <w:spacing w:val="-30"/>
          <w:w w:val="95"/>
          <w:sz w:val="16"/>
          <w:szCs w:val="16"/>
        </w:rPr>
      </w:r>
      <w:r>
        <w:rPr>
          <w:rFonts w:ascii="宋体" w:hAnsi="宋体" w:cs="宋体" w:eastAsia="宋体" w:hint="default"/>
          <w:spacing w:val="6"/>
          <w:w w:val="95"/>
          <w:sz w:val="16"/>
          <w:szCs w:val="16"/>
        </w:rPr>
        <w:t>账准备的其他</w:t>
      </w:r>
      <w:r>
        <w:rPr>
          <w:rFonts w:ascii="宋体" w:hAnsi="宋体" w:cs="宋体" w:eastAsia="宋体" w:hint="default"/>
          <w:spacing w:val="-30"/>
          <w:w w:val="95"/>
          <w:sz w:val="16"/>
          <w:szCs w:val="16"/>
        </w:rPr>
        <w:t> </w:t>
      </w:r>
      <w:r>
        <w:rPr>
          <w:rFonts w:ascii="宋体" w:hAnsi="宋体" w:cs="宋体" w:eastAsia="宋体" w:hint="default"/>
          <w:spacing w:val="-30"/>
          <w:w w:val="95"/>
          <w:sz w:val="16"/>
          <w:szCs w:val="16"/>
        </w:rPr>
      </w:r>
      <w:r>
        <w:rPr>
          <w:rFonts w:ascii="宋体" w:hAnsi="宋体" w:cs="宋体" w:eastAsia="宋体" w:hint="default"/>
          <w:sz w:val="16"/>
          <w:szCs w:val="16"/>
        </w:rPr>
        <w:t>应收款：</w:t>
      </w:r>
    </w:p>
    <w:p>
      <w:pPr>
        <w:tabs>
          <w:tab w:pos="4409" w:val="left" w:leader="none"/>
        </w:tabs>
        <w:spacing w:before="13"/>
        <w:ind w:left="0" w:right="390" w:firstLine="0"/>
        <w:jc w:val="center"/>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tabs>
          <w:tab w:pos="2245" w:val="left" w:leader="none"/>
          <w:tab w:pos="4409" w:val="left" w:leader="none"/>
          <w:tab w:pos="6574" w:val="left" w:leader="none"/>
        </w:tabs>
        <w:spacing w:before="104"/>
        <w:ind w:left="0" w:right="391" w:firstLine="0"/>
        <w:jc w:val="center"/>
        <w:rPr>
          <w:rFonts w:ascii="宋体" w:hAnsi="宋体" w:cs="宋体" w:eastAsia="宋体" w:hint="default"/>
          <w:sz w:val="16"/>
          <w:szCs w:val="16"/>
        </w:rPr>
      </w:pPr>
      <w:r>
        <w:rPr/>
        <w:pict>
          <v:group style="position:absolute;margin-left:110.160004pt;margin-top:3.024031pt;width:441.5pt;height:.5pt;mso-position-horizontal-relative:page;mso-position-vertical-relative:paragraph;z-index:3208" coordorigin="2203,60" coordsize="8830,10">
            <v:group style="position:absolute;left:2208;top:65;width:4499;height:2" coordorigin="2208,65" coordsize="4499,2">
              <v:shape style="position:absolute;left:2208;top:65;width:4499;height:2" coordorigin="2208,65" coordsize="4499,0" path="m2208,65l6707,65e" filled="false" stroked="true" strokeweight=".48pt" strokecolor="#000000">
                <v:path arrowok="t"/>
              </v:shape>
            </v:group>
            <v:group style="position:absolute;left:6707;top:65;width:2156;height:2" coordorigin="6707,65" coordsize="2156,2">
              <v:shape style="position:absolute;left:6707;top:65;width:2156;height:2" coordorigin="6707,65" coordsize="2156,0" path="m6707,65l8862,65e" filled="false" stroked="true" strokeweight=".48pt" strokecolor="#000000">
                <v:path arrowok="t"/>
              </v:shape>
            </v:group>
            <v:group style="position:absolute;left:8862;top:65;width:2166;height:2" coordorigin="8862,65" coordsize="2166,2">
              <v:shape style="position:absolute;left:8862;top:65;width:2166;height:2" coordorigin="8862,65" coordsize="2166,0" path="m8862,65l11028,65e" filled="false" stroked="true" strokeweight=".48pt" strokecolor="#000000">
                <v:path arrowok="t"/>
              </v:shape>
            </v:group>
            <w10:wrap type="none"/>
          </v:group>
        </w:pict>
      </w:r>
      <w:r>
        <w:rPr>
          <w:rFonts w:ascii="宋体" w:hAnsi="宋体" w:cs="宋体" w:eastAsia="宋体" w:hint="default"/>
          <w:b/>
          <w:bCs/>
          <w:w w:val="95"/>
          <w:sz w:val="16"/>
          <w:szCs w:val="16"/>
        </w:rPr>
        <w:t>账面余额</w:t>
        <w:tab/>
        <w:t>坏账准备</w:t>
        <w:tab/>
        <w:t>账面余额</w:t>
        <w:tab/>
      </w:r>
      <w:r>
        <w:rPr>
          <w:rFonts w:ascii="宋体" w:hAnsi="宋体" w:cs="宋体" w:eastAsia="宋体" w:hint="default"/>
          <w:b/>
          <w:bCs/>
          <w:sz w:val="16"/>
          <w:szCs w:val="16"/>
        </w:rPr>
        <w:t>坏账准备</w:t>
      </w:r>
      <w:r>
        <w:rPr>
          <w:rFonts w:ascii="宋体" w:hAnsi="宋体" w:cs="宋体" w:eastAsia="宋体" w:hint="default"/>
          <w:sz w:val="16"/>
          <w:szCs w:val="16"/>
        </w:rPr>
      </w:r>
    </w:p>
    <w:p>
      <w:pPr>
        <w:tabs>
          <w:tab w:pos="1392" w:val="left" w:leader="none"/>
          <w:tab w:pos="2473" w:val="left" w:leader="none"/>
          <w:tab w:pos="3556" w:val="left" w:leader="none"/>
          <w:tab w:pos="4638" w:val="left" w:leader="none"/>
          <w:tab w:pos="5720" w:val="left" w:leader="none"/>
          <w:tab w:pos="6803" w:val="left" w:leader="none"/>
          <w:tab w:pos="7886" w:val="left" w:leader="none"/>
        </w:tabs>
        <w:spacing w:before="83"/>
        <w:ind w:left="230" w:right="0" w:firstLine="0"/>
        <w:jc w:val="left"/>
        <w:rPr>
          <w:rFonts w:ascii="宋体" w:hAnsi="宋体" w:cs="宋体" w:eastAsia="宋体" w:hint="default"/>
          <w:sz w:val="16"/>
          <w:szCs w:val="16"/>
        </w:rPr>
      </w:pPr>
      <w:r>
        <w:rPr/>
        <w:pict>
          <v:group style="position:absolute;margin-left:110.400002pt;margin-top:3.237983pt;width:441pt;height:.1pt;mso-position-horizontal-relative:page;mso-position-vertical-relative:paragraph;z-index:3232" coordorigin="2208,65" coordsize="8820,2">
            <v:shape style="position:absolute;left:2208;top:65;width:8820;height:2" coordorigin="2208,65" coordsize="8820,0" path="m2208,65l11028,65e" filled="false" stroked="true" strokeweight=".48pt" strokecolor="#000000">
              <v:path arrowok="t"/>
            </v:shape>
            <w10:wrap type="none"/>
          </v:group>
        </w:pict>
      </w:r>
      <w:r>
        <w:rPr>
          <w:rFonts w:ascii="宋体" w:hAnsi="宋体" w:cs="宋体" w:eastAsia="宋体" w:hint="default"/>
          <w:b/>
          <w:bCs/>
          <w:w w:val="95"/>
          <w:sz w:val="16"/>
          <w:szCs w:val="16"/>
        </w:rPr>
        <w:t>金额</w:t>
        <w:tab/>
        <w:t>比例</w:t>
        <w:tab/>
        <w:t>金额</w:t>
        <w:tab/>
        <w:t>比例</w:t>
        <w:tab/>
        <w:t>金额</w:t>
        <w:tab/>
        <w:t>比例</w:t>
        <w:tab/>
        <w:t>金额</w:t>
        <w:tab/>
      </w:r>
      <w:r>
        <w:rPr>
          <w:rFonts w:ascii="宋体" w:hAnsi="宋体" w:cs="宋体" w:eastAsia="宋体" w:hint="default"/>
          <w:b/>
          <w:bCs/>
          <w:sz w:val="16"/>
          <w:szCs w:val="16"/>
        </w:rPr>
        <w:t>比例</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280" w:left="880" w:right="760"/>
          <w:cols w:num="2" w:equalWidth="0">
            <w:col w:w="1226" w:space="471"/>
            <w:col w:w="8573"/>
          </w:cols>
        </w:sectPr>
      </w:pPr>
    </w:p>
    <w:tbl>
      <w:tblPr>
        <w:tblW w:w="0" w:type="auto"/>
        <w:jc w:val="left"/>
        <w:tblInd w:w="121" w:type="dxa"/>
        <w:tblLayout w:type="fixed"/>
        <w:tblCellMar>
          <w:top w:w="0" w:type="dxa"/>
          <w:left w:w="0" w:type="dxa"/>
          <w:bottom w:w="0" w:type="dxa"/>
          <w:right w:w="0" w:type="dxa"/>
        </w:tblCellMar>
        <w:tblLook w:val="01E0"/>
      </w:tblPr>
      <w:tblGrid>
        <w:gridCol w:w="2738"/>
        <w:gridCol w:w="800"/>
        <w:gridCol w:w="1365"/>
        <w:gridCol w:w="800"/>
        <w:gridCol w:w="1365"/>
        <w:gridCol w:w="799"/>
        <w:gridCol w:w="1365"/>
        <w:gridCol w:w="794"/>
      </w:tblGrid>
      <w:tr>
        <w:trPr>
          <w:trHeight w:val="292" w:hRule="exact"/>
        </w:trPr>
        <w:tc>
          <w:tcPr>
            <w:tcW w:w="2738" w:type="dxa"/>
            <w:tcBorders>
              <w:top w:val="nil" w:sz="6" w:space="0" w:color="auto"/>
              <w:left w:val="nil" w:sz="6" w:space="0" w:color="auto"/>
              <w:bottom w:val="nil" w:sz="6" w:space="0" w:color="auto"/>
              <w:right w:val="nil" w:sz="6" w:space="0" w:color="auto"/>
            </w:tcBorders>
          </w:tcPr>
          <w:p>
            <w:pPr>
              <w:pStyle w:val="TableParagraph"/>
              <w:tabs>
                <w:tab w:pos="1332" w:val="left" w:leader="none"/>
              </w:tabs>
              <w:spacing w:line="201" w:lineRule="exact"/>
              <w:ind w:left="107" w:right="0"/>
              <w:jc w:val="left"/>
              <w:rPr>
                <w:rFonts w:ascii="宋体" w:hAnsi="宋体" w:cs="宋体" w:eastAsia="宋体" w:hint="default"/>
                <w:sz w:val="16"/>
                <w:szCs w:val="16"/>
              </w:rPr>
            </w:pPr>
            <w:r>
              <w:rPr>
                <w:rFonts w:ascii="宋体" w:hAnsi="宋体" w:cs="宋体" w:eastAsia="宋体" w:hint="default"/>
                <w:w w:val="95"/>
                <w:sz w:val="16"/>
                <w:szCs w:val="16"/>
              </w:rPr>
              <w:t>账龄组合</w:t>
              <w:tab/>
            </w:r>
            <w:r>
              <w:rPr>
                <w:rFonts w:ascii="宋体" w:hAnsi="宋体" w:cs="宋体" w:eastAsia="宋体" w:hint="default"/>
                <w:sz w:val="16"/>
                <w:szCs w:val="16"/>
              </w:rPr>
              <w:t>1,047,747,475.08</w:t>
            </w:r>
          </w:p>
        </w:tc>
        <w:tc>
          <w:tcPr>
            <w:tcW w:w="800" w:type="dxa"/>
            <w:tcBorders>
              <w:top w:val="nil" w:sz="6" w:space="0" w:color="auto"/>
              <w:left w:val="nil" w:sz="6" w:space="0" w:color="auto"/>
              <w:bottom w:val="nil" w:sz="6" w:space="0" w:color="auto"/>
              <w:right w:val="nil" w:sz="6" w:space="0" w:color="auto"/>
            </w:tcBorders>
          </w:tcPr>
          <w:p>
            <w:pPr>
              <w:pStyle w:val="TableParagraph"/>
              <w:spacing w:line="201" w:lineRule="exact"/>
              <w:ind w:right="104"/>
              <w:jc w:val="right"/>
              <w:rPr>
                <w:rFonts w:ascii="宋体" w:hAnsi="宋体" w:cs="宋体" w:eastAsia="宋体" w:hint="default"/>
                <w:sz w:val="16"/>
                <w:szCs w:val="16"/>
              </w:rPr>
            </w:pPr>
            <w:r>
              <w:rPr>
                <w:rFonts w:ascii="宋体"/>
                <w:spacing w:val="-1"/>
                <w:sz w:val="16"/>
              </w:rPr>
              <w:t>82.80%</w:t>
            </w:r>
          </w:p>
        </w:tc>
        <w:tc>
          <w:tcPr>
            <w:tcW w:w="1365" w:type="dxa"/>
            <w:tcBorders>
              <w:top w:val="nil" w:sz="6" w:space="0" w:color="auto"/>
              <w:left w:val="nil" w:sz="6" w:space="0" w:color="auto"/>
              <w:bottom w:val="nil" w:sz="6" w:space="0" w:color="auto"/>
              <w:right w:val="nil" w:sz="6" w:space="0" w:color="auto"/>
            </w:tcBorders>
          </w:tcPr>
          <w:p>
            <w:pPr>
              <w:pStyle w:val="TableParagraph"/>
              <w:spacing w:line="201" w:lineRule="exact"/>
              <w:ind w:right="123"/>
              <w:jc w:val="right"/>
              <w:rPr>
                <w:rFonts w:ascii="宋体" w:hAnsi="宋体" w:cs="宋体" w:eastAsia="宋体" w:hint="default"/>
                <w:sz w:val="16"/>
                <w:szCs w:val="16"/>
              </w:rPr>
            </w:pPr>
            <w:r>
              <w:rPr>
                <w:rFonts w:ascii="宋体"/>
                <w:spacing w:val="-1"/>
                <w:sz w:val="16"/>
              </w:rPr>
              <w:t>166,371,326.09</w:t>
            </w:r>
          </w:p>
        </w:tc>
        <w:tc>
          <w:tcPr>
            <w:tcW w:w="800" w:type="dxa"/>
            <w:tcBorders>
              <w:top w:val="nil" w:sz="6" w:space="0" w:color="auto"/>
              <w:left w:val="nil" w:sz="6" w:space="0" w:color="auto"/>
              <w:bottom w:val="nil" w:sz="6" w:space="0" w:color="auto"/>
              <w:right w:val="nil" w:sz="6" w:space="0" w:color="auto"/>
            </w:tcBorders>
          </w:tcPr>
          <w:p>
            <w:pPr>
              <w:pStyle w:val="TableParagraph"/>
              <w:spacing w:line="201" w:lineRule="exact"/>
              <w:ind w:right="105"/>
              <w:jc w:val="right"/>
              <w:rPr>
                <w:rFonts w:ascii="宋体" w:hAnsi="宋体" w:cs="宋体" w:eastAsia="宋体" w:hint="default"/>
                <w:sz w:val="16"/>
                <w:szCs w:val="16"/>
              </w:rPr>
            </w:pPr>
            <w:r>
              <w:rPr>
                <w:rFonts w:ascii="宋体"/>
                <w:spacing w:val="-1"/>
                <w:sz w:val="16"/>
              </w:rPr>
              <w:t>100.00%</w:t>
            </w:r>
          </w:p>
        </w:tc>
        <w:tc>
          <w:tcPr>
            <w:tcW w:w="1365" w:type="dxa"/>
            <w:tcBorders>
              <w:top w:val="nil" w:sz="6" w:space="0" w:color="auto"/>
              <w:left w:val="nil" w:sz="6" w:space="0" w:color="auto"/>
              <w:bottom w:val="nil" w:sz="6" w:space="0" w:color="auto"/>
              <w:right w:val="nil" w:sz="6" w:space="0" w:color="auto"/>
            </w:tcBorders>
          </w:tcPr>
          <w:p>
            <w:pPr>
              <w:pStyle w:val="TableParagraph"/>
              <w:spacing w:line="201" w:lineRule="exact"/>
              <w:ind w:right="124"/>
              <w:jc w:val="right"/>
              <w:rPr>
                <w:rFonts w:ascii="宋体" w:hAnsi="宋体" w:cs="宋体" w:eastAsia="宋体" w:hint="default"/>
                <w:sz w:val="16"/>
                <w:szCs w:val="16"/>
              </w:rPr>
            </w:pPr>
            <w:r>
              <w:rPr>
                <w:rFonts w:ascii="宋体"/>
                <w:spacing w:val="-1"/>
                <w:sz w:val="16"/>
              </w:rPr>
              <w:t>801,440,018.79</w:t>
            </w:r>
          </w:p>
        </w:tc>
        <w:tc>
          <w:tcPr>
            <w:tcW w:w="799" w:type="dxa"/>
            <w:tcBorders>
              <w:top w:val="nil" w:sz="6" w:space="0" w:color="auto"/>
              <w:left w:val="nil" w:sz="6" w:space="0" w:color="auto"/>
              <w:bottom w:val="nil" w:sz="6" w:space="0" w:color="auto"/>
              <w:right w:val="nil" w:sz="6" w:space="0" w:color="auto"/>
            </w:tcBorders>
          </w:tcPr>
          <w:p>
            <w:pPr>
              <w:pStyle w:val="TableParagraph"/>
              <w:spacing w:line="201" w:lineRule="exact"/>
              <w:ind w:right="105"/>
              <w:jc w:val="right"/>
              <w:rPr>
                <w:rFonts w:ascii="宋体" w:hAnsi="宋体" w:cs="宋体" w:eastAsia="宋体" w:hint="default"/>
                <w:sz w:val="16"/>
                <w:szCs w:val="16"/>
              </w:rPr>
            </w:pPr>
            <w:r>
              <w:rPr>
                <w:rFonts w:ascii="宋体"/>
                <w:spacing w:val="-1"/>
                <w:sz w:val="16"/>
              </w:rPr>
              <w:t>95.72%</w:t>
            </w:r>
          </w:p>
        </w:tc>
        <w:tc>
          <w:tcPr>
            <w:tcW w:w="1365" w:type="dxa"/>
            <w:tcBorders>
              <w:top w:val="nil" w:sz="6" w:space="0" w:color="auto"/>
              <w:left w:val="nil" w:sz="6" w:space="0" w:color="auto"/>
              <w:bottom w:val="nil" w:sz="6" w:space="0" w:color="auto"/>
              <w:right w:val="nil" w:sz="6" w:space="0" w:color="auto"/>
            </w:tcBorders>
          </w:tcPr>
          <w:p>
            <w:pPr>
              <w:pStyle w:val="TableParagraph"/>
              <w:spacing w:line="201" w:lineRule="exact"/>
              <w:ind w:right="125"/>
              <w:jc w:val="right"/>
              <w:rPr>
                <w:rFonts w:ascii="宋体" w:hAnsi="宋体" w:cs="宋体" w:eastAsia="宋体" w:hint="default"/>
                <w:sz w:val="16"/>
                <w:szCs w:val="16"/>
              </w:rPr>
            </w:pPr>
            <w:r>
              <w:rPr>
                <w:rFonts w:ascii="宋体"/>
                <w:spacing w:val="-1"/>
                <w:sz w:val="16"/>
              </w:rPr>
              <w:t>128,738,538.47</w:t>
            </w:r>
          </w:p>
        </w:tc>
        <w:tc>
          <w:tcPr>
            <w:tcW w:w="794" w:type="dxa"/>
            <w:tcBorders>
              <w:top w:val="nil" w:sz="6" w:space="0" w:color="auto"/>
              <w:left w:val="nil" w:sz="6" w:space="0" w:color="auto"/>
              <w:bottom w:val="nil" w:sz="6" w:space="0" w:color="auto"/>
              <w:right w:val="nil" w:sz="6" w:space="0" w:color="auto"/>
            </w:tcBorders>
          </w:tcPr>
          <w:p>
            <w:pPr>
              <w:pStyle w:val="TableParagraph"/>
              <w:spacing w:line="201" w:lineRule="exact"/>
              <w:ind w:right="99"/>
              <w:jc w:val="right"/>
              <w:rPr>
                <w:rFonts w:ascii="宋体" w:hAnsi="宋体" w:cs="宋体" w:eastAsia="宋体" w:hint="default"/>
                <w:sz w:val="16"/>
                <w:szCs w:val="16"/>
              </w:rPr>
            </w:pPr>
            <w:r>
              <w:rPr>
                <w:rFonts w:ascii="宋体"/>
                <w:spacing w:val="-1"/>
                <w:sz w:val="16"/>
              </w:rPr>
              <w:t>100.00%</w:t>
            </w:r>
          </w:p>
        </w:tc>
      </w:tr>
      <w:tr>
        <w:trPr>
          <w:trHeight w:val="341"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96" w:lineRule="exact"/>
              <w:ind w:left="107" w:right="0"/>
              <w:jc w:val="left"/>
              <w:rPr>
                <w:rFonts w:ascii="宋体" w:hAnsi="宋体" w:cs="宋体" w:eastAsia="宋体" w:hint="default"/>
                <w:sz w:val="16"/>
                <w:szCs w:val="16"/>
              </w:rPr>
            </w:pPr>
            <w:r>
              <w:rPr>
                <w:rFonts w:ascii="宋体" w:hAnsi="宋体" w:cs="宋体" w:eastAsia="宋体" w:hint="default"/>
                <w:spacing w:val="6"/>
                <w:sz w:val="16"/>
                <w:szCs w:val="16"/>
              </w:rPr>
              <w:t>其他组合（泰</w:t>
            </w:r>
          </w:p>
          <w:p>
            <w:pPr>
              <w:pStyle w:val="TableParagraph"/>
              <w:tabs>
                <w:tab w:pos="1491" w:val="left" w:leader="none"/>
              </w:tabs>
              <w:spacing w:line="254" w:lineRule="exact"/>
              <w:ind w:left="107" w:right="0"/>
              <w:jc w:val="left"/>
              <w:rPr>
                <w:rFonts w:ascii="宋体" w:hAnsi="宋体" w:cs="宋体" w:eastAsia="宋体" w:hint="default"/>
                <w:sz w:val="16"/>
                <w:szCs w:val="16"/>
              </w:rPr>
            </w:pPr>
            <w:r>
              <w:rPr>
                <w:rFonts w:ascii="宋体" w:hAnsi="宋体" w:cs="宋体" w:eastAsia="宋体" w:hint="default"/>
                <w:w w:val="95"/>
                <w:position w:val="-9"/>
                <w:sz w:val="16"/>
                <w:szCs w:val="16"/>
              </w:rPr>
              <w:t>豪科技并入）</w:t>
              <w:tab/>
            </w:r>
            <w:r>
              <w:rPr>
                <w:rFonts w:ascii="宋体" w:hAnsi="宋体" w:cs="宋体" w:eastAsia="宋体" w:hint="default"/>
                <w:sz w:val="16"/>
                <w:szCs w:val="16"/>
              </w:rPr>
              <w:t>217,647,300.00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宋体" w:hAnsi="宋体" w:cs="宋体" w:eastAsia="宋体" w:hint="default"/>
                <w:sz w:val="16"/>
                <w:szCs w:val="16"/>
              </w:rPr>
            </w:pPr>
            <w:r>
              <w:rPr>
                <w:rFonts w:ascii="宋体"/>
                <w:spacing w:val="-1"/>
                <w:sz w:val="16"/>
              </w:rPr>
              <w:t>17.20%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6"/>
              <w:jc w:val="right"/>
              <w:rPr>
                <w:rFonts w:ascii="宋体" w:hAnsi="宋体" w:cs="宋体" w:eastAsia="宋体" w:hint="default"/>
                <w:sz w:val="16"/>
                <w:szCs w:val="16"/>
              </w:rPr>
            </w:pPr>
            <w:r>
              <w:rPr>
                <w:rFonts w:ascii="宋体"/>
                <w:w w:val="95"/>
                <w:sz w:val="16"/>
              </w:rPr>
              <w:t>0.00</w:t>
            </w:r>
            <w:r>
              <w:rPr>
                <w:rFonts w:ascii="宋体"/>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16"/>
                <w:szCs w:val="16"/>
              </w:rPr>
            </w:pPr>
            <w:r>
              <w:rPr>
                <w:rFonts w:ascii="宋体"/>
                <w:spacing w:val="-1"/>
                <w:sz w:val="16"/>
              </w:rPr>
              <w:t>0.00%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6"/>
              <w:jc w:val="right"/>
              <w:rPr>
                <w:rFonts w:ascii="宋体" w:hAnsi="宋体" w:cs="宋体" w:eastAsia="宋体" w:hint="default"/>
                <w:sz w:val="16"/>
                <w:szCs w:val="16"/>
              </w:rPr>
            </w:pPr>
            <w:r>
              <w:rPr>
                <w:rFonts w:ascii="宋体"/>
                <w:spacing w:val="-1"/>
                <w:sz w:val="16"/>
              </w:rPr>
              <w:t>35,829,995.60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16"/>
                <w:szCs w:val="16"/>
              </w:rPr>
            </w:pPr>
            <w:r>
              <w:rPr>
                <w:rFonts w:ascii="宋体"/>
                <w:spacing w:val="-1"/>
                <w:sz w:val="16"/>
              </w:rPr>
              <w:t>4.28%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6"/>
              <w:jc w:val="right"/>
              <w:rPr>
                <w:rFonts w:ascii="宋体" w:hAnsi="宋体" w:cs="宋体" w:eastAsia="宋体" w:hint="default"/>
                <w:sz w:val="16"/>
                <w:szCs w:val="16"/>
              </w:rPr>
            </w:pPr>
            <w:r>
              <w:rPr>
                <w:rFonts w:ascii="宋体"/>
                <w:w w:val="95"/>
                <w:sz w:val="16"/>
              </w:rPr>
              <w:t>0.00</w:t>
            </w:r>
            <w:r>
              <w:rPr>
                <w:rFonts w:ascii="宋体"/>
                <w:sz w:val="16"/>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宋体" w:hAnsi="宋体" w:cs="宋体" w:eastAsia="宋体" w:hint="default"/>
                <w:sz w:val="16"/>
                <w:szCs w:val="16"/>
              </w:rPr>
            </w:pPr>
            <w:r>
              <w:rPr>
                <w:rFonts w:ascii="宋体"/>
                <w:spacing w:val="-1"/>
                <w:sz w:val="16"/>
              </w:rPr>
              <w:t>0.00%</w:t>
            </w:r>
          </w:p>
        </w:tc>
      </w:tr>
      <w:tr>
        <w:trPr>
          <w:trHeight w:val="316" w:hRule="exact"/>
        </w:trPr>
        <w:tc>
          <w:tcPr>
            <w:tcW w:w="2738" w:type="dxa"/>
            <w:tcBorders>
              <w:top w:val="nil" w:sz="6" w:space="0" w:color="auto"/>
              <w:left w:val="nil" w:sz="6" w:space="0" w:color="auto"/>
              <w:bottom w:val="single" w:sz="4" w:space="0" w:color="000000"/>
              <w:right w:val="nil" w:sz="6" w:space="0" w:color="auto"/>
            </w:tcBorders>
          </w:tcPr>
          <w:p>
            <w:pPr>
              <w:pStyle w:val="TableParagraph"/>
              <w:tabs>
                <w:tab w:pos="1332" w:val="left" w:leader="none"/>
              </w:tabs>
              <w:spacing w:line="240" w:lineRule="auto" w:before="41"/>
              <w:ind w:left="107" w:right="0"/>
              <w:jc w:val="left"/>
              <w:rPr>
                <w:rFonts w:ascii="宋体" w:hAnsi="宋体" w:cs="宋体" w:eastAsia="宋体" w:hint="default"/>
                <w:sz w:val="16"/>
                <w:szCs w:val="16"/>
              </w:rPr>
            </w:pPr>
            <w:r>
              <w:rPr>
                <w:rFonts w:ascii="宋体" w:hAnsi="宋体" w:cs="宋体" w:eastAsia="宋体" w:hint="default"/>
                <w:w w:val="95"/>
                <w:sz w:val="16"/>
                <w:szCs w:val="16"/>
              </w:rPr>
              <w:t>组合小计</w:t>
              <w:tab/>
            </w:r>
            <w:r>
              <w:rPr>
                <w:rFonts w:ascii="宋体" w:hAnsi="宋体" w:cs="宋体" w:eastAsia="宋体" w:hint="default"/>
                <w:sz w:val="16"/>
                <w:szCs w:val="16"/>
              </w:rPr>
              <w:t>1,265,394,775.08</w:t>
            </w:r>
          </w:p>
        </w:tc>
        <w:tc>
          <w:tcPr>
            <w:tcW w:w="80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4"/>
              <w:jc w:val="right"/>
              <w:rPr>
                <w:rFonts w:ascii="宋体" w:hAnsi="宋体" w:cs="宋体" w:eastAsia="宋体" w:hint="default"/>
                <w:sz w:val="16"/>
                <w:szCs w:val="16"/>
              </w:rPr>
            </w:pPr>
            <w:r>
              <w:rPr>
                <w:rFonts w:ascii="宋体"/>
                <w:spacing w:val="-1"/>
                <w:sz w:val="16"/>
              </w:rPr>
              <w:t>100.00%</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23"/>
              <w:jc w:val="right"/>
              <w:rPr>
                <w:rFonts w:ascii="宋体" w:hAnsi="宋体" w:cs="宋体" w:eastAsia="宋体" w:hint="default"/>
                <w:sz w:val="16"/>
                <w:szCs w:val="16"/>
              </w:rPr>
            </w:pPr>
            <w:r>
              <w:rPr>
                <w:rFonts w:ascii="宋体"/>
                <w:spacing w:val="-1"/>
                <w:sz w:val="16"/>
              </w:rPr>
              <w:t>166,371,326.09</w:t>
            </w:r>
          </w:p>
        </w:tc>
        <w:tc>
          <w:tcPr>
            <w:tcW w:w="80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5"/>
              <w:jc w:val="right"/>
              <w:rPr>
                <w:rFonts w:ascii="宋体" w:hAnsi="宋体" w:cs="宋体" w:eastAsia="宋体" w:hint="default"/>
                <w:sz w:val="16"/>
                <w:szCs w:val="16"/>
              </w:rPr>
            </w:pPr>
            <w:r>
              <w:rPr>
                <w:rFonts w:ascii="宋体"/>
                <w:spacing w:val="-1"/>
                <w:sz w:val="16"/>
              </w:rPr>
              <w:t>100.00%</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25"/>
              <w:jc w:val="right"/>
              <w:rPr>
                <w:rFonts w:ascii="宋体" w:hAnsi="宋体" w:cs="宋体" w:eastAsia="宋体" w:hint="default"/>
                <w:sz w:val="16"/>
                <w:szCs w:val="16"/>
              </w:rPr>
            </w:pPr>
            <w:r>
              <w:rPr>
                <w:rFonts w:ascii="宋体"/>
                <w:spacing w:val="-1"/>
                <w:sz w:val="16"/>
              </w:rPr>
              <w:t>837,270,014.39</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6"/>
              <w:jc w:val="right"/>
              <w:rPr>
                <w:rFonts w:ascii="宋体" w:hAnsi="宋体" w:cs="宋体" w:eastAsia="宋体" w:hint="default"/>
                <w:sz w:val="16"/>
                <w:szCs w:val="16"/>
              </w:rPr>
            </w:pPr>
            <w:r>
              <w:rPr>
                <w:rFonts w:ascii="宋体"/>
                <w:spacing w:val="-1"/>
                <w:sz w:val="16"/>
              </w:rPr>
              <w:t>100.00%</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25"/>
              <w:jc w:val="right"/>
              <w:rPr>
                <w:rFonts w:ascii="宋体" w:hAnsi="宋体" w:cs="宋体" w:eastAsia="宋体" w:hint="default"/>
                <w:sz w:val="16"/>
                <w:szCs w:val="16"/>
              </w:rPr>
            </w:pPr>
            <w:r>
              <w:rPr>
                <w:rFonts w:ascii="宋体"/>
                <w:spacing w:val="-1"/>
                <w:sz w:val="16"/>
              </w:rPr>
              <w:t>128,738,538.47</w:t>
            </w:r>
          </w:p>
        </w:tc>
        <w:tc>
          <w:tcPr>
            <w:tcW w:w="79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9"/>
              <w:jc w:val="right"/>
              <w:rPr>
                <w:rFonts w:ascii="宋体" w:hAnsi="宋体" w:cs="宋体" w:eastAsia="宋体" w:hint="default"/>
                <w:sz w:val="16"/>
                <w:szCs w:val="16"/>
              </w:rPr>
            </w:pPr>
            <w:r>
              <w:rPr>
                <w:rFonts w:ascii="宋体"/>
                <w:spacing w:val="-1"/>
                <w:sz w:val="16"/>
              </w:rPr>
              <w:t>100.00%</w:t>
            </w:r>
          </w:p>
        </w:tc>
      </w:tr>
      <w:tr>
        <w:trPr>
          <w:trHeight w:val="303" w:hRule="exact"/>
        </w:trPr>
        <w:tc>
          <w:tcPr>
            <w:tcW w:w="2738" w:type="dxa"/>
            <w:tcBorders>
              <w:top w:val="single" w:sz="4" w:space="0" w:color="000000"/>
              <w:left w:val="nil" w:sz="6" w:space="0" w:color="auto"/>
              <w:bottom w:val="single" w:sz="12" w:space="0" w:color="000000"/>
              <w:right w:val="nil" w:sz="6" w:space="0" w:color="auto"/>
            </w:tcBorders>
          </w:tcPr>
          <w:p>
            <w:pPr>
              <w:pStyle w:val="TableParagraph"/>
              <w:tabs>
                <w:tab w:pos="1319" w:val="left" w:leader="none"/>
              </w:tabs>
              <w:spacing w:line="240" w:lineRule="auto" w:before="13"/>
              <w:ind w:left="107" w:right="0"/>
              <w:jc w:val="left"/>
              <w:rPr>
                <w:rFonts w:ascii="宋体" w:hAnsi="宋体" w:cs="宋体" w:eastAsia="宋体" w:hint="default"/>
                <w:sz w:val="16"/>
                <w:szCs w:val="16"/>
              </w:rPr>
            </w:pPr>
            <w:r>
              <w:rPr>
                <w:rFonts w:ascii="宋体" w:hAnsi="宋体" w:cs="宋体" w:eastAsia="宋体" w:hint="default"/>
                <w:b/>
                <w:bCs/>
                <w:w w:val="95"/>
                <w:sz w:val="16"/>
                <w:szCs w:val="16"/>
              </w:rPr>
              <w:t>合计</w:t>
              <w:tab/>
            </w:r>
            <w:r>
              <w:rPr>
                <w:rFonts w:ascii="宋体" w:hAnsi="宋体" w:cs="宋体" w:eastAsia="宋体" w:hint="default"/>
                <w:b/>
                <w:bCs/>
                <w:sz w:val="16"/>
                <w:szCs w:val="16"/>
              </w:rPr>
              <w:t>1,265,394,775.08</w:t>
            </w:r>
            <w:r>
              <w:rPr>
                <w:rFonts w:ascii="宋体" w:hAnsi="宋体" w:cs="宋体" w:eastAsia="宋体" w:hint="default"/>
                <w:sz w:val="16"/>
                <w:szCs w:val="16"/>
              </w:rPr>
            </w:r>
          </w:p>
        </w:tc>
        <w:tc>
          <w:tcPr>
            <w:tcW w:w="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8"/>
              <w:jc w:val="right"/>
              <w:rPr>
                <w:rFonts w:ascii="宋体" w:hAnsi="宋体" w:cs="宋体" w:eastAsia="宋体" w:hint="default"/>
                <w:sz w:val="16"/>
                <w:szCs w:val="16"/>
              </w:rPr>
            </w:pPr>
            <w:r>
              <w:rPr>
                <w:rFonts w:ascii="宋体"/>
                <w:b/>
                <w:w w:val="95"/>
                <w:sz w:val="16"/>
              </w:rPr>
              <w:t>100.00%</w:t>
            </w:r>
            <w:r>
              <w:rPr>
                <w:rFonts w:ascii="宋体"/>
                <w:sz w:val="16"/>
              </w:rPr>
            </w:r>
          </w:p>
        </w:tc>
        <w:tc>
          <w:tcPr>
            <w:tcW w:w="13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27"/>
              <w:jc w:val="right"/>
              <w:rPr>
                <w:rFonts w:ascii="宋体" w:hAnsi="宋体" w:cs="宋体" w:eastAsia="宋体" w:hint="default"/>
                <w:sz w:val="16"/>
                <w:szCs w:val="16"/>
              </w:rPr>
            </w:pPr>
            <w:r>
              <w:rPr>
                <w:rFonts w:ascii="宋体"/>
                <w:b/>
                <w:w w:val="95"/>
                <w:sz w:val="16"/>
              </w:rPr>
              <w:t>166,371,326.09</w:t>
            </w:r>
            <w:r>
              <w:rPr>
                <w:rFonts w:ascii="宋体"/>
                <w:sz w:val="16"/>
              </w:rPr>
            </w:r>
          </w:p>
        </w:tc>
        <w:tc>
          <w:tcPr>
            <w:tcW w:w="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8"/>
              <w:jc w:val="right"/>
              <w:rPr>
                <w:rFonts w:ascii="宋体" w:hAnsi="宋体" w:cs="宋体" w:eastAsia="宋体" w:hint="default"/>
                <w:sz w:val="16"/>
                <w:szCs w:val="16"/>
              </w:rPr>
            </w:pPr>
            <w:r>
              <w:rPr>
                <w:rFonts w:ascii="宋体"/>
                <w:b/>
                <w:w w:val="95"/>
                <w:sz w:val="16"/>
              </w:rPr>
              <w:t>100.00%</w:t>
            </w:r>
            <w:r>
              <w:rPr>
                <w:rFonts w:ascii="宋体"/>
                <w:sz w:val="16"/>
              </w:rPr>
            </w:r>
          </w:p>
        </w:tc>
        <w:tc>
          <w:tcPr>
            <w:tcW w:w="13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26"/>
              <w:jc w:val="right"/>
              <w:rPr>
                <w:rFonts w:ascii="宋体" w:hAnsi="宋体" w:cs="宋体" w:eastAsia="宋体" w:hint="default"/>
                <w:sz w:val="16"/>
                <w:szCs w:val="16"/>
              </w:rPr>
            </w:pPr>
            <w:r>
              <w:rPr>
                <w:rFonts w:ascii="宋体"/>
                <w:b/>
                <w:w w:val="95"/>
                <w:sz w:val="16"/>
              </w:rPr>
              <w:t>837,270,014.39</w:t>
            </w:r>
            <w:r>
              <w:rPr>
                <w:rFonts w:ascii="宋体"/>
                <w:sz w:val="16"/>
              </w:rPr>
            </w:r>
          </w:p>
        </w:tc>
        <w:tc>
          <w:tcPr>
            <w:tcW w:w="7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7"/>
              <w:jc w:val="right"/>
              <w:rPr>
                <w:rFonts w:ascii="宋体" w:hAnsi="宋体" w:cs="宋体" w:eastAsia="宋体" w:hint="default"/>
                <w:sz w:val="16"/>
                <w:szCs w:val="16"/>
              </w:rPr>
            </w:pPr>
            <w:r>
              <w:rPr>
                <w:rFonts w:ascii="宋体"/>
                <w:b/>
                <w:w w:val="95"/>
                <w:sz w:val="16"/>
              </w:rPr>
              <w:t>100.00%</w:t>
            </w:r>
            <w:r>
              <w:rPr>
                <w:rFonts w:ascii="宋体"/>
                <w:sz w:val="16"/>
              </w:rPr>
            </w:r>
          </w:p>
        </w:tc>
        <w:tc>
          <w:tcPr>
            <w:tcW w:w="13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26"/>
              <w:jc w:val="right"/>
              <w:rPr>
                <w:rFonts w:ascii="宋体" w:hAnsi="宋体" w:cs="宋体" w:eastAsia="宋体" w:hint="default"/>
                <w:sz w:val="16"/>
                <w:szCs w:val="16"/>
              </w:rPr>
            </w:pPr>
            <w:r>
              <w:rPr>
                <w:rFonts w:ascii="宋体"/>
                <w:b/>
                <w:w w:val="95"/>
                <w:sz w:val="16"/>
              </w:rPr>
              <w:t>128,738,538.47</w:t>
            </w:r>
            <w:r>
              <w:rPr>
                <w:rFonts w:ascii="宋体"/>
                <w:sz w:val="16"/>
              </w:rPr>
            </w:r>
          </w:p>
        </w:tc>
        <w:tc>
          <w:tcPr>
            <w:tcW w:w="7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0"/>
              <w:jc w:val="right"/>
              <w:rPr>
                <w:rFonts w:ascii="宋体" w:hAnsi="宋体" w:cs="宋体" w:eastAsia="宋体" w:hint="default"/>
                <w:sz w:val="16"/>
                <w:szCs w:val="16"/>
              </w:rPr>
            </w:pPr>
            <w:r>
              <w:rPr>
                <w:rFonts w:ascii="宋体"/>
                <w:b/>
                <w:w w:val="95"/>
                <w:sz w:val="16"/>
              </w:rPr>
              <w:t>100.00%</w:t>
            </w:r>
            <w:r>
              <w:rPr>
                <w:rFonts w:ascii="宋体"/>
                <w:sz w:val="16"/>
              </w:rPr>
            </w:r>
          </w:p>
        </w:tc>
      </w:tr>
    </w:tbl>
    <w:p>
      <w:pPr>
        <w:spacing w:line="240" w:lineRule="auto" w:before="5"/>
        <w:rPr>
          <w:rFonts w:ascii="宋体" w:hAnsi="宋体" w:cs="宋体" w:eastAsia="宋体" w:hint="default"/>
          <w:b/>
          <w:bCs/>
          <w:sz w:val="5"/>
          <w:szCs w:val="5"/>
        </w:rPr>
      </w:pPr>
    </w:p>
    <w:p>
      <w:pPr>
        <w:spacing w:before="31"/>
        <w:ind w:left="1106" w:right="69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按账龄分析法计提坏账准备的其他应收款</w:t>
      </w:r>
    </w:p>
    <w:p>
      <w:pPr>
        <w:spacing w:line="240" w:lineRule="auto" w:before="6"/>
        <w:rPr>
          <w:rFonts w:ascii="宋体" w:hAnsi="宋体" w:cs="宋体" w:eastAsia="宋体" w:hint="default"/>
          <w:sz w:val="12"/>
          <w:szCs w:val="12"/>
        </w:rPr>
      </w:pPr>
    </w:p>
    <w:p>
      <w:pPr>
        <w:spacing w:line="30" w:lineRule="exact"/>
        <w:ind w:left="8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880" w:right="760"/>
        </w:sectPr>
      </w:pPr>
    </w:p>
    <w:p>
      <w:pPr>
        <w:spacing w:before="123"/>
        <w:ind w:left="924" w:right="-2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2"/>
        <w:rPr>
          <w:rFonts w:ascii="宋体" w:hAnsi="宋体" w:cs="宋体" w:eastAsia="宋体" w:hint="default"/>
          <w:b/>
          <w:bCs/>
          <w:sz w:val="13"/>
          <w:szCs w:val="13"/>
        </w:rPr>
      </w:pPr>
    </w:p>
    <w:p>
      <w:pPr>
        <w:spacing w:before="0"/>
        <w:ind w:left="924" w:right="-20" w:firstLine="0"/>
        <w:jc w:val="left"/>
        <w:rPr>
          <w:rFonts w:ascii="宋体" w:hAnsi="宋体" w:cs="宋体" w:eastAsia="宋体" w:hint="default"/>
          <w:sz w:val="18"/>
          <w:szCs w:val="18"/>
        </w:rPr>
      </w:pPr>
      <w:r>
        <w:rPr/>
        <w:pict>
          <v:group style="position:absolute;margin-left:84.839996pt;margin-top:2.412015pt;width:431.9pt;height:.1pt;mso-position-horizontal-relative:page;mso-position-vertical-relative:paragraph;z-index:-1047760" coordorigin="1697,48" coordsize="8638,2">
            <v:shape style="position:absolute;left:1697;top:48;width:8638;height:2" coordorigin="1697,48" coordsize="8638,0" path="m1697,48l10334,48e" filled="false" stroked="true" strokeweight=".24pt" strokecolor="#000000">
              <v:path arrowok="t"/>
            </v:shape>
            <w10:wrap type="none"/>
          </v:group>
        </w:pict>
      </w:r>
      <w:r>
        <w:rPr/>
        <w:pict>
          <v:shape style="position:absolute;margin-left:84.779999pt;margin-top:7.75434pt;width:432pt;height:182.3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7"/>
                    <w:gridCol w:w="851"/>
                    <w:gridCol w:w="1485"/>
                    <w:gridCol w:w="1485"/>
                    <w:gridCol w:w="790"/>
                    <w:gridCol w:w="1543"/>
                  </w:tblGrid>
                  <w:tr>
                    <w:trPr>
                      <w:trHeight w:val="262" w:hRule="exact"/>
                    </w:trPr>
                    <w:tc>
                      <w:tcPr>
                        <w:tcW w:w="2487"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80" w:lineRule="exact"/>
                          <w:ind w:left="109" w:right="0"/>
                          <w:jc w:val="left"/>
                          <w:rPr>
                            <w:rFonts w:ascii="宋体" w:hAnsi="宋体" w:cs="宋体" w:eastAsia="宋体" w:hint="default"/>
                            <w:sz w:val="18"/>
                            <w:szCs w:val="18"/>
                          </w:rPr>
                        </w:pPr>
                        <w:r>
                          <w:rPr>
                            <w:rFonts w:ascii="宋体" w:hAnsi="宋体" w:cs="宋体" w:eastAsia="宋体" w:hint="default"/>
                            <w:position w:val="-9"/>
                            <w:sz w:val="18"/>
                            <w:szCs w:val="18"/>
                          </w:rPr>
                          <w:t>内</w:t>
                          <w:tab/>
                        </w:r>
                        <w:r>
                          <w:rPr>
                            <w:rFonts w:ascii="宋体" w:hAnsi="宋体" w:cs="宋体" w:eastAsia="宋体" w:hint="default"/>
                            <w:sz w:val="18"/>
                            <w:szCs w:val="18"/>
                          </w:rPr>
                          <w:t>623,935,674.68</w:t>
                        </w:r>
                      </w:p>
                    </w:tc>
                    <w:tc>
                      <w:tcPr>
                        <w:tcW w:w="851"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59.55%</w:t>
                        </w:r>
                      </w:p>
                    </w:tc>
                    <w:tc>
                      <w:tcPr>
                        <w:tcW w:w="1485"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5,502,377.19</w:t>
                        </w:r>
                      </w:p>
                    </w:tc>
                    <w:tc>
                      <w:tcPr>
                        <w:tcW w:w="1485"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397,169,553.51</w:t>
                        </w:r>
                      </w:p>
                    </w:tc>
                    <w:tc>
                      <w:tcPr>
                        <w:tcW w:w="790" w:type="dxa"/>
                        <w:tcBorders>
                          <w:top w:val="nil" w:sz="6" w:space="0" w:color="auto"/>
                          <w:left w:val="nil" w:sz="6" w:space="0" w:color="auto"/>
                          <w:bottom w:val="nil" w:sz="6" w:space="0" w:color="auto"/>
                          <w:right w:val="nil" w:sz="6" w:space="0" w:color="auto"/>
                        </w:tcBorders>
                      </w:tcPr>
                      <w:p>
                        <w:pPr>
                          <w:pStyle w:val="TableParagraph"/>
                          <w:spacing w:line="180" w:lineRule="exact"/>
                          <w:ind w:right="44"/>
                          <w:jc w:val="right"/>
                          <w:rPr>
                            <w:rFonts w:ascii="宋体" w:hAnsi="宋体" w:cs="宋体" w:eastAsia="宋体" w:hint="default"/>
                            <w:sz w:val="18"/>
                            <w:szCs w:val="18"/>
                          </w:rPr>
                        </w:pPr>
                        <w:r>
                          <w:rPr>
                            <w:rFonts w:ascii="宋体"/>
                            <w:sz w:val="18"/>
                          </w:rPr>
                          <w:t>49.56%</w:t>
                        </w:r>
                      </w:p>
                    </w:tc>
                    <w:tc>
                      <w:tcPr>
                        <w:tcW w:w="1543" w:type="dxa"/>
                        <w:tcBorders>
                          <w:top w:val="nil" w:sz="6" w:space="0" w:color="auto"/>
                          <w:left w:val="nil" w:sz="6" w:space="0" w:color="auto"/>
                          <w:bottom w:val="nil" w:sz="6" w:space="0" w:color="auto"/>
                          <w:right w:val="nil" w:sz="6" w:space="0" w:color="auto"/>
                        </w:tcBorders>
                      </w:tcPr>
                      <w:p>
                        <w:pPr>
                          <w:pStyle w:val="TableParagraph"/>
                          <w:spacing w:line="180" w:lineRule="exact"/>
                          <w:ind w:right="99"/>
                          <w:jc w:val="right"/>
                          <w:rPr>
                            <w:rFonts w:ascii="宋体" w:hAnsi="宋体" w:cs="宋体" w:eastAsia="宋体" w:hint="default"/>
                            <w:sz w:val="18"/>
                            <w:szCs w:val="18"/>
                          </w:rPr>
                        </w:pPr>
                        <w:r>
                          <w:rPr>
                            <w:rFonts w:ascii="宋体"/>
                            <w:sz w:val="18"/>
                          </w:rPr>
                          <w:t>4,329,995.49</w:t>
                        </w:r>
                      </w:p>
                    </w:tc>
                  </w:tr>
                  <w:tr>
                    <w:trPr>
                      <w:trHeight w:val="314" w:hRule="exact"/>
                    </w:trPr>
                    <w:tc>
                      <w:tcPr>
                        <w:tcW w:w="2487" w:type="dxa"/>
                        <w:tcBorders>
                          <w:top w:val="nil" w:sz="6" w:space="0" w:color="auto"/>
                          <w:left w:val="nil" w:sz="6" w:space="0" w:color="auto"/>
                          <w:bottom w:val="nil" w:sz="6" w:space="0" w:color="auto"/>
                          <w:right w:val="nil" w:sz="6" w:space="0" w:color="auto"/>
                        </w:tcBorders>
                      </w:tcPr>
                      <w:p>
                        <w:pPr>
                          <w:pStyle w:val="TableParagraph"/>
                          <w:tabs>
                            <w:tab w:pos="1208" w:val="left" w:leader="none"/>
                          </w:tabs>
                          <w:spacing w:line="240" w:lineRule="auto" w:before="26"/>
                          <w:ind w:left="10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tab/>
                          <w:t>93,095,725.06</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z w:val="18"/>
                          </w:rPr>
                          <w:t>8.88%</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z w:val="18"/>
                          </w:rPr>
                          <w:t>4,654,786.25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z w:val="18"/>
                          </w:rPr>
                          <w:t>134,767,290.58</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4"/>
                          <w:jc w:val="right"/>
                          <w:rPr>
                            <w:rFonts w:ascii="宋体" w:hAnsi="宋体" w:cs="宋体" w:eastAsia="宋体" w:hint="default"/>
                            <w:sz w:val="18"/>
                            <w:szCs w:val="18"/>
                          </w:rPr>
                        </w:pPr>
                        <w:r>
                          <w:rPr>
                            <w:rFonts w:ascii="宋体"/>
                            <w:sz w:val="18"/>
                          </w:rPr>
                          <w:t>16.81%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6,738,364.53</w:t>
                        </w:r>
                      </w:p>
                    </w:tc>
                  </w:tr>
                  <w:tr>
                    <w:trPr>
                      <w:trHeight w:val="284" w:hRule="exact"/>
                    </w:trPr>
                    <w:tc>
                      <w:tcPr>
                        <w:tcW w:w="2487"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tab/>
                          <w:t>114,172,496.94</w:t>
                        </w:r>
                      </w:p>
                    </w:tc>
                    <w:tc>
                      <w:tcPr>
                        <w:tcW w:w="8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10.90%</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17,125,874.54</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119,804,150.27</w:t>
                        </w:r>
                      </w:p>
                    </w:tc>
                    <w:tc>
                      <w:tcPr>
                        <w:tcW w:w="790" w:type="dxa"/>
                        <w:tcBorders>
                          <w:top w:val="nil" w:sz="6" w:space="0" w:color="auto"/>
                          <w:left w:val="nil" w:sz="6" w:space="0" w:color="auto"/>
                          <w:bottom w:val="nil" w:sz="6" w:space="0" w:color="auto"/>
                          <w:right w:val="nil" w:sz="6" w:space="0" w:color="auto"/>
                        </w:tcBorders>
                      </w:tcPr>
                      <w:p>
                        <w:pPr>
                          <w:pStyle w:val="TableParagraph"/>
                          <w:spacing w:line="232" w:lineRule="exact"/>
                          <w:ind w:right="44"/>
                          <w:jc w:val="right"/>
                          <w:rPr>
                            <w:rFonts w:ascii="宋体" w:hAnsi="宋体" w:cs="宋体" w:eastAsia="宋体" w:hint="default"/>
                            <w:sz w:val="18"/>
                            <w:szCs w:val="18"/>
                          </w:rPr>
                        </w:pPr>
                        <w:r>
                          <w:rPr>
                            <w:rFonts w:ascii="宋体"/>
                            <w:sz w:val="18"/>
                          </w:rPr>
                          <w:t>14.95%</w:t>
                        </w:r>
                      </w:p>
                    </w:tc>
                    <w:tc>
                      <w:tcPr>
                        <w:tcW w:w="1543"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17,970,622.54</w:t>
                        </w:r>
                      </w:p>
                    </w:tc>
                  </w:tr>
                  <w:tr>
                    <w:trPr>
                      <w:trHeight w:val="284" w:hRule="exact"/>
                    </w:trPr>
                    <w:tc>
                      <w:tcPr>
                        <w:tcW w:w="2487" w:type="dxa"/>
                        <w:tcBorders>
                          <w:top w:val="nil" w:sz="6" w:space="0" w:color="auto"/>
                          <w:left w:val="nil" w:sz="6" w:space="0" w:color="auto"/>
                          <w:bottom w:val="nil" w:sz="6" w:space="0" w:color="auto"/>
                          <w:right w:val="nil" w:sz="6" w:space="0" w:color="auto"/>
                        </w:tcBorders>
                      </w:tcPr>
                      <w:p>
                        <w:pPr>
                          <w:pStyle w:val="TableParagraph"/>
                          <w:tabs>
                            <w:tab w:pos="1208"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tab/>
                          <w:t>87,616,623.83</w:t>
                        </w:r>
                      </w:p>
                    </w:tc>
                    <w:tc>
                      <w:tcPr>
                        <w:tcW w:w="8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8.36%</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26,284,987.15</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39,452,789.15</w:t>
                        </w:r>
                      </w:p>
                    </w:tc>
                    <w:tc>
                      <w:tcPr>
                        <w:tcW w:w="790" w:type="dxa"/>
                        <w:tcBorders>
                          <w:top w:val="nil" w:sz="6" w:space="0" w:color="auto"/>
                          <w:left w:val="nil" w:sz="6" w:space="0" w:color="auto"/>
                          <w:bottom w:val="nil" w:sz="6" w:space="0" w:color="auto"/>
                          <w:right w:val="nil" w:sz="6" w:space="0" w:color="auto"/>
                        </w:tcBorders>
                      </w:tcPr>
                      <w:p>
                        <w:pPr>
                          <w:pStyle w:val="TableParagraph"/>
                          <w:spacing w:line="232" w:lineRule="exact"/>
                          <w:ind w:right="44"/>
                          <w:jc w:val="right"/>
                          <w:rPr>
                            <w:rFonts w:ascii="宋体" w:hAnsi="宋体" w:cs="宋体" w:eastAsia="宋体" w:hint="default"/>
                            <w:sz w:val="18"/>
                            <w:szCs w:val="18"/>
                          </w:rPr>
                        </w:pPr>
                        <w:r>
                          <w:rPr>
                            <w:rFonts w:ascii="宋体"/>
                            <w:sz w:val="18"/>
                          </w:rPr>
                          <w:t>4.92%</w:t>
                        </w:r>
                      </w:p>
                    </w:tc>
                    <w:tc>
                      <w:tcPr>
                        <w:tcW w:w="1543"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11,835,836.75</w:t>
                        </w:r>
                      </w:p>
                    </w:tc>
                  </w:tr>
                  <w:tr>
                    <w:trPr>
                      <w:trHeight w:val="313" w:hRule="exact"/>
                    </w:trPr>
                    <w:tc>
                      <w:tcPr>
                        <w:tcW w:w="2487" w:type="dxa"/>
                        <w:tcBorders>
                          <w:top w:val="nil" w:sz="6" w:space="0" w:color="auto"/>
                          <w:left w:val="nil" w:sz="6" w:space="0" w:color="auto"/>
                          <w:bottom w:val="nil" w:sz="6" w:space="0" w:color="auto"/>
                          <w:right w:val="nil" w:sz="6" w:space="0" w:color="auto"/>
                        </w:tcBorders>
                      </w:tcPr>
                      <w:p>
                        <w:pPr>
                          <w:pStyle w:val="TableParagraph"/>
                          <w:tabs>
                            <w:tab w:pos="1208"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tab/>
                          <w:t>32,247,307.22</w:t>
                        </w:r>
                      </w:p>
                    </w:tc>
                    <w:tc>
                      <w:tcPr>
                        <w:tcW w:w="8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3.08%</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16,123,653.61</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44,765,032.24</w:t>
                        </w:r>
                      </w:p>
                    </w:tc>
                    <w:tc>
                      <w:tcPr>
                        <w:tcW w:w="790" w:type="dxa"/>
                        <w:tcBorders>
                          <w:top w:val="nil" w:sz="6" w:space="0" w:color="auto"/>
                          <w:left w:val="nil" w:sz="6" w:space="0" w:color="auto"/>
                          <w:bottom w:val="nil" w:sz="6" w:space="0" w:color="auto"/>
                          <w:right w:val="nil" w:sz="6" w:space="0" w:color="auto"/>
                        </w:tcBorders>
                      </w:tcPr>
                      <w:p>
                        <w:pPr>
                          <w:pStyle w:val="TableParagraph"/>
                          <w:spacing w:line="232" w:lineRule="exact"/>
                          <w:ind w:right="44"/>
                          <w:jc w:val="right"/>
                          <w:rPr>
                            <w:rFonts w:ascii="宋体" w:hAnsi="宋体" w:cs="宋体" w:eastAsia="宋体" w:hint="default"/>
                            <w:sz w:val="18"/>
                            <w:szCs w:val="18"/>
                          </w:rPr>
                        </w:pPr>
                        <w:r>
                          <w:rPr>
                            <w:rFonts w:ascii="宋体"/>
                            <w:sz w:val="18"/>
                          </w:rPr>
                          <w:t>5.59%</w:t>
                        </w:r>
                      </w:p>
                    </w:tc>
                    <w:tc>
                      <w:tcPr>
                        <w:tcW w:w="1543"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22,382,516.12</w:t>
                        </w:r>
                      </w:p>
                    </w:tc>
                  </w:tr>
                  <w:tr>
                    <w:trPr>
                      <w:trHeight w:val="381" w:hRule="exact"/>
                    </w:trPr>
                    <w:tc>
                      <w:tcPr>
                        <w:tcW w:w="2487" w:type="dxa"/>
                        <w:tcBorders>
                          <w:top w:val="nil" w:sz="6" w:space="0" w:color="auto"/>
                          <w:left w:val="nil" w:sz="6" w:space="0" w:color="auto"/>
                          <w:bottom w:val="single" w:sz="4" w:space="0" w:color="000000"/>
                          <w:right w:val="nil" w:sz="6" w:space="0" w:color="auto"/>
                        </w:tcBorders>
                      </w:tcPr>
                      <w:p>
                        <w:pPr>
                          <w:pStyle w:val="TableParagraph"/>
                          <w:spacing w:line="93" w:lineRule="exact"/>
                          <w:ind w:left="109" w:right="0"/>
                          <w:jc w:val="left"/>
                          <w:rPr>
                            <w:rFonts w:ascii="宋体" w:hAnsi="宋体" w:cs="宋体" w:eastAsia="宋体" w:hint="default"/>
                            <w:sz w:val="18"/>
                            <w:szCs w:val="18"/>
                          </w:rPr>
                        </w:pPr>
                        <w:r>
                          <w:rPr>
                            <w:rFonts w:ascii="宋体" w:hAnsi="宋体" w:cs="宋体" w:eastAsia="宋体" w:hint="default"/>
                            <w:sz w:val="18"/>
                            <w:szCs w:val="18"/>
                          </w:rPr>
                          <w:t>5 年</w:t>
                        </w:r>
                        <w:r>
                          <w:rPr>
                            <w:rFonts w:ascii="宋体" w:hAnsi="宋体" w:cs="宋体" w:eastAsia="宋体" w:hint="default"/>
                            <w:spacing w:val="-30"/>
                            <w:sz w:val="18"/>
                            <w:szCs w:val="18"/>
                          </w:rPr>
                          <w:t> </w:t>
                        </w:r>
                        <w:r>
                          <w:rPr>
                            <w:rFonts w:ascii="宋体" w:hAnsi="宋体" w:cs="宋体" w:eastAsia="宋体" w:hint="default"/>
                            <w:sz w:val="18"/>
                            <w:szCs w:val="18"/>
                          </w:rPr>
                          <w:t>以</w:t>
                        </w:r>
                      </w:p>
                      <w:p>
                        <w:pPr>
                          <w:pStyle w:val="TableParagraph"/>
                          <w:tabs>
                            <w:tab w:pos="1208" w:val="left" w:leader="none"/>
                          </w:tabs>
                          <w:spacing w:line="268" w:lineRule="exact"/>
                          <w:ind w:left="109" w:right="0"/>
                          <w:jc w:val="left"/>
                          <w:rPr>
                            <w:rFonts w:ascii="宋体" w:hAnsi="宋体" w:cs="宋体" w:eastAsia="宋体" w:hint="default"/>
                            <w:sz w:val="18"/>
                            <w:szCs w:val="18"/>
                          </w:rPr>
                        </w:pPr>
                        <w:r>
                          <w:rPr>
                            <w:rFonts w:ascii="宋体" w:hAnsi="宋体" w:cs="宋体" w:eastAsia="宋体" w:hint="default"/>
                            <w:position w:val="-9"/>
                            <w:sz w:val="18"/>
                            <w:szCs w:val="18"/>
                          </w:rPr>
                          <w:t>上</w:t>
                          <w:tab/>
                        </w:r>
                        <w:r>
                          <w:rPr>
                            <w:rFonts w:ascii="宋体" w:hAnsi="宋体" w:cs="宋体" w:eastAsia="宋体" w:hint="default"/>
                            <w:sz w:val="18"/>
                            <w:szCs w:val="18"/>
                          </w:rPr>
                          <w:t>96,679,647.35</w:t>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9.23%</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96,679,647.35</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65,481,203.04</w:t>
                        </w:r>
                      </w:p>
                    </w:tc>
                    <w:tc>
                      <w:tcPr>
                        <w:tcW w:w="79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44"/>
                          <w:jc w:val="right"/>
                          <w:rPr>
                            <w:rFonts w:ascii="宋体" w:hAnsi="宋体" w:cs="宋体" w:eastAsia="宋体" w:hint="default"/>
                            <w:sz w:val="18"/>
                            <w:szCs w:val="18"/>
                          </w:rPr>
                        </w:pPr>
                        <w:r>
                          <w:rPr>
                            <w:rFonts w:ascii="宋体"/>
                            <w:sz w:val="18"/>
                          </w:rPr>
                          <w:t>8.17%</w:t>
                        </w: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99"/>
                          <w:jc w:val="right"/>
                          <w:rPr>
                            <w:rFonts w:ascii="宋体" w:hAnsi="宋体" w:cs="宋体" w:eastAsia="宋体" w:hint="default"/>
                            <w:sz w:val="18"/>
                            <w:szCs w:val="18"/>
                          </w:rPr>
                        </w:pPr>
                        <w:r>
                          <w:rPr>
                            <w:rFonts w:ascii="宋体"/>
                            <w:sz w:val="18"/>
                          </w:rPr>
                          <w:t>65,481,203.04</w:t>
                        </w:r>
                      </w:p>
                    </w:tc>
                  </w:tr>
                  <w:tr>
                    <w:trPr>
                      <w:trHeight w:val="304" w:hRule="exact"/>
                    </w:trPr>
                    <w:tc>
                      <w:tcPr>
                        <w:tcW w:w="2487" w:type="dxa"/>
                        <w:tcBorders>
                          <w:top w:val="single" w:sz="4" w:space="0" w:color="000000"/>
                          <w:left w:val="nil" w:sz="6" w:space="0" w:color="auto"/>
                          <w:bottom w:val="single" w:sz="12" w:space="0" w:color="000000"/>
                          <w:right w:val="nil" w:sz="6" w:space="0" w:color="auto"/>
                        </w:tcBorders>
                      </w:tcPr>
                      <w:p>
                        <w:pPr>
                          <w:pStyle w:val="TableParagraph"/>
                          <w:tabs>
                            <w:tab w:pos="926" w:val="left" w:leader="none"/>
                          </w:tabs>
                          <w:spacing w:line="227"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1,047,747,475.08</w:t>
                        </w:r>
                        <w:r>
                          <w:rPr>
                            <w:rFonts w:ascii="宋体" w:hAnsi="宋体" w:cs="宋体" w:eastAsia="宋体" w:hint="default"/>
                            <w:sz w:val="18"/>
                            <w:szCs w:val="18"/>
                          </w:rPr>
                        </w:r>
                      </w:p>
                    </w:tc>
                    <w:tc>
                      <w:tcPr>
                        <w:tcW w:w="85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b/>
                            <w:w w:val="95"/>
                            <w:sz w:val="18"/>
                          </w:rPr>
                          <w:t>100.00%</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166,371,326.09</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801,440,018.79</w:t>
                        </w:r>
                        <w:r>
                          <w:rPr>
                            <w:rFonts w:ascii="宋体"/>
                            <w:sz w:val="18"/>
                          </w:rPr>
                        </w:r>
                      </w:p>
                    </w:tc>
                    <w:tc>
                      <w:tcPr>
                        <w:tcW w:w="79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4"/>
                          <w:jc w:val="right"/>
                          <w:rPr>
                            <w:rFonts w:ascii="宋体" w:hAnsi="宋体" w:cs="宋体" w:eastAsia="宋体" w:hint="default"/>
                            <w:sz w:val="18"/>
                            <w:szCs w:val="18"/>
                          </w:rPr>
                        </w:pPr>
                        <w:r>
                          <w:rPr>
                            <w:rFonts w:ascii="宋体"/>
                            <w:b/>
                            <w:w w:val="95"/>
                            <w:sz w:val="18"/>
                          </w:rPr>
                          <w:t>100.00%</w:t>
                        </w:r>
                        <w:r>
                          <w:rPr>
                            <w:rFonts w:ascii="宋体"/>
                            <w:sz w:val="18"/>
                          </w:rPr>
                        </w:r>
                      </w:p>
                    </w:tc>
                    <w:tc>
                      <w:tcPr>
                        <w:tcW w:w="154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0"/>
                          <w:jc w:val="right"/>
                          <w:rPr>
                            <w:rFonts w:ascii="宋体" w:hAnsi="宋体" w:cs="宋体" w:eastAsia="宋体" w:hint="default"/>
                            <w:sz w:val="18"/>
                            <w:szCs w:val="18"/>
                          </w:rPr>
                        </w:pPr>
                        <w:r>
                          <w:rPr>
                            <w:rFonts w:ascii="宋体"/>
                            <w:b/>
                            <w:w w:val="95"/>
                            <w:sz w:val="18"/>
                          </w:rPr>
                          <w:t>128,738,538.47</w:t>
                        </w:r>
                        <w:r>
                          <w:rPr>
                            <w:rFonts w:ascii="宋体"/>
                            <w:sz w:val="18"/>
                          </w:rPr>
                        </w:r>
                      </w:p>
                    </w:tc>
                  </w:tr>
                  <w:tr>
                    <w:trPr>
                      <w:trHeight w:val="576" w:hRule="exact"/>
                    </w:trPr>
                    <w:tc>
                      <w:tcPr>
                        <w:tcW w:w="864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9"/>
                          <w:ind w:left="290"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采用其他方法计提坏账准备的其他应收款</w:t>
                        </w:r>
                      </w:p>
                    </w:tc>
                  </w:tr>
                  <w:tr>
                    <w:trPr>
                      <w:trHeight w:val="303" w:hRule="exact"/>
                    </w:trPr>
                    <w:tc>
                      <w:tcPr>
                        <w:tcW w:w="248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36"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6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8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2332"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83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293" w:hRule="exact"/>
                    </w:trPr>
                    <w:tc>
                      <w:tcPr>
                        <w:tcW w:w="248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泰豪科技并入</w:t>
                        </w:r>
                      </w:p>
                    </w:tc>
                    <w:tc>
                      <w:tcPr>
                        <w:tcW w:w="2336" w:type="dxa"/>
                        <w:gridSpan w:val="2"/>
                        <w:tcBorders>
                          <w:top w:val="single" w:sz="4" w:space="0" w:color="000000"/>
                          <w:left w:val="nil" w:sz="6" w:space="0" w:color="auto"/>
                          <w:bottom w:val="single" w:sz="4" w:space="0" w:color="000000"/>
                          <w:right w:val="nil" w:sz="6" w:space="0" w:color="auto"/>
                        </w:tcBorders>
                      </w:tcPr>
                      <w:p>
                        <w:pPr>
                          <w:pStyle w:val="TableParagraph"/>
                          <w:spacing w:line="226" w:lineRule="exact"/>
                          <w:ind w:left="731" w:right="0"/>
                          <w:jc w:val="left"/>
                          <w:rPr>
                            <w:rFonts w:ascii="宋体" w:hAnsi="宋体" w:cs="宋体" w:eastAsia="宋体" w:hint="default"/>
                            <w:sz w:val="18"/>
                            <w:szCs w:val="18"/>
                          </w:rPr>
                        </w:pPr>
                        <w:r>
                          <w:rPr>
                            <w:rFonts w:ascii="宋体"/>
                            <w:sz w:val="18"/>
                          </w:rPr>
                          <w:t>217,647,300.00</w:t>
                        </w:r>
                      </w:p>
                    </w:tc>
                    <w:tc>
                      <w:tcPr>
                        <w:tcW w:w="148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473" w:right="0"/>
                          <w:jc w:val="left"/>
                          <w:rPr>
                            <w:rFonts w:ascii="宋体" w:hAnsi="宋体" w:cs="宋体" w:eastAsia="宋体" w:hint="default"/>
                            <w:sz w:val="18"/>
                            <w:szCs w:val="18"/>
                          </w:rPr>
                        </w:pPr>
                        <w:r>
                          <w:rPr>
                            <w:rFonts w:ascii="宋体"/>
                            <w:sz w:val="18"/>
                          </w:rPr>
                          <w:t>0.00</w:t>
                        </w:r>
                      </w:p>
                    </w:tc>
                    <w:tc>
                      <w:tcPr>
                        <w:tcW w:w="2332" w:type="dxa"/>
                        <w:gridSpan w:val="2"/>
                        <w:tcBorders>
                          <w:top w:val="single" w:sz="4" w:space="0" w:color="000000"/>
                          <w:left w:val="nil" w:sz="6" w:space="0" w:color="auto"/>
                          <w:bottom w:val="single" w:sz="4" w:space="0" w:color="000000"/>
                          <w:right w:val="nil" w:sz="6" w:space="0" w:color="auto"/>
                        </w:tcBorders>
                      </w:tcPr>
                      <w:p>
                        <w:pPr>
                          <w:pStyle w:val="TableParagraph"/>
                          <w:spacing w:line="226" w:lineRule="exact"/>
                          <w:ind w:left="63" w:right="0"/>
                          <w:jc w:val="center"/>
                          <w:rPr>
                            <w:rFonts w:ascii="宋体" w:hAnsi="宋体" w:cs="宋体" w:eastAsia="宋体" w:hint="default"/>
                            <w:sz w:val="18"/>
                            <w:szCs w:val="18"/>
                          </w:rPr>
                        </w:pPr>
                        <w:r>
                          <w:rPr>
                            <w:rFonts w:ascii="宋体"/>
                            <w:sz w:val="18"/>
                          </w:rPr>
                          <w:t>0.00%</w:t>
                        </w:r>
                      </w:p>
                    </w:tc>
                  </w:tr>
                  <w:tr>
                    <w:trPr>
                      <w:trHeight w:val="303" w:hRule="exact"/>
                    </w:trPr>
                    <w:tc>
                      <w:tcPr>
                        <w:tcW w:w="248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36"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720" w:right="0"/>
                          <w:jc w:val="left"/>
                          <w:rPr>
                            <w:rFonts w:ascii="宋体" w:hAnsi="宋体" w:cs="宋体" w:eastAsia="宋体" w:hint="default"/>
                            <w:sz w:val="18"/>
                            <w:szCs w:val="18"/>
                          </w:rPr>
                        </w:pPr>
                        <w:r>
                          <w:rPr>
                            <w:rFonts w:ascii="宋体"/>
                            <w:b/>
                            <w:sz w:val="18"/>
                          </w:rPr>
                          <w:t>217,647,300.00</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70" w:right="0"/>
                          <w:jc w:val="left"/>
                          <w:rPr>
                            <w:rFonts w:ascii="宋体" w:hAnsi="宋体" w:cs="宋体" w:eastAsia="宋体" w:hint="default"/>
                            <w:sz w:val="18"/>
                            <w:szCs w:val="18"/>
                          </w:rPr>
                        </w:pPr>
                        <w:r>
                          <w:rPr>
                            <w:rFonts w:ascii="宋体"/>
                            <w:b/>
                            <w:sz w:val="18"/>
                          </w:rPr>
                          <w:t>0.00</w:t>
                        </w:r>
                        <w:r>
                          <w:rPr>
                            <w:rFonts w:ascii="宋体"/>
                            <w:sz w:val="18"/>
                          </w:rPr>
                        </w:r>
                      </w:p>
                    </w:tc>
                    <w:tc>
                      <w:tcPr>
                        <w:tcW w:w="2332"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62" w:right="0"/>
                          <w:jc w:val="center"/>
                          <w:rPr>
                            <w:rFonts w:ascii="宋体" w:hAnsi="宋体" w:cs="宋体" w:eastAsia="宋体" w:hint="default"/>
                            <w:sz w:val="18"/>
                            <w:szCs w:val="18"/>
                          </w:rPr>
                        </w:pPr>
                        <w:r>
                          <w:rPr>
                            <w:rFonts w:ascii="宋体"/>
                            <w:b/>
                            <w:sz w:val="18"/>
                          </w:rPr>
                          <w:t>0.00%</w:t>
                        </w:r>
                        <w:r>
                          <w:rPr>
                            <w:rFonts w:ascii="宋体"/>
                            <w:sz w:val="18"/>
                          </w:rPr>
                        </w:r>
                      </w:p>
                    </w:tc>
                  </w:tr>
                </w:tbl>
                <w:p>
                  <w:pPr/>
                </w:p>
              </w:txbxContent>
            </v:textbox>
            <w10:wrap type="none"/>
          </v:shape>
        </w:pict>
      </w:r>
      <w:r>
        <w:rPr>
          <w:rFonts w:ascii="宋体" w:hAnsi="宋体" w:cs="宋体" w:eastAsia="宋体" w:hint="default"/>
          <w:sz w:val="18"/>
          <w:szCs w:val="18"/>
        </w:rPr>
        <w:t>1 年</w:t>
      </w:r>
      <w:r>
        <w:rPr>
          <w:rFonts w:ascii="宋体" w:hAnsi="宋体" w:cs="宋体" w:eastAsia="宋体" w:hint="default"/>
          <w:spacing w:val="-30"/>
          <w:sz w:val="18"/>
          <w:szCs w:val="18"/>
        </w:rPr>
        <w:t> </w:t>
      </w:r>
      <w:r>
        <w:rPr>
          <w:rFonts w:ascii="宋体" w:hAnsi="宋体" w:cs="宋体" w:eastAsia="宋体" w:hint="default"/>
          <w:sz w:val="18"/>
          <w:szCs w:val="18"/>
        </w:rPr>
        <w:t>以</w:t>
      </w:r>
    </w:p>
    <w:p>
      <w:pPr>
        <w:tabs>
          <w:tab w:pos="3913" w:val="left" w:leader="none"/>
        </w:tabs>
        <w:spacing w:line="227" w:lineRule="exact" w:before="0"/>
        <w:ind w:left="0" w:right="642"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57" w:right="0" w:firstLine="0"/>
        <w:rPr>
          <w:rFonts w:ascii="宋体" w:hAnsi="宋体" w:cs="宋体" w:eastAsia="宋体" w:hint="default"/>
          <w:sz w:val="2"/>
          <w:szCs w:val="2"/>
        </w:rPr>
      </w:pPr>
      <w:r>
        <w:rPr>
          <w:rFonts w:ascii="宋体" w:hAnsi="宋体" w:cs="宋体" w:eastAsia="宋体" w:hint="default"/>
          <w:sz w:val="2"/>
          <w:szCs w:val="2"/>
        </w:rPr>
        <w:pict>
          <v:group style="width:391.9pt;height:.5pt;mso-position-horizontal-relative:char;mso-position-vertical-relative:line" coordorigin="0,0" coordsize="7838,10">
            <v:group style="position:absolute;left:5;top:5;width:7828;height:2" coordorigin="5,5" coordsize="7828,2">
              <v:shape style="position:absolute;left:5;top:5;width:7828;height:2" coordorigin="5,5" coordsize="7828,0" path="m5,5l7832,5e" filled="false" stroked="true" strokeweight=".48pt" strokecolor="#000000">
                <v:path arrowok="t"/>
              </v:shape>
            </v:group>
          </v:group>
        </w:pict>
      </w:r>
      <w:r>
        <w:rPr>
          <w:rFonts w:ascii="宋体" w:hAnsi="宋体" w:cs="宋体" w:eastAsia="宋体" w:hint="default"/>
          <w:sz w:val="2"/>
          <w:szCs w:val="2"/>
        </w:rPr>
      </w:r>
    </w:p>
    <w:p>
      <w:pPr>
        <w:tabs>
          <w:tab w:pos="1258" w:val="left" w:leader="none"/>
          <w:tab w:pos="2246" w:val="left" w:leader="none"/>
          <w:tab w:pos="3913" w:val="left" w:leader="none"/>
          <w:tab w:pos="5080" w:val="left" w:leader="none"/>
          <w:tab w:pos="6069" w:val="left" w:leader="none"/>
        </w:tabs>
        <w:spacing w:before="0"/>
        <w:ind w:left="0" w:right="461" w:firstLine="0"/>
        <w:jc w:val="center"/>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t>金额</w:t>
        <w:tab/>
        <w:t>比例</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600" w:bottom="280" w:left="880" w:right="760"/>
          <w:cols w:num="2" w:equalWidth="0">
            <w:col w:w="1525" w:space="40"/>
            <w:col w:w="870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line="324" w:lineRule="auto" w:before="31"/>
        <w:ind w:left="538" w:right="491" w:firstLine="453"/>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年末余额较年初余额增加</w:t>
      </w:r>
      <w:r>
        <w:rPr>
          <w:rFonts w:ascii="宋体" w:hAnsi="宋体" w:cs="宋体" w:eastAsia="宋体" w:hint="default"/>
          <w:spacing w:val="-60"/>
          <w:sz w:val="22"/>
          <w:szCs w:val="22"/>
        </w:rPr>
        <w:t> </w:t>
      </w:r>
      <w:r>
        <w:rPr>
          <w:rFonts w:ascii="宋体" w:hAnsi="宋体" w:cs="宋体" w:eastAsia="宋体" w:hint="default"/>
          <w:sz w:val="22"/>
          <w:szCs w:val="22"/>
        </w:rPr>
        <w:t>428,124,760.69</w:t>
      </w:r>
      <w:r>
        <w:rPr>
          <w:rFonts w:ascii="宋体" w:hAnsi="宋体" w:cs="宋体" w:eastAsia="宋体" w:hint="default"/>
          <w:spacing w:val="-60"/>
          <w:sz w:val="22"/>
          <w:szCs w:val="22"/>
        </w:rPr>
        <w:t> </w:t>
      </w:r>
      <w:r>
        <w:rPr>
          <w:rFonts w:ascii="宋体" w:hAnsi="宋体" w:cs="宋体" w:eastAsia="宋体" w:hint="default"/>
          <w:sz w:val="22"/>
          <w:szCs w:val="22"/>
        </w:rPr>
        <w:t>元，增幅</w:t>
      </w:r>
      <w:r>
        <w:rPr>
          <w:rFonts w:ascii="宋体" w:hAnsi="宋体" w:cs="宋体" w:eastAsia="宋体" w:hint="default"/>
          <w:spacing w:val="-60"/>
          <w:sz w:val="22"/>
          <w:szCs w:val="22"/>
        </w:rPr>
        <w:t> </w:t>
      </w:r>
      <w:r>
        <w:rPr>
          <w:rFonts w:ascii="宋体" w:hAnsi="宋体" w:cs="宋体" w:eastAsia="宋体" w:hint="default"/>
          <w:sz w:val="22"/>
          <w:szCs w:val="22"/>
        </w:rPr>
        <w:t>51.13%，主要系本公司之控股子公</w:t>
      </w:r>
      <w:r>
        <w:rPr>
          <w:rFonts w:ascii="宋体" w:hAnsi="宋体" w:cs="宋体" w:eastAsia="宋体" w:hint="default"/>
          <w:w w:val="99"/>
          <w:sz w:val="22"/>
          <w:szCs w:val="22"/>
        </w:rPr>
        <w:t> </w:t>
      </w:r>
      <w:r>
        <w:rPr>
          <w:rFonts w:ascii="宋体" w:hAnsi="宋体" w:cs="宋体" w:eastAsia="宋体" w:hint="default"/>
          <w:spacing w:val="29"/>
          <w:sz w:val="22"/>
          <w:szCs w:val="22"/>
        </w:rPr>
        <w:t>司泰豪科技股份有限公司为遵义市汇川区城市建设投资经营有限公司垫付项目前</w:t>
      </w:r>
      <w:r>
        <w:rPr>
          <w:rFonts w:ascii="宋体" w:hAnsi="宋体" w:cs="宋体" w:eastAsia="宋体" w:hint="default"/>
          <w:spacing w:val="-85"/>
          <w:sz w:val="22"/>
          <w:szCs w:val="22"/>
        </w:rPr>
        <w:t> </w:t>
      </w:r>
      <w:r>
        <w:rPr>
          <w:rFonts w:ascii="宋体" w:hAnsi="宋体" w:cs="宋体" w:eastAsia="宋体" w:hint="default"/>
          <w:sz w:val="22"/>
          <w:szCs w:val="22"/>
        </w:rPr>
        <w:t>期</w:t>
      </w:r>
      <w:r>
        <w:rPr>
          <w:rFonts w:ascii="宋体" w:hAnsi="宋体" w:cs="宋体" w:eastAsia="宋体" w:hint="default"/>
          <w:spacing w:val="-85"/>
          <w:sz w:val="22"/>
          <w:szCs w:val="22"/>
        </w:rPr>
        <w:t> </w:t>
      </w:r>
      <w:r>
        <w:rPr>
          <w:rFonts w:ascii="宋体" w:hAnsi="宋体" w:cs="宋体" w:eastAsia="宋体" w:hint="default"/>
          <w:sz w:val="22"/>
          <w:szCs w:val="22"/>
        </w:rPr>
        <w:t>款</w:t>
      </w:r>
      <w:r>
        <w:rPr>
          <w:rFonts w:ascii="宋体" w:hAnsi="宋体" w:cs="宋体" w:eastAsia="宋体" w:hint="default"/>
          <w:w w:val="99"/>
          <w:sz w:val="22"/>
          <w:szCs w:val="22"/>
        </w:rPr>
        <w:t> </w:t>
      </w:r>
      <w:r>
        <w:rPr>
          <w:rFonts w:ascii="宋体" w:hAnsi="宋体" w:cs="宋体" w:eastAsia="宋体" w:hint="default"/>
          <w:sz w:val="22"/>
          <w:szCs w:val="22"/>
        </w:rPr>
        <w:t>101,000,000.00</w:t>
      </w:r>
      <w:r>
        <w:rPr>
          <w:rFonts w:ascii="宋体" w:hAnsi="宋体" w:cs="宋体" w:eastAsia="宋体" w:hint="default"/>
          <w:spacing w:val="26"/>
          <w:sz w:val="22"/>
          <w:szCs w:val="22"/>
        </w:rPr>
        <w:t> </w:t>
      </w:r>
      <w:r>
        <w:rPr>
          <w:rFonts w:ascii="宋体" w:hAnsi="宋体" w:cs="宋体" w:eastAsia="宋体" w:hint="default"/>
          <w:sz w:val="22"/>
          <w:szCs w:val="22"/>
        </w:rPr>
        <w:t>元</w:t>
      </w:r>
      <w:r>
        <w:rPr>
          <w:rFonts w:ascii="宋体" w:hAnsi="宋体" w:cs="宋体" w:eastAsia="宋体" w:hint="default"/>
          <w:spacing w:val="-81"/>
          <w:sz w:val="22"/>
          <w:szCs w:val="22"/>
        </w:rPr>
        <w:t> </w:t>
      </w:r>
      <w:r>
        <w:rPr>
          <w:rFonts w:ascii="宋体" w:hAnsi="宋体" w:cs="宋体" w:eastAsia="宋体" w:hint="default"/>
          <w:sz w:val="22"/>
          <w:szCs w:val="22"/>
        </w:rPr>
        <w:t>及</w:t>
      </w:r>
      <w:r>
        <w:rPr>
          <w:rFonts w:ascii="宋体" w:hAnsi="宋体" w:cs="宋体" w:eastAsia="宋体" w:hint="default"/>
          <w:spacing w:val="-81"/>
          <w:sz w:val="22"/>
          <w:szCs w:val="22"/>
        </w:rPr>
        <w:t> </w:t>
      </w:r>
      <w:r>
        <w:rPr>
          <w:rFonts w:ascii="宋体" w:hAnsi="宋体" w:cs="宋体" w:eastAsia="宋体" w:hint="default"/>
          <w:sz w:val="22"/>
          <w:szCs w:val="22"/>
        </w:rPr>
        <w:t>根</w:t>
      </w:r>
      <w:r>
        <w:rPr>
          <w:rFonts w:ascii="宋体" w:hAnsi="宋体" w:cs="宋体" w:eastAsia="宋体" w:hint="default"/>
          <w:spacing w:val="-80"/>
          <w:sz w:val="22"/>
          <w:szCs w:val="22"/>
        </w:rPr>
        <w:t> </w:t>
      </w:r>
      <w:r>
        <w:rPr>
          <w:rFonts w:ascii="宋体" w:hAnsi="宋体" w:cs="宋体" w:eastAsia="宋体" w:hint="default"/>
          <w:sz w:val="22"/>
          <w:szCs w:val="22"/>
        </w:rPr>
        <w:t>据</w:t>
      </w:r>
      <w:r>
        <w:rPr>
          <w:rFonts w:ascii="宋体" w:hAnsi="宋体" w:cs="宋体" w:eastAsia="宋体" w:hint="default"/>
          <w:spacing w:val="-81"/>
          <w:sz w:val="22"/>
          <w:szCs w:val="22"/>
        </w:rPr>
        <w:t> </w:t>
      </w:r>
      <w:r>
        <w:rPr>
          <w:rFonts w:ascii="宋体" w:hAnsi="宋体" w:cs="宋体" w:eastAsia="宋体" w:hint="default"/>
          <w:spacing w:val="24"/>
          <w:sz w:val="22"/>
          <w:szCs w:val="22"/>
        </w:rPr>
        <w:t>协议支付</w:t>
      </w:r>
      <w:r>
        <w:rPr>
          <w:rFonts w:ascii="宋体" w:hAnsi="宋体" w:cs="宋体" w:eastAsia="宋体" w:hint="default"/>
          <w:spacing w:val="-81"/>
          <w:sz w:val="22"/>
          <w:szCs w:val="22"/>
        </w:rPr>
        <w:t> </w:t>
      </w:r>
      <w:r>
        <w:rPr>
          <w:rFonts w:ascii="宋体" w:hAnsi="宋体" w:cs="宋体" w:eastAsia="宋体" w:hint="default"/>
          <w:spacing w:val="24"/>
          <w:sz w:val="22"/>
          <w:szCs w:val="22"/>
        </w:rPr>
        <w:t>沈阳市铁</w:t>
      </w:r>
      <w:r>
        <w:rPr>
          <w:rFonts w:ascii="宋体" w:hAnsi="宋体" w:cs="宋体" w:eastAsia="宋体" w:hint="default"/>
          <w:spacing w:val="-81"/>
          <w:sz w:val="22"/>
          <w:szCs w:val="22"/>
        </w:rPr>
        <w:t> </w:t>
      </w:r>
      <w:r>
        <w:rPr>
          <w:rFonts w:ascii="宋体" w:hAnsi="宋体" w:cs="宋体" w:eastAsia="宋体" w:hint="default"/>
          <w:spacing w:val="24"/>
          <w:sz w:val="22"/>
          <w:szCs w:val="22"/>
        </w:rPr>
        <w:t>西区财政</w:t>
      </w:r>
      <w:r>
        <w:rPr>
          <w:rFonts w:ascii="宋体" w:hAnsi="宋体" w:cs="宋体" w:eastAsia="宋体" w:hint="default"/>
          <w:spacing w:val="-81"/>
          <w:sz w:val="22"/>
          <w:szCs w:val="22"/>
        </w:rPr>
        <w:t> </w:t>
      </w:r>
      <w:r>
        <w:rPr>
          <w:rFonts w:ascii="宋体" w:hAnsi="宋体" w:cs="宋体" w:eastAsia="宋体" w:hint="default"/>
          <w:spacing w:val="24"/>
          <w:sz w:val="22"/>
          <w:szCs w:val="22"/>
        </w:rPr>
        <w:t>局购买沈</w:t>
      </w:r>
      <w:r>
        <w:rPr>
          <w:rFonts w:ascii="宋体" w:hAnsi="宋体" w:cs="宋体" w:eastAsia="宋体" w:hint="default"/>
          <w:spacing w:val="-81"/>
          <w:sz w:val="22"/>
          <w:szCs w:val="22"/>
        </w:rPr>
        <w:t> </w:t>
      </w:r>
      <w:r>
        <w:rPr>
          <w:rFonts w:ascii="宋体" w:hAnsi="宋体" w:cs="宋体" w:eastAsia="宋体" w:hint="default"/>
          <w:spacing w:val="24"/>
          <w:sz w:val="22"/>
          <w:szCs w:val="22"/>
        </w:rPr>
        <w:t>阳电机设</w:t>
      </w:r>
      <w:r>
        <w:rPr>
          <w:rFonts w:ascii="宋体" w:hAnsi="宋体" w:cs="宋体" w:eastAsia="宋体" w:hint="default"/>
          <w:spacing w:val="-81"/>
          <w:sz w:val="22"/>
          <w:szCs w:val="22"/>
        </w:rPr>
        <w:t> </w:t>
      </w:r>
      <w:r>
        <w:rPr>
          <w:rFonts w:ascii="宋体" w:hAnsi="宋体" w:cs="宋体" w:eastAsia="宋体" w:hint="default"/>
          <w:spacing w:val="24"/>
          <w:sz w:val="22"/>
          <w:szCs w:val="22"/>
        </w:rPr>
        <w:t>备款的保</w:t>
      </w:r>
      <w:r>
        <w:rPr>
          <w:rFonts w:ascii="宋体" w:hAnsi="宋体" w:cs="宋体" w:eastAsia="宋体" w:hint="default"/>
          <w:spacing w:val="-81"/>
          <w:sz w:val="22"/>
          <w:szCs w:val="22"/>
        </w:rPr>
        <w:t> </w:t>
      </w:r>
      <w:r>
        <w:rPr>
          <w:rFonts w:ascii="宋体" w:hAnsi="宋体" w:cs="宋体" w:eastAsia="宋体" w:hint="default"/>
          <w:spacing w:val="16"/>
          <w:sz w:val="22"/>
          <w:szCs w:val="22"/>
        </w:rPr>
        <w:t>证金</w:t>
      </w:r>
      <w:r>
        <w:rPr>
          <w:rFonts w:ascii="宋体" w:hAnsi="宋体" w:cs="宋体" w:eastAsia="宋体" w:hint="default"/>
          <w:spacing w:val="-78"/>
          <w:sz w:val="22"/>
          <w:szCs w:val="22"/>
        </w:rPr>
        <w:t> </w:t>
      </w:r>
      <w:r>
        <w:rPr>
          <w:rFonts w:ascii="宋体" w:hAnsi="宋体" w:cs="宋体" w:eastAsia="宋体" w:hint="default"/>
          <w:sz w:val="22"/>
          <w:szCs w:val="22"/>
        </w:rPr>
      </w:r>
    </w:p>
    <w:p>
      <w:pPr>
        <w:spacing w:before="25"/>
        <w:ind w:left="538" w:right="406" w:firstLine="0"/>
        <w:jc w:val="left"/>
        <w:rPr>
          <w:rFonts w:ascii="宋体" w:hAnsi="宋体" w:cs="宋体" w:eastAsia="宋体" w:hint="default"/>
          <w:sz w:val="22"/>
          <w:szCs w:val="22"/>
        </w:rPr>
      </w:pPr>
      <w:r>
        <w:rPr>
          <w:rFonts w:ascii="宋体" w:hAnsi="宋体" w:cs="宋体" w:eastAsia="宋体" w:hint="default"/>
          <w:sz w:val="22"/>
          <w:szCs w:val="22"/>
        </w:rPr>
        <w:t>86,647,300.00</w:t>
      </w:r>
      <w:r>
        <w:rPr>
          <w:rFonts w:ascii="宋体" w:hAnsi="宋体" w:cs="宋体" w:eastAsia="宋体" w:hint="default"/>
          <w:spacing w:val="-8"/>
          <w:sz w:val="22"/>
          <w:szCs w:val="22"/>
        </w:rPr>
        <w:t> </w:t>
      </w:r>
      <w:r>
        <w:rPr>
          <w:rFonts w:ascii="宋体" w:hAnsi="宋体" w:cs="宋体" w:eastAsia="宋体" w:hint="default"/>
          <w:spacing w:val="12"/>
          <w:sz w:val="22"/>
          <w:szCs w:val="22"/>
        </w:rPr>
        <w:t>元、本公司之二级子公司景德镇同方科技建设有限公司支付土地投标保证金</w:t>
      </w:r>
    </w:p>
    <w:p>
      <w:pPr>
        <w:spacing w:before="102"/>
        <w:ind w:left="538" w:right="690" w:firstLine="0"/>
        <w:jc w:val="left"/>
        <w:rPr>
          <w:rFonts w:ascii="宋体" w:hAnsi="宋体" w:cs="宋体" w:eastAsia="宋体" w:hint="default"/>
          <w:sz w:val="22"/>
          <w:szCs w:val="22"/>
        </w:rPr>
      </w:pPr>
      <w:r>
        <w:rPr>
          <w:rFonts w:ascii="宋体" w:hAnsi="宋体" w:cs="宋体" w:eastAsia="宋体" w:hint="default"/>
          <w:sz w:val="22"/>
          <w:szCs w:val="22"/>
        </w:rPr>
        <w:t>100,000,000.00</w:t>
      </w:r>
      <w:r>
        <w:rPr>
          <w:rFonts w:ascii="宋体" w:hAnsi="宋体" w:cs="宋体" w:eastAsia="宋体" w:hint="default"/>
          <w:spacing w:val="-60"/>
          <w:sz w:val="22"/>
          <w:szCs w:val="22"/>
        </w:rPr>
        <w:t> </w:t>
      </w:r>
      <w:r>
        <w:rPr>
          <w:rFonts w:ascii="宋体" w:hAnsi="宋体" w:cs="宋体" w:eastAsia="宋体" w:hint="default"/>
          <w:sz w:val="22"/>
          <w:szCs w:val="22"/>
        </w:rPr>
        <w:t>元所致。</w:t>
      </w:r>
    </w:p>
    <w:p>
      <w:pPr>
        <w:spacing w:before="140"/>
        <w:ind w:left="992" w:right="69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p>
    <w:p>
      <w:pPr>
        <w:spacing w:after="0"/>
        <w:jc w:val="left"/>
        <w:rPr>
          <w:rFonts w:ascii="宋体" w:hAnsi="宋体" w:cs="宋体" w:eastAsia="宋体" w:hint="default"/>
          <w:sz w:val="22"/>
          <w:szCs w:val="22"/>
        </w:rPr>
        <w:sectPr>
          <w:type w:val="continuous"/>
          <w:pgSz w:w="11910" w:h="16840"/>
          <w:pgMar w:top="1600" w:bottom="280" w:left="880" w:right="7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9"/>
          <w:sz w:val="22"/>
          <w:szCs w:val="22"/>
        </w:rPr>
        <w:t> </w:t>
      </w:r>
      <w:r>
        <w:rPr>
          <w:rFonts w:ascii="宋体" w:hAnsi="宋体" w:cs="宋体" w:eastAsia="宋体" w:hint="default"/>
          <w:sz w:val="22"/>
          <w:szCs w:val="22"/>
        </w:rPr>
        <w:t>397,215,650.87</w:t>
      </w:r>
      <w:r>
        <w:rPr>
          <w:rFonts w:ascii="宋体" w:hAnsi="宋体" w:cs="宋体" w:eastAsia="宋体" w:hint="default"/>
          <w:spacing w:val="-59"/>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9"/>
          <w:sz w:val="22"/>
          <w:szCs w:val="22"/>
        </w:rPr>
        <w:t> </w:t>
      </w:r>
      <w:r>
        <w:rPr>
          <w:rFonts w:ascii="宋体" w:hAnsi="宋体" w:cs="宋体" w:eastAsia="宋体" w:hint="default"/>
          <w:sz w:val="22"/>
          <w:szCs w:val="22"/>
        </w:rPr>
        <w:t>31.39%</w:t>
      </w:r>
    </w:p>
    <w:p>
      <w:pPr>
        <w:spacing w:line="324" w:lineRule="auto" w:before="140"/>
        <w:ind w:left="138" w:right="142" w:firstLine="453"/>
        <w:jc w:val="left"/>
        <w:rPr>
          <w:rFonts w:ascii="宋体" w:hAnsi="宋体" w:cs="宋体" w:eastAsia="宋体" w:hint="default"/>
          <w:sz w:val="22"/>
          <w:szCs w:val="22"/>
        </w:rPr>
      </w:pPr>
      <w:r>
        <w:rPr>
          <w:rFonts w:ascii="宋体" w:hAnsi="宋体" w:cs="宋体" w:eastAsia="宋体" w:hint="default"/>
          <w:b/>
          <w:bCs/>
          <w:sz w:val="22"/>
          <w:szCs w:val="22"/>
        </w:rPr>
        <w:t>(5) </w:t>
      </w:r>
      <w:r>
        <w:rPr>
          <w:rFonts w:ascii="宋体" w:hAnsi="宋体" w:cs="宋体" w:eastAsia="宋体" w:hint="default"/>
          <w:sz w:val="22"/>
          <w:szCs w:val="22"/>
        </w:rPr>
        <w:t>年末余额中应收关联方款项合计 112,581,046.35 元，占其他应收款总额的</w:t>
      </w:r>
      <w:r>
        <w:rPr>
          <w:rFonts w:ascii="宋体" w:hAnsi="宋体" w:cs="宋体" w:eastAsia="宋体" w:hint="default"/>
          <w:spacing w:val="-73"/>
          <w:sz w:val="22"/>
          <w:szCs w:val="22"/>
        </w:rPr>
        <w:t> </w:t>
      </w:r>
      <w:r>
        <w:rPr>
          <w:rFonts w:ascii="宋体" w:hAnsi="宋体" w:cs="宋体" w:eastAsia="宋体" w:hint="default"/>
          <w:sz w:val="22"/>
          <w:szCs w:val="22"/>
        </w:rPr>
        <w:t>8.90%，详</w:t>
      </w:r>
      <w:r>
        <w:rPr>
          <w:rFonts w:ascii="宋体" w:hAnsi="宋体" w:cs="宋体" w:eastAsia="宋体" w:hint="default"/>
          <w:w w:val="99"/>
          <w:sz w:val="22"/>
          <w:szCs w:val="22"/>
        </w:rPr>
        <w:t> </w:t>
      </w:r>
      <w:r>
        <w:rPr>
          <w:rFonts w:ascii="宋体" w:hAnsi="宋体" w:cs="宋体" w:eastAsia="宋体" w:hint="default"/>
          <w:spacing w:val="-25"/>
          <w:w w:val="99"/>
          <w:sz w:val="22"/>
          <w:szCs w:val="22"/>
        </w:rPr>
        <w:t>见附注十、（三）。</w:t>
      </w:r>
      <w:r>
        <w:rPr>
          <w:rFonts w:ascii="宋体" w:hAnsi="宋体" w:cs="宋体" w:eastAsia="宋体" w:hint="default"/>
          <w:spacing w:val="-25"/>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tabs>
          <w:tab w:pos="5890" w:val="left" w:leader="none"/>
          <w:tab w:pos="7911" w:val="left" w:leader="none"/>
        </w:tabs>
        <w:spacing w:before="44"/>
        <w:ind w:left="4182" w:right="0" w:firstLine="0"/>
        <w:jc w:val="left"/>
        <w:rPr>
          <w:rFonts w:ascii="宋体" w:hAnsi="宋体" w:cs="宋体" w:eastAsia="宋体" w:hint="default"/>
          <w:sz w:val="18"/>
          <w:szCs w:val="18"/>
        </w:rPr>
      </w:pPr>
      <w:r>
        <w:rPr/>
        <w:pict>
          <v:shape style="position:absolute;margin-left:84.839996pt;margin-top:-40.543358pt;width:431.9pt;height:162.65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5"/>
                    <w:gridCol w:w="1394"/>
                    <w:gridCol w:w="893"/>
                    <w:gridCol w:w="1439"/>
                    <w:gridCol w:w="1379"/>
                    <w:gridCol w:w="908"/>
                    <w:gridCol w:w="1388"/>
                  </w:tblGrid>
                  <w:tr>
                    <w:trPr>
                      <w:trHeight w:val="498" w:hRule="exact"/>
                    </w:trPr>
                    <w:tc>
                      <w:tcPr>
                        <w:tcW w:w="863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7"/>
                            <w:sz w:val="22"/>
                            <w:szCs w:val="22"/>
                          </w:rPr>
                          <w:t> </w:t>
                        </w:r>
                        <w:r>
                          <w:rPr>
                            <w:rFonts w:ascii="宋体" w:hAnsi="宋体" w:cs="宋体" w:eastAsia="宋体" w:hint="default"/>
                            <w:sz w:val="22"/>
                            <w:szCs w:val="22"/>
                          </w:rPr>
                          <w:t>其他应收款中外币余额</w:t>
                        </w:r>
                      </w:p>
                    </w:tc>
                  </w:tr>
                  <w:tr>
                    <w:trPr>
                      <w:trHeight w:val="303" w:hRule="exact"/>
                    </w:trPr>
                    <w:tc>
                      <w:tcPr>
                        <w:tcW w:w="1235" w:type="dxa"/>
                        <w:tcBorders>
                          <w:top w:val="single" w:sz="12" w:space="0" w:color="000000"/>
                          <w:left w:val="nil" w:sz="6" w:space="0" w:color="auto"/>
                          <w:bottom w:val="nil" w:sz="6" w:space="0" w:color="auto"/>
                          <w:right w:val="nil" w:sz="6" w:space="0" w:color="auto"/>
                        </w:tcBorders>
                      </w:tcPr>
                      <w:p>
                        <w:pPr/>
                      </w:p>
                    </w:tc>
                    <w:tc>
                      <w:tcPr>
                        <w:tcW w:w="2288"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50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5115" w:type="dxa"/>
                        <w:gridSpan w:val="4"/>
                        <w:tcBorders>
                          <w:top w:val="single" w:sz="12" w:space="0" w:color="000000"/>
                          <w:left w:val="nil" w:sz="6" w:space="0" w:color="auto"/>
                          <w:bottom w:val="single" w:sz="4" w:space="0" w:color="000000"/>
                          <w:right w:val="nil" w:sz="6" w:space="0" w:color="auto"/>
                        </w:tcBorders>
                      </w:tcPr>
                      <w:p>
                        <w:pPr>
                          <w:pStyle w:val="TableParagraph"/>
                          <w:spacing w:line="226" w:lineRule="exact"/>
                          <w:ind w:left="291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50"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1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2288" w:type="dxa"/>
                        <w:gridSpan w:val="2"/>
                        <w:tcBorders>
                          <w:top w:val="nil" w:sz="6" w:space="0" w:color="auto"/>
                          <w:left w:val="nil" w:sz="6" w:space="0" w:color="auto"/>
                          <w:bottom w:val="nil" w:sz="6" w:space="0" w:color="auto"/>
                          <w:right w:val="nil" w:sz="6" w:space="0" w:color="auto"/>
                        </w:tcBorders>
                      </w:tcPr>
                      <w:p>
                        <w:pPr>
                          <w:pStyle w:val="TableParagraph"/>
                          <w:tabs>
                            <w:tab w:pos="1545" w:val="left" w:leader="none"/>
                          </w:tabs>
                          <w:spacing w:line="290" w:lineRule="exact"/>
                          <w:ind w:left="518"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原币</w:t>
                          <w:tab/>
                        </w:r>
                        <w:r>
                          <w:rPr>
                            <w:rFonts w:ascii="宋体" w:hAnsi="宋体" w:cs="宋体" w:eastAsia="宋体" w:hint="default"/>
                            <w:b/>
                            <w:bCs/>
                            <w:sz w:val="18"/>
                            <w:szCs w:val="18"/>
                          </w:rPr>
                          <w:t>折算汇</w:t>
                        </w:r>
                        <w:r>
                          <w:rPr>
                            <w:rFonts w:ascii="宋体" w:hAnsi="宋体" w:cs="宋体" w:eastAsia="宋体" w:hint="default"/>
                            <w:sz w:val="18"/>
                            <w:szCs w:val="18"/>
                          </w:rPr>
                        </w:r>
                      </w:p>
                    </w:tc>
                    <w:tc>
                      <w:tcPr>
                        <w:tcW w:w="5115" w:type="dxa"/>
                        <w:gridSpan w:val="4"/>
                        <w:tcBorders>
                          <w:top w:val="nil" w:sz="6" w:space="0" w:color="auto"/>
                          <w:left w:val="nil" w:sz="6" w:space="0" w:color="auto"/>
                          <w:bottom w:val="nil" w:sz="6" w:space="0" w:color="auto"/>
                          <w:right w:val="nil" w:sz="6" w:space="0" w:color="auto"/>
                        </w:tcBorders>
                      </w:tcPr>
                      <w:p>
                        <w:pPr>
                          <w:pStyle w:val="TableParagraph"/>
                          <w:spacing w:line="190" w:lineRule="exact"/>
                          <w:ind w:left="3004" w:right="0"/>
                          <w:jc w:val="left"/>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sz w:val="18"/>
                            <w:szCs w:val="18"/>
                          </w:rPr>
                        </w:r>
                      </w:p>
                    </w:tc>
                  </w:tr>
                  <w:tr>
                    <w:trPr>
                      <w:trHeight w:val="161" w:hRule="exact"/>
                    </w:trPr>
                    <w:tc>
                      <w:tcPr>
                        <w:tcW w:w="1235" w:type="dxa"/>
                        <w:tcBorders>
                          <w:top w:val="nil" w:sz="6" w:space="0" w:color="auto"/>
                          <w:left w:val="nil" w:sz="6" w:space="0" w:color="auto"/>
                          <w:bottom w:val="single" w:sz="4" w:space="0" w:color="000000"/>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
                    </w:tc>
                    <w:tc>
                      <w:tcPr>
                        <w:tcW w:w="893" w:type="dxa"/>
                        <w:tcBorders>
                          <w:top w:val="nil" w:sz="6" w:space="0" w:color="auto"/>
                          <w:left w:val="nil" w:sz="6" w:space="0" w:color="auto"/>
                          <w:bottom w:val="single" w:sz="4" w:space="0" w:color="000000"/>
                          <w:right w:val="nil" w:sz="6" w:space="0" w:color="auto"/>
                        </w:tcBorders>
                      </w:tcPr>
                      <w:p>
                        <w:pPr>
                          <w:pStyle w:val="TableParagraph"/>
                          <w:spacing w:line="140" w:lineRule="exact"/>
                          <w:ind w:right="46"/>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439" w:type="dxa"/>
                        <w:tcBorders>
                          <w:top w:val="nil" w:sz="6" w:space="0" w:color="auto"/>
                          <w:left w:val="nil" w:sz="6" w:space="0" w:color="auto"/>
                          <w:bottom w:val="single" w:sz="4" w:space="0" w:color="000000"/>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
                    </w:tc>
                    <w:tc>
                      <w:tcPr>
                        <w:tcW w:w="908" w:type="dxa"/>
                        <w:tcBorders>
                          <w:top w:val="nil" w:sz="6" w:space="0" w:color="auto"/>
                          <w:left w:val="nil" w:sz="6" w:space="0" w:color="auto"/>
                          <w:bottom w:val="single" w:sz="4" w:space="0" w:color="000000"/>
                          <w:right w:val="nil" w:sz="6" w:space="0" w:color="auto"/>
                        </w:tcBorders>
                      </w:tcPr>
                      <w:p>
                        <w:pPr>
                          <w:pStyle w:val="TableParagraph"/>
                          <w:spacing w:line="140" w:lineRule="exact"/>
                          <w:ind w:left="6" w:right="0"/>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388" w:type="dxa"/>
                        <w:tcBorders>
                          <w:top w:val="nil" w:sz="6" w:space="0" w:color="auto"/>
                          <w:left w:val="nil" w:sz="6" w:space="0" w:color="auto"/>
                          <w:bottom w:val="single" w:sz="4" w:space="0" w:color="000000"/>
                          <w:right w:val="nil" w:sz="6" w:space="0" w:color="auto"/>
                        </w:tcBorders>
                      </w:tcPr>
                      <w:p>
                        <w:pPr/>
                      </w:p>
                    </w:tc>
                  </w:tr>
                  <w:tr>
                    <w:trPr>
                      <w:trHeight w:val="282" w:hRule="exact"/>
                    </w:trPr>
                    <w:tc>
                      <w:tcPr>
                        <w:tcW w:w="123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94"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29,336,755.04</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26" w:lineRule="exact"/>
                          <w:ind w:right="152"/>
                          <w:jc w:val="right"/>
                          <w:rPr>
                            <w:rFonts w:ascii="宋体" w:hAnsi="宋体" w:cs="宋体" w:eastAsia="宋体" w:hint="default"/>
                            <w:sz w:val="18"/>
                            <w:szCs w:val="18"/>
                          </w:rPr>
                        </w:pPr>
                        <w:r>
                          <w:rPr>
                            <w:rFonts w:ascii="宋体"/>
                            <w:sz w:val="18"/>
                          </w:rPr>
                          <w:t>6.6227</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194,288,527.60</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6,915,100.36</w:t>
                        </w:r>
                      </w:p>
                    </w:tc>
                    <w:tc>
                      <w:tcPr>
                        <w:tcW w:w="908"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z w:val="18"/>
                          </w:rPr>
                          <w:t>6.8282</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47,217,688.28</w:t>
                        </w:r>
                      </w:p>
                    </w:tc>
                  </w:tr>
                  <w:tr>
                    <w:trPr>
                      <w:trHeight w:val="283"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149,345.22</w:t>
                        </w:r>
                      </w:p>
                    </w:tc>
                    <w:tc>
                      <w:tcPr>
                        <w:tcW w:w="893"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8.8065</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1,315,208.68</w:t>
                        </w:r>
                      </w:p>
                    </w:tc>
                    <w:tc>
                      <w:tcPr>
                        <w:tcW w:w="13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80,639.05</w:t>
                        </w:r>
                      </w:p>
                    </w:tc>
                    <w:tc>
                      <w:tcPr>
                        <w:tcW w:w="908"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9.7971</w:t>
                        </w:r>
                      </w:p>
                    </w:tc>
                    <w:tc>
                      <w:tcPr>
                        <w:tcW w:w="13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790,028.84</w:t>
                        </w:r>
                      </w:p>
                    </w:tc>
                  </w:tr>
                  <w:tr>
                    <w:trPr>
                      <w:trHeight w:val="283"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7,313,600.00</w:t>
                        </w:r>
                      </w:p>
                    </w:tc>
                    <w:tc>
                      <w:tcPr>
                        <w:tcW w:w="893"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0.08126</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594,303.14</w:t>
                        </w:r>
                      </w:p>
                    </w:tc>
                    <w:tc>
                      <w:tcPr>
                        <w:tcW w:w="13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9,085,741.00</w:t>
                        </w:r>
                      </w:p>
                    </w:tc>
                    <w:tc>
                      <w:tcPr>
                        <w:tcW w:w="908"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0.07378</w:t>
                        </w:r>
                      </w:p>
                    </w:tc>
                    <w:tc>
                      <w:tcPr>
                        <w:tcW w:w="13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670,345.97</w:t>
                        </w:r>
                      </w:p>
                    </w:tc>
                  </w:tr>
                  <w:tr>
                    <w:trPr>
                      <w:trHeight w:val="283"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38,334,082.14</w:t>
                        </w:r>
                      </w:p>
                    </w:tc>
                    <w:tc>
                      <w:tcPr>
                        <w:tcW w:w="893"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0.8509</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32,618,470.49</w:t>
                        </w:r>
                      </w:p>
                    </w:tc>
                    <w:tc>
                      <w:tcPr>
                        <w:tcW w:w="13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54,183,788.59</w:t>
                        </w:r>
                      </w:p>
                    </w:tc>
                    <w:tc>
                      <w:tcPr>
                        <w:tcW w:w="908"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0.8805</w:t>
                        </w:r>
                      </w:p>
                    </w:tc>
                    <w:tc>
                      <w:tcPr>
                        <w:tcW w:w="13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47,708,825.85</w:t>
                        </w:r>
                      </w:p>
                    </w:tc>
                  </w:tr>
                  <w:tr>
                    <w:trPr>
                      <w:trHeight w:val="283"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3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175,217.00</w:t>
                        </w:r>
                      </w:p>
                    </w:tc>
                    <w:tc>
                      <w:tcPr>
                        <w:tcW w:w="893"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1.54016</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269,862.21</w:t>
                        </w:r>
                      </w:p>
                    </w:tc>
                    <w:tc>
                      <w:tcPr>
                        <w:tcW w:w="13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908"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3.17591</w:t>
                        </w:r>
                      </w:p>
                    </w:tc>
                    <w:tc>
                      <w:tcPr>
                        <w:tcW w:w="13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3" w:hRule="exact"/>
                    </w:trPr>
                    <w:tc>
                      <w:tcPr>
                        <w:tcW w:w="1235" w:type="dxa"/>
                        <w:tcBorders>
                          <w:top w:val="nil" w:sz="6" w:space="0" w:color="auto"/>
                          <w:left w:val="nil" w:sz="6" w:space="0" w:color="auto"/>
                          <w:bottom w:val="single" w:sz="4"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2,051,137.00</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31" w:lineRule="exact"/>
                          <w:ind w:right="152"/>
                          <w:jc w:val="right"/>
                          <w:rPr>
                            <w:rFonts w:ascii="宋体" w:hAnsi="宋体" w:cs="宋体" w:eastAsia="宋体" w:hint="default"/>
                            <w:sz w:val="18"/>
                            <w:szCs w:val="18"/>
                          </w:rPr>
                        </w:pPr>
                        <w:r>
                          <w:rPr>
                            <w:rFonts w:ascii="宋体"/>
                            <w:sz w:val="18"/>
                          </w:rPr>
                          <w:t>5.05588</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10,370,302.54</w:t>
                        </w:r>
                      </w:p>
                    </w:tc>
                    <w:tc>
                      <w:tcPr>
                        <w:tcW w:w="1379" w:type="dxa"/>
                        <w:tcBorders>
                          <w:top w:val="nil" w:sz="6" w:space="0" w:color="auto"/>
                          <w:left w:val="nil" w:sz="6" w:space="0" w:color="auto"/>
                          <w:bottom w:val="single" w:sz="4"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11,664.00</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4.9283</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57,483.69</w:t>
                        </w:r>
                      </w:p>
                    </w:tc>
                  </w:tr>
                  <w:tr>
                    <w:trPr>
                      <w:trHeight w:val="303" w:hRule="exact"/>
                    </w:trPr>
                    <w:tc>
                      <w:tcPr>
                        <w:tcW w:w="123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4" w:type="dxa"/>
                        <w:tcBorders>
                          <w:top w:val="single" w:sz="4" w:space="0" w:color="000000"/>
                          <w:left w:val="nil" w:sz="6" w:space="0" w:color="auto"/>
                          <w:bottom w:val="single" w:sz="12" w:space="0" w:color="000000"/>
                          <w:right w:val="nil" w:sz="6" w:space="0" w:color="auto"/>
                        </w:tcBorders>
                      </w:tcPr>
                      <w:p>
                        <w:pPr/>
                      </w:p>
                    </w:tc>
                    <w:tc>
                      <w:tcPr>
                        <w:tcW w:w="893" w:type="dxa"/>
                        <w:tcBorders>
                          <w:top w:val="single" w:sz="4" w:space="0" w:color="000000"/>
                          <w:left w:val="nil" w:sz="6" w:space="0" w:color="auto"/>
                          <w:bottom w:val="single" w:sz="12" w:space="0" w:color="000000"/>
                          <w:right w:val="nil" w:sz="6" w:space="0" w:color="auto"/>
                        </w:tcBorders>
                      </w:tcPr>
                      <w:p>
                        <w:pPr/>
                      </w:p>
                    </w:tc>
                    <w:tc>
                      <w:tcPr>
                        <w:tcW w:w="143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239,456,674.66</w:t>
                        </w:r>
                        <w:r>
                          <w:rPr>
                            <w:rFonts w:ascii="宋体"/>
                            <w:sz w:val="18"/>
                          </w:rPr>
                        </w:r>
                      </w:p>
                    </w:tc>
                    <w:tc>
                      <w:tcPr>
                        <w:tcW w:w="1379" w:type="dxa"/>
                        <w:tcBorders>
                          <w:top w:val="single" w:sz="4" w:space="0" w:color="000000"/>
                          <w:left w:val="nil" w:sz="6" w:space="0" w:color="auto"/>
                          <w:bottom w:val="single" w:sz="12" w:space="0" w:color="000000"/>
                          <w:right w:val="nil" w:sz="6" w:space="0" w:color="auto"/>
                        </w:tcBorders>
                      </w:tcPr>
                      <w:p>
                        <w:pPr/>
                      </w:p>
                    </w:tc>
                    <w:tc>
                      <w:tcPr>
                        <w:tcW w:w="908" w:type="dxa"/>
                        <w:tcBorders>
                          <w:top w:val="single" w:sz="4" w:space="0" w:color="000000"/>
                          <w:left w:val="nil" w:sz="6" w:space="0" w:color="auto"/>
                          <w:bottom w:val="single" w:sz="12" w:space="0" w:color="000000"/>
                          <w:right w:val="nil" w:sz="6" w:space="0" w:color="auto"/>
                        </w:tcBorders>
                      </w:tcPr>
                      <w:p>
                        <w:pP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96,444,372.63</w:t>
                        </w:r>
                        <w:r>
                          <w:rPr>
                            <w:rFonts w:ascii="宋体"/>
                            <w:sz w:val="18"/>
                          </w:rPr>
                        </w:r>
                      </w:p>
                    </w:tc>
                  </w:tr>
                </w:tbl>
                <w:p>
                  <w:pPr/>
                </w:p>
              </w:txbxContent>
            </v:textbox>
            <w10:wrap type="none"/>
          </v:shape>
        </w:pict>
      </w:r>
      <w:r>
        <w:rPr>
          <w:rFonts w:ascii="宋体" w:hAnsi="宋体" w:cs="宋体" w:eastAsia="宋体" w:hint="default"/>
          <w:b/>
          <w:bCs/>
          <w:w w:val="95"/>
          <w:sz w:val="18"/>
          <w:szCs w:val="18"/>
        </w:rPr>
        <w:t>折合人民币</w:t>
        <w:tab/>
        <w:t>原币</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tabs>
          <w:tab w:pos="1045" w:val="left" w:leader="none"/>
        </w:tabs>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9.</w:t>
        <w:tab/>
      </w:r>
      <w:r>
        <w:rPr>
          <w:rFonts w:ascii="宋体" w:hAnsi="宋体" w:cs="宋体" w:eastAsia="宋体" w:hint="default"/>
          <w:sz w:val="22"/>
          <w:szCs w:val="22"/>
        </w:rPr>
        <w:t>存货及跌价准备</w:t>
      </w:r>
    </w:p>
    <w:p>
      <w:pPr>
        <w:spacing w:before="163"/>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存货的类别</w:t>
      </w:r>
    </w:p>
    <w:p>
      <w:pPr>
        <w:spacing w:line="240" w:lineRule="auto" w:before="6"/>
        <w:rPr>
          <w:rFonts w:ascii="宋体" w:hAnsi="宋体" w:cs="宋体" w:eastAsia="宋体" w:hint="default"/>
          <w:sz w:val="12"/>
          <w:szCs w:val="12"/>
        </w:rPr>
      </w:pPr>
    </w:p>
    <w:p>
      <w:pPr>
        <w:spacing w:line="30" w:lineRule="exact"/>
        <w:ind w:left="18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5.35pt;height:1.5pt;mso-position-horizontal-relative:char;mso-position-vertical-relative:line" coordorigin="0,0" coordsize="9107,30">
            <v:group style="position:absolute;left:15;top:15;width:9077;height:2" coordorigin="15,15" coordsize="9077,2">
              <v:shape style="position:absolute;left:15;top:15;width:9077;height:2" coordorigin="15,15" coordsize="9077,0" path="m15,15l9092,15e" filled="false" stroked="true" strokeweight="1.5pt" strokecolor="#000000">
                <v:path arrowok="t"/>
              </v:shape>
            </v:group>
          </v:group>
        </w:pict>
      </w:r>
      <w:r>
        <w:rPr>
          <w:rFonts w:ascii="宋体" w:hAnsi="宋体" w:cs="宋体" w:eastAsia="宋体" w:hint="default"/>
          <w:position w:val="0"/>
          <w:sz w:val="3"/>
          <w:szCs w:val="3"/>
        </w:rPr>
      </w:r>
    </w:p>
    <w:p>
      <w:pPr>
        <w:tabs>
          <w:tab w:pos="2227" w:val="left" w:leader="none"/>
          <w:tab w:pos="6584" w:val="left" w:leader="none"/>
        </w:tabs>
        <w:spacing w:before="13"/>
        <w:ind w:left="301" w:right="0" w:firstLine="0"/>
        <w:jc w:val="left"/>
        <w:rPr>
          <w:rFonts w:ascii="宋体" w:hAnsi="宋体" w:cs="宋体" w:eastAsia="宋体" w:hint="default"/>
          <w:sz w:val="16"/>
          <w:szCs w:val="16"/>
        </w:rPr>
      </w:pPr>
      <w:r>
        <w:rPr>
          <w:rFonts w:ascii="宋体" w:hAnsi="宋体" w:cs="宋体" w:eastAsia="宋体" w:hint="default"/>
          <w:b/>
          <w:bCs/>
          <w:w w:val="95"/>
          <w:position w:val="-2"/>
          <w:sz w:val="16"/>
          <w:szCs w:val="16"/>
        </w:rPr>
        <w:t>项</w:t>
        <w:tab/>
      </w: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tabs>
          <w:tab w:pos="1061" w:val="left" w:leader="none"/>
          <w:tab w:pos="2486" w:val="left" w:leader="none"/>
          <w:tab w:pos="3912" w:val="left" w:leader="none"/>
          <w:tab w:pos="5418" w:val="left" w:leader="none"/>
          <w:tab w:pos="6843" w:val="left" w:leader="none"/>
          <w:tab w:pos="8269" w:val="left" w:leader="none"/>
        </w:tabs>
        <w:spacing w:line="278" w:lineRule="auto" w:before="0"/>
        <w:ind w:left="301" w:right="569" w:firstLine="0"/>
        <w:jc w:val="left"/>
        <w:rPr>
          <w:rFonts w:ascii="宋体" w:hAnsi="宋体" w:cs="宋体" w:eastAsia="宋体" w:hint="default"/>
          <w:sz w:val="16"/>
          <w:szCs w:val="16"/>
        </w:rPr>
      </w:pPr>
      <w:r>
        <w:rPr/>
        <w:pict>
          <v:group style="position:absolute;margin-left:92.160004pt;margin-top:2.080693pt;width:435.75pt;height:.1pt;mso-position-horizontal-relative:page;mso-position-vertical-relative:paragraph;z-index:-1047664" coordorigin="1843,42" coordsize="8715,2">
            <v:shape style="position:absolute;left:1843;top:42;width:8715;height:2" coordorigin="1843,42" coordsize="8715,0" path="m1843,42l10558,42e" filled="false" stroked="true" strokeweight=".48pt" strokecolor="#000000">
              <v:path arrowok="t"/>
            </v:shape>
            <w10:wrap type="none"/>
          </v:group>
        </w:pict>
      </w:r>
      <w:r>
        <w:rPr/>
        <w:pict>
          <v:group style="position:absolute;margin-left:73.680pt;margin-top:16.720694pt;width:454.2pt;height:.1pt;mso-position-horizontal-relative:page;mso-position-vertical-relative:paragraph;z-index:-1047640" coordorigin="1474,334" coordsize="9084,2">
            <v:shape style="position:absolute;left:1474;top:334;width:9084;height:2" coordorigin="1474,334" coordsize="9084,0" path="m1474,334l10558,334e" filled="false" stroked="true" strokeweight=".48pt" strokecolor="#000000">
              <v:path arrowok="t"/>
            </v:shape>
            <w10:wrap type="none"/>
          </v:group>
        </w:pict>
      </w:r>
      <w:r>
        <w:rPr>
          <w:rFonts w:ascii="宋体" w:hAnsi="宋体" w:cs="宋体" w:eastAsia="宋体" w:hint="default"/>
          <w:b/>
          <w:bCs/>
          <w:w w:val="95"/>
          <w:position w:val="6"/>
          <w:sz w:val="16"/>
          <w:szCs w:val="16"/>
        </w:rPr>
        <w:t>目</w:t>
        <w:tab/>
      </w:r>
      <w:r>
        <w:rPr>
          <w:rFonts w:ascii="宋体" w:hAnsi="宋体" w:cs="宋体" w:eastAsia="宋体" w:hint="default"/>
          <w:b/>
          <w:bCs/>
          <w:w w:val="95"/>
          <w:sz w:val="16"/>
          <w:szCs w:val="16"/>
        </w:rPr>
        <w:t>账面余额</w:t>
        <w:tab/>
        <w:t>跌价准备</w:t>
        <w:tab/>
        <w:t>账面价值</w:t>
        <w:tab/>
        <w:t>账面余额</w:t>
        <w:tab/>
        <w:t>跌价准备</w:t>
        <w:tab/>
      </w:r>
      <w:r>
        <w:rPr>
          <w:rFonts w:ascii="宋体" w:hAnsi="宋体" w:cs="宋体" w:eastAsia="宋体" w:hint="default"/>
          <w:b/>
          <w:bCs/>
          <w:sz w:val="16"/>
          <w:szCs w:val="16"/>
        </w:rPr>
        <w:t>账面价值</w:t>
      </w:r>
      <w:r>
        <w:rPr>
          <w:rFonts w:ascii="宋体" w:hAnsi="宋体" w:cs="宋体" w:eastAsia="宋体" w:hint="default"/>
          <w:b/>
          <w:bCs/>
          <w:spacing w:val="1"/>
          <w:w w:val="99"/>
          <w:sz w:val="16"/>
          <w:szCs w:val="16"/>
        </w:rPr>
        <w:t> </w:t>
      </w:r>
      <w:r>
        <w:rPr>
          <w:rFonts w:ascii="宋体" w:hAnsi="宋体" w:cs="宋体" w:eastAsia="宋体" w:hint="default"/>
          <w:sz w:val="16"/>
          <w:szCs w:val="16"/>
        </w:rPr>
        <w:t>在</w:t>
      </w:r>
    </w:p>
    <w:p>
      <w:pPr>
        <w:tabs>
          <w:tab w:pos="2991" w:val="left" w:leader="none"/>
          <w:tab w:pos="7348" w:val="left" w:leader="none"/>
        </w:tabs>
        <w:spacing w:line="220" w:lineRule="exact" w:before="0"/>
        <w:ind w:left="301" w:right="0" w:firstLine="0"/>
        <w:jc w:val="both"/>
        <w:rPr>
          <w:rFonts w:ascii="宋体" w:hAnsi="宋体" w:cs="宋体" w:eastAsia="宋体" w:hint="default"/>
          <w:sz w:val="16"/>
          <w:szCs w:val="16"/>
        </w:rPr>
      </w:pPr>
      <w:r>
        <w:rPr>
          <w:rFonts w:ascii="宋体" w:hAnsi="宋体" w:cs="宋体" w:eastAsia="宋体" w:hint="default"/>
          <w:position w:val="10"/>
          <w:sz w:val="16"/>
          <w:szCs w:val="16"/>
        </w:rPr>
        <w:t>途     </w:t>
      </w:r>
      <w:r>
        <w:rPr>
          <w:rFonts w:ascii="宋体" w:hAnsi="宋体" w:cs="宋体" w:eastAsia="宋体" w:hint="default"/>
          <w:spacing w:val="60"/>
          <w:position w:val="10"/>
          <w:sz w:val="16"/>
          <w:szCs w:val="16"/>
        </w:rPr>
        <w:t> </w:t>
      </w:r>
      <w:r>
        <w:rPr>
          <w:rFonts w:ascii="宋体" w:hAnsi="宋体" w:cs="宋体" w:eastAsia="宋体" w:hint="default"/>
          <w:sz w:val="16"/>
          <w:szCs w:val="16"/>
        </w:rPr>
        <w:t>7,225,340.30</w:t>
        <w:tab/>
        <w:t>0.00       7,225,340.30    </w:t>
      </w:r>
      <w:r>
        <w:rPr>
          <w:rFonts w:ascii="宋体" w:hAnsi="宋体" w:cs="宋体" w:eastAsia="宋体" w:hint="default"/>
          <w:spacing w:val="38"/>
          <w:sz w:val="16"/>
          <w:szCs w:val="16"/>
        </w:rPr>
        <w:t> </w:t>
      </w:r>
      <w:r>
        <w:rPr>
          <w:rFonts w:ascii="宋体" w:hAnsi="宋体" w:cs="宋体" w:eastAsia="宋体" w:hint="default"/>
          <w:sz w:val="16"/>
          <w:szCs w:val="16"/>
        </w:rPr>
        <w:t>17,782,979.20</w:t>
        <w:tab/>
        <w:t>0.00    </w:t>
      </w:r>
      <w:r>
        <w:rPr>
          <w:rFonts w:ascii="宋体" w:hAnsi="宋体" w:cs="宋体" w:eastAsia="宋体" w:hint="default"/>
          <w:spacing w:val="58"/>
          <w:sz w:val="16"/>
          <w:szCs w:val="16"/>
        </w:rPr>
        <w:t> </w:t>
      </w:r>
      <w:r>
        <w:rPr>
          <w:rFonts w:ascii="宋体" w:hAnsi="宋体" w:cs="宋体" w:eastAsia="宋体" w:hint="default"/>
          <w:sz w:val="16"/>
          <w:szCs w:val="16"/>
        </w:rPr>
        <w:t>17,782,979.20</w:t>
      </w:r>
    </w:p>
    <w:p>
      <w:pPr>
        <w:spacing w:line="150" w:lineRule="exact" w:before="0"/>
        <w:ind w:left="301" w:right="0" w:firstLine="0"/>
        <w:jc w:val="both"/>
        <w:rPr>
          <w:rFonts w:ascii="宋体" w:hAnsi="宋体" w:cs="宋体" w:eastAsia="宋体" w:hint="default"/>
          <w:sz w:val="16"/>
          <w:szCs w:val="16"/>
        </w:rPr>
      </w:pPr>
      <w:r>
        <w:rPr>
          <w:rFonts w:ascii="宋体" w:hAnsi="宋体" w:cs="宋体" w:eastAsia="宋体" w:hint="default"/>
          <w:w w:val="99"/>
          <w:sz w:val="16"/>
          <w:szCs w:val="16"/>
        </w:rPr>
        <w:t>物</w:t>
      </w:r>
      <w:r>
        <w:rPr>
          <w:rFonts w:ascii="宋体" w:hAnsi="宋体" w:cs="宋体" w:eastAsia="宋体" w:hint="default"/>
          <w:sz w:val="16"/>
          <w:szCs w:val="16"/>
        </w:rPr>
      </w:r>
    </w:p>
    <w:p>
      <w:pPr>
        <w:spacing w:line="230" w:lineRule="auto" w:before="2"/>
        <w:ind w:left="301" w:right="9021" w:firstLine="0"/>
        <w:jc w:val="both"/>
        <w:rPr>
          <w:rFonts w:ascii="宋体" w:hAnsi="宋体" w:cs="宋体" w:eastAsia="宋体" w:hint="default"/>
          <w:sz w:val="16"/>
          <w:szCs w:val="16"/>
        </w:rPr>
      </w:pPr>
      <w:r>
        <w:rPr/>
        <w:pict>
          <v:shape style="position:absolute;margin-left:96.649582pt;margin-top:22.19441pt;width:427.95pt;height:123.1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7"/>
                    <w:gridCol w:w="1306"/>
                    <w:gridCol w:w="1506"/>
                    <w:gridCol w:w="1545"/>
                    <w:gridCol w:w="1306"/>
                    <w:gridCol w:w="1428"/>
                  </w:tblGrid>
                  <w:tr>
                    <w:trPr>
                      <w:trHeight w:val="380"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160" w:lineRule="exact"/>
                          <w:ind w:right="150"/>
                          <w:jc w:val="right"/>
                          <w:rPr>
                            <w:rFonts w:ascii="宋体" w:hAnsi="宋体" w:cs="宋体" w:eastAsia="宋体" w:hint="default"/>
                            <w:sz w:val="16"/>
                            <w:szCs w:val="16"/>
                          </w:rPr>
                        </w:pPr>
                        <w:r>
                          <w:rPr>
                            <w:rFonts w:ascii="宋体"/>
                            <w:spacing w:val="-1"/>
                            <w:sz w:val="16"/>
                          </w:rPr>
                          <w:t>1,100,572,292.24</w:t>
                        </w:r>
                      </w:p>
                    </w:tc>
                    <w:tc>
                      <w:tcPr>
                        <w:tcW w:w="1306" w:type="dxa"/>
                        <w:tcBorders>
                          <w:top w:val="nil" w:sz="6" w:space="0" w:color="auto"/>
                          <w:left w:val="nil" w:sz="6" w:space="0" w:color="auto"/>
                          <w:bottom w:val="nil" w:sz="6" w:space="0" w:color="auto"/>
                          <w:right w:val="nil" w:sz="6" w:space="0" w:color="auto"/>
                        </w:tcBorders>
                      </w:tcPr>
                      <w:p>
                        <w:pPr>
                          <w:pStyle w:val="TableParagraph"/>
                          <w:spacing w:line="160" w:lineRule="exact"/>
                          <w:ind w:right="111"/>
                          <w:jc w:val="right"/>
                          <w:rPr>
                            <w:rFonts w:ascii="宋体" w:hAnsi="宋体" w:cs="宋体" w:eastAsia="宋体" w:hint="default"/>
                            <w:sz w:val="16"/>
                            <w:szCs w:val="16"/>
                          </w:rPr>
                        </w:pPr>
                        <w:r>
                          <w:rPr>
                            <w:rFonts w:ascii="宋体"/>
                            <w:spacing w:val="-1"/>
                            <w:sz w:val="16"/>
                          </w:rPr>
                          <w:t>58,178,055.85</w:t>
                        </w:r>
                      </w:p>
                    </w:tc>
                    <w:tc>
                      <w:tcPr>
                        <w:tcW w:w="1506" w:type="dxa"/>
                        <w:tcBorders>
                          <w:top w:val="nil" w:sz="6" w:space="0" w:color="auto"/>
                          <w:left w:val="nil" w:sz="6" w:space="0" w:color="auto"/>
                          <w:bottom w:val="nil" w:sz="6" w:space="0" w:color="auto"/>
                          <w:right w:val="nil" w:sz="6" w:space="0" w:color="auto"/>
                        </w:tcBorders>
                      </w:tcPr>
                      <w:p>
                        <w:pPr>
                          <w:pStyle w:val="TableParagraph"/>
                          <w:spacing w:line="160" w:lineRule="exact"/>
                          <w:ind w:right="111"/>
                          <w:jc w:val="right"/>
                          <w:rPr>
                            <w:rFonts w:ascii="宋体" w:hAnsi="宋体" w:cs="宋体" w:eastAsia="宋体" w:hint="default"/>
                            <w:sz w:val="16"/>
                            <w:szCs w:val="16"/>
                          </w:rPr>
                        </w:pPr>
                        <w:r>
                          <w:rPr>
                            <w:rFonts w:ascii="宋体"/>
                            <w:spacing w:val="-1"/>
                            <w:sz w:val="16"/>
                          </w:rPr>
                          <w:t>1,042,394,236.39</w:t>
                        </w:r>
                      </w:p>
                    </w:tc>
                    <w:tc>
                      <w:tcPr>
                        <w:tcW w:w="1545" w:type="dxa"/>
                        <w:tcBorders>
                          <w:top w:val="nil" w:sz="6" w:space="0" w:color="auto"/>
                          <w:left w:val="nil" w:sz="6" w:space="0" w:color="auto"/>
                          <w:bottom w:val="nil" w:sz="6" w:space="0" w:color="auto"/>
                          <w:right w:val="nil" w:sz="6" w:space="0" w:color="auto"/>
                        </w:tcBorders>
                      </w:tcPr>
                      <w:p>
                        <w:pPr>
                          <w:pStyle w:val="TableParagraph"/>
                          <w:spacing w:line="160" w:lineRule="exact"/>
                          <w:ind w:right="151"/>
                          <w:jc w:val="right"/>
                          <w:rPr>
                            <w:rFonts w:ascii="宋体" w:hAnsi="宋体" w:cs="宋体" w:eastAsia="宋体" w:hint="default"/>
                            <w:sz w:val="16"/>
                            <w:szCs w:val="16"/>
                          </w:rPr>
                        </w:pPr>
                        <w:r>
                          <w:rPr>
                            <w:rFonts w:ascii="宋体"/>
                            <w:spacing w:val="-1"/>
                            <w:sz w:val="16"/>
                          </w:rPr>
                          <w:t>1,122,332,358.35</w:t>
                        </w:r>
                      </w:p>
                    </w:tc>
                    <w:tc>
                      <w:tcPr>
                        <w:tcW w:w="1306" w:type="dxa"/>
                        <w:tcBorders>
                          <w:top w:val="nil" w:sz="6" w:space="0" w:color="auto"/>
                          <w:left w:val="nil" w:sz="6" w:space="0" w:color="auto"/>
                          <w:bottom w:val="nil" w:sz="6" w:space="0" w:color="auto"/>
                          <w:right w:val="nil" w:sz="6" w:space="0" w:color="auto"/>
                        </w:tcBorders>
                      </w:tcPr>
                      <w:p>
                        <w:pPr>
                          <w:pStyle w:val="TableParagraph"/>
                          <w:spacing w:line="160" w:lineRule="exact"/>
                          <w:ind w:right="110"/>
                          <w:jc w:val="right"/>
                          <w:rPr>
                            <w:rFonts w:ascii="宋体" w:hAnsi="宋体" w:cs="宋体" w:eastAsia="宋体" w:hint="default"/>
                            <w:sz w:val="16"/>
                            <w:szCs w:val="16"/>
                          </w:rPr>
                        </w:pPr>
                        <w:r>
                          <w:rPr>
                            <w:rFonts w:ascii="宋体"/>
                            <w:spacing w:val="-1"/>
                            <w:sz w:val="16"/>
                          </w:rPr>
                          <w:t>28,613,947.73</w:t>
                        </w:r>
                      </w:p>
                    </w:tc>
                    <w:tc>
                      <w:tcPr>
                        <w:tcW w:w="1428" w:type="dxa"/>
                        <w:tcBorders>
                          <w:top w:val="nil" w:sz="6" w:space="0" w:color="auto"/>
                          <w:left w:val="nil" w:sz="6" w:space="0" w:color="auto"/>
                          <w:bottom w:val="nil" w:sz="6" w:space="0" w:color="auto"/>
                          <w:right w:val="nil" w:sz="6" w:space="0" w:color="auto"/>
                        </w:tcBorders>
                      </w:tcPr>
                      <w:p>
                        <w:pPr>
                          <w:pStyle w:val="TableParagraph"/>
                          <w:spacing w:line="160" w:lineRule="exact"/>
                          <w:ind w:right="33"/>
                          <w:jc w:val="right"/>
                          <w:rPr>
                            <w:rFonts w:ascii="宋体" w:hAnsi="宋体" w:cs="宋体" w:eastAsia="宋体" w:hint="default"/>
                            <w:sz w:val="16"/>
                            <w:szCs w:val="16"/>
                          </w:rPr>
                        </w:pPr>
                        <w:r>
                          <w:rPr>
                            <w:rFonts w:ascii="宋体"/>
                            <w:spacing w:val="-1"/>
                            <w:sz w:val="16"/>
                          </w:rPr>
                          <w:t>1,093,718,410.62</w:t>
                        </w:r>
                      </w:p>
                    </w:tc>
                  </w:tr>
                  <w:tr>
                    <w:trPr>
                      <w:trHeight w:val="700"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9"/>
                          <w:jc w:val="right"/>
                          <w:rPr>
                            <w:rFonts w:ascii="宋体" w:hAnsi="宋体" w:cs="宋体" w:eastAsia="宋体" w:hint="default"/>
                            <w:sz w:val="16"/>
                            <w:szCs w:val="16"/>
                          </w:rPr>
                        </w:pPr>
                        <w:r>
                          <w:rPr>
                            <w:rFonts w:ascii="宋体"/>
                            <w:spacing w:val="-1"/>
                            <w:sz w:val="16"/>
                          </w:rPr>
                          <w:t>11,845.29</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6"/>
                            <w:szCs w:val="16"/>
                          </w:rPr>
                        </w:pPr>
                        <w:r>
                          <w:rPr>
                            <w:rFonts w:ascii="宋体"/>
                            <w:spacing w:val="-1"/>
                            <w:sz w:val="16"/>
                          </w:rPr>
                          <w:t>11,845.29</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51"/>
                          <w:jc w:val="right"/>
                          <w:rPr>
                            <w:rFonts w:ascii="宋体" w:hAnsi="宋体" w:cs="宋体" w:eastAsia="宋体" w:hint="default"/>
                            <w:sz w:val="16"/>
                            <w:szCs w:val="16"/>
                          </w:rPr>
                        </w:pPr>
                        <w:r>
                          <w:rPr>
                            <w:rFonts w:ascii="宋体"/>
                            <w:spacing w:val="-1"/>
                            <w:sz w:val="16"/>
                          </w:rPr>
                          <w:t>72,858.11</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6"/>
                            <w:szCs w:val="16"/>
                          </w:rPr>
                        </w:pPr>
                        <w:r>
                          <w:rPr>
                            <w:rFonts w:ascii="宋体"/>
                            <w:spacing w:val="-1"/>
                            <w:sz w:val="16"/>
                          </w:rPr>
                          <w:t>72,858.11</w:t>
                        </w:r>
                      </w:p>
                    </w:tc>
                  </w:tr>
                  <w:tr>
                    <w:trPr>
                      <w:trHeight w:val="851"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9"/>
                          <w:jc w:val="right"/>
                          <w:rPr>
                            <w:rFonts w:ascii="宋体" w:hAnsi="宋体" w:cs="宋体" w:eastAsia="宋体" w:hint="default"/>
                            <w:sz w:val="16"/>
                            <w:szCs w:val="16"/>
                          </w:rPr>
                        </w:pPr>
                        <w:r>
                          <w:rPr>
                            <w:rFonts w:ascii="宋体"/>
                            <w:spacing w:val="-1"/>
                            <w:sz w:val="16"/>
                          </w:rPr>
                          <w:t>1,848,597.61</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0"/>
                          <w:jc w:val="right"/>
                          <w:rPr>
                            <w:rFonts w:ascii="宋体" w:hAnsi="宋体" w:cs="宋体" w:eastAsia="宋体" w:hint="default"/>
                            <w:sz w:val="16"/>
                            <w:szCs w:val="16"/>
                          </w:rPr>
                        </w:pPr>
                        <w:r>
                          <w:rPr>
                            <w:rFonts w:ascii="宋体"/>
                            <w:spacing w:val="-1"/>
                            <w:sz w:val="16"/>
                          </w:rPr>
                          <w:t>16,454.02</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0"/>
                          <w:jc w:val="right"/>
                          <w:rPr>
                            <w:rFonts w:ascii="宋体" w:hAnsi="宋体" w:cs="宋体" w:eastAsia="宋体" w:hint="default"/>
                            <w:sz w:val="16"/>
                            <w:szCs w:val="16"/>
                          </w:rPr>
                        </w:pPr>
                        <w:r>
                          <w:rPr>
                            <w:rFonts w:ascii="宋体"/>
                            <w:spacing w:val="-1"/>
                            <w:sz w:val="16"/>
                          </w:rPr>
                          <w:t>1,832,143.59</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0"/>
                          <w:jc w:val="right"/>
                          <w:rPr>
                            <w:rFonts w:ascii="宋体" w:hAnsi="宋体" w:cs="宋体" w:eastAsia="宋体" w:hint="default"/>
                            <w:sz w:val="16"/>
                            <w:szCs w:val="16"/>
                          </w:rPr>
                        </w:pPr>
                        <w:r>
                          <w:rPr>
                            <w:rFonts w:ascii="宋体"/>
                            <w:spacing w:val="-1"/>
                            <w:sz w:val="16"/>
                          </w:rPr>
                          <w:t>1,653,126.41</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6"/>
                            <w:szCs w:val="16"/>
                          </w:rPr>
                        </w:pPr>
                        <w:r>
                          <w:rPr>
                            <w:rFonts w:ascii="宋体"/>
                            <w:spacing w:val="-1"/>
                            <w:sz w:val="16"/>
                          </w:rPr>
                          <w:t>1,653,126.41</w:t>
                        </w:r>
                      </w:p>
                    </w:tc>
                  </w:tr>
                  <w:tr>
                    <w:trPr>
                      <w:trHeight w:val="530"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50"/>
                          <w:jc w:val="right"/>
                          <w:rPr>
                            <w:rFonts w:ascii="宋体" w:hAnsi="宋体" w:cs="宋体" w:eastAsia="宋体" w:hint="default"/>
                            <w:sz w:val="16"/>
                            <w:szCs w:val="16"/>
                          </w:rPr>
                        </w:pPr>
                        <w:r>
                          <w:rPr>
                            <w:rFonts w:ascii="宋体"/>
                            <w:spacing w:val="-1"/>
                            <w:sz w:val="16"/>
                          </w:rPr>
                          <w:t>1,099,219,160.22</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11"/>
                          <w:jc w:val="right"/>
                          <w:rPr>
                            <w:rFonts w:ascii="宋体" w:hAnsi="宋体" w:cs="宋体" w:eastAsia="宋体" w:hint="default"/>
                            <w:sz w:val="16"/>
                            <w:szCs w:val="16"/>
                          </w:rPr>
                        </w:pPr>
                        <w:r>
                          <w:rPr>
                            <w:rFonts w:ascii="宋体"/>
                            <w:spacing w:val="-1"/>
                            <w:sz w:val="16"/>
                          </w:rPr>
                          <w:t>46,455,394.96</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11"/>
                          <w:jc w:val="right"/>
                          <w:rPr>
                            <w:rFonts w:ascii="宋体" w:hAnsi="宋体" w:cs="宋体" w:eastAsia="宋体" w:hint="default"/>
                            <w:sz w:val="16"/>
                            <w:szCs w:val="16"/>
                          </w:rPr>
                        </w:pPr>
                        <w:r>
                          <w:rPr>
                            <w:rFonts w:ascii="宋体"/>
                            <w:spacing w:val="-1"/>
                            <w:sz w:val="16"/>
                          </w:rPr>
                          <w:t>1,052,763,765.26</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51"/>
                          <w:jc w:val="right"/>
                          <w:rPr>
                            <w:rFonts w:ascii="宋体" w:hAnsi="宋体" w:cs="宋体" w:eastAsia="宋体" w:hint="default"/>
                            <w:sz w:val="16"/>
                            <w:szCs w:val="16"/>
                          </w:rPr>
                        </w:pPr>
                        <w:r>
                          <w:rPr>
                            <w:rFonts w:ascii="宋体"/>
                            <w:spacing w:val="-1"/>
                            <w:sz w:val="16"/>
                          </w:rPr>
                          <w:t>1,082,440,449.35</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10"/>
                          <w:jc w:val="right"/>
                          <w:rPr>
                            <w:rFonts w:ascii="宋体" w:hAnsi="宋体" w:cs="宋体" w:eastAsia="宋体" w:hint="default"/>
                            <w:sz w:val="16"/>
                            <w:szCs w:val="16"/>
                          </w:rPr>
                        </w:pPr>
                        <w:r>
                          <w:rPr>
                            <w:rFonts w:ascii="宋体"/>
                            <w:spacing w:val="-1"/>
                            <w:sz w:val="16"/>
                          </w:rPr>
                          <w:t>37,164,632.59</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33"/>
                          <w:jc w:val="right"/>
                          <w:rPr>
                            <w:rFonts w:ascii="宋体" w:hAnsi="宋体" w:cs="宋体" w:eastAsia="宋体" w:hint="default"/>
                            <w:sz w:val="16"/>
                            <w:szCs w:val="16"/>
                          </w:rPr>
                        </w:pPr>
                        <w:r>
                          <w:rPr>
                            <w:rFonts w:ascii="宋体"/>
                            <w:spacing w:val="-1"/>
                            <w:sz w:val="16"/>
                          </w:rPr>
                          <w:t>1,045,275,816.76</w:t>
                        </w:r>
                      </w:p>
                    </w:tc>
                  </w:tr>
                </w:tbl>
                <w:p>
                  <w:pPr/>
                </w:p>
              </w:txbxContent>
            </v:textbox>
            <w10:wrap type="none"/>
          </v:shape>
        </w:pict>
      </w:r>
      <w:r>
        <w:rPr>
          <w:rFonts w:ascii="宋体" w:hAnsi="宋体" w:cs="宋体" w:eastAsia="宋体" w:hint="default"/>
          <w:sz w:val="16"/>
          <w:szCs w:val="16"/>
        </w:rPr>
        <w:t>资</w:t>
      </w:r>
      <w:r>
        <w:rPr>
          <w:rFonts w:ascii="宋体" w:hAnsi="宋体" w:cs="宋体" w:eastAsia="宋体" w:hint="default"/>
          <w:w w:val="99"/>
          <w:sz w:val="16"/>
          <w:szCs w:val="16"/>
        </w:rPr>
        <w:t> </w:t>
      </w:r>
      <w:r>
        <w:rPr>
          <w:rFonts w:ascii="宋体" w:hAnsi="宋体" w:cs="宋体" w:eastAsia="宋体" w:hint="default"/>
          <w:sz w:val="16"/>
          <w:szCs w:val="16"/>
        </w:rPr>
        <w:t>原</w:t>
      </w:r>
      <w:r>
        <w:rPr>
          <w:rFonts w:ascii="宋体" w:hAnsi="宋体" w:cs="宋体" w:eastAsia="宋体" w:hint="default"/>
          <w:w w:val="99"/>
          <w:sz w:val="16"/>
          <w:szCs w:val="16"/>
        </w:rPr>
        <w:t> </w:t>
      </w:r>
      <w:r>
        <w:rPr>
          <w:rFonts w:ascii="宋体" w:hAnsi="宋体" w:cs="宋体" w:eastAsia="宋体" w:hint="default"/>
          <w:sz w:val="16"/>
          <w:szCs w:val="16"/>
        </w:rPr>
        <w:t>材</w:t>
      </w:r>
      <w:r>
        <w:rPr>
          <w:rFonts w:ascii="宋体" w:hAnsi="宋体" w:cs="宋体" w:eastAsia="宋体" w:hint="default"/>
          <w:w w:val="99"/>
          <w:sz w:val="16"/>
          <w:szCs w:val="16"/>
        </w:rPr>
        <w:t> </w:t>
      </w:r>
      <w:r>
        <w:rPr>
          <w:rFonts w:ascii="宋体" w:hAnsi="宋体" w:cs="宋体" w:eastAsia="宋体" w:hint="default"/>
          <w:sz w:val="16"/>
          <w:szCs w:val="16"/>
        </w:rPr>
        <w:t>料</w:t>
      </w:r>
      <w:r>
        <w:rPr>
          <w:rFonts w:ascii="宋体" w:hAnsi="宋体" w:cs="宋体" w:eastAsia="宋体" w:hint="default"/>
          <w:w w:val="99"/>
          <w:sz w:val="16"/>
          <w:szCs w:val="16"/>
        </w:rPr>
        <w:t> </w:t>
      </w:r>
      <w:r>
        <w:rPr>
          <w:rFonts w:ascii="宋体" w:hAnsi="宋体" w:cs="宋体" w:eastAsia="宋体" w:hint="default"/>
          <w:sz w:val="16"/>
          <w:szCs w:val="16"/>
        </w:rPr>
        <w:t>包</w:t>
      </w:r>
      <w:r>
        <w:rPr>
          <w:rFonts w:ascii="宋体" w:hAnsi="宋体" w:cs="宋体" w:eastAsia="宋体" w:hint="default"/>
          <w:w w:val="99"/>
          <w:sz w:val="16"/>
          <w:szCs w:val="16"/>
        </w:rPr>
        <w:t> </w:t>
      </w:r>
      <w:r>
        <w:rPr>
          <w:rFonts w:ascii="宋体" w:hAnsi="宋体" w:cs="宋体" w:eastAsia="宋体" w:hint="default"/>
          <w:sz w:val="16"/>
          <w:szCs w:val="16"/>
        </w:rPr>
        <w:t>装</w:t>
      </w:r>
      <w:r>
        <w:rPr>
          <w:rFonts w:ascii="宋体" w:hAnsi="宋体" w:cs="宋体" w:eastAsia="宋体" w:hint="default"/>
          <w:w w:val="99"/>
          <w:sz w:val="16"/>
          <w:szCs w:val="16"/>
        </w:rPr>
        <w:t> </w:t>
      </w:r>
      <w:r>
        <w:rPr>
          <w:rFonts w:ascii="宋体" w:hAnsi="宋体" w:cs="宋体" w:eastAsia="宋体" w:hint="default"/>
          <w:sz w:val="16"/>
          <w:szCs w:val="16"/>
        </w:rPr>
        <w:t>物</w:t>
      </w:r>
      <w:r>
        <w:rPr>
          <w:rFonts w:ascii="宋体" w:hAnsi="宋体" w:cs="宋体" w:eastAsia="宋体" w:hint="default"/>
          <w:w w:val="99"/>
          <w:sz w:val="16"/>
          <w:szCs w:val="16"/>
        </w:rPr>
        <w:t> </w:t>
      </w:r>
      <w:r>
        <w:rPr>
          <w:rFonts w:ascii="宋体" w:hAnsi="宋体" w:cs="宋体" w:eastAsia="宋体" w:hint="default"/>
          <w:sz w:val="16"/>
          <w:szCs w:val="16"/>
        </w:rPr>
        <w:t>低</w:t>
      </w:r>
      <w:r>
        <w:rPr>
          <w:rFonts w:ascii="宋体" w:hAnsi="宋体" w:cs="宋体" w:eastAsia="宋体" w:hint="default"/>
          <w:w w:val="99"/>
          <w:sz w:val="16"/>
          <w:szCs w:val="16"/>
        </w:rPr>
        <w:t> </w:t>
      </w:r>
      <w:r>
        <w:rPr>
          <w:rFonts w:ascii="宋体" w:hAnsi="宋体" w:cs="宋体" w:eastAsia="宋体" w:hint="default"/>
          <w:sz w:val="16"/>
          <w:szCs w:val="16"/>
        </w:rPr>
        <w:t>值</w:t>
      </w:r>
      <w:r>
        <w:rPr>
          <w:rFonts w:ascii="宋体" w:hAnsi="宋体" w:cs="宋体" w:eastAsia="宋体" w:hint="default"/>
          <w:w w:val="99"/>
          <w:sz w:val="16"/>
          <w:szCs w:val="16"/>
        </w:rPr>
        <w:t> </w:t>
      </w:r>
      <w:r>
        <w:rPr>
          <w:rFonts w:ascii="宋体" w:hAnsi="宋体" w:cs="宋体" w:eastAsia="宋体" w:hint="default"/>
          <w:sz w:val="16"/>
          <w:szCs w:val="16"/>
        </w:rPr>
        <w:t>易</w:t>
      </w:r>
      <w:r>
        <w:rPr>
          <w:rFonts w:ascii="宋体" w:hAnsi="宋体" w:cs="宋体" w:eastAsia="宋体" w:hint="default"/>
          <w:w w:val="99"/>
          <w:sz w:val="16"/>
          <w:szCs w:val="16"/>
        </w:rPr>
        <w:t> </w:t>
      </w:r>
      <w:r>
        <w:rPr>
          <w:rFonts w:ascii="宋体" w:hAnsi="宋体" w:cs="宋体" w:eastAsia="宋体" w:hint="default"/>
          <w:sz w:val="16"/>
          <w:szCs w:val="16"/>
        </w:rPr>
        <w:t>耗</w:t>
      </w:r>
      <w:r>
        <w:rPr>
          <w:rFonts w:ascii="宋体" w:hAnsi="宋体" w:cs="宋体" w:eastAsia="宋体" w:hint="default"/>
          <w:w w:val="99"/>
          <w:sz w:val="16"/>
          <w:szCs w:val="16"/>
        </w:rPr>
        <w:t> </w:t>
      </w:r>
      <w:r>
        <w:rPr>
          <w:rFonts w:ascii="宋体" w:hAnsi="宋体" w:cs="宋体" w:eastAsia="宋体" w:hint="default"/>
          <w:sz w:val="16"/>
          <w:szCs w:val="16"/>
        </w:rPr>
        <w:t>品</w:t>
      </w:r>
      <w:r>
        <w:rPr>
          <w:rFonts w:ascii="宋体" w:hAnsi="宋体" w:cs="宋体" w:eastAsia="宋体" w:hint="default"/>
          <w:w w:val="99"/>
          <w:sz w:val="16"/>
          <w:szCs w:val="16"/>
        </w:rPr>
        <w:t> </w:t>
      </w:r>
      <w:r>
        <w:rPr>
          <w:rFonts w:ascii="宋体" w:hAnsi="宋体" w:cs="宋体" w:eastAsia="宋体" w:hint="default"/>
          <w:sz w:val="16"/>
          <w:szCs w:val="16"/>
        </w:rPr>
        <w:t>库</w:t>
      </w:r>
      <w:r>
        <w:rPr>
          <w:rFonts w:ascii="宋体" w:hAnsi="宋体" w:cs="宋体" w:eastAsia="宋体" w:hint="default"/>
          <w:w w:val="99"/>
          <w:sz w:val="16"/>
          <w:szCs w:val="16"/>
        </w:rPr>
        <w:t> </w:t>
      </w:r>
      <w:r>
        <w:rPr>
          <w:rFonts w:ascii="宋体" w:hAnsi="宋体" w:cs="宋体" w:eastAsia="宋体" w:hint="default"/>
          <w:sz w:val="16"/>
          <w:szCs w:val="16"/>
        </w:rPr>
        <w:t>存</w:t>
      </w:r>
      <w:r>
        <w:rPr>
          <w:rFonts w:ascii="宋体" w:hAnsi="宋体" w:cs="宋体" w:eastAsia="宋体" w:hint="default"/>
          <w:w w:val="99"/>
          <w:sz w:val="16"/>
          <w:szCs w:val="16"/>
        </w:rPr>
        <w:t> </w:t>
      </w:r>
      <w:r>
        <w:rPr>
          <w:rFonts w:ascii="宋体" w:hAnsi="宋体" w:cs="宋体" w:eastAsia="宋体" w:hint="default"/>
          <w:sz w:val="16"/>
          <w:szCs w:val="16"/>
        </w:rPr>
        <w:t>商</w:t>
      </w:r>
      <w:r>
        <w:rPr>
          <w:rFonts w:ascii="宋体" w:hAnsi="宋体" w:cs="宋体" w:eastAsia="宋体" w:hint="default"/>
          <w:w w:val="99"/>
          <w:sz w:val="16"/>
          <w:szCs w:val="16"/>
        </w:rPr>
        <w:t> </w:t>
      </w:r>
      <w:r>
        <w:rPr>
          <w:rFonts w:ascii="宋体" w:hAnsi="宋体" w:cs="宋体" w:eastAsia="宋体" w:hint="default"/>
          <w:sz w:val="16"/>
          <w:szCs w:val="16"/>
        </w:rPr>
        <w:t>品</w:t>
      </w:r>
      <w:r>
        <w:rPr>
          <w:rFonts w:ascii="宋体" w:hAnsi="宋体" w:cs="宋体" w:eastAsia="宋体" w:hint="default"/>
          <w:w w:val="99"/>
          <w:sz w:val="16"/>
          <w:szCs w:val="16"/>
        </w:rPr>
        <w:t> </w:t>
      </w:r>
      <w:r>
        <w:rPr>
          <w:rFonts w:ascii="宋体" w:hAnsi="宋体" w:cs="宋体" w:eastAsia="宋体" w:hint="default"/>
          <w:sz w:val="16"/>
          <w:szCs w:val="16"/>
        </w:rPr>
        <w:t>委</w:t>
      </w:r>
      <w:r>
        <w:rPr>
          <w:rFonts w:ascii="宋体" w:hAnsi="宋体" w:cs="宋体" w:eastAsia="宋体" w:hint="default"/>
          <w:w w:val="99"/>
          <w:sz w:val="16"/>
          <w:szCs w:val="16"/>
        </w:rPr>
        <w:t> </w:t>
      </w:r>
      <w:r>
        <w:rPr>
          <w:rFonts w:ascii="宋体" w:hAnsi="宋体" w:cs="宋体" w:eastAsia="宋体" w:hint="default"/>
          <w:sz w:val="16"/>
          <w:szCs w:val="16"/>
        </w:rPr>
        <w:t>托</w:t>
      </w:r>
    </w:p>
    <w:p>
      <w:pPr>
        <w:spacing w:line="245" w:lineRule="exact" w:before="0"/>
        <w:ind w:left="301" w:right="0" w:firstLine="0"/>
        <w:jc w:val="both"/>
        <w:rPr>
          <w:rFonts w:ascii="宋体" w:hAnsi="宋体" w:cs="宋体" w:eastAsia="宋体" w:hint="default"/>
          <w:sz w:val="16"/>
          <w:szCs w:val="16"/>
        </w:rPr>
      </w:pPr>
      <w:r>
        <w:rPr>
          <w:rFonts w:ascii="宋体" w:hAnsi="宋体" w:cs="宋体" w:eastAsia="宋体" w:hint="default"/>
          <w:position w:val="10"/>
          <w:sz w:val="16"/>
          <w:szCs w:val="16"/>
        </w:rPr>
        <w:t>加      </w:t>
      </w:r>
      <w:r>
        <w:rPr>
          <w:rFonts w:ascii="宋体" w:hAnsi="宋体" w:cs="宋体" w:eastAsia="宋体" w:hint="default"/>
          <w:sz w:val="16"/>
          <w:szCs w:val="16"/>
        </w:rPr>
        <w:t>31,302,454.20         6,153.09      31,296,301.11      26,581,254.39         6,153.09   </w:t>
      </w:r>
      <w:r>
        <w:rPr>
          <w:rFonts w:ascii="宋体" w:hAnsi="宋体" w:cs="宋体" w:eastAsia="宋体" w:hint="default"/>
          <w:spacing w:val="40"/>
          <w:sz w:val="16"/>
          <w:szCs w:val="16"/>
        </w:rPr>
        <w:t> </w:t>
      </w:r>
      <w:r>
        <w:rPr>
          <w:rFonts w:ascii="宋体" w:hAnsi="宋体" w:cs="宋体" w:eastAsia="宋体" w:hint="default"/>
          <w:sz w:val="16"/>
          <w:szCs w:val="16"/>
        </w:rPr>
        <w:t>26,575,101.30</w:t>
      </w:r>
    </w:p>
    <w:p>
      <w:pPr>
        <w:spacing w:line="151" w:lineRule="exact" w:before="0"/>
        <w:ind w:left="301" w:right="0" w:firstLine="0"/>
        <w:jc w:val="both"/>
        <w:rPr>
          <w:rFonts w:ascii="宋体" w:hAnsi="宋体" w:cs="宋体" w:eastAsia="宋体" w:hint="default"/>
          <w:sz w:val="16"/>
          <w:szCs w:val="16"/>
        </w:rPr>
      </w:pPr>
      <w:r>
        <w:rPr>
          <w:rFonts w:ascii="宋体" w:hAnsi="宋体" w:cs="宋体" w:eastAsia="宋体" w:hint="default"/>
          <w:w w:val="99"/>
          <w:sz w:val="16"/>
          <w:szCs w:val="16"/>
        </w:rPr>
        <w:t>工</w:t>
      </w:r>
      <w:r>
        <w:rPr>
          <w:rFonts w:ascii="宋体" w:hAnsi="宋体" w:cs="宋体" w:eastAsia="宋体" w:hint="default"/>
          <w:sz w:val="16"/>
          <w:szCs w:val="16"/>
        </w:rPr>
      </w:r>
    </w:p>
    <w:p>
      <w:pPr>
        <w:spacing w:line="230" w:lineRule="auto" w:before="3"/>
        <w:ind w:left="301" w:right="9021" w:firstLine="0"/>
        <w:jc w:val="both"/>
        <w:rPr>
          <w:rFonts w:ascii="宋体" w:hAnsi="宋体" w:cs="宋体" w:eastAsia="宋体" w:hint="default"/>
          <w:sz w:val="16"/>
          <w:szCs w:val="16"/>
        </w:rPr>
      </w:pPr>
      <w:r>
        <w:rPr>
          <w:rFonts w:ascii="宋体" w:hAnsi="宋体" w:cs="宋体" w:eastAsia="宋体" w:hint="default"/>
          <w:sz w:val="16"/>
          <w:szCs w:val="16"/>
        </w:rPr>
        <w:t>物</w:t>
      </w:r>
      <w:r>
        <w:rPr>
          <w:rFonts w:ascii="宋体" w:hAnsi="宋体" w:cs="宋体" w:eastAsia="宋体" w:hint="default"/>
          <w:w w:val="99"/>
          <w:sz w:val="16"/>
          <w:szCs w:val="16"/>
        </w:rPr>
        <w:t> </w:t>
      </w:r>
      <w:r>
        <w:rPr>
          <w:rFonts w:ascii="宋体" w:hAnsi="宋体" w:cs="宋体" w:eastAsia="宋体" w:hint="default"/>
          <w:sz w:val="16"/>
          <w:szCs w:val="16"/>
        </w:rPr>
        <w:t>资</w:t>
      </w:r>
      <w:r>
        <w:rPr>
          <w:rFonts w:ascii="宋体" w:hAnsi="宋体" w:cs="宋体" w:eastAsia="宋体" w:hint="default"/>
          <w:w w:val="99"/>
          <w:sz w:val="16"/>
          <w:szCs w:val="16"/>
        </w:rPr>
        <w:t> </w:t>
      </w:r>
      <w:r>
        <w:rPr>
          <w:rFonts w:ascii="宋体" w:hAnsi="宋体" w:cs="宋体" w:eastAsia="宋体" w:hint="default"/>
          <w:sz w:val="16"/>
          <w:szCs w:val="16"/>
        </w:rPr>
        <w:t>委</w:t>
      </w:r>
      <w:r>
        <w:rPr>
          <w:rFonts w:ascii="宋体" w:hAnsi="宋体" w:cs="宋体" w:eastAsia="宋体" w:hint="default"/>
          <w:w w:val="99"/>
          <w:sz w:val="16"/>
          <w:szCs w:val="16"/>
        </w:rPr>
        <w:t> </w:t>
      </w:r>
      <w:r>
        <w:rPr>
          <w:rFonts w:ascii="宋体" w:hAnsi="宋体" w:cs="宋体" w:eastAsia="宋体" w:hint="default"/>
          <w:sz w:val="16"/>
          <w:szCs w:val="16"/>
        </w:rPr>
        <w:t>托</w:t>
      </w:r>
    </w:p>
    <w:p>
      <w:pPr>
        <w:spacing w:line="245" w:lineRule="exact" w:before="0"/>
        <w:ind w:left="301" w:right="0" w:firstLine="0"/>
        <w:jc w:val="both"/>
        <w:rPr>
          <w:rFonts w:ascii="宋体" w:hAnsi="宋体" w:cs="宋体" w:eastAsia="宋体" w:hint="default"/>
          <w:sz w:val="16"/>
          <w:szCs w:val="16"/>
        </w:rPr>
      </w:pPr>
      <w:r>
        <w:rPr>
          <w:rFonts w:ascii="宋体" w:hAnsi="宋体" w:cs="宋体" w:eastAsia="宋体" w:hint="default"/>
          <w:position w:val="10"/>
          <w:sz w:val="16"/>
          <w:szCs w:val="16"/>
        </w:rPr>
        <w:t>代         </w:t>
      </w:r>
      <w:r>
        <w:rPr>
          <w:rFonts w:ascii="宋体" w:hAnsi="宋体" w:cs="宋体" w:eastAsia="宋体" w:hint="default"/>
          <w:sz w:val="16"/>
          <w:szCs w:val="16"/>
        </w:rPr>
        <w:t>376,021.18        61,678.02         314,343.16         315,415.51        61,678.02      </w:t>
      </w:r>
      <w:r>
        <w:rPr>
          <w:rFonts w:ascii="宋体" w:hAnsi="宋体" w:cs="宋体" w:eastAsia="宋体" w:hint="default"/>
          <w:spacing w:val="43"/>
          <w:sz w:val="16"/>
          <w:szCs w:val="16"/>
        </w:rPr>
        <w:t> </w:t>
      </w:r>
      <w:r>
        <w:rPr>
          <w:rFonts w:ascii="宋体" w:hAnsi="宋体" w:cs="宋体" w:eastAsia="宋体" w:hint="default"/>
          <w:sz w:val="16"/>
          <w:szCs w:val="16"/>
        </w:rPr>
        <w:t>253,737.49</w:t>
      </w:r>
    </w:p>
    <w:p>
      <w:pPr>
        <w:spacing w:line="151" w:lineRule="exact" w:before="0"/>
        <w:ind w:left="301" w:right="0" w:firstLine="0"/>
        <w:jc w:val="both"/>
        <w:rPr>
          <w:rFonts w:ascii="宋体" w:hAnsi="宋体" w:cs="宋体" w:eastAsia="宋体" w:hint="default"/>
          <w:sz w:val="16"/>
          <w:szCs w:val="16"/>
        </w:rPr>
      </w:pPr>
      <w:r>
        <w:rPr>
          <w:rFonts w:ascii="宋体" w:hAnsi="宋体" w:cs="宋体" w:eastAsia="宋体" w:hint="default"/>
          <w:w w:val="99"/>
          <w:sz w:val="16"/>
          <w:szCs w:val="16"/>
        </w:rPr>
        <w:t>销</w:t>
      </w:r>
      <w:r>
        <w:rPr>
          <w:rFonts w:ascii="宋体" w:hAnsi="宋体" w:cs="宋体" w:eastAsia="宋体" w:hint="default"/>
          <w:sz w:val="16"/>
          <w:szCs w:val="16"/>
        </w:rPr>
      </w:r>
    </w:p>
    <w:p>
      <w:pPr>
        <w:spacing w:line="230" w:lineRule="auto" w:before="3"/>
        <w:ind w:left="301" w:right="9021" w:firstLine="0"/>
        <w:jc w:val="both"/>
        <w:rPr>
          <w:rFonts w:ascii="宋体" w:hAnsi="宋体" w:cs="宋体" w:eastAsia="宋体" w:hint="default"/>
          <w:sz w:val="16"/>
          <w:szCs w:val="16"/>
        </w:rPr>
      </w:pPr>
      <w:r>
        <w:rPr>
          <w:rFonts w:ascii="宋体" w:hAnsi="宋体" w:cs="宋体" w:eastAsia="宋体" w:hint="default"/>
          <w:sz w:val="16"/>
          <w:szCs w:val="16"/>
        </w:rPr>
        <w:t>商</w:t>
      </w:r>
      <w:r>
        <w:rPr>
          <w:rFonts w:ascii="宋体" w:hAnsi="宋体" w:cs="宋体" w:eastAsia="宋体" w:hint="default"/>
          <w:w w:val="99"/>
          <w:sz w:val="16"/>
          <w:szCs w:val="16"/>
        </w:rPr>
        <w:t> </w:t>
      </w:r>
      <w:r>
        <w:rPr>
          <w:rFonts w:ascii="宋体" w:hAnsi="宋体" w:cs="宋体" w:eastAsia="宋体" w:hint="default"/>
          <w:sz w:val="16"/>
          <w:szCs w:val="16"/>
        </w:rPr>
        <w:t>品</w:t>
      </w:r>
      <w:r>
        <w:rPr>
          <w:rFonts w:ascii="宋体" w:hAnsi="宋体" w:cs="宋体" w:eastAsia="宋体" w:hint="default"/>
          <w:w w:val="99"/>
          <w:sz w:val="16"/>
          <w:szCs w:val="16"/>
        </w:rPr>
        <w:t> </w:t>
      </w:r>
      <w:r>
        <w:rPr>
          <w:rFonts w:ascii="宋体" w:hAnsi="宋体" w:cs="宋体" w:eastAsia="宋体" w:hint="default"/>
          <w:sz w:val="16"/>
          <w:szCs w:val="16"/>
        </w:rPr>
        <w:t>分</w:t>
      </w:r>
      <w:r>
        <w:rPr>
          <w:rFonts w:ascii="宋体" w:hAnsi="宋体" w:cs="宋体" w:eastAsia="宋体" w:hint="default"/>
          <w:w w:val="99"/>
          <w:sz w:val="16"/>
          <w:szCs w:val="16"/>
        </w:rPr>
        <w:t> </w:t>
      </w:r>
      <w:r>
        <w:rPr>
          <w:rFonts w:ascii="宋体" w:hAnsi="宋体" w:cs="宋体" w:eastAsia="宋体" w:hint="default"/>
          <w:sz w:val="16"/>
          <w:szCs w:val="16"/>
        </w:rPr>
        <w:t>期</w:t>
      </w:r>
    </w:p>
    <w:p>
      <w:pPr>
        <w:spacing w:line="245" w:lineRule="exact" w:before="0"/>
        <w:ind w:left="301" w:right="0" w:firstLine="0"/>
        <w:jc w:val="both"/>
        <w:rPr>
          <w:rFonts w:ascii="宋体" w:hAnsi="宋体" w:cs="宋体" w:eastAsia="宋体" w:hint="default"/>
          <w:sz w:val="16"/>
          <w:szCs w:val="16"/>
        </w:rPr>
      </w:pPr>
      <w:r>
        <w:rPr>
          <w:rFonts w:ascii="宋体" w:hAnsi="宋体" w:cs="宋体" w:eastAsia="宋体" w:hint="default"/>
          <w:position w:val="10"/>
          <w:sz w:val="16"/>
          <w:szCs w:val="16"/>
        </w:rPr>
        <w:t>收     </w:t>
      </w:r>
      <w:r>
        <w:rPr>
          <w:rFonts w:ascii="宋体" w:hAnsi="宋体" w:cs="宋体" w:eastAsia="宋体" w:hint="default"/>
          <w:sz w:val="16"/>
          <w:szCs w:val="16"/>
        </w:rPr>
        <w:t>364,826,939.04    28,109,372.01     336,717,567.03     295,450,087.87    35,605,221.60  </w:t>
      </w:r>
      <w:r>
        <w:rPr>
          <w:rFonts w:ascii="宋体" w:hAnsi="宋体" w:cs="宋体" w:eastAsia="宋体" w:hint="default"/>
          <w:spacing w:val="31"/>
          <w:sz w:val="16"/>
          <w:szCs w:val="16"/>
        </w:rPr>
        <w:t> </w:t>
      </w:r>
      <w:r>
        <w:rPr>
          <w:rFonts w:ascii="宋体" w:hAnsi="宋体" w:cs="宋体" w:eastAsia="宋体" w:hint="default"/>
          <w:sz w:val="16"/>
          <w:szCs w:val="16"/>
        </w:rPr>
        <w:t>259,844,866.27</w:t>
      </w:r>
    </w:p>
    <w:p>
      <w:pPr>
        <w:spacing w:line="151" w:lineRule="exact" w:before="0"/>
        <w:ind w:left="301" w:right="0" w:firstLine="0"/>
        <w:jc w:val="both"/>
        <w:rPr>
          <w:rFonts w:ascii="宋体" w:hAnsi="宋体" w:cs="宋体" w:eastAsia="宋体" w:hint="default"/>
          <w:sz w:val="16"/>
          <w:szCs w:val="16"/>
        </w:rPr>
      </w:pPr>
      <w:r>
        <w:rPr>
          <w:rFonts w:ascii="宋体" w:hAnsi="宋体" w:cs="宋体" w:eastAsia="宋体" w:hint="default"/>
          <w:w w:val="99"/>
          <w:sz w:val="16"/>
          <w:szCs w:val="16"/>
        </w:rPr>
        <w:t>款</w:t>
      </w:r>
      <w:r>
        <w:rPr>
          <w:rFonts w:ascii="宋体" w:hAnsi="宋体" w:cs="宋体" w:eastAsia="宋体" w:hint="default"/>
          <w:sz w:val="16"/>
          <w:szCs w:val="16"/>
        </w:rPr>
      </w:r>
    </w:p>
    <w:p>
      <w:pPr>
        <w:spacing w:line="200" w:lineRule="exact" w:before="22"/>
        <w:ind w:left="301" w:right="9021" w:firstLine="0"/>
        <w:jc w:val="both"/>
        <w:rPr>
          <w:rFonts w:ascii="宋体" w:hAnsi="宋体" w:cs="宋体" w:eastAsia="宋体" w:hint="default"/>
          <w:sz w:val="16"/>
          <w:szCs w:val="16"/>
        </w:rPr>
      </w:pPr>
      <w:r>
        <w:rPr>
          <w:rFonts w:ascii="宋体" w:hAnsi="宋体" w:cs="宋体" w:eastAsia="宋体" w:hint="default"/>
          <w:sz w:val="16"/>
          <w:szCs w:val="16"/>
        </w:rPr>
        <w:t>发</w:t>
      </w:r>
      <w:r>
        <w:rPr>
          <w:rFonts w:ascii="宋体" w:hAnsi="宋体" w:cs="宋体" w:eastAsia="宋体" w:hint="default"/>
          <w:w w:val="99"/>
          <w:sz w:val="16"/>
          <w:szCs w:val="16"/>
        </w:rPr>
        <w:t> </w:t>
      </w:r>
      <w:r>
        <w:rPr>
          <w:rFonts w:ascii="宋体" w:hAnsi="宋体" w:cs="宋体" w:eastAsia="宋体" w:hint="default"/>
          <w:sz w:val="16"/>
          <w:szCs w:val="16"/>
        </w:rPr>
        <w:t>出</w:t>
      </w:r>
    </w:p>
    <w:p>
      <w:pPr>
        <w:spacing w:line="30" w:lineRule="exact"/>
        <w:ind w:left="16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6.8pt;height:1.5pt;mso-position-horizontal-relative:char;mso-position-vertical-relative:line" coordorigin="0,0" coordsize="9136,30">
            <v:group style="position:absolute;left:15;top:15;width:392;height:2" coordorigin="15,15" coordsize="392,2">
              <v:shape style="position:absolute;left:15;top:15;width:392;height:2" coordorigin="15,15" coordsize="392,0" path="m15,15l406,15e" filled="false" stroked="true" strokeweight="1.5pt" strokecolor="#000000">
                <v:path arrowok="t"/>
              </v:shape>
            </v:group>
            <v:group style="position:absolute;left:392;top:15;width:1521;height:2" coordorigin="392,15" coordsize="1521,2">
              <v:shape style="position:absolute;left:392;top:15;width:1521;height:2" coordorigin="392,15" coordsize="1521,0" path="m392,15l1912,15e" filled="false" stroked="true" strokeweight="1.5pt" strokecolor="#000000">
                <v:path arrowok="t"/>
              </v:shape>
            </v:group>
            <v:group style="position:absolute;left:1898;top:15;width:1360;height:2" coordorigin="1898,15" coordsize="1360,2">
              <v:shape style="position:absolute;left:1898;top:15;width:1360;height:2" coordorigin="1898,15" coordsize="1360,0" path="m1898,15l3257,15e" filled="false" stroked="true" strokeweight="1.5pt" strokecolor="#000000">
                <v:path arrowok="t"/>
              </v:shape>
            </v:group>
            <v:group style="position:absolute;left:3243;top:15;width:1521;height:2" coordorigin="3243,15" coordsize="1521,2">
              <v:shape style="position:absolute;left:3243;top:15;width:1521;height:2" coordorigin="3243,15" coordsize="1521,0" path="m3243,15l4763,15e" filled="false" stroked="true" strokeweight="1.5pt" strokecolor="#000000">
                <v:path arrowok="t"/>
              </v:shape>
            </v:group>
            <v:group style="position:absolute;left:4749;top:15;width:1521;height:2" coordorigin="4749,15" coordsize="1521,2">
              <v:shape style="position:absolute;left:4749;top:15;width:1521;height:2" coordorigin="4749,15" coordsize="1521,0" path="m4749,15l6269,15e" filled="false" stroked="true" strokeweight="1.5pt" strokecolor="#000000">
                <v:path arrowok="t"/>
              </v:shape>
            </v:group>
            <v:group style="position:absolute;left:6255;top:15;width:1360;height:2" coordorigin="6255,15" coordsize="1360,2">
              <v:shape style="position:absolute;left:6255;top:15;width:1360;height:2" coordorigin="6255,15" coordsize="1360,0" path="m6255,15l7615,15e" filled="false" stroked="true" strokeweight="1.5pt" strokecolor="#000000">
                <v:path arrowok="t"/>
              </v:shape>
            </v:group>
            <v:group style="position:absolute;left:7600;top:15;width:1521;height:2" coordorigin="7600,15" coordsize="1521,2">
              <v:shape style="position:absolute;left:7600;top:15;width:1521;height:2" coordorigin="7600,15" coordsize="1521,0" path="m7600,15l912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8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5.35pt;height:1.5pt;mso-position-horizontal-relative:char;mso-position-vertical-relative:line" coordorigin="0,0" coordsize="9107,30">
            <v:group style="position:absolute;left:15;top:15;width:9077;height:2" coordorigin="15,15" coordsize="9077,2">
              <v:shape style="position:absolute;left:15;top:15;width:9077;height:2" coordorigin="15,15" coordsize="9077,0" path="m15,15l9092,15e" filled="false" stroked="true" strokeweight="1.5pt" strokecolor="#000000">
                <v:path arrowok="t"/>
              </v:shape>
            </v:group>
          </v:group>
        </w:pict>
      </w:r>
      <w:r>
        <w:rPr>
          <w:rFonts w:ascii="宋体" w:hAnsi="宋体" w:cs="宋体" w:eastAsia="宋体" w:hint="default"/>
          <w:position w:val="0"/>
          <w:sz w:val="3"/>
          <w:szCs w:val="3"/>
        </w:rPr>
      </w:r>
    </w:p>
    <w:p>
      <w:pPr>
        <w:tabs>
          <w:tab w:pos="2227" w:val="left" w:leader="none"/>
          <w:tab w:pos="6584" w:val="left" w:leader="none"/>
        </w:tabs>
        <w:spacing w:before="13"/>
        <w:ind w:left="301" w:right="0" w:firstLine="0"/>
        <w:jc w:val="left"/>
        <w:rPr>
          <w:rFonts w:ascii="宋体" w:hAnsi="宋体" w:cs="宋体" w:eastAsia="宋体" w:hint="default"/>
          <w:sz w:val="16"/>
          <w:szCs w:val="16"/>
        </w:rPr>
      </w:pPr>
      <w:r>
        <w:rPr>
          <w:rFonts w:ascii="宋体" w:hAnsi="宋体" w:cs="宋体" w:eastAsia="宋体" w:hint="default"/>
          <w:b/>
          <w:bCs/>
          <w:w w:val="95"/>
          <w:position w:val="-2"/>
          <w:sz w:val="16"/>
          <w:szCs w:val="16"/>
        </w:rPr>
        <w:t>项</w:t>
        <w:tab/>
      </w: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tabs>
          <w:tab w:pos="1061" w:val="left" w:leader="none"/>
          <w:tab w:pos="2486" w:val="left" w:leader="none"/>
          <w:tab w:pos="3912" w:val="left" w:leader="none"/>
          <w:tab w:pos="5418" w:val="left" w:leader="none"/>
          <w:tab w:pos="6843" w:val="left" w:leader="none"/>
          <w:tab w:pos="8269" w:val="left" w:leader="none"/>
        </w:tabs>
        <w:spacing w:line="278" w:lineRule="auto" w:before="0"/>
        <w:ind w:left="301" w:right="569" w:firstLine="0"/>
        <w:jc w:val="left"/>
        <w:rPr>
          <w:rFonts w:ascii="宋体" w:hAnsi="宋体" w:cs="宋体" w:eastAsia="宋体" w:hint="default"/>
          <w:sz w:val="16"/>
          <w:szCs w:val="16"/>
        </w:rPr>
      </w:pPr>
      <w:r>
        <w:rPr/>
        <w:pict>
          <v:group style="position:absolute;margin-left:92.160004pt;margin-top:2.080706pt;width:435.75pt;height:.1pt;mso-position-horizontal-relative:page;mso-position-vertical-relative:paragraph;z-index:-1047472" coordorigin="1843,42" coordsize="8715,2">
            <v:shape style="position:absolute;left:1843;top:42;width:8715;height:2" coordorigin="1843,42" coordsize="8715,0" path="m1843,42l10558,42e" filled="false" stroked="true" strokeweight=".48pt" strokecolor="#000000">
              <v:path arrowok="t"/>
            </v:shape>
            <w10:wrap type="none"/>
          </v:group>
        </w:pict>
      </w:r>
      <w:r>
        <w:rPr/>
        <w:pict>
          <v:group style="position:absolute;margin-left:74.040001pt;margin-top:16.720705pt;width:453.85pt;height:.1pt;mso-position-horizontal-relative:page;mso-position-vertical-relative:paragraph;z-index:-1047448" coordorigin="1481,334" coordsize="9077,2">
            <v:shape style="position:absolute;left:1481;top:334;width:9077;height:2" coordorigin="1481,334" coordsize="9077,0" path="m1481,334l10558,334e" filled="false" stroked="true" strokeweight=".48pt" strokecolor="#000000">
              <v:path arrowok="t"/>
            </v:shape>
            <w10:wrap type="none"/>
          </v:group>
        </w:pict>
      </w:r>
      <w:r>
        <w:rPr>
          <w:rFonts w:ascii="宋体" w:hAnsi="宋体" w:cs="宋体" w:eastAsia="宋体" w:hint="default"/>
          <w:b/>
          <w:bCs/>
          <w:w w:val="95"/>
          <w:position w:val="6"/>
          <w:sz w:val="16"/>
          <w:szCs w:val="16"/>
        </w:rPr>
        <w:t>目</w:t>
        <w:tab/>
      </w:r>
      <w:r>
        <w:rPr>
          <w:rFonts w:ascii="宋体" w:hAnsi="宋体" w:cs="宋体" w:eastAsia="宋体" w:hint="default"/>
          <w:b/>
          <w:bCs/>
          <w:w w:val="95"/>
          <w:sz w:val="16"/>
          <w:szCs w:val="16"/>
        </w:rPr>
        <w:t>账面余额</w:t>
        <w:tab/>
        <w:t>跌价准备</w:t>
        <w:tab/>
        <w:t>账面价值</w:t>
        <w:tab/>
        <w:t>账面余额</w:t>
        <w:tab/>
        <w:t>跌价准备</w:t>
        <w:tab/>
      </w:r>
      <w:r>
        <w:rPr>
          <w:rFonts w:ascii="宋体" w:hAnsi="宋体" w:cs="宋体" w:eastAsia="宋体" w:hint="default"/>
          <w:b/>
          <w:bCs/>
          <w:sz w:val="16"/>
          <w:szCs w:val="16"/>
        </w:rPr>
        <w:t>账面价值</w:t>
      </w:r>
      <w:r>
        <w:rPr>
          <w:rFonts w:ascii="宋体" w:hAnsi="宋体" w:cs="宋体" w:eastAsia="宋体" w:hint="default"/>
          <w:b/>
          <w:bCs/>
          <w:spacing w:val="1"/>
          <w:w w:val="99"/>
          <w:sz w:val="16"/>
          <w:szCs w:val="16"/>
        </w:rPr>
        <w:t> </w:t>
      </w:r>
      <w:r>
        <w:rPr>
          <w:rFonts w:ascii="宋体" w:hAnsi="宋体" w:cs="宋体" w:eastAsia="宋体" w:hint="default"/>
          <w:sz w:val="16"/>
          <w:szCs w:val="16"/>
        </w:rPr>
        <w:t>商</w:t>
      </w:r>
    </w:p>
    <w:p>
      <w:pPr>
        <w:spacing w:line="170" w:lineRule="exact" w:before="0"/>
        <w:ind w:left="301" w:right="0" w:firstLine="0"/>
        <w:jc w:val="left"/>
        <w:rPr>
          <w:rFonts w:ascii="宋体" w:hAnsi="宋体" w:cs="宋体" w:eastAsia="宋体" w:hint="default"/>
          <w:sz w:val="16"/>
          <w:szCs w:val="16"/>
        </w:rPr>
      </w:pPr>
      <w:r>
        <w:rPr>
          <w:rFonts w:ascii="宋体" w:hAnsi="宋体" w:cs="宋体" w:eastAsia="宋体" w:hint="default"/>
          <w:w w:val="99"/>
          <w:sz w:val="16"/>
          <w:szCs w:val="16"/>
        </w:rPr>
        <w:t>品</w:t>
      </w:r>
      <w:r>
        <w:rPr>
          <w:rFonts w:ascii="宋体" w:hAnsi="宋体" w:cs="宋体" w:eastAsia="宋体" w:hint="default"/>
          <w:sz w:val="16"/>
          <w:szCs w:val="16"/>
        </w:rPr>
      </w:r>
    </w:p>
    <w:p>
      <w:pPr>
        <w:spacing w:line="205" w:lineRule="exact" w:before="0"/>
        <w:ind w:left="301" w:right="0" w:firstLine="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50"/>
        <w:ind w:left="301" w:right="0" w:firstLine="0"/>
        <w:jc w:val="left"/>
        <w:rPr>
          <w:rFonts w:ascii="宋体" w:hAnsi="宋体" w:cs="宋体" w:eastAsia="宋体" w:hint="default"/>
          <w:sz w:val="16"/>
          <w:szCs w:val="16"/>
        </w:rPr>
      </w:pPr>
      <w:r>
        <w:rPr/>
        <w:pict>
          <v:shape style="position:absolute;margin-left:73.680pt;margin-top:-65.030609pt;width:454.2pt;height:151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1416"/>
                    <w:gridCol w:w="1496"/>
                    <w:gridCol w:w="1451"/>
                    <w:gridCol w:w="1371"/>
                    <w:gridCol w:w="1550"/>
                  </w:tblGrid>
                  <w:tr>
                    <w:trPr>
                      <w:trHeight w:val="380" w:hRule="exact"/>
                    </w:trPr>
                    <w:tc>
                      <w:tcPr>
                        <w:tcW w:w="1800"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156" w:lineRule="exact"/>
                          <w:ind w:left="107" w:right="0"/>
                          <w:jc w:val="left"/>
                          <w:rPr>
                            <w:rFonts w:ascii="宋体" w:hAnsi="宋体" w:cs="宋体" w:eastAsia="宋体" w:hint="default"/>
                            <w:sz w:val="16"/>
                            <w:szCs w:val="16"/>
                          </w:rPr>
                        </w:pPr>
                        <w:r>
                          <w:rPr>
                            <w:rFonts w:ascii="宋体" w:hAnsi="宋体" w:cs="宋体" w:eastAsia="宋体" w:hint="default"/>
                            <w:w w:val="95"/>
                            <w:sz w:val="16"/>
                            <w:szCs w:val="16"/>
                          </w:rPr>
                          <w:t>成</w:t>
                          <w:tab/>
                        </w:r>
                        <w:r>
                          <w:rPr>
                            <w:rFonts w:ascii="宋体" w:hAnsi="宋体" w:cs="宋体" w:eastAsia="宋体" w:hint="default"/>
                            <w:sz w:val="16"/>
                            <w:szCs w:val="16"/>
                          </w:rPr>
                          <w:t>381,335,534.59</w:t>
                        </w:r>
                      </w:p>
                      <w:p>
                        <w:pPr>
                          <w:pStyle w:val="TableParagraph"/>
                          <w:spacing w:line="204" w:lineRule="exact"/>
                          <w:ind w:left="107" w:right="0"/>
                          <w:jc w:val="left"/>
                          <w:rPr>
                            <w:rFonts w:ascii="宋体" w:hAnsi="宋体" w:cs="宋体" w:eastAsia="宋体" w:hint="default"/>
                            <w:sz w:val="16"/>
                            <w:szCs w:val="16"/>
                          </w:rPr>
                        </w:pPr>
                        <w:r>
                          <w:rPr>
                            <w:rFonts w:ascii="宋体" w:hAnsi="宋体" w:cs="宋体" w:eastAsia="宋体" w:hint="default"/>
                            <w:w w:val="99"/>
                            <w:sz w:val="16"/>
                            <w:szCs w:val="16"/>
                          </w:rPr>
                          <w:t>品</w:t>
                        </w:r>
                        <w:r>
                          <w:rPr>
                            <w:rFonts w:ascii="宋体" w:hAnsi="宋体" w:cs="宋体" w:eastAsia="宋体" w:hint="default"/>
                            <w:sz w:val="16"/>
                            <w:szCs w:val="16"/>
                          </w:rPr>
                        </w:r>
                      </w:p>
                    </w:tc>
                    <w:tc>
                      <w:tcPr>
                        <w:tcW w:w="1416" w:type="dxa"/>
                        <w:tcBorders>
                          <w:top w:val="nil" w:sz="6" w:space="0" w:color="auto"/>
                          <w:left w:val="nil" w:sz="6" w:space="0" w:color="auto"/>
                          <w:bottom w:val="nil" w:sz="6" w:space="0" w:color="auto"/>
                          <w:right w:val="nil" w:sz="6" w:space="0" w:color="auto"/>
                        </w:tcBorders>
                      </w:tcPr>
                      <w:p>
                        <w:pPr>
                          <w:pStyle w:val="TableParagraph"/>
                          <w:spacing w:line="160" w:lineRule="exact"/>
                          <w:ind w:left="181" w:right="0"/>
                          <w:jc w:val="center"/>
                          <w:rPr>
                            <w:rFonts w:ascii="宋体" w:hAnsi="宋体" w:cs="宋体" w:eastAsia="宋体" w:hint="default"/>
                            <w:sz w:val="16"/>
                            <w:szCs w:val="16"/>
                          </w:rPr>
                        </w:pPr>
                        <w:r>
                          <w:rPr>
                            <w:rFonts w:ascii="宋体"/>
                            <w:sz w:val="16"/>
                          </w:rPr>
                          <w:t>13,094,997.29</w:t>
                        </w:r>
                      </w:p>
                    </w:tc>
                    <w:tc>
                      <w:tcPr>
                        <w:tcW w:w="1496" w:type="dxa"/>
                        <w:tcBorders>
                          <w:top w:val="nil" w:sz="6" w:space="0" w:color="auto"/>
                          <w:left w:val="nil" w:sz="6" w:space="0" w:color="auto"/>
                          <w:bottom w:val="nil" w:sz="6" w:space="0" w:color="auto"/>
                          <w:right w:val="nil" w:sz="6" w:space="0" w:color="auto"/>
                        </w:tcBorders>
                      </w:tcPr>
                      <w:p>
                        <w:pPr>
                          <w:pStyle w:val="TableParagraph"/>
                          <w:spacing w:line="160" w:lineRule="exact"/>
                          <w:ind w:right="83"/>
                          <w:jc w:val="right"/>
                          <w:rPr>
                            <w:rFonts w:ascii="宋体" w:hAnsi="宋体" w:cs="宋体" w:eastAsia="宋体" w:hint="default"/>
                            <w:sz w:val="16"/>
                            <w:szCs w:val="16"/>
                          </w:rPr>
                        </w:pPr>
                        <w:r>
                          <w:rPr>
                            <w:rFonts w:ascii="宋体"/>
                            <w:spacing w:val="-1"/>
                            <w:sz w:val="16"/>
                          </w:rPr>
                          <w:t>368,240,537.30</w:t>
                        </w:r>
                      </w:p>
                    </w:tc>
                    <w:tc>
                      <w:tcPr>
                        <w:tcW w:w="1451" w:type="dxa"/>
                        <w:tcBorders>
                          <w:top w:val="nil" w:sz="6" w:space="0" w:color="auto"/>
                          <w:left w:val="nil" w:sz="6" w:space="0" w:color="auto"/>
                          <w:bottom w:val="nil" w:sz="6" w:space="0" w:color="auto"/>
                          <w:right w:val="nil" w:sz="6" w:space="0" w:color="auto"/>
                        </w:tcBorders>
                      </w:tcPr>
                      <w:p>
                        <w:pPr>
                          <w:pStyle w:val="TableParagraph"/>
                          <w:spacing w:line="160" w:lineRule="exact"/>
                          <w:ind w:right="28"/>
                          <w:jc w:val="right"/>
                          <w:rPr>
                            <w:rFonts w:ascii="宋体" w:hAnsi="宋体" w:cs="宋体" w:eastAsia="宋体" w:hint="default"/>
                            <w:sz w:val="16"/>
                            <w:szCs w:val="16"/>
                          </w:rPr>
                        </w:pPr>
                        <w:r>
                          <w:rPr>
                            <w:rFonts w:ascii="宋体"/>
                            <w:spacing w:val="-1"/>
                            <w:sz w:val="16"/>
                          </w:rPr>
                          <w:t>357,706,966.68</w:t>
                        </w:r>
                      </w:p>
                    </w:tc>
                    <w:tc>
                      <w:tcPr>
                        <w:tcW w:w="1371" w:type="dxa"/>
                        <w:tcBorders>
                          <w:top w:val="nil" w:sz="6" w:space="0" w:color="auto"/>
                          <w:left w:val="nil" w:sz="6" w:space="0" w:color="auto"/>
                          <w:bottom w:val="nil" w:sz="6" w:space="0" w:color="auto"/>
                          <w:right w:val="nil" w:sz="6" w:space="0" w:color="auto"/>
                        </w:tcBorders>
                      </w:tcPr>
                      <w:p>
                        <w:pPr>
                          <w:pStyle w:val="TableParagraph"/>
                          <w:spacing w:line="160" w:lineRule="exact"/>
                          <w:ind w:right="54"/>
                          <w:jc w:val="right"/>
                          <w:rPr>
                            <w:rFonts w:ascii="宋体" w:hAnsi="宋体" w:cs="宋体" w:eastAsia="宋体" w:hint="default"/>
                            <w:sz w:val="16"/>
                            <w:szCs w:val="16"/>
                          </w:rPr>
                        </w:pPr>
                        <w:r>
                          <w:rPr>
                            <w:rFonts w:ascii="宋体"/>
                            <w:spacing w:val="-1"/>
                            <w:sz w:val="16"/>
                          </w:rPr>
                          <w:t>24,062,937.36</w:t>
                        </w:r>
                      </w:p>
                    </w:tc>
                    <w:tc>
                      <w:tcPr>
                        <w:tcW w:w="1550" w:type="dxa"/>
                        <w:tcBorders>
                          <w:top w:val="nil" w:sz="6" w:space="0" w:color="auto"/>
                          <w:left w:val="nil" w:sz="6" w:space="0" w:color="auto"/>
                          <w:bottom w:val="nil" w:sz="6" w:space="0" w:color="auto"/>
                          <w:right w:val="nil" w:sz="6" w:space="0" w:color="auto"/>
                        </w:tcBorders>
                      </w:tcPr>
                      <w:p>
                        <w:pPr>
                          <w:pStyle w:val="TableParagraph"/>
                          <w:spacing w:line="160" w:lineRule="exact"/>
                          <w:ind w:left="329" w:right="0"/>
                          <w:jc w:val="left"/>
                          <w:rPr>
                            <w:rFonts w:ascii="宋体" w:hAnsi="宋体" w:cs="宋体" w:eastAsia="宋体" w:hint="default"/>
                            <w:sz w:val="16"/>
                            <w:szCs w:val="16"/>
                          </w:rPr>
                        </w:pPr>
                        <w:r>
                          <w:rPr>
                            <w:rFonts w:ascii="宋体"/>
                            <w:sz w:val="16"/>
                          </w:rPr>
                          <w:t>333,644,029.32</w:t>
                        </w:r>
                      </w:p>
                    </w:tc>
                  </w:tr>
                  <w:tr>
                    <w:trPr>
                      <w:trHeight w:val="650"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176" w:lineRule="exact"/>
                          <w:ind w:left="107" w:right="0"/>
                          <w:jc w:val="left"/>
                          <w:rPr>
                            <w:rFonts w:ascii="宋体" w:hAnsi="宋体" w:cs="宋体" w:eastAsia="宋体" w:hint="default"/>
                            <w:sz w:val="16"/>
                            <w:szCs w:val="16"/>
                          </w:rPr>
                        </w:pPr>
                        <w:r>
                          <w:rPr>
                            <w:rFonts w:ascii="宋体" w:hAnsi="宋体" w:cs="宋体" w:eastAsia="宋体" w:hint="default"/>
                            <w:w w:val="99"/>
                            <w:sz w:val="16"/>
                            <w:szCs w:val="16"/>
                          </w:rPr>
                          <w:t>在</w:t>
                        </w:r>
                        <w:r>
                          <w:rPr>
                            <w:rFonts w:ascii="宋体" w:hAnsi="宋体" w:cs="宋体" w:eastAsia="宋体" w:hint="default"/>
                            <w:sz w:val="16"/>
                            <w:szCs w:val="16"/>
                          </w:rPr>
                        </w:r>
                      </w:p>
                      <w:p>
                        <w:pPr>
                          <w:pStyle w:val="TableParagraph"/>
                          <w:tabs>
                            <w:tab w:pos="494" w:val="left" w:leader="none"/>
                          </w:tabs>
                          <w:spacing w:line="200" w:lineRule="exact"/>
                          <w:ind w:left="107" w:right="0"/>
                          <w:jc w:val="left"/>
                          <w:rPr>
                            <w:rFonts w:ascii="宋体" w:hAnsi="宋体" w:cs="宋体" w:eastAsia="宋体" w:hint="default"/>
                            <w:sz w:val="16"/>
                            <w:szCs w:val="16"/>
                          </w:rPr>
                        </w:pPr>
                        <w:r>
                          <w:rPr>
                            <w:rFonts w:ascii="宋体" w:hAnsi="宋体" w:cs="宋体" w:eastAsia="宋体" w:hint="default"/>
                            <w:w w:val="95"/>
                            <w:sz w:val="16"/>
                            <w:szCs w:val="16"/>
                          </w:rPr>
                          <w:t>产</w:t>
                          <w:tab/>
                        </w:r>
                        <w:r>
                          <w:rPr>
                            <w:rFonts w:ascii="宋体" w:hAnsi="宋体" w:cs="宋体" w:eastAsia="宋体" w:hint="default"/>
                            <w:sz w:val="16"/>
                            <w:szCs w:val="16"/>
                          </w:rPr>
                          <w:t>1,007,625,109.19</w:t>
                        </w:r>
                      </w:p>
                      <w:p>
                        <w:pPr>
                          <w:pStyle w:val="TableParagraph"/>
                          <w:spacing w:line="204" w:lineRule="exact"/>
                          <w:ind w:left="107" w:right="0"/>
                          <w:jc w:val="left"/>
                          <w:rPr>
                            <w:rFonts w:ascii="宋体" w:hAnsi="宋体" w:cs="宋体" w:eastAsia="宋体" w:hint="default"/>
                            <w:sz w:val="16"/>
                            <w:szCs w:val="16"/>
                          </w:rPr>
                        </w:pPr>
                        <w:r>
                          <w:rPr>
                            <w:rFonts w:ascii="宋体" w:hAnsi="宋体" w:cs="宋体" w:eastAsia="宋体" w:hint="default"/>
                            <w:w w:val="99"/>
                            <w:sz w:val="16"/>
                            <w:szCs w:val="16"/>
                          </w:rPr>
                          <w:t>品</w:t>
                        </w:r>
                        <w:r>
                          <w:rPr>
                            <w:rFonts w:ascii="宋体" w:hAnsi="宋体" w:cs="宋体" w:eastAsia="宋体" w:hint="default"/>
                            <w:sz w:val="16"/>
                            <w:szCs w:val="16"/>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81" w:right="0"/>
                          <w:jc w:val="center"/>
                          <w:rPr>
                            <w:rFonts w:ascii="宋体" w:hAnsi="宋体" w:cs="宋体" w:eastAsia="宋体" w:hint="default"/>
                            <w:sz w:val="16"/>
                            <w:szCs w:val="16"/>
                          </w:rPr>
                        </w:pPr>
                        <w:r>
                          <w:rPr>
                            <w:rFonts w:ascii="宋体"/>
                            <w:sz w:val="16"/>
                          </w:rPr>
                          <w:t>75,031,615.90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3"/>
                          <w:jc w:val="right"/>
                          <w:rPr>
                            <w:rFonts w:ascii="宋体" w:hAnsi="宋体" w:cs="宋体" w:eastAsia="宋体" w:hint="default"/>
                            <w:sz w:val="16"/>
                            <w:szCs w:val="16"/>
                          </w:rPr>
                        </w:pPr>
                        <w:r>
                          <w:rPr>
                            <w:rFonts w:ascii="宋体"/>
                            <w:spacing w:val="-1"/>
                            <w:sz w:val="16"/>
                          </w:rPr>
                          <w:t>932,593,493.29</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1"/>
                          <w:jc w:val="right"/>
                          <w:rPr>
                            <w:rFonts w:ascii="宋体" w:hAnsi="宋体" w:cs="宋体" w:eastAsia="宋体" w:hint="default"/>
                            <w:sz w:val="16"/>
                            <w:szCs w:val="16"/>
                          </w:rPr>
                        </w:pPr>
                        <w:r>
                          <w:rPr>
                            <w:rFonts w:ascii="宋体"/>
                            <w:spacing w:val="-1"/>
                            <w:sz w:val="16"/>
                          </w:rPr>
                          <w:t>1,025,373,182.54</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4"/>
                          <w:jc w:val="right"/>
                          <w:rPr>
                            <w:rFonts w:ascii="宋体" w:hAnsi="宋体" w:cs="宋体" w:eastAsia="宋体" w:hint="default"/>
                            <w:sz w:val="16"/>
                            <w:szCs w:val="16"/>
                          </w:rPr>
                        </w:pPr>
                        <w:r>
                          <w:rPr>
                            <w:rFonts w:ascii="宋体"/>
                            <w:spacing w:val="-1"/>
                            <w:sz w:val="16"/>
                          </w:rPr>
                          <w:t>38,075,885.15</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9" w:right="0"/>
                          <w:jc w:val="left"/>
                          <w:rPr>
                            <w:rFonts w:ascii="宋体" w:hAnsi="宋体" w:cs="宋体" w:eastAsia="宋体" w:hint="default"/>
                            <w:sz w:val="16"/>
                            <w:szCs w:val="16"/>
                          </w:rPr>
                        </w:pPr>
                        <w:r>
                          <w:rPr>
                            <w:rFonts w:ascii="宋体"/>
                            <w:sz w:val="16"/>
                          </w:rPr>
                          <w:t>987,297,297.39</w:t>
                        </w:r>
                      </w:p>
                    </w:tc>
                  </w:tr>
                  <w:tr>
                    <w:trPr>
                      <w:trHeight w:val="753" w:hRule="exact"/>
                    </w:trPr>
                    <w:tc>
                      <w:tcPr>
                        <w:tcW w:w="1800" w:type="dxa"/>
                        <w:tcBorders>
                          <w:top w:val="nil" w:sz="6" w:space="0" w:color="auto"/>
                          <w:left w:val="nil" w:sz="6" w:space="0" w:color="auto"/>
                          <w:bottom w:val="single" w:sz="4" w:space="0" w:color="000000"/>
                          <w:right w:val="nil" w:sz="6" w:space="0" w:color="auto"/>
                        </w:tcBorders>
                      </w:tcPr>
                      <w:p>
                        <w:pPr>
                          <w:pStyle w:val="TableParagraph"/>
                          <w:spacing w:line="126" w:lineRule="exact"/>
                          <w:ind w:left="107" w:right="0"/>
                          <w:jc w:val="left"/>
                          <w:rPr>
                            <w:rFonts w:ascii="宋体" w:hAnsi="宋体" w:cs="宋体" w:eastAsia="宋体" w:hint="default"/>
                            <w:sz w:val="16"/>
                            <w:szCs w:val="16"/>
                          </w:rPr>
                        </w:pPr>
                        <w:r>
                          <w:rPr>
                            <w:rFonts w:ascii="宋体" w:hAnsi="宋体" w:cs="宋体" w:eastAsia="宋体" w:hint="default"/>
                            <w:w w:val="99"/>
                            <w:sz w:val="16"/>
                            <w:szCs w:val="16"/>
                          </w:rPr>
                          <w:t>工</w:t>
                        </w:r>
                        <w:r>
                          <w:rPr>
                            <w:rFonts w:ascii="宋体" w:hAnsi="宋体" w:cs="宋体" w:eastAsia="宋体" w:hint="default"/>
                            <w:sz w:val="16"/>
                            <w:szCs w:val="16"/>
                          </w:rPr>
                        </w:r>
                      </w:p>
                      <w:p>
                        <w:pPr>
                          <w:pStyle w:val="TableParagraph"/>
                          <w:tabs>
                            <w:tab w:pos="655" w:val="left" w:leader="none"/>
                          </w:tabs>
                          <w:spacing w:line="305" w:lineRule="exact"/>
                          <w:ind w:left="107" w:right="0"/>
                          <w:jc w:val="left"/>
                          <w:rPr>
                            <w:rFonts w:ascii="宋体" w:hAnsi="宋体" w:cs="宋体" w:eastAsia="宋体" w:hint="default"/>
                            <w:sz w:val="16"/>
                            <w:szCs w:val="16"/>
                          </w:rPr>
                        </w:pPr>
                        <w:r>
                          <w:rPr>
                            <w:rFonts w:ascii="宋体" w:hAnsi="宋体" w:cs="宋体" w:eastAsia="宋体" w:hint="default"/>
                            <w:w w:val="95"/>
                            <w:position w:val="10"/>
                            <w:sz w:val="16"/>
                            <w:szCs w:val="16"/>
                          </w:rPr>
                          <w:t>程</w:t>
                          <w:tab/>
                        </w:r>
                        <w:r>
                          <w:rPr>
                            <w:rFonts w:ascii="宋体" w:hAnsi="宋体" w:cs="宋体" w:eastAsia="宋体" w:hint="default"/>
                            <w:sz w:val="16"/>
                            <w:szCs w:val="16"/>
                          </w:rPr>
                          <w:t>633,695,058.35</w:t>
                        </w:r>
                      </w:p>
                      <w:p>
                        <w:pPr>
                          <w:pStyle w:val="TableParagraph"/>
                          <w:spacing w:line="240" w:lineRule="auto" w:before="90"/>
                          <w:ind w:left="107" w:right="0"/>
                          <w:jc w:val="left"/>
                          <w:rPr>
                            <w:rFonts w:ascii="宋体" w:hAnsi="宋体" w:cs="宋体" w:eastAsia="宋体" w:hint="default"/>
                            <w:sz w:val="16"/>
                            <w:szCs w:val="16"/>
                          </w:rPr>
                        </w:pPr>
                        <w:r>
                          <w:rPr>
                            <w:rFonts w:ascii="宋体" w:hAnsi="宋体" w:cs="宋体" w:eastAsia="宋体" w:hint="default"/>
                            <w:w w:val="99"/>
                            <w:sz w:val="16"/>
                            <w:szCs w:val="16"/>
                          </w:rPr>
                          <w:t>工</w:t>
                        </w:r>
                        <w:r>
                          <w:rPr>
                            <w:rFonts w:ascii="宋体" w:hAnsi="宋体" w:cs="宋体" w:eastAsia="宋体" w:hint="default"/>
                            <w:sz w:val="16"/>
                            <w:szCs w:val="16"/>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1" w:right="0"/>
                          <w:jc w:val="center"/>
                          <w:rPr>
                            <w:rFonts w:ascii="宋体" w:hAnsi="宋体" w:cs="宋体" w:eastAsia="宋体" w:hint="default"/>
                            <w:sz w:val="16"/>
                            <w:szCs w:val="16"/>
                          </w:rPr>
                        </w:pPr>
                        <w:r>
                          <w:rPr>
                            <w:rFonts w:ascii="宋体"/>
                            <w:sz w:val="16"/>
                          </w:rPr>
                          <w:t>24,159,318.14</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3"/>
                          <w:jc w:val="right"/>
                          <w:rPr>
                            <w:rFonts w:ascii="宋体" w:hAnsi="宋体" w:cs="宋体" w:eastAsia="宋体" w:hint="default"/>
                            <w:sz w:val="16"/>
                            <w:szCs w:val="16"/>
                          </w:rPr>
                        </w:pPr>
                        <w:r>
                          <w:rPr>
                            <w:rFonts w:ascii="宋体"/>
                            <w:spacing w:val="-1"/>
                            <w:sz w:val="16"/>
                          </w:rPr>
                          <w:t>609,535,740.21</w:t>
                        </w: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534,142,632.59</w:t>
                        </w: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4"/>
                          <w:jc w:val="right"/>
                          <w:rPr>
                            <w:rFonts w:ascii="宋体" w:hAnsi="宋体" w:cs="宋体" w:eastAsia="宋体" w:hint="default"/>
                            <w:sz w:val="16"/>
                            <w:szCs w:val="16"/>
                          </w:rPr>
                        </w:pPr>
                        <w:r>
                          <w:rPr>
                            <w:rFonts w:ascii="宋体"/>
                            <w:spacing w:val="-1"/>
                            <w:sz w:val="16"/>
                          </w:rPr>
                          <w:t>18,944,624.16</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29" w:right="0"/>
                          <w:jc w:val="left"/>
                          <w:rPr>
                            <w:rFonts w:ascii="宋体" w:hAnsi="宋体" w:cs="宋体" w:eastAsia="宋体" w:hint="default"/>
                            <w:sz w:val="16"/>
                            <w:szCs w:val="16"/>
                          </w:rPr>
                        </w:pPr>
                        <w:r>
                          <w:rPr>
                            <w:rFonts w:ascii="宋体"/>
                            <w:sz w:val="16"/>
                          </w:rPr>
                          <w:t>515,198,008.43</w:t>
                        </w:r>
                      </w:p>
                    </w:tc>
                  </w:tr>
                  <w:tr>
                    <w:trPr>
                      <w:trHeight w:val="286" w:hRule="exact"/>
                    </w:trPr>
                    <w:tc>
                      <w:tcPr>
                        <w:tcW w:w="1800" w:type="dxa"/>
                        <w:tcBorders>
                          <w:top w:val="single" w:sz="4" w:space="0" w:color="000000"/>
                          <w:left w:val="nil" w:sz="6" w:space="0" w:color="auto"/>
                          <w:bottom w:val="nil" w:sz="6" w:space="0" w:color="auto"/>
                          <w:right w:val="nil" w:sz="6" w:space="0" w:color="auto"/>
                        </w:tcBorders>
                      </w:tcPr>
                      <w:p>
                        <w:pPr>
                          <w:pStyle w:val="TableParagraph"/>
                          <w:spacing w:line="127" w:lineRule="exact"/>
                          <w:ind w:left="107" w:right="0"/>
                          <w:jc w:val="left"/>
                          <w:rPr>
                            <w:rFonts w:ascii="宋体" w:hAnsi="宋体" w:cs="宋体" w:eastAsia="宋体" w:hint="default"/>
                            <w:sz w:val="16"/>
                            <w:szCs w:val="16"/>
                          </w:rPr>
                        </w:pPr>
                        <w:r>
                          <w:rPr>
                            <w:rFonts w:ascii="宋体" w:hAnsi="宋体" w:cs="宋体" w:eastAsia="宋体" w:hint="default"/>
                            <w:b/>
                            <w:bCs/>
                            <w:w w:val="99"/>
                            <w:sz w:val="16"/>
                            <w:szCs w:val="16"/>
                          </w:rPr>
                          <w:t>合</w:t>
                        </w:r>
                        <w:r>
                          <w:rPr>
                            <w:rFonts w:ascii="宋体" w:hAnsi="宋体" w:cs="宋体" w:eastAsia="宋体" w:hint="default"/>
                            <w:sz w:val="16"/>
                            <w:szCs w:val="16"/>
                          </w:rPr>
                        </w:r>
                      </w:p>
                      <w:p>
                        <w:pPr>
                          <w:pStyle w:val="TableParagraph"/>
                          <w:tabs>
                            <w:tab w:pos="484" w:val="left" w:leader="none"/>
                          </w:tabs>
                          <w:spacing w:line="194" w:lineRule="exact"/>
                          <w:ind w:left="107" w:right="0"/>
                          <w:jc w:val="left"/>
                          <w:rPr>
                            <w:rFonts w:ascii="宋体" w:hAnsi="宋体" w:cs="宋体" w:eastAsia="宋体" w:hint="default"/>
                            <w:sz w:val="16"/>
                            <w:szCs w:val="16"/>
                          </w:rPr>
                        </w:pPr>
                        <w:r>
                          <w:rPr>
                            <w:rFonts w:ascii="宋体" w:hAnsi="宋体" w:cs="宋体" w:eastAsia="宋体" w:hint="default"/>
                            <w:b/>
                            <w:bCs/>
                            <w:w w:val="95"/>
                            <w:position w:val="-9"/>
                            <w:sz w:val="16"/>
                            <w:szCs w:val="16"/>
                          </w:rPr>
                          <w:t>计</w:t>
                          <w:tab/>
                        </w:r>
                        <w:r>
                          <w:rPr>
                            <w:rFonts w:ascii="宋体" w:hAnsi="宋体" w:cs="宋体" w:eastAsia="宋体" w:hint="default"/>
                            <w:b/>
                            <w:bCs/>
                            <w:sz w:val="16"/>
                            <w:szCs w:val="16"/>
                          </w:rPr>
                          <w:t>4,628,038,352.21</w:t>
                        </w:r>
                        <w:r>
                          <w:rPr>
                            <w:rFonts w:ascii="宋体" w:hAnsi="宋体" w:cs="宋体" w:eastAsia="宋体" w:hint="default"/>
                            <w:sz w:val="16"/>
                            <w:szCs w:val="16"/>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93" w:right="0"/>
                          <w:jc w:val="center"/>
                          <w:rPr>
                            <w:rFonts w:ascii="宋体" w:hAnsi="宋体" w:cs="宋体" w:eastAsia="宋体" w:hint="default"/>
                            <w:sz w:val="16"/>
                            <w:szCs w:val="16"/>
                          </w:rPr>
                        </w:pPr>
                        <w:r>
                          <w:rPr>
                            <w:rFonts w:ascii="宋体"/>
                            <w:b/>
                            <w:sz w:val="16"/>
                          </w:rPr>
                          <w:t>245,113,039.28</w:t>
                        </w:r>
                        <w:r>
                          <w:rPr>
                            <w:rFonts w:ascii="宋体"/>
                            <w:sz w:val="16"/>
                          </w:rPr>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84"/>
                          <w:jc w:val="right"/>
                          <w:rPr>
                            <w:rFonts w:ascii="宋体" w:hAnsi="宋体" w:cs="宋体" w:eastAsia="宋体" w:hint="default"/>
                            <w:sz w:val="16"/>
                            <w:szCs w:val="16"/>
                          </w:rPr>
                        </w:pPr>
                        <w:r>
                          <w:rPr>
                            <w:rFonts w:ascii="宋体"/>
                            <w:b/>
                            <w:w w:val="95"/>
                            <w:sz w:val="16"/>
                          </w:rPr>
                          <w:t>4,382,925,312.93</w:t>
                        </w:r>
                        <w:r>
                          <w:rPr>
                            <w:rFonts w:ascii="宋体"/>
                            <w:sz w:val="16"/>
                          </w:rPr>
                        </w: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8"/>
                          <w:jc w:val="right"/>
                          <w:rPr>
                            <w:rFonts w:ascii="宋体" w:hAnsi="宋体" w:cs="宋体" w:eastAsia="宋体" w:hint="default"/>
                            <w:sz w:val="16"/>
                            <w:szCs w:val="16"/>
                          </w:rPr>
                        </w:pPr>
                        <w:r>
                          <w:rPr>
                            <w:rFonts w:ascii="宋体"/>
                            <w:b/>
                            <w:w w:val="95"/>
                            <w:sz w:val="16"/>
                          </w:rPr>
                          <w:t>4,463,851,311.00</w:t>
                        </w:r>
                        <w:r>
                          <w:rPr>
                            <w:rFonts w:ascii="宋体"/>
                            <w:sz w:val="16"/>
                          </w:rPr>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5"/>
                          <w:jc w:val="right"/>
                          <w:rPr>
                            <w:rFonts w:ascii="宋体" w:hAnsi="宋体" w:cs="宋体" w:eastAsia="宋体" w:hint="default"/>
                            <w:sz w:val="16"/>
                            <w:szCs w:val="16"/>
                          </w:rPr>
                        </w:pPr>
                        <w:r>
                          <w:rPr>
                            <w:rFonts w:ascii="宋体"/>
                            <w:b/>
                            <w:w w:val="95"/>
                            <w:sz w:val="16"/>
                          </w:rPr>
                          <w:t>182,535,079.70</w:t>
                        </w:r>
                        <w:r>
                          <w:rPr>
                            <w:rFonts w:ascii="宋体"/>
                            <w:sz w:val="16"/>
                          </w:rPr>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59" w:right="0"/>
                          <w:jc w:val="left"/>
                          <w:rPr>
                            <w:rFonts w:ascii="宋体" w:hAnsi="宋体" w:cs="宋体" w:eastAsia="宋体" w:hint="default"/>
                            <w:sz w:val="16"/>
                            <w:szCs w:val="16"/>
                          </w:rPr>
                        </w:pPr>
                        <w:r>
                          <w:rPr>
                            <w:rFonts w:ascii="宋体"/>
                            <w:b/>
                            <w:sz w:val="16"/>
                          </w:rPr>
                          <w:t>4,281,316,231.30</w:t>
                        </w:r>
                        <w:r>
                          <w:rPr>
                            <w:rFonts w:ascii="宋体"/>
                            <w:sz w:val="16"/>
                          </w:rPr>
                        </w:r>
                      </w:p>
                    </w:tc>
                  </w:tr>
                  <w:tr>
                    <w:trPr>
                      <w:trHeight w:val="950" w:hRule="exact"/>
                    </w:trPr>
                    <w:tc>
                      <w:tcPr>
                        <w:tcW w:w="908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存货的跌价准备</w:t>
                        </w:r>
                      </w:p>
                      <w:p>
                        <w:pPr>
                          <w:pStyle w:val="TableParagraph"/>
                          <w:spacing w:line="240" w:lineRule="auto" w:before="183"/>
                          <w:ind w:left="562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99"/>
          <w:sz w:val="16"/>
          <w:szCs w:val="16"/>
        </w:rPr>
        <w:t>施</w:t>
      </w:r>
      <w:r>
        <w:rPr>
          <w:rFonts w:ascii="宋体" w:hAnsi="宋体" w:cs="宋体" w:eastAsia="宋体" w:hint="default"/>
          <w:sz w:val="16"/>
          <w:szCs w:val="16"/>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line="30" w:lineRule="exact"/>
        <w:ind w:left="16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6.8pt;height:1.5pt;mso-position-horizontal-relative:char;mso-position-vertical-relative:line" coordorigin="0,0" coordsize="9136,30">
            <v:group style="position:absolute;left:15;top:15;width:392;height:2" coordorigin="15,15" coordsize="392,2">
              <v:shape style="position:absolute;left:15;top:15;width:392;height:2" coordorigin="15,15" coordsize="392,0" path="m15,15l406,15e" filled="false" stroked="true" strokeweight="1.5pt" strokecolor="#000000">
                <v:path arrowok="t"/>
              </v:shape>
            </v:group>
            <v:group style="position:absolute;left:392;top:15;width:1521;height:2" coordorigin="392,15" coordsize="1521,2">
              <v:shape style="position:absolute;left:392;top:15;width:1521;height:2" coordorigin="392,15" coordsize="1521,0" path="m392,15l1912,15e" filled="false" stroked="true" strokeweight="1.5pt" strokecolor="#000000">
                <v:path arrowok="t"/>
              </v:shape>
            </v:group>
            <v:group style="position:absolute;left:1898;top:15;width:1360;height:2" coordorigin="1898,15" coordsize="1360,2">
              <v:shape style="position:absolute;left:1898;top:15;width:1360;height:2" coordorigin="1898,15" coordsize="1360,0" path="m1898,15l3257,15e" filled="false" stroked="true" strokeweight="1.5pt" strokecolor="#000000">
                <v:path arrowok="t"/>
              </v:shape>
            </v:group>
            <v:group style="position:absolute;left:3243;top:15;width:1521;height:2" coordorigin="3243,15" coordsize="1521,2">
              <v:shape style="position:absolute;left:3243;top:15;width:1521;height:2" coordorigin="3243,15" coordsize="1521,0" path="m3243,15l4763,15e" filled="false" stroked="true" strokeweight="1.5pt" strokecolor="#000000">
                <v:path arrowok="t"/>
              </v:shape>
            </v:group>
            <v:group style="position:absolute;left:4749;top:15;width:1521;height:2" coordorigin="4749,15" coordsize="1521,2">
              <v:shape style="position:absolute;left:4749;top:15;width:1521;height:2" coordorigin="4749,15" coordsize="1521,0" path="m4749,15l6269,15e" filled="false" stroked="true" strokeweight="1.5pt" strokecolor="#000000">
                <v:path arrowok="t"/>
              </v:shape>
            </v:group>
            <v:group style="position:absolute;left:6255;top:15;width:1360;height:2" coordorigin="6255,15" coordsize="1360,2">
              <v:shape style="position:absolute;left:6255;top:15;width:1360;height:2" coordorigin="6255,15" coordsize="1360,0" path="m6255,15l7615,15e" filled="false" stroked="true" strokeweight="1.5pt" strokecolor="#000000">
                <v:path arrowok="t"/>
              </v:shape>
            </v:group>
            <v:group style="position:absolute;left:7600;top:15;width:1521;height:2" coordorigin="7600,15" coordsize="1521,2">
              <v:shape style="position:absolute;left:7600;top:15;width:1521;height:2" coordorigin="7600,15" coordsize="1521,0" path="m7600,15l9121,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2"/>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610" w:footer="784" w:top="1080" w:bottom="980" w:left="1280" w:right="1140"/>
        </w:sectPr>
      </w:pPr>
    </w:p>
    <w:p>
      <w:pPr>
        <w:tabs>
          <w:tab w:pos="2191" w:val="left" w:leader="none"/>
          <w:tab w:pos="3678" w:val="left" w:leader="none"/>
        </w:tabs>
        <w:spacing w:before="44"/>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年初金额</w:t>
        <w:tab/>
        <w:t>本年增加</w:t>
      </w:r>
      <w:r>
        <w:rPr>
          <w:rFonts w:ascii="宋体" w:hAnsi="宋体" w:cs="宋体" w:eastAsia="宋体" w:hint="default"/>
          <w:sz w:val="18"/>
          <w:szCs w:val="18"/>
        </w:rPr>
      </w:r>
    </w:p>
    <w:p>
      <w:pPr>
        <w:spacing w:line="240" w:lineRule="auto" w:before="9"/>
        <w:rPr>
          <w:rFonts w:ascii="宋体" w:hAnsi="宋体" w:cs="宋体" w:eastAsia="宋体" w:hint="default"/>
          <w:b/>
          <w:bCs/>
          <w:sz w:val="15"/>
          <w:szCs w:val="15"/>
        </w:rPr>
      </w:pPr>
      <w:r>
        <w:rPr/>
        <w:br w:type="column"/>
      </w:r>
      <w:r>
        <w:rPr>
          <w:rFonts w:ascii="宋体"/>
          <w:b/>
          <w:sz w:val="15"/>
        </w:rPr>
      </w:r>
    </w:p>
    <w:p>
      <w:pPr>
        <w:tabs>
          <w:tab w:pos="1740" w:val="left" w:leader="none"/>
        </w:tabs>
        <w:spacing w:before="0"/>
        <w:ind w:left="524" w:right="0" w:firstLine="0"/>
        <w:jc w:val="left"/>
        <w:rPr>
          <w:rFonts w:ascii="宋体" w:hAnsi="宋体" w:cs="宋体" w:eastAsia="宋体" w:hint="default"/>
          <w:sz w:val="18"/>
          <w:szCs w:val="18"/>
        </w:rPr>
      </w:pPr>
      <w:r>
        <w:rPr/>
        <w:pict>
          <v:group style="position:absolute;margin-left:302.820007pt;margin-top:.255046pt;width:139.65pt;height:.1pt;mso-position-horizontal-relative:page;mso-position-vertical-relative:paragraph;z-index:-1047424" coordorigin="6056,5" coordsize="2793,2">
            <v:shape style="position:absolute;left:6056;top:5;width:2793;height:2" coordorigin="6056,5" coordsize="2793,0" path="m6056,5l8849,5e" filled="false" stroked="true" strokeweight=".48pt" strokecolor="#000000">
              <v:path arrowok="t"/>
            </v:shape>
            <w10:wrap type="none"/>
          </v:group>
        </w:pict>
      </w:r>
      <w:r>
        <w:rPr>
          <w:rFonts w:ascii="宋体" w:hAnsi="宋体" w:cs="宋体" w:eastAsia="宋体" w:hint="default"/>
          <w:b/>
          <w:bCs/>
          <w:w w:val="95"/>
          <w:sz w:val="18"/>
          <w:szCs w:val="18"/>
        </w:rPr>
        <w:t>转回</w:t>
        <w:tab/>
        <w:t>其他转出</w:t>
      </w:r>
      <w:r>
        <w:rPr>
          <w:rFonts w:ascii="宋体" w:hAnsi="宋体" w:cs="宋体" w:eastAsia="宋体" w:hint="default"/>
          <w:sz w:val="18"/>
          <w:szCs w:val="18"/>
        </w:rPr>
      </w:r>
    </w:p>
    <w:p>
      <w:pPr>
        <w:spacing w:before="44"/>
        <w:ind w:left="52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40"/>
          <w:cols w:num="3" w:equalWidth="0">
            <w:col w:w="4401" w:space="374"/>
            <w:col w:w="2463" w:space="194"/>
            <w:col w:w="2058"/>
          </w:cols>
        </w:sectPr>
      </w:pPr>
    </w:p>
    <w:p>
      <w:pPr>
        <w:spacing w:line="240" w:lineRule="auto" w:before="5"/>
        <w:rPr>
          <w:rFonts w:ascii="宋体" w:hAnsi="宋体" w:cs="宋体" w:eastAsia="宋体" w:hint="default"/>
          <w:b/>
          <w:bCs/>
          <w:sz w:val="4"/>
          <w:szCs w:val="4"/>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2018" w:val="left" w:leader="none"/>
          <w:tab w:pos="3505" w:val="left" w:leader="none"/>
          <w:tab w:pos="5171" w:val="left" w:leader="none"/>
          <w:tab w:pos="6656" w:val="left" w:leader="none"/>
          <w:tab w:pos="7783" w:val="left" w:leader="none"/>
        </w:tabs>
        <w:spacing w:before="0"/>
        <w:ind w:left="524" w:right="0" w:firstLine="0"/>
        <w:jc w:val="left"/>
        <w:rPr>
          <w:rFonts w:ascii="宋体" w:hAnsi="宋体" w:cs="宋体" w:eastAsia="宋体" w:hint="default"/>
          <w:sz w:val="18"/>
          <w:szCs w:val="18"/>
        </w:rPr>
      </w:pPr>
      <w:r>
        <w:rPr>
          <w:rFonts w:ascii="宋体" w:hAnsi="宋体" w:cs="宋体" w:eastAsia="宋体" w:hint="default"/>
          <w:position w:val="1"/>
          <w:sz w:val="18"/>
          <w:szCs w:val="18"/>
        </w:rPr>
        <w:t>原材料</w:t>
        <w:tab/>
      </w:r>
      <w:r>
        <w:rPr>
          <w:rFonts w:ascii="宋体" w:hAnsi="宋体" w:cs="宋体" w:eastAsia="宋体" w:hint="default"/>
          <w:sz w:val="18"/>
          <w:szCs w:val="18"/>
        </w:rPr>
        <w:t>28,613,947.73</w:t>
        <w:tab/>
        <w:t>30,521,189.91</w:t>
        <w:tab/>
        <w:t>938,925.12</w:t>
        <w:tab/>
        <w:t>18,156.67</w:t>
        <w:tab/>
        <w:t>58,178,055.85</w:t>
      </w:r>
    </w:p>
    <w:p>
      <w:pPr>
        <w:tabs>
          <w:tab w:pos="2828" w:val="left" w:leader="none"/>
          <w:tab w:pos="3865" w:val="left" w:leader="none"/>
          <w:tab w:pos="5711" w:val="left" w:leader="none"/>
          <w:tab w:pos="7106" w:val="left" w:leader="none"/>
          <w:tab w:pos="8143" w:val="left" w:leader="none"/>
        </w:tabs>
        <w:spacing w:before="67"/>
        <w:ind w:left="524" w:right="0" w:firstLine="0"/>
        <w:jc w:val="left"/>
        <w:rPr>
          <w:rFonts w:ascii="宋体" w:hAnsi="宋体" w:cs="宋体" w:eastAsia="宋体" w:hint="default"/>
          <w:sz w:val="18"/>
          <w:szCs w:val="18"/>
        </w:rPr>
      </w:pPr>
      <w:r>
        <w:rPr>
          <w:rFonts w:ascii="宋体" w:hAnsi="宋体" w:cs="宋体" w:eastAsia="宋体" w:hint="default"/>
          <w:position w:val="1"/>
          <w:sz w:val="18"/>
          <w:szCs w:val="18"/>
        </w:rPr>
        <w:t>低值易耗品</w:t>
        <w:tab/>
      </w:r>
      <w:r>
        <w:rPr>
          <w:rFonts w:ascii="宋体" w:hAnsi="宋体" w:cs="宋体" w:eastAsia="宋体" w:hint="default"/>
          <w:sz w:val="18"/>
          <w:szCs w:val="18"/>
        </w:rPr>
        <w:t>0.00</w:t>
        <w:tab/>
        <w:t>16,454.02</w:t>
        <w:tab/>
        <w:t>0.00</w:t>
        <w:tab/>
        <w:t>0.00</w:t>
        <w:tab/>
        <w:t>16,454.02</w:t>
      </w:r>
    </w:p>
    <w:p>
      <w:pPr>
        <w:tabs>
          <w:tab w:pos="2018" w:val="left" w:leader="none"/>
          <w:tab w:pos="3505" w:val="left" w:leader="none"/>
          <w:tab w:pos="4991" w:val="left" w:leader="none"/>
          <w:tab w:pos="6386" w:val="left" w:leader="none"/>
          <w:tab w:pos="7783" w:val="left" w:leader="none"/>
        </w:tabs>
        <w:spacing w:before="66"/>
        <w:ind w:left="524" w:right="0" w:firstLine="0"/>
        <w:jc w:val="left"/>
        <w:rPr>
          <w:rFonts w:ascii="宋体" w:hAnsi="宋体" w:cs="宋体" w:eastAsia="宋体" w:hint="default"/>
          <w:sz w:val="18"/>
          <w:szCs w:val="18"/>
        </w:rPr>
      </w:pPr>
      <w:r>
        <w:rPr>
          <w:rFonts w:ascii="宋体" w:hAnsi="宋体" w:cs="宋体" w:eastAsia="宋体" w:hint="default"/>
          <w:position w:val="1"/>
          <w:sz w:val="18"/>
          <w:szCs w:val="18"/>
        </w:rPr>
        <w:t>库存商品</w:t>
        <w:tab/>
      </w:r>
      <w:r>
        <w:rPr>
          <w:rFonts w:ascii="宋体" w:hAnsi="宋体" w:cs="宋体" w:eastAsia="宋体" w:hint="default"/>
          <w:sz w:val="18"/>
          <w:szCs w:val="18"/>
        </w:rPr>
        <w:t>37,164,632.59</w:t>
        <w:tab/>
        <w:t>16,550,391.26</w:t>
        <w:tab/>
        <w:t>1,621,011.05</w:t>
        <w:tab/>
        <w:t>5,638,617.84</w:t>
        <w:tab/>
        <w:t>46,455,394.96</w:t>
      </w:r>
    </w:p>
    <w:p>
      <w:pPr>
        <w:tabs>
          <w:tab w:pos="2468" w:val="left" w:leader="none"/>
          <w:tab w:pos="4315" w:val="left" w:leader="none"/>
          <w:tab w:pos="5711" w:val="left" w:leader="none"/>
          <w:tab w:pos="7106" w:val="left" w:leader="none"/>
          <w:tab w:pos="8233" w:val="left" w:leader="none"/>
        </w:tabs>
        <w:spacing w:before="66"/>
        <w:ind w:left="524" w:right="0" w:firstLine="0"/>
        <w:jc w:val="left"/>
        <w:rPr>
          <w:rFonts w:ascii="宋体" w:hAnsi="宋体" w:cs="宋体" w:eastAsia="宋体" w:hint="default"/>
          <w:sz w:val="18"/>
          <w:szCs w:val="18"/>
        </w:rPr>
      </w:pPr>
      <w:r>
        <w:rPr>
          <w:rFonts w:ascii="宋体" w:hAnsi="宋体" w:cs="宋体" w:eastAsia="宋体" w:hint="default"/>
          <w:position w:val="1"/>
          <w:sz w:val="18"/>
          <w:szCs w:val="18"/>
        </w:rPr>
        <w:t>委托加工物资</w:t>
        <w:tab/>
      </w:r>
      <w:r>
        <w:rPr>
          <w:rFonts w:ascii="宋体" w:hAnsi="宋体" w:cs="宋体" w:eastAsia="宋体" w:hint="default"/>
          <w:sz w:val="18"/>
          <w:szCs w:val="18"/>
        </w:rPr>
        <w:t>6,153.09</w:t>
        <w:tab/>
        <w:t>0.00</w:t>
        <w:tab/>
        <w:t>0.00</w:t>
        <w:tab/>
        <w:t>0.00</w:t>
        <w:tab/>
        <w:t>6,153.09</w:t>
      </w:r>
    </w:p>
    <w:p>
      <w:pPr>
        <w:tabs>
          <w:tab w:pos="2378" w:val="left" w:leader="none"/>
          <w:tab w:pos="4315" w:val="left" w:leader="none"/>
          <w:tab w:pos="5711" w:val="left" w:leader="none"/>
          <w:tab w:pos="7106" w:val="left" w:leader="none"/>
          <w:tab w:pos="8143" w:val="left" w:leader="none"/>
        </w:tabs>
        <w:spacing w:before="66"/>
        <w:ind w:left="524" w:right="0" w:firstLine="0"/>
        <w:jc w:val="left"/>
        <w:rPr>
          <w:rFonts w:ascii="宋体" w:hAnsi="宋体" w:cs="宋体" w:eastAsia="宋体" w:hint="default"/>
          <w:sz w:val="18"/>
          <w:szCs w:val="18"/>
        </w:rPr>
      </w:pPr>
      <w:r>
        <w:rPr>
          <w:rFonts w:ascii="宋体" w:hAnsi="宋体" w:cs="宋体" w:eastAsia="宋体" w:hint="default"/>
          <w:position w:val="1"/>
          <w:sz w:val="18"/>
          <w:szCs w:val="18"/>
        </w:rPr>
        <w:t>委托代销商品</w:t>
        <w:tab/>
      </w:r>
      <w:r>
        <w:rPr>
          <w:rFonts w:ascii="宋体" w:hAnsi="宋体" w:cs="宋体" w:eastAsia="宋体" w:hint="default"/>
          <w:sz w:val="18"/>
          <w:szCs w:val="18"/>
        </w:rPr>
        <w:t>61,678.02</w:t>
        <w:tab/>
        <w:t>0.00</w:t>
        <w:tab/>
        <w:t>0.00</w:t>
        <w:tab/>
        <w:t>0.00</w:t>
        <w:tab/>
        <w:t>61,678.02</w:t>
      </w:r>
    </w:p>
    <w:p>
      <w:pPr>
        <w:spacing w:before="15"/>
        <w:ind w:left="524" w:right="0" w:firstLine="0"/>
        <w:jc w:val="left"/>
        <w:rPr>
          <w:rFonts w:ascii="宋体" w:hAnsi="宋体" w:cs="宋体" w:eastAsia="宋体" w:hint="default"/>
          <w:sz w:val="18"/>
          <w:szCs w:val="18"/>
        </w:rPr>
      </w:pPr>
      <w:r>
        <w:rPr/>
        <w:pict>
          <v:shape style="position:absolute;margin-left:84.839996pt;margin-top:10.97033pt;width:431.9pt;height:76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5"/>
                    <w:gridCol w:w="1715"/>
                    <w:gridCol w:w="1486"/>
                    <w:gridCol w:w="1396"/>
                    <w:gridCol w:w="1396"/>
                    <w:gridCol w:w="1479"/>
                  </w:tblGrid>
                  <w:tr>
                    <w:trPr>
                      <w:trHeight w:val="268"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715"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35,605,221.60</w:t>
                        </w:r>
                      </w:p>
                    </w:tc>
                    <w:tc>
                      <w:tcPr>
                        <w:tcW w:w="1486"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827,873.78</w:t>
                        </w:r>
                      </w:p>
                    </w:tc>
                    <w:tc>
                      <w:tcPr>
                        <w:tcW w:w="1396"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8,323,723.37</w:t>
                        </w:r>
                      </w:p>
                    </w:tc>
                    <w:tc>
                      <w:tcPr>
                        <w:tcW w:w="1479" w:type="dxa"/>
                        <w:tcBorders>
                          <w:top w:val="nil" w:sz="6" w:space="0" w:color="auto"/>
                          <w:left w:val="nil" w:sz="6" w:space="0" w:color="auto"/>
                          <w:bottom w:val="nil" w:sz="6" w:space="0" w:color="auto"/>
                          <w:right w:val="nil" w:sz="6" w:space="0" w:color="auto"/>
                        </w:tcBorders>
                      </w:tcPr>
                      <w:p>
                        <w:pPr>
                          <w:pStyle w:val="TableParagraph"/>
                          <w:spacing w:line="180" w:lineRule="exact"/>
                          <w:ind w:right="98"/>
                          <w:jc w:val="right"/>
                          <w:rPr>
                            <w:rFonts w:ascii="宋体" w:hAnsi="宋体" w:cs="宋体" w:eastAsia="宋体" w:hint="default"/>
                            <w:sz w:val="18"/>
                            <w:szCs w:val="18"/>
                          </w:rPr>
                        </w:pPr>
                        <w:r>
                          <w:rPr>
                            <w:rFonts w:ascii="宋体"/>
                            <w:sz w:val="18"/>
                          </w:rPr>
                          <w:t>28,109,372.01</w:t>
                        </w:r>
                      </w:p>
                    </w:tc>
                  </w:tr>
                  <w:tr>
                    <w:trPr>
                      <w:trHeight w:val="287"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715" w:type="dxa"/>
                        <w:tcBorders>
                          <w:top w:val="nil" w:sz="6" w:space="0" w:color="auto"/>
                          <w:left w:val="nil" w:sz="6" w:space="0" w:color="auto"/>
                          <w:bottom w:val="nil" w:sz="6" w:space="0" w:color="auto"/>
                          <w:right w:val="nil" w:sz="6" w:space="0" w:color="auto"/>
                        </w:tcBorders>
                      </w:tcPr>
                      <w:p>
                        <w:pPr>
                          <w:pStyle w:val="TableParagraph"/>
                          <w:spacing w:line="224" w:lineRule="exact"/>
                          <w:ind w:right="106"/>
                          <w:jc w:val="right"/>
                          <w:rPr>
                            <w:rFonts w:ascii="宋体" w:hAnsi="宋体" w:cs="宋体" w:eastAsia="宋体" w:hint="default"/>
                            <w:sz w:val="18"/>
                            <w:szCs w:val="18"/>
                          </w:rPr>
                        </w:pPr>
                        <w:r>
                          <w:rPr>
                            <w:rFonts w:ascii="宋体"/>
                            <w:sz w:val="18"/>
                          </w:rPr>
                          <w:t>24,062,937.36</w:t>
                        </w:r>
                      </w:p>
                    </w:tc>
                    <w:tc>
                      <w:tcPr>
                        <w:tcW w:w="1486" w:type="dxa"/>
                        <w:tcBorders>
                          <w:top w:val="nil" w:sz="6" w:space="0" w:color="auto"/>
                          <w:left w:val="nil" w:sz="6" w:space="0" w:color="auto"/>
                          <w:bottom w:val="nil" w:sz="6" w:space="0" w:color="auto"/>
                          <w:right w:val="nil" w:sz="6" w:space="0" w:color="auto"/>
                        </w:tcBorders>
                      </w:tcPr>
                      <w:p>
                        <w:pPr>
                          <w:pStyle w:val="TableParagraph"/>
                          <w:spacing w:line="224" w:lineRule="exact"/>
                          <w:ind w:right="105"/>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24" w:lineRule="exact"/>
                          <w:ind w:right="106"/>
                          <w:jc w:val="right"/>
                          <w:rPr>
                            <w:rFonts w:ascii="宋体" w:hAnsi="宋体" w:cs="宋体" w:eastAsia="宋体" w:hint="default"/>
                            <w:sz w:val="18"/>
                            <w:szCs w:val="18"/>
                          </w:rPr>
                        </w:pPr>
                        <w:r>
                          <w:rPr>
                            <w:rFonts w:ascii="宋体"/>
                            <w:sz w:val="18"/>
                          </w:rPr>
                          <w:t>10,444,594.70</w:t>
                        </w:r>
                      </w:p>
                    </w:tc>
                    <w:tc>
                      <w:tcPr>
                        <w:tcW w:w="1396" w:type="dxa"/>
                        <w:tcBorders>
                          <w:top w:val="nil" w:sz="6" w:space="0" w:color="auto"/>
                          <w:left w:val="nil" w:sz="6" w:space="0" w:color="auto"/>
                          <w:bottom w:val="nil" w:sz="6" w:space="0" w:color="auto"/>
                          <w:right w:val="nil" w:sz="6" w:space="0" w:color="auto"/>
                        </w:tcBorders>
                      </w:tcPr>
                      <w:p>
                        <w:pPr>
                          <w:pStyle w:val="TableParagraph"/>
                          <w:spacing w:line="224" w:lineRule="exact"/>
                          <w:ind w:right="106"/>
                          <w:jc w:val="right"/>
                          <w:rPr>
                            <w:rFonts w:ascii="宋体" w:hAnsi="宋体" w:cs="宋体" w:eastAsia="宋体" w:hint="default"/>
                            <w:sz w:val="18"/>
                            <w:szCs w:val="18"/>
                          </w:rPr>
                        </w:pPr>
                        <w:r>
                          <w:rPr>
                            <w:rFonts w:ascii="宋体"/>
                            <w:sz w:val="18"/>
                          </w:rPr>
                          <w:t>523,345.37</w:t>
                        </w:r>
                      </w:p>
                    </w:tc>
                    <w:tc>
                      <w:tcPr>
                        <w:tcW w:w="1479" w:type="dxa"/>
                        <w:tcBorders>
                          <w:top w:val="nil" w:sz="6" w:space="0" w:color="auto"/>
                          <w:left w:val="nil" w:sz="6" w:space="0" w:color="auto"/>
                          <w:bottom w:val="nil" w:sz="6" w:space="0" w:color="auto"/>
                          <w:right w:val="nil" w:sz="6" w:space="0" w:color="auto"/>
                        </w:tcBorders>
                      </w:tcPr>
                      <w:p>
                        <w:pPr>
                          <w:pStyle w:val="TableParagraph"/>
                          <w:spacing w:line="224" w:lineRule="exact"/>
                          <w:ind w:right="98"/>
                          <w:jc w:val="right"/>
                          <w:rPr>
                            <w:rFonts w:ascii="宋体" w:hAnsi="宋体" w:cs="宋体" w:eastAsia="宋体" w:hint="default"/>
                            <w:sz w:val="18"/>
                            <w:szCs w:val="18"/>
                          </w:rPr>
                        </w:pPr>
                        <w:r>
                          <w:rPr>
                            <w:rFonts w:ascii="宋体"/>
                            <w:sz w:val="18"/>
                          </w:rPr>
                          <w:t>13,094,997.29</w:t>
                        </w:r>
                      </w:p>
                    </w:tc>
                  </w:tr>
                  <w:tr>
                    <w:trPr>
                      <w:trHeight w:val="312"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宋体" w:hAnsi="宋体" w:cs="宋体" w:eastAsia="宋体" w:hint="default"/>
                            <w:sz w:val="18"/>
                            <w:szCs w:val="18"/>
                          </w:rPr>
                        </w:pPr>
                        <w:r>
                          <w:rPr>
                            <w:rFonts w:ascii="宋体"/>
                            <w:sz w:val="18"/>
                          </w:rPr>
                          <w:t>38,075,885.15</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42,974,921.73</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宋体" w:hAnsi="宋体" w:cs="宋体" w:eastAsia="宋体" w:hint="default"/>
                            <w:sz w:val="18"/>
                            <w:szCs w:val="18"/>
                          </w:rPr>
                        </w:pPr>
                        <w:r>
                          <w:rPr>
                            <w:rFonts w:ascii="宋体"/>
                            <w:sz w:val="18"/>
                          </w:rPr>
                          <w:t>1,342,171.34</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宋体" w:hAnsi="宋体" w:cs="宋体" w:eastAsia="宋体" w:hint="default"/>
                            <w:sz w:val="18"/>
                            <w:szCs w:val="18"/>
                          </w:rPr>
                        </w:pPr>
                        <w:r>
                          <w:rPr>
                            <w:rFonts w:ascii="宋体"/>
                            <w:sz w:val="18"/>
                          </w:rPr>
                          <w:t>4,677,019.64</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75,031,615.90</w:t>
                        </w:r>
                      </w:p>
                    </w:tc>
                  </w:tr>
                  <w:tr>
                    <w:trPr>
                      <w:trHeight w:val="320" w:hRule="exact"/>
                    </w:trPr>
                    <w:tc>
                      <w:tcPr>
                        <w:tcW w:w="116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6"/>
                          <w:jc w:val="right"/>
                          <w:rPr>
                            <w:rFonts w:ascii="宋体" w:hAnsi="宋体" w:cs="宋体" w:eastAsia="宋体" w:hint="default"/>
                            <w:sz w:val="18"/>
                            <w:szCs w:val="18"/>
                          </w:rPr>
                        </w:pPr>
                        <w:r>
                          <w:rPr>
                            <w:rFonts w:ascii="宋体"/>
                            <w:sz w:val="18"/>
                          </w:rPr>
                          <w:t>18,944,624.16</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14,751,362.35</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6"/>
                          <w:jc w:val="right"/>
                          <w:rPr>
                            <w:rFonts w:ascii="宋体" w:hAnsi="宋体" w:cs="宋体" w:eastAsia="宋体" w:hint="default"/>
                            <w:sz w:val="18"/>
                            <w:szCs w:val="18"/>
                          </w:rPr>
                        </w:pPr>
                        <w:r>
                          <w:rPr>
                            <w:rFonts w:ascii="宋体"/>
                            <w:sz w:val="18"/>
                          </w:rPr>
                          <w:t>2,037,082.51</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6"/>
                          <w:jc w:val="right"/>
                          <w:rPr>
                            <w:rFonts w:ascii="宋体" w:hAnsi="宋体" w:cs="宋体" w:eastAsia="宋体" w:hint="default"/>
                            <w:sz w:val="18"/>
                            <w:szCs w:val="18"/>
                          </w:rPr>
                        </w:pPr>
                        <w:r>
                          <w:rPr>
                            <w:rFonts w:ascii="宋体"/>
                            <w:sz w:val="18"/>
                          </w:rPr>
                          <w:t>7,499,585.86</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24,159,318.14</w:t>
                        </w:r>
                      </w:p>
                    </w:tc>
                  </w:tr>
                  <w:tr>
                    <w:trPr>
                      <w:trHeight w:val="303" w:hRule="exact"/>
                    </w:trPr>
                    <w:tc>
                      <w:tcPr>
                        <w:tcW w:w="1165"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5"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b/>
                            <w:w w:val="95"/>
                            <w:sz w:val="18"/>
                          </w:rPr>
                          <w:t>182,535,079.70</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b/>
                            <w:w w:val="95"/>
                            <w:sz w:val="18"/>
                          </w:rPr>
                          <w:t>105,642,193.05</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b/>
                            <w:w w:val="95"/>
                            <w:sz w:val="18"/>
                          </w:rPr>
                          <w:t>16,383,784.72</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b/>
                            <w:w w:val="95"/>
                            <w:sz w:val="18"/>
                          </w:rPr>
                          <w:t>26,680,448.75</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99"/>
                          <w:jc w:val="right"/>
                          <w:rPr>
                            <w:rFonts w:ascii="宋体" w:hAnsi="宋体" w:cs="宋体" w:eastAsia="宋体" w:hint="default"/>
                            <w:sz w:val="18"/>
                            <w:szCs w:val="18"/>
                          </w:rPr>
                        </w:pPr>
                        <w:r>
                          <w:rPr>
                            <w:rFonts w:ascii="宋体"/>
                            <w:b/>
                            <w:w w:val="95"/>
                            <w:sz w:val="18"/>
                          </w:rPr>
                          <w:t>245,113,039.28</w:t>
                        </w:r>
                        <w:r>
                          <w:rPr>
                            <w:rFonts w:ascii="宋体"/>
                            <w:sz w:val="18"/>
                          </w:rPr>
                        </w:r>
                      </w:p>
                    </w:tc>
                  </w:tr>
                </w:tbl>
                <w:p>
                  <w:pPr/>
                </w:p>
              </w:txbxContent>
            </v:textbox>
            <w10:wrap type="none"/>
          </v:shape>
        </w:pict>
      </w:r>
      <w:r>
        <w:rPr>
          <w:rFonts w:ascii="宋体" w:hAnsi="宋体" w:cs="宋体" w:eastAsia="宋体" w:hint="default"/>
          <w:spacing w:val="16"/>
          <w:sz w:val="18"/>
          <w:szCs w:val="18"/>
        </w:rPr>
        <w:t>分期收款发出</w:t>
      </w:r>
      <w:r>
        <w:rPr>
          <w:rFonts w:ascii="宋体" w:hAnsi="宋体" w:cs="宋体" w:eastAsia="宋体" w:hint="default"/>
          <w:spacing w:val="-71"/>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存货跌价准备的计提方法参见本附注四、8。</w:t>
      </w:r>
    </w:p>
    <w:p>
      <w:pPr>
        <w:spacing w:before="18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1"/>
          <w:sz w:val="22"/>
          <w:szCs w:val="22"/>
        </w:rPr>
        <w:t> </w:t>
      </w:r>
      <w:r>
        <w:rPr>
          <w:rFonts w:ascii="宋体" w:hAnsi="宋体" w:cs="宋体" w:eastAsia="宋体" w:hint="default"/>
          <w:sz w:val="22"/>
          <w:szCs w:val="22"/>
        </w:rPr>
        <w:t>2010</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z w:val="22"/>
          <w:szCs w:val="22"/>
        </w:rPr>
        <w:t>日，本公司之控股子公司清芯光电有限公司存在使用受限的存货</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账面价值共计</w:t>
      </w:r>
      <w:r>
        <w:rPr>
          <w:rFonts w:ascii="宋体" w:hAnsi="宋体" w:cs="宋体" w:eastAsia="宋体" w:hint="default"/>
          <w:spacing w:val="-60"/>
          <w:sz w:val="22"/>
          <w:szCs w:val="22"/>
        </w:rPr>
        <w:t> </w:t>
      </w:r>
      <w:r>
        <w:rPr>
          <w:rFonts w:ascii="宋体" w:hAnsi="宋体" w:cs="宋体" w:eastAsia="宋体" w:hint="default"/>
          <w:sz w:val="22"/>
          <w:szCs w:val="22"/>
        </w:rPr>
        <w:t>43,701,627.08</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4"/>
        <w:rPr>
          <w:rFonts w:ascii="宋体" w:hAnsi="宋体" w:cs="宋体" w:eastAsia="宋体" w:hint="default"/>
          <w:sz w:val="11"/>
          <w:szCs w:val="11"/>
        </w:rPr>
      </w:pPr>
    </w:p>
    <w:tbl>
      <w:tblPr>
        <w:tblW w:w="0" w:type="auto"/>
        <w:jc w:val="left"/>
        <w:tblInd w:w="416" w:type="dxa"/>
        <w:tblLayout w:type="fixed"/>
        <w:tblCellMar>
          <w:top w:w="0" w:type="dxa"/>
          <w:left w:w="0" w:type="dxa"/>
          <w:bottom w:w="0" w:type="dxa"/>
          <w:right w:w="0" w:type="dxa"/>
        </w:tblCellMar>
        <w:tblLook w:val="01E0"/>
      </w:tblPr>
      <w:tblGrid>
        <w:gridCol w:w="3845"/>
        <w:gridCol w:w="2885"/>
        <w:gridCol w:w="1908"/>
      </w:tblGrid>
      <w:tr>
        <w:trPr>
          <w:trHeight w:val="498" w:hRule="exact"/>
        </w:trPr>
        <w:tc>
          <w:tcPr>
            <w:tcW w:w="384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可供出售金融资产</w:t>
            </w:r>
          </w:p>
        </w:tc>
        <w:tc>
          <w:tcPr>
            <w:tcW w:w="4793"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84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41"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190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b/>
                <w:bCs/>
                <w:w w:val="95"/>
                <w:sz w:val="18"/>
                <w:szCs w:val="18"/>
              </w:rPr>
              <w:t>年初公允价值</w:t>
            </w:r>
            <w:r>
              <w:rPr>
                <w:rFonts w:ascii="宋体" w:hAnsi="宋体" w:cs="宋体" w:eastAsia="宋体" w:hint="default"/>
                <w:sz w:val="18"/>
                <w:szCs w:val="18"/>
              </w:rPr>
            </w:r>
          </w:p>
        </w:tc>
      </w:tr>
      <w:tr>
        <w:trPr>
          <w:trHeight w:val="282" w:hRule="exact"/>
        </w:trPr>
        <w:tc>
          <w:tcPr>
            <w:tcW w:w="384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885" w:type="dxa"/>
            <w:tcBorders>
              <w:top w:val="single" w:sz="4" w:space="0" w:color="000000"/>
              <w:left w:val="nil" w:sz="6" w:space="0" w:color="auto"/>
              <w:bottom w:val="nil" w:sz="6" w:space="0" w:color="auto"/>
              <w:right w:val="nil" w:sz="6" w:space="0" w:color="auto"/>
            </w:tcBorders>
          </w:tcPr>
          <w:p>
            <w:pPr>
              <w:pStyle w:val="TableParagraph"/>
              <w:spacing w:line="226" w:lineRule="exact"/>
              <w:ind w:left="1045" w:right="0"/>
              <w:jc w:val="left"/>
              <w:rPr>
                <w:rFonts w:ascii="宋体" w:hAnsi="宋体" w:cs="宋体" w:eastAsia="宋体" w:hint="default"/>
                <w:sz w:val="18"/>
                <w:szCs w:val="18"/>
              </w:rPr>
            </w:pPr>
            <w:r>
              <w:rPr>
                <w:rFonts w:ascii="宋体"/>
                <w:sz w:val="18"/>
              </w:rPr>
              <w:t>7,004,162.88</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11,840,953.68</w:t>
            </w:r>
          </w:p>
        </w:tc>
      </w:tr>
      <w:tr>
        <w:trPr>
          <w:trHeight w:val="294" w:hRule="exact"/>
        </w:trPr>
        <w:tc>
          <w:tcPr>
            <w:tcW w:w="384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其中：北京银行股份有限公司股权</w:t>
            </w:r>
          </w:p>
        </w:tc>
        <w:tc>
          <w:tcPr>
            <w:tcW w:w="2885" w:type="dxa"/>
            <w:tcBorders>
              <w:top w:val="nil" w:sz="6" w:space="0" w:color="auto"/>
              <w:left w:val="nil" w:sz="6" w:space="0" w:color="auto"/>
              <w:bottom w:val="single" w:sz="4" w:space="0" w:color="000000"/>
              <w:right w:val="nil" w:sz="6" w:space="0" w:color="auto"/>
            </w:tcBorders>
          </w:tcPr>
          <w:p>
            <w:pPr>
              <w:pStyle w:val="TableParagraph"/>
              <w:spacing w:line="232" w:lineRule="exact"/>
              <w:ind w:left="1045" w:right="0"/>
              <w:jc w:val="left"/>
              <w:rPr>
                <w:rFonts w:ascii="宋体" w:hAnsi="宋体" w:cs="宋体" w:eastAsia="宋体" w:hint="default"/>
                <w:sz w:val="18"/>
                <w:szCs w:val="18"/>
              </w:rPr>
            </w:pPr>
            <w:r>
              <w:rPr>
                <w:rFonts w:ascii="宋体"/>
                <w:sz w:val="18"/>
              </w:rPr>
              <w:t>7,004,162.88</w:t>
            </w:r>
          </w:p>
        </w:tc>
        <w:tc>
          <w:tcPr>
            <w:tcW w:w="190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11,840,953.68</w:t>
            </w:r>
          </w:p>
        </w:tc>
      </w:tr>
      <w:tr>
        <w:trPr>
          <w:trHeight w:val="303" w:hRule="exact"/>
        </w:trPr>
        <w:tc>
          <w:tcPr>
            <w:tcW w:w="384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36" w:right="0"/>
              <w:jc w:val="left"/>
              <w:rPr>
                <w:rFonts w:ascii="宋体" w:hAnsi="宋体" w:cs="宋体" w:eastAsia="宋体" w:hint="default"/>
                <w:sz w:val="18"/>
                <w:szCs w:val="18"/>
              </w:rPr>
            </w:pPr>
            <w:r>
              <w:rPr>
                <w:rFonts w:ascii="宋体"/>
                <w:b/>
                <w:sz w:val="18"/>
              </w:rPr>
              <w:t>7,004,162.88</w:t>
            </w:r>
            <w:r>
              <w:rPr>
                <w:rFonts w:ascii="宋体"/>
                <w:sz w:val="18"/>
              </w:rPr>
            </w:r>
          </w:p>
        </w:tc>
        <w:tc>
          <w:tcPr>
            <w:tcW w:w="190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11,840,953.68</w:t>
            </w:r>
            <w:r>
              <w:rPr>
                <w:rFonts w:ascii="宋体"/>
                <w:sz w:val="18"/>
              </w:rPr>
            </w:r>
          </w:p>
        </w:tc>
      </w:tr>
      <w:tr>
        <w:trPr>
          <w:trHeight w:val="590" w:hRule="exact"/>
        </w:trPr>
        <w:tc>
          <w:tcPr>
            <w:tcW w:w="38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持有至到期投资</w:t>
            </w:r>
          </w:p>
        </w:tc>
        <w:tc>
          <w:tcPr>
            <w:tcW w:w="2885" w:type="dxa"/>
            <w:tcBorders>
              <w:top w:val="single" w:sz="12" w:space="0" w:color="000000"/>
              <w:left w:val="nil" w:sz="6" w:space="0" w:color="auto"/>
              <w:bottom w:val="single" w:sz="12" w:space="0" w:color="000000"/>
              <w:right w:val="nil" w:sz="6" w:space="0" w:color="auto"/>
            </w:tcBorders>
          </w:tcPr>
          <w:p>
            <w:pPr/>
          </w:p>
        </w:tc>
        <w:tc>
          <w:tcPr>
            <w:tcW w:w="1908"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84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2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0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8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84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288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88" w:right="0"/>
              <w:jc w:val="left"/>
              <w:rPr>
                <w:rFonts w:ascii="宋体" w:hAnsi="宋体" w:cs="宋体" w:eastAsia="宋体" w:hint="default"/>
                <w:sz w:val="18"/>
                <w:szCs w:val="18"/>
              </w:rPr>
            </w:pPr>
            <w:r>
              <w:rPr>
                <w:rFonts w:ascii="宋体"/>
                <w:sz w:val="18"/>
              </w:rPr>
              <w:t>114,000,000.00</w:t>
            </w:r>
          </w:p>
        </w:tc>
        <w:tc>
          <w:tcPr>
            <w:tcW w:w="190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202,277,320.00</w:t>
            </w:r>
          </w:p>
        </w:tc>
      </w:tr>
      <w:tr>
        <w:trPr>
          <w:trHeight w:val="303" w:hRule="exact"/>
        </w:trPr>
        <w:tc>
          <w:tcPr>
            <w:tcW w:w="384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7" w:right="0"/>
              <w:jc w:val="left"/>
              <w:rPr>
                <w:rFonts w:ascii="宋体" w:hAnsi="宋体" w:cs="宋体" w:eastAsia="宋体" w:hint="default"/>
                <w:sz w:val="18"/>
                <w:szCs w:val="18"/>
              </w:rPr>
            </w:pPr>
            <w:r>
              <w:rPr>
                <w:rFonts w:ascii="宋体"/>
                <w:b/>
                <w:sz w:val="18"/>
              </w:rPr>
              <w:t>114,000,000.00</w:t>
            </w:r>
            <w:r>
              <w:rPr>
                <w:rFonts w:ascii="宋体"/>
                <w:sz w:val="18"/>
              </w:rPr>
            </w:r>
          </w:p>
        </w:tc>
        <w:tc>
          <w:tcPr>
            <w:tcW w:w="190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202,277,320.00</w:t>
            </w:r>
            <w:r>
              <w:rPr>
                <w:rFonts w:ascii="宋体"/>
                <w:sz w:val="18"/>
              </w:rPr>
            </w:r>
          </w:p>
        </w:tc>
      </w:tr>
    </w:tbl>
    <w:p>
      <w:pPr>
        <w:spacing w:line="324" w:lineRule="auto" w:before="79"/>
        <w:ind w:left="138" w:right="0" w:firstLine="440"/>
        <w:jc w:val="left"/>
        <w:rPr>
          <w:rFonts w:ascii="宋体" w:hAnsi="宋体" w:cs="宋体" w:eastAsia="宋体" w:hint="default"/>
          <w:sz w:val="22"/>
          <w:szCs w:val="22"/>
        </w:rPr>
      </w:pPr>
      <w:r>
        <w:rPr>
          <w:rFonts w:ascii="宋体" w:hAnsi="宋体" w:cs="宋体" w:eastAsia="宋体" w:hint="default"/>
          <w:sz w:val="22"/>
          <w:szCs w:val="22"/>
        </w:rPr>
        <w:t>年末余额较年初余额减少</w:t>
      </w:r>
      <w:r>
        <w:rPr>
          <w:rFonts w:ascii="宋体" w:hAnsi="宋体" w:cs="宋体" w:eastAsia="宋体" w:hint="default"/>
          <w:spacing w:val="-55"/>
          <w:sz w:val="22"/>
          <w:szCs w:val="22"/>
        </w:rPr>
        <w:t> </w:t>
      </w:r>
      <w:r>
        <w:rPr>
          <w:rFonts w:ascii="宋体" w:hAnsi="宋体" w:cs="宋体" w:eastAsia="宋体" w:hint="default"/>
          <w:sz w:val="22"/>
          <w:szCs w:val="22"/>
        </w:rPr>
        <w:t>88,277,320.00</w:t>
      </w:r>
      <w:r>
        <w:rPr>
          <w:rFonts w:ascii="宋体" w:hAnsi="宋体" w:cs="宋体" w:eastAsia="宋体" w:hint="default"/>
          <w:spacing w:val="-55"/>
          <w:sz w:val="22"/>
          <w:szCs w:val="22"/>
        </w:rPr>
        <w:t> </w:t>
      </w:r>
      <w:r>
        <w:rPr>
          <w:rFonts w:ascii="宋体" w:hAnsi="宋体" w:cs="宋体" w:eastAsia="宋体" w:hint="default"/>
          <w:spacing w:val="-13"/>
          <w:sz w:val="22"/>
          <w:szCs w:val="22"/>
        </w:rPr>
        <w:t>元，减幅</w:t>
      </w:r>
      <w:r>
        <w:rPr>
          <w:rFonts w:ascii="宋体" w:hAnsi="宋体" w:cs="宋体" w:eastAsia="宋体" w:hint="default"/>
          <w:spacing w:val="-55"/>
          <w:sz w:val="22"/>
          <w:szCs w:val="22"/>
        </w:rPr>
        <w:t> </w:t>
      </w:r>
      <w:r>
        <w:rPr>
          <w:rFonts w:ascii="宋体" w:hAnsi="宋体" w:cs="宋体" w:eastAsia="宋体" w:hint="default"/>
          <w:spacing w:val="-3"/>
          <w:sz w:val="22"/>
          <w:szCs w:val="22"/>
        </w:rPr>
        <w:t>43.64%，主要系本公司的部分委托贷款本</w:t>
      </w:r>
      <w:r>
        <w:rPr>
          <w:rFonts w:ascii="宋体" w:hAnsi="宋体" w:cs="宋体" w:eastAsia="宋体" w:hint="default"/>
          <w:w w:val="99"/>
          <w:sz w:val="22"/>
          <w:szCs w:val="22"/>
        </w:rPr>
        <w:t> </w:t>
      </w:r>
      <w:r>
        <w:rPr>
          <w:rFonts w:ascii="宋体" w:hAnsi="宋体" w:cs="宋体" w:eastAsia="宋体" w:hint="default"/>
          <w:sz w:val="22"/>
          <w:szCs w:val="22"/>
        </w:rPr>
        <w:t>年到期所致。</w:t>
      </w:r>
    </w:p>
    <w:p>
      <w:pPr>
        <w:spacing w:after="0" w:line="324" w:lineRule="auto"/>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516" w:type="dxa"/>
        <w:tblLayout w:type="fixed"/>
        <w:tblCellMar>
          <w:top w:w="0" w:type="dxa"/>
          <w:left w:w="0" w:type="dxa"/>
          <w:bottom w:w="0" w:type="dxa"/>
          <w:right w:w="0" w:type="dxa"/>
        </w:tblCellMar>
        <w:tblLook w:val="01E0"/>
      </w:tblPr>
      <w:tblGrid>
        <w:gridCol w:w="3955"/>
        <w:gridCol w:w="2774"/>
        <w:gridCol w:w="1908"/>
      </w:tblGrid>
      <w:tr>
        <w:trPr>
          <w:trHeight w:val="497" w:hRule="exact"/>
        </w:trPr>
        <w:tc>
          <w:tcPr>
            <w:tcW w:w="395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长期应收款</w:t>
            </w:r>
          </w:p>
        </w:tc>
        <w:tc>
          <w:tcPr>
            <w:tcW w:w="4682"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9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7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1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0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8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395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2774" w:type="dxa"/>
            <w:tcBorders>
              <w:top w:val="single" w:sz="4" w:space="0" w:color="000000"/>
              <w:left w:val="nil" w:sz="6" w:space="0" w:color="auto"/>
              <w:bottom w:val="nil" w:sz="6" w:space="0" w:color="auto"/>
              <w:right w:val="nil" w:sz="6" w:space="0" w:color="auto"/>
            </w:tcBorders>
          </w:tcPr>
          <w:p>
            <w:pPr>
              <w:pStyle w:val="TableParagraph"/>
              <w:spacing w:line="226" w:lineRule="exact"/>
              <w:ind w:right="534"/>
              <w:jc w:val="right"/>
              <w:rPr>
                <w:rFonts w:ascii="宋体" w:hAnsi="宋体" w:cs="宋体" w:eastAsia="宋体" w:hint="default"/>
                <w:sz w:val="18"/>
                <w:szCs w:val="18"/>
              </w:rPr>
            </w:pPr>
            <w:r>
              <w:rPr>
                <w:rFonts w:ascii="宋体"/>
                <w:sz w:val="18"/>
              </w:rPr>
              <w:t>3,886,490.94</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5,025,122.61</w:t>
            </w:r>
          </w:p>
        </w:tc>
      </w:tr>
      <w:tr>
        <w:trPr>
          <w:trHeight w:val="294" w:hRule="exact"/>
        </w:trPr>
        <w:tc>
          <w:tcPr>
            <w:tcW w:w="395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污水处理特许经营权所产生应收款项</w:t>
            </w:r>
          </w:p>
        </w:tc>
        <w:tc>
          <w:tcPr>
            <w:tcW w:w="2774" w:type="dxa"/>
            <w:tcBorders>
              <w:top w:val="nil" w:sz="6" w:space="0" w:color="auto"/>
              <w:left w:val="nil" w:sz="6" w:space="0" w:color="auto"/>
              <w:bottom w:val="single" w:sz="4" w:space="0" w:color="000000"/>
              <w:right w:val="nil" w:sz="6" w:space="0" w:color="auto"/>
            </w:tcBorders>
          </w:tcPr>
          <w:p>
            <w:pPr>
              <w:pStyle w:val="TableParagraph"/>
              <w:spacing w:line="232" w:lineRule="exact"/>
              <w:ind w:right="534"/>
              <w:jc w:val="right"/>
              <w:rPr>
                <w:rFonts w:ascii="宋体" w:hAnsi="宋体" w:cs="宋体" w:eastAsia="宋体" w:hint="default"/>
                <w:sz w:val="18"/>
                <w:szCs w:val="18"/>
              </w:rPr>
            </w:pPr>
            <w:r>
              <w:rPr>
                <w:rFonts w:ascii="宋体"/>
                <w:sz w:val="18"/>
              </w:rPr>
              <w:t>446,714,533.95</w:t>
            </w:r>
          </w:p>
        </w:tc>
        <w:tc>
          <w:tcPr>
            <w:tcW w:w="190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352,905,703.95</w:t>
            </w:r>
          </w:p>
        </w:tc>
      </w:tr>
      <w:tr>
        <w:trPr>
          <w:trHeight w:val="303" w:hRule="exact"/>
        </w:trPr>
        <w:tc>
          <w:tcPr>
            <w:tcW w:w="395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7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35"/>
              <w:jc w:val="right"/>
              <w:rPr>
                <w:rFonts w:ascii="宋体" w:hAnsi="宋体" w:cs="宋体" w:eastAsia="宋体" w:hint="default"/>
                <w:sz w:val="18"/>
                <w:szCs w:val="18"/>
              </w:rPr>
            </w:pPr>
            <w:r>
              <w:rPr>
                <w:rFonts w:ascii="宋体"/>
                <w:b/>
                <w:w w:val="95"/>
                <w:sz w:val="18"/>
              </w:rPr>
              <w:t>450,601,024.89</w:t>
            </w:r>
            <w:r>
              <w:rPr>
                <w:rFonts w:ascii="宋体"/>
                <w:sz w:val="18"/>
              </w:rPr>
            </w:r>
          </w:p>
        </w:tc>
        <w:tc>
          <w:tcPr>
            <w:tcW w:w="190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357,930,826.56</w:t>
            </w:r>
            <w:r>
              <w:rPr>
                <w:rFonts w:ascii="宋体"/>
                <w:sz w:val="18"/>
              </w:rPr>
            </w:r>
          </w:p>
        </w:tc>
      </w:tr>
    </w:tbl>
    <w:p>
      <w:pPr>
        <w:spacing w:line="324" w:lineRule="auto" w:before="79"/>
        <w:ind w:left="1238" w:right="1243" w:firstLine="440"/>
        <w:jc w:val="both"/>
        <w:rPr>
          <w:rFonts w:ascii="宋体" w:hAnsi="宋体" w:cs="宋体" w:eastAsia="宋体" w:hint="default"/>
          <w:sz w:val="22"/>
          <w:szCs w:val="22"/>
        </w:rPr>
      </w:pPr>
      <w:r>
        <w:rPr/>
        <w:pict>
          <v:shape style="position:absolute;margin-left:84.839996pt;margin-top:84.261566pt;width:431.9pt;height:184.45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4"/>
                    <w:gridCol w:w="2524"/>
                    <w:gridCol w:w="1999"/>
                  </w:tblGrid>
                  <w:tr>
                    <w:trPr>
                      <w:trHeight w:val="966" w:hRule="exact"/>
                    </w:trPr>
                    <w:tc>
                      <w:tcPr>
                        <w:tcW w:w="411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长期股权投资</w:t>
                        </w:r>
                      </w:p>
                      <w:p>
                        <w:pPr>
                          <w:pStyle w:val="TableParagraph"/>
                          <w:spacing w:line="240" w:lineRule="auto" w:before="163"/>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长期股权投资</w:t>
                        </w:r>
                      </w:p>
                    </w:tc>
                    <w:tc>
                      <w:tcPr>
                        <w:tcW w:w="4524"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11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5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7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11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26" w:lineRule="exact"/>
                          <w:ind w:right="443"/>
                          <w:jc w:val="right"/>
                          <w:rPr>
                            <w:rFonts w:ascii="宋体" w:hAnsi="宋体" w:cs="宋体" w:eastAsia="宋体" w:hint="default"/>
                            <w:sz w:val="18"/>
                            <w:szCs w:val="18"/>
                          </w:rPr>
                        </w:pPr>
                        <w:r>
                          <w:rPr>
                            <w:rFonts w:ascii="宋体"/>
                            <w:sz w:val="18"/>
                          </w:rPr>
                          <w:t>315,550,236.09</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226" w:lineRule="exact"/>
                          <w:ind w:left="638" w:right="0"/>
                          <w:jc w:val="left"/>
                          <w:rPr>
                            <w:rFonts w:ascii="宋体" w:hAnsi="宋体" w:cs="宋体" w:eastAsia="宋体" w:hint="default"/>
                            <w:sz w:val="18"/>
                            <w:szCs w:val="18"/>
                          </w:rPr>
                        </w:pPr>
                        <w:r>
                          <w:rPr>
                            <w:rFonts w:ascii="宋体"/>
                            <w:sz w:val="18"/>
                          </w:rPr>
                          <w:t>175,641,146.99</w:t>
                        </w:r>
                      </w:p>
                    </w:tc>
                  </w:tr>
                  <w:tr>
                    <w:trPr>
                      <w:trHeight w:val="283" w:hRule="exact"/>
                    </w:trPr>
                    <w:tc>
                      <w:tcPr>
                        <w:tcW w:w="41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2524" w:type="dxa"/>
                        <w:tcBorders>
                          <w:top w:val="nil" w:sz="6" w:space="0" w:color="auto"/>
                          <w:left w:val="nil" w:sz="6" w:space="0" w:color="auto"/>
                          <w:bottom w:val="nil" w:sz="6" w:space="0" w:color="auto"/>
                          <w:right w:val="nil" w:sz="6" w:space="0" w:color="auto"/>
                        </w:tcBorders>
                      </w:tcPr>
                      <w:p>
                        <w:pPr>
                          <w:pStyle w:val="TableParagraph"/>
                          <w:spacing w:line="232" w:lineRule="exact"/>
                          <w:ind w:right="443"/>
                          <w:jc w:val="right"/>
                          <w:rPr>
                            <w:rFonts w:ascii="宋体" w:hAnsi="宋体" w:cs="宋体" w:eastAsia="宋体" w:hint="default"/>
                            <w:sz w:val="18"/>
                            <w:szCs w:val="18"/>
                          </w:rPr>
                        </w:pPr>
                        <w:r>
                          <w:rPr>
                            <w:rFonts w:ascii="宋体"/>
                            <w:sz w:val="18"/>
                          </w:rPr>
                          <w:t>1,568,707,028.98</w:t>
                        </w:r>
                      </w:p>
                    </w:tc>
                    <w:tc>
                      <w:tcPr>
                        <w:tcW w:w="1999" w:type="dxa"/>
                        <w:tcBorders>
                          <w:top w:val="nil" w:sz="6" w:space="0" w:color="auto"/>
                          <w:left w:val="nil" w:sz="6" w:space="0" w:color="auto"/>
                          <w:bottom w:val="nil" w:sz="6" w:space="0" w:color="auto"/>
                          <w:right w:val="nil" w:sz="6" w:space="0" w:color="auto"/>
                        </w:tcBorders>
                      </w:tcPr>
                      <w:p>
                        <w:pPr>
                          <w:pStyle w:val="TableParagraph"/>
                          <w:spacing w:line="232" w:lineRule="exact"/>
                          <w:ind w:left="458" w:right="0"/>
                          <w:jc w:val="left"/>
                          <w:rPr>
                            <w:rFonts w:ascii="宋体" w:hAnsi="宋体" w:cs="宋体" w:eastAsia="宋体" w:hint="default"/>
                            <w:sz w:val="18"/>
                            <w:szCs w:val="18"/>
                          </w:rPr>
                        </w:pPr>
                        <w:r>
                          <w:rPr>
                            <w:rFonts w:ascii="宋体"/>
                            <w:sz w:val="18"/>
                          </w:rPr>
                          <w:t>1,635,061,830.30</w:t>
                        </w:r>
                      </w:p>
                    </w:tc>
                  </w:tr>
                  <w:tr>
                    <w:trPr>
                      <w:trHeight w:val="283" w:hRule="exact"/>
                    </w:trPr>
                    <w:tc>
                      <w:tcPr>
                        <w:tcW w:w="41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32" w:lineRule="exact"/>
                          <w:ind w:right="443"/>
                          <w:jc w:val="right"/>
                          <w:rPr>
                            <w:rFonts w:ascii="宋体" w:hAnsi="宋体" w:cs="宋体" w:eastAsia="宋体" w:hint="default"/>
                            <w:sz w:val="18"/>
                            <w:szCs w:val="18"/>
                          </w:rPr>
                        </w:pPr>
                        <w:r>
                          <w:rPr>
                            <w:rFonts w:ascii="宋体"/>
                            <w:b/>
                            <w:w w:val="95"/>
                            <w:sz w:val="18"/>
                          </w:rPr>
                          <w:t>1,884,257,265.07</w:t>
                        </w:r>
                        <w:r>
                          <w:rPr>
                            <w:rFonts w:ascii="宋体"/>
                            <w:sz w:val="18"/>
                          </w:rPr>
                        </w:r>
                      </w:p>
                    </w:tc>
                    <w:tc>
                      <w:tcPr>
                        <w:tcW w:w="1999" w:type="dxa"/>
                        <w:tcBorders>
                          <w:top w:val="nil" w:sz="6" w:space="0" w:color="auto"/>
                          <w:left w:val="nil" w:sz="6" w:space="0" w:color="auto"/>
                          <w:bottom w:val="nil" w:sz="6" w:space="0" w:color="auto"/>
                          <w:right w:val="nil" w:sz="6" w:space="0" w:color="auto"/>
                        </w:tcBorders>
                      </w:tcPr>
                      <w:p>
                        <w:pPr>
                          <w:pStyle w:val="TableParagraph"/>
                          <w:spacing w:line="232" w:lineRule="exact"/>
                          <w:ind w:left="445" w:right="0"/>
                          <w:jc w:val="left"/>
                          <w:rPr>
                            <w:rFonts w:ascii="宋体" w:hAnsi="宋体" w:cs="宋体" w:eastAsia="宋体" w:hint="default"/>
                            <w:sz w:val="18"/>
                            <w:szCs w:val="18"/>
                          </w:rPr>
                        </w:pPr>
                        <w:r>
                          <w:rPr>
                            <w:rFonts w:ascii="宋体"/>
                            <w:b/>
                            <w:sz w:val="18"/>
                          </w:rPr>
                          <w:t>1,810,702,977.29</w:t>
                        </w:r>
                        <w:r>
                          <w:rPr>
                            <w:rFonts w:ascii="宋体"/>
                            <w:sz w:val="18"/>
                          </w:rPr>
                        </w:r>
                      </w:p>
                    </w:tc>
                  </w:tr>
                  <w:tr>
                    <w:trPr>
                      <w:trHeight w:val="294" w:hRule="exact"/>
                    </w:trPr>
                    <w:tc>
                      <w:tcPr>
                        <w:tcW w:w="411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524" w:type="dxa"/>
                        <w:tcBorders>
                          <w:top w:val="nil" w:sz="6" w:space="0" w:color="auto"/>
                          <w:left w:val="nil" w:sz="6" w:space="0" w:color="auto"/>
                          <w:bottom w:val="single" w:sz="4" w:space="0" w:color="000000"/>
                          <w:right w:val="nil" w:sz="6" w:space="0" w:color="auto"/>
                        </w:tcBorders>
                      </w:tcPr>
                      <w:p>
                        <w:pPr>
                          <w:pStyle w:val="TableParagraph"/>
                          <w:spacing w:line="232" w:lineRule="exact"/>
                          <w:ind w:right="443"/>
                          <w:jc w:val="right"/>
                          <w:rPr>
                            <w:rFonts w:ascii="宋体" w:hAnsi="宋体" w:cs="宋体" w:eastAsia="宋体" w:hint="default"/>
                            <w:sz w:val="18"/>
                            <w:szCs w:val="18"/>
                          </w:rPr>
                        </w:pPr>
                        <w:r>
                          <w:rPr>
                            <w:rFonts w:ascii="宋体"/>
                            <w:sz w:val="18"/>
                          </w:rPr>
                          <w:t>49,019,474.40</w:t>
                        </w:r>
                      </w:p>
                    </w:tc>
                    <w:tc>
                      <w:tcPr>
                        <w:tcW w:w="1999" w:type="dxa"/>
                        <w:tcBorders>
                          <w:top w:val="nil" w:sz="6" w:space="0" w:color="auto"/>
                          <w:left w:val="nil" w:sz="6" w:space="0" w:color="auto"/>
                          <w:bottom w:val="single" w:sz="4" w:space="0" w:color="000000"/>
                          <w:right w:val="nil" w:sz="6" w:space="0" w:color="auto"/>
                        </w:tcBorders>
                      </w:tcPr>
                      <w:p>
                        <w:pPr>
                          <w:pStyle w:val="TableParagraph"/>
                          <w:spacing w:line="232" w:lineRule="exact"/>
                          <w:ind w:left="818" w:right="0"/>
                          <w:jc w:val="left"/>
                          <w:rPr>
                            <w:rFonts w:ascii="宋体" w:hAnsi="宋体" w:cs="宋体" w:eastAsia="宋体" w:hint="default"/>
                            <w:sz w:val="18"/>
                            <w:szCs w:val="18"/>
                          </w:rPr>
                        </w:pPr>
                        <w:r>
                          <w:rPr>
                            <w:rFonts w:ascii="宋体"/>
                            <w:sz w:val="18"/>
                          </w:rPr>
                          <w:t>2,955,911.40</w:t>
                        </w:r>
                      </w:p>
                    </w:tc>
                  </w:tr>
                  <w:tr>
                    <w:trPr>
                      <w:trHeight w:val="303" w:hRule="exact"/>
                    </w:trPr>
                    <w:tc>
                      <w:tcPr>
                        <w:tcW w:w="411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长期股权投资净值</w:t>
                        </w:r>
                        <w:r>
                          <w:rPr>
                            <w:rFonts w:ascii="宋体" w:hAnsi="宋体" w:cs="宋体" w:eastAsia="宋体" w:hint="default"/>
                            <w:sz w:val="18"/>
                            <w:szCs w:val="18"/>
                          </w:rPr>
                        </w: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43"/>
                          <w:jc w:val="right"/>
                          <w:rPr>
                            <w:rFonts w:ascii="宋体" w:hAnsi="宋体" w:cs="宋体" w:eastAsia="宋体" w:hint="default"/>
                            <w:sz w:val="18"/>
                            <w:szCs w:val="18"/>
                          </w:rPr>
                        </w:pPr>
                        <w:r>
                          <w:rPr>
                            <w:rFonts w:ascii="宋体"/>
                            <w:b/>
                            <w:w w:val="95"/>
                            <w:sz w:val="18"/>
                          </w:rPr>
                          <w:t>1,835,237,790.67</w:t>
                        </w:r>
                        <w:r>
                          <w:rPr>
                            <w:rFonts w:ascii="宋体"/>
                            <w:sz w:val="18"/>
                          </w:rPr>
                        </w:r>
                      </w:p>
                    </w:tc>
                    <w:tc>
                      <w:tcPr>
                        <w:tcW w:w="199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45" w:right="0"/>
                          <w:jc w:val="left"/>
                          <w:rPr>
                            <w:rFonts w:ascii="宋体" w:hAnsi="宋体" w:cs="宋体" w:eastAsia="宋体" w:hint="default"/>
                            <w:sz w:val="18"/>
                            <w:szCs w:val="18"/>
                          </w:rPr>
                        </w:pPr>
                        <w:r>
                          <w:rPr>
                            <w:rFonts w:ascii="宋体"/>
                            <w:b/>
                            <w:sz w:val="18"/>
                          </w:rPr>
                          <w:t>1,807,747,065.89</w:t>
                        </w:r>
                        <w:r>
                          <w:rPr>
                            <w:rFonts w:ascii="宋体"/>
                            <w:sz w:val="18"/>
                          </w:rPr>
                        </w:r>
                      </w:p>
                    </w:tc>
                  </w:tr>
                  <w:tr>
                    <w:trPr>
                      <w:trHeight w:val="974" w:hRule="exact"/>
                    </w:trPr>
                    <w:tc>
                      <w:tcPr>
                        <w:tcW w:w="4114"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按成本法核算的长期股权投资</w:t>
                        </w:r>
                      </w:p>
                      <w:p>
                        <w:pPr>
                          <w:pStyle w:val="TableParagraph"/>
                          <w:tabs>
                            <w:tab w:pos="581" w:val="left" w:leader="none"/>
                          </w:tabs>
                          <w:spacing w:line="255" w:lineRule="exact" w:before="166"/>
                          <w:ind w:right="83"/>
                          <w:jc w:val="center"/>
                          <w:rPr>
                            <w:rFonts w:ascii="宋体" w:hAnsi="宋体" w:cs="宋体" w:eastAsia="宋体" w:hint="default"/>
                            <w:sz w:val="16"/>
                            <w:szCs w:val="16"/>
                          </w:rPr>
                        </w:pPr>
                        <w:r>
                          <w:rPr>
                            <w:rFonts w:ascii="宋体" w:hAnsi="宋体" w:cs="宋体" w:eastAsia="宋体" w:hint="default"/>
                            <w:b/>
                            <w:bCs/>
                            <w:w w:val="95"/>
                            <w:position w:val="-9"/>
                            <w:sz w:val="16"/>
                            <w:szCs w:val="16"/>
                          </w:rPr>
                          <w:t>持股</w:t>
                          <w:tab/>
                        </w:r>
                        <w:r>
                          <w:rPr>
                            <w:rFonts w:ascii="宋体" w:hAnsi="宋体" w:cs="宋体" w:eastAsia="宋体" w:hint="default"/>
                            <w:b/>
                            <w:bCs/>
                            <w:sz w:val="16"/>
                            <w:szCs w:val="16"/>
                          </w:rPr>
                          <w:t>表决</w:t>
                        </w:r>
                        <w:r>
                          <w:rPr>
                            <w:rFonts w:ascii="宋体" w:hAnsi="宋体" w:cs="宋体" w:eastAsia="宋体" w:hint="default"/>
                            <w:sz w:val="16"/>
                            <w:szCs w:val="16"/>
                          </w:rPr>
                        </w:r>
                      </w:p>
                      <w:p>
                        <w:pPr>
                          <w:pStyle w:val="TableParagraph"/>
                          <w:tabs>
                            <w:tab w:pos="2888" w:val="left" w:leader="none"/>
                          </w:tabs>
                          <w:spacing w:line="155" w:lineRule="exact"/>
                          <w:ind w:left="2224" w:right="0"/>
                          <w:jc w:val="left"/>
                          <w:rPr>
                            <w:rFonts w:ascii="宋体" w:hAnsi="宋体" w:cs="宋体" w:eastAsia="宋体" w:hint="default"/>
                            <w:sz w:val="16"/>
                            <w:szCs w:val="16"/>
                          </w:rPr>
                        </w:pPr>
                        <w:r>
                          <w:rPr>
                            <w:rFonts w:ascii="宋体" w:hAnsi="宋体" w:cs="宋体" w:eastAsia="宋体" w:hint="default"/>
                            <w:b/>
                            <w:bCs/>
                            <w:w w:val="95"/>
                            <w:sz w:val="16"/>
                            <w:szCs w:val="16"/>
                          </w:rPr>
                          <w:t>权</w:t>
                          <w:tab/>
                        </w:r>
                        <w:r>
                          <w:rPr>
                            <w:rFonts w:ascii="宋体" w:hAnsi="宋体" w:cs="宋体" w:eastAsia="宋体" w:hint="default"/>
                            <w:b/>
                            <w:bCs/>
                            <w:sz w:val="16"/>
                            <w:szCs w:val="16"/>
                          </w:rPr>
                          <w:t>投资成本</w:t>
                        </w:r>
                        <w:r>
                          <w:rPr>
                            <w:rFonts w:ascii="宋体" w:hAnsi="宋体" w:cs="宋体" w:eastAsia="宋体" w:hint="default"/>
                            <w:sz w:val="16"/>
                            <w:szCs w:val="16"/>
                          </w:rPr>
                        </w:r>
                      </w:p>
                    </w:tc>
                    <w:tc>
                      <w:tcPr>
                        <w:tcW w:w="252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tabs>
                            <w:tab w:pos="1343" w:val="left" w:leader="none"/>
                          </w:tabs>
                          <w:spacing w:line="240" w:lineRule="auto" w:before="119"/>
                          <w:ind w:right="415"/>
                          <w:jc w:val="right"/>
                          <w:rPr>
                            <w:rFonts w:ascii="宋体" w:hAnsi="宋体" w:cs="宋体" w:eastAsia="宋体" w:hint="default"/>
                            <w:sz w:val="16"/>
                            <w:szCs w:val="16"/>
                          </w:rPr>
                        </w:pPr>
                        <w:r>
                          <w:rPr>
                            <w:rFonts w:ascii="宋体" w:hAnsi="宋体" w:cs="宋体" w:eastAsia="宋体" w:hint="default"/>
                            <w:b/>
                            <w:bCs/>
                            <w:w w:val="95"/>
                            <w:sz w:val="16"/>
                            <w:szCs w:val="16"/>
                          </w:rPr>
                          <w:t>年初金额</w:t>
                          <w:tab/>
                          <w:t>本年增加</w:t>
                        </w:r>
                        <w:r>
                          <w:rPr>
                            <w:rFonts w:ascii="宋体" w:hAnsi="宋体" w:cs="宋体" w:eastAsia="宋体" w:hint="default"/>
                            <w:sz w:val="16"/>
                            <w:szCs w:val="16"/>
                          </w:rPr>
                        </w:r>
                      </w:p>
                    </w:tc>
                    <w:tc>
                      <w:tcPr>
                        <w:tcW w:w="199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tabs>
                            <w:tab w:pos="1549" w:val="left" w:leader="none"/>
                          </w:tabs>
                          <w:spacing w:line="240" w:lineRule="auto" w:before="119"/>
                          <w:ind w:left="244" w:right="-33"/>
                          <w:jc w:val="left"/>
                          <w:rPr>
                            <w:rFonts w:ascii="宋体" w:hAnsi="宋体" w:cs="宋体" w:eastAsia="宋体" w:hint="default"/>
                            <w:sz w:val="16"/>
                            <w:szCs w:val="16"/>
                          </w:rPr>
                        </w:pPr>
                        <w:r>
                          <w:rPr>
                            <w:rFonts w:ascii="宋体" w:hAnsi="宋体" w:cs="宋体" w:eastAsia="宋体" w:hint="default"/>
                            <w:b/>
                            <w:bCs/>
                            <w:w w:val="95"/>
                            <w:sz w:val="16"/>
                            <w:szCs w:val="16"/>
                          </w:rPr>
                          <w:t>本年减少</w:t>
                          <w:tab/>
                        </w:r>
                        <w:r>
                          <w:rPr>
                            <w:rFonts w:ascii="宋体" w:hAnsi="宋体" w:cs="宋体" w:eastAsia="宋体" w:hint="default"/>
                            <w:b/>
                            <w:bCs/>
                            <w:sz w:val="16"/>
                            <w:szCs w:val="16"/>
                          </w:rPr>
                          <w:t>年末金</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spacing w:val="-1"/>
          <w:sz w:val="22"/>
          <w:szCs w:val="22"/>
        </w:rPr>
        <w:t>“污水处理特许经营权所产生应收款项”系本公司之控股子公司淮安同方水务有限公司和全</w:t>
      </w:r>
      <w:r>
        <w:rPr>
          <w:rFonts w:ascii="宋体" w:hAnsi="宋体" w:cs="宋体" w:eastAsia="宋体" w:hint="default"/>
          <w:w w:val="99"/>
          <w:sz w:val="22"/>
          <w:szCs w:val="22"/>
        </w:rPr>
        <w:t> </w:t>
      </w:r>
      <w:r>
        <w:rPr>
          <w:rFonts w:ascii="宋体" w:hAnsi="宋体" w:cs="宋体" w:eastAsia="宋体" w:hint="default"/>
          <w:sz w:val="22"/>
          <w:szCs w:val="22"/>
        </w:rPr>
        <w:t>资子公司惠州市同方水务有限公司以政府特许</w:t>
      </w:r>
      <w:r>
        <w:rPr>
          <w:rFonts w:ascii="宋体" w:hAnsi="宋体" w:cs="宋体" w:eastAsia="宋体" w:hint="default"/>
          <w:spacing w:val="25"/>
          <w:sz w:val="22"/>
          <w:szCs w:val="22"/>
        </w:rPr>
        <w:t> </w:t>
      </w:r>
      <w:r>
        <w:rPr>
          <w:rFonts w:ascii="宋体" w:hAnsi="宋体" w:cs="宋体" w:eastAsia="宋体" w:hint="default"/>
          <w:sz w:val="22"/>
          <w:szCs w:val="22"/>
        </w:rPr>
        <w:t>BOT</w:t>
      </w:r>
      <w:r>
        <w:rPr>
          <w:rFonts w:ascii="宋体" w:hAnsi="宋体" w:cs="宋体" w:eastAsia="宋体" w:hint="default"/>
          <w:spacing w:val="25"/>
          <w:sz w:val="22"/>
          <w:szCs w:val="22"/>
        </w:rPr>
        <w:t> </w:t>
      </w:r>
      <w:r>
        <w:rPr>
          <w:rFonts w:ascii="宋体" w:hAnsi="宋体" w:cs="宋体" w:eastAsia="宋体" w:hint="default"/>
          <w:sz w:val="22"/>
          <w:szCs w:val="22"/>
        </w:rPr>
        <w:t>模式开展污水处理项目并采用金融资产模式</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
          <w:sz w:val="22"/>
          <w:szCs w:val="22"/>
        </w:rPr>
        <w:t>进行相关会计核算所致，相关长期应收款余额是在特许经营期内以对未来污水处理量预测为基础</w:t>
      </w:r>
      <w:r>
        <w:rPr>
          <w:rFonts w:ascii="宋体" w:hAnsi="宋体" w:cs="宋体" w:eastAsia="宋体" w:hint="default"/>
          <w:w w:val="99"/>
          <w:sz w:val="22"/>
          <w:szCs w:val="22"/>
        </w:rPr>
        <w:t> </w:t>
      </w:r>
      <w:r>
        <w:rPr>
          <w:rFonts w:ascii="宋体" w:hAnsi="宋体" w:cs="宋体" w:eastAsia="宋体" w:hint="default"/>
          <w:sz w:val="22"/>
          <w:szCs w:val="22"/>
        </w:rPr>
        <w:t>按照实际利率法确定的摊余成本金额。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573.4pt;height:1.5pt;mso-position-horizontal-relative:char;mso-position-vertical-relative:line" coordorigin="0,0" coordsize="11468,30">
            <v:group style="position:absolute;left:15;top:15;width:11438;height:2" coordorigin="15,15" coordsize="11438,2">
              <v:shape style="position:absolute;left:15;top:15;width:11438;height:2" coordorigin="15,15" coordsize="11438,0" path="m15,15l11452,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80" w:right="40"/>
        </w:sectPr>
      </w:pPr>
    </w:p>
    <w:p>
      <w:pPr>
        <w:tabs>
          <w:tab w:pos="3079" w:val="left" w:leader="none"/>
        </w:tabs>
        <w:spacing w:before="172"/>
        <w:ind w:left="224" w:right="-20" w:firstLine="0"/>
        <w:jc w:val="left"/>
        <w:rPr>
          <w:rFonts w:ascii="宋体" w:hAnsi="宋体" w:cs="宋体" w:eastAsia="宋体" w:hint="default"/>
          <w:sz w:val="16"/>
          <w:szCs w:val="16"/>
        </w:rPr>
      </w:pPr>
      <w:r>
        <w:rPr/>
        <w:pict>
          <v:shape style="position:absolute;margin-left:14.82pt;margin-top:440.444763pt;width:571.9pt;height:324.05pt;mso-position-horizontal-relative:page;mso-position-vertical-relative:page;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8"/>
                    <w:gridCol w:w="637"/>
                    <w:gridCol w:w="625"/>
                    <w:gridCol w:w="1288"/>
                    <w:gridCol w:w="1344"/>
                    <w:gridCol w:w="1304"/>
                    <w:gridCol w:w="1305"/>
                    <w:gridCol w:w="1304"/>
                    <w:gridCol w:w="851"/>
                  </w:tblGrid>
                  <w:tr>
                    <w:trPr>
                      <w:trHeight w:val="183" w:hRule="exact"/>
                    </w:trPr>
                    <w:tc>
                      <w:tcPr>
                        <w:tcW w:w="3415" w:type="dxa"/>
                        <w:gridSpan w:val="2"/>
                        <w:tcBorders>
                          <w:top w:val="nil" w:sz="6" w:space="0" w:color="auto"/>
                          <w:left w:val="nil" w:sz="6" w:space="0" w:color="auto"/>
                          <w:bottom w:val="single" w:sz="4" w:space="0" w:color="000000"/>
                          <w:right w:val="nil" w:sz="6" w:space="0" w:color="auto"/>
                        </w:tcBorders>
                      </w:tcPr>
                      <w:p>
                        <w:pPr/>
                      </w:p>
                    </w:tc>
                    <w:tc>
                      <w:tcPr>
                        <w:tcW w:w="625" w:type="dxa"/>
                        <w:tcBorders>
                          <w:top w:val="nil" w:sz="6" w:space="0" w:color="auto"/>
                          <w:left w:val="nil" w:sz="6" w:space="0" w:color="auto"/>
                          <w:bottom w:val="single" w:sz="4" w:space="0" w:color="000000"/>
                          <w:right w:val="nil" w:sz="6" w:space="0" w:color="auto"/>
                        </w:tcBorders>
                      </w:tcPr>
                      <w:p>
                        <w:pPr>
                          <w:pStyle w:val="TableParagraph"/>
                          <w:spacing w:line="160" w:lineRule="exact"/>
                          <w:ind w:right="41"/>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7397" w:type="dxa"/>
                        <w:gridSpan w:val="6"/>
                        <w:tcBorders>
                          <w:top w:val="nil" w:sz="6" w:space="0" w:color="auto"/>
                          <w:left w:val="nil" w:sz="6" w:space="0" w:color="auto"/>
                          <w:bottom w:val="single" w:sz="4" w:space="0" w:color="000000"/>
                          <w:right w:val="nil" w:sz="6" w:space="0" w:color="auto"/>
                        </w:tcBorders>
                      </w:tcPr>
                      <w:p>
                        <w:pPr/>
                      </w:p>
                    </w:tc>
                  </w:tr>
                  <w:tr>
                    <w:trPr>
                      <w:trHeight w:val="291" w:hRule="exact"/>
                    </w:trPr>
                    <w:tc>
                      <w:tcPr>
                        <w:tcW w:w="277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6"/>
                            <w:szCs w:val="16"/>
                          </w:rPr>
                        </w:pPr>
                        <w:r>
                          <w:rPr>
                            <w:rFonts w:ascii="宋体" w:hAnsi="宋体" w:cs="宋体" w:eastAsia="宋体" w:hint="default"/>
                            <w:sz w:val="16"/>
                            <w:szCs w:val="16"/>
                          </w:rPr>
                          <w:t>北京高新技术创业投资股份有限公司</w:t>
                        </w:r>
                      </w:p>
                    </w:tc>
                    <w:tc>
                      <w:tcPr>
                        <w:tcW w:w="63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6"/>
                            <w:szCs w:val="16"/>
                          </w:rPr>
                        </w:pPr>
                        <w:r>
                          <w:rPr>
                            <w:rFonts w:ascii="宋体"/>
                            <w:spacing w:val="-1"/>
                            <w:sz w:val="16"/>
                          </w:rPr>
                          <w:t>3.23%</w:t>
                        </w:r>
                      </w:p>
                    </w:tc>
                    <w:tc>
                      <w:tcPr>
                        <w:tcW w:w="62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2"/>
                          <w:jc w:val="center"/>
                          <w:rPr>
                            <w:rFonts w:ascii="宋体" w:hAnsi="宋体" w:cs="宋体" w:eastAsia="宋体" w:hint="default"/>
                            <w:sz w:val="16"/>
                            <w:szCs w:val="16"/>
                          </w:rPr>
                        </w:pPr>
                        <w:r>
                          <w:rPr>
                            <w:rFonts w:ascii="宋体"/>
                            <w:sz w:val="16"/>
                          </w:rPr>
                          <w:t>3.23%</w:t>
                        </w: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8"/>
                          <w:jc w:val="right"/>
                          <w:rPr>
                            <w:rFonts w:ascii="宋体" w:hAnsi="宋体" w:cs="宋体" w:eastAsia="宋体" w:hint="default"/>
                            <w:sz w:val="16"/>
                            <w:szCs w:val="16"/>
                          </w:rPr>
                        </w:pPr>
                        <w:r>
                          <w:rPr>
                            <w:rFonts w:ascii="宋体"/>
                            <w:spacing w:val="-1"/>
                            <w:sz w:val="16"/>
                          </w:rPr>
                          <w:t>10,000,000.00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9"/>
                          <w:jc w:val="right"/>
                          <w:rPr>
                            <w:rFonts w:ascii="宋体" w:hAnsi="宋体" w:cs="宋体" w:eastAsia="宋体" w:hint="default"/>
                            <w:sz w:val="16"/>
                            <w:szCs w:val="16"/>
                          </w:rPr>
                        </w:pPr>
                        <w:r>
                          <w:rPr>
                            <w:rFonts w:ascii="宋体"/>
                            <w:spacing w:val="-1"/>
                            <w:sz w:val="16"/>
                          </w:rPr>
                          <w:t>10,000,000.00</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9"/>
                          <w:jc w:val="right"/>
                          <w:rPr>
                            <w:rFonts w:ascii="宋体" w:hAnsi="宋体" w:cs="宋体" w:eastAsia="宋体" w:hint="default"/>
                            <w:sz w:val="16"/>
                            <w:szCs w:val="16"/>
                          </w:rPr>
                        </w:pPr>
                        <w:r>
                          <w:rPr>
                            <w:rFonts w:ascii="宋体"/>
                            <w:spacing w:val="-1"/>
                            <w:sz w:val="16"/>
                          </w:rPr>
                          <w:t>10,000,000.00</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武汉国际会展中心股份有限公司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5"/>
                          <w:jc w:val="right"/>
                          <w:rPr>
                            <w:rFonts w:ascii="宋体" w:hAnsi="宋体" w:cs="宋体" w:eastAsia="宋体" w:hint="default"/>
                            <w:sz w:val="16"/>
                            <w:szCs w:val="16"/>
                          </w:rPr>
                        </w:pPr>
                        <w:r>
                          <w:rPr>
                            <w:rFonts w:ascii="宋体"/>
                            <w:spacing w:val="-1"/>
                            <w:sz w:val="16"/>
                          </w:rPr>
                          <w:t>2.21%</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center"/>
                          <w:rPr>
                            <w:rFonts w:ascii="宋体" w:hAnsi="宋体" w:cs="宋体" w:eastAsia="宋体" w:hint="default"/>
                            <w:sz w:val="16"/>
                            <w:szCs w:val="16"/>
                          </w:rPr>
                        </w:pPr>
                        <w:r>
                          <w:rPr>
                            <w:rFonts w:ascii="宋体"/>
                            <w:sz w:val="16"/>
                          </w:rPr>
                          <w:t>2.21%</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5,000,000.00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5,000,000.00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5,000,000.00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北京首开亿信置业股份有限公司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5"/>
                          <w:jc w:val="right"/>
                          <w:rPr>
                            <w:rFonts w:ascii="宋体" w:hAnsi="宋体" w:cs="宋体" w:eastAsia="宋体" w:hint="default"/>
                            <w:sz w:val="16"/>
                            <w:szCs w:val="16"/>
                          </w:rPr>
                        </w:pPr>
                        <w:r>
                          <w:rPr>
                            <w:rFonts w:ascii="宋体"/>
                            <w:spacing w:val="-1"/>
                            <w:sz w:val="16"/>
                          </w:rPr>
                          <w:t>0.31%</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center"/>
                          <w:rPr>
                            <w:rFonts w:ascii="宋体" w:hAnsi="宋体" w:cs="宋体" w:eastAsia="宋体" w:hint="default"/>
                            <w:sz w:val="16"/>
                            <w:szCs w:val="16"/>
                          </w:rPr>
                        </w:pPr>
                        <w:r>
                          <w:rPr>
                            <w:rFonts w:ascii="宋体"/>
                            <w:sz w:val="16"/>
                          </w:rPr>
                          <w:t>0.31%</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1,540,000.00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1,540,000.00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1,540,000.00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启迪控股股份有限公司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6"/>
                          <w:jc w:val="right"/>
                          <w:rPr>
                            <w:rFonts w:ascii="宋体" w:hAnsi="宋体" w:cs="宋体" w:eastAsia="宋体" w:hint="default"/>
                            <w:sz w:val="16"/>
                            <w:szCs w:val="16"/>
                          </w:rPr>
                        </w:pPr>
                        <w:r>
                          <w:rPr>
                            <w:rFonts w:ascii="宋体"/>
                            <w:spacing w:val="-1"/>
                            <w:sz w:val="16"/>
                          </w:rPr>
                          <w:t>0.52%</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center"/>
                          <w:rPr>
                            <w:rFonts w:ascii="宋体" w:hAnsi="宋体" w:cs="宋体" w:eastAsia="宋体" w:hint="default"/>
                            <w:sz w:val="16"/>
                            <w:szCs w:val="16"/>
                          </w:rPr>
                        </w:pPr>
                        <w:r>
                          <w:rPr>
                            <w:rFonts w:ascii="宋体"/>
                            <w:sz w:val="16"/>
                          </w:rPr>
                          <w:t>0.52%</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2,500,000.00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2,500,000.00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2,500,000.00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航天科工卫星技术有限公司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13.74%</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center"/>
                          <w:rPr>
                            <w:rFonts w:ascii="宋体" w:hAnsi="宋体" w:cs="宋体" w:eastAsia="宋体" w:hint="default"/>
                            <w:sz w:val="16"/>
                            <w:szCs w:val="16"/>
                          </w:rPr>
                        </w:pPr>
                        <w:r>
                          <w:rPr>
                            <w:rFonts w:ascii="宋体"/>
                            <w:sz w:val="16"/>
                          </w:rPr>
                          <w:t>13.74%</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10,300,000.00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13,260,636.40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13,260,636.40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中投信用担保有限公司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6"/>
                          <w:jc w:val="right"/>
                          <w:rPr>
                            <w:rFonts w:ascii="宋体" w:hAnsi="宋体" w:cs="宋体" w:eastAsia="宋体" w:hint="default"/>
                            <w:sz w:val="16"/>
                            <w:szCs w:val="16"/>
                          </w:rPr>
                        </w:pPr>
                        <w:r>
                          <w:rPr>
                            <w:rFonts w:ascii="宋体"/>
                            <w:spacing w:val="-1"/>
                            <w:sz w:val="16"/>
                          </w:rPr>
                          <w:t>1.00%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center"/>
                          <w:rPr>
                            <w:rFonts w:ascii="宋体" w:hAnsi="宋体" w:cs="宋体" w:eastAsia="宋体" w:hint="default"/>
                            <w:sz w:val="16"/>
                            <w:szCs w:val="16"/>
                          </w:rPr>
                        </w:pPr>
                        <w:r>
                          <w:rPr>
                            <w:rFonts w:ascii="宋体"/>
                            <w:sz w:val="16"/>
                          </w:rPr>
                          <w:t>1.00%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10,000,000.00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10,000,000.00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10,000,000.00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sz w:val="16"/>
                          </w:rPr>
                          <w:t>Legend Silicon</w:t>
                        </w:r>
                        <w:r>
                          <w:rPr>
                            <w:rFonts w:ascii="宋体"/>
                            <w:spacing w:val="-10"/>
                            <w:sz w:val="16"/>
                          </w:rPr>
                          <w:t> </w:t>
                        </w:r>
                        <w:r>
                          <w:rPr>
                            <w:rFonts w:ascii="宋体"/>
                            <w:sz w:val="16"/>
                          </w:rPr>
                          <w:t>Corp.</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1"/>
                          <w:jc w:val="right"/>
                          <w:rPr>
                            <w:rFonts w:ascii="宋体" w:hAnsi="宋体" w:cs="宋体" w:eastAsia="宋体" w:hint="default"/>
                            <w:sz w:val="16"/>
                            <w:szCs w:val="16"/>
                          </w:rPr>
                        </w:pPr>
                        <w:r>
                          <w:rPr>
                            <w:rFonts w:ascii="宋体"/>
                            <w:spacing w:val="-1"/>
                            <w:sz w:val="16"/>
                          </w:rPr>
                          <w:t>3.66%</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3"/>
                          <w:jc w:val="center"/>
                          <w:rPr>
                            <w:rFonts w:ascii="宋体" w:hAnsi="宋体" w:cs="宋体" w:eastAsia="宋体" w:hint="default"/>
                            <w:sz w:val="16"/>
                            <w:szCs w:val="16"/>
                          </w:rPr>
                        </w:pPr>
                        <w:r>
                          <w:rPr>
                            <w:rFonts w:ascii="宋体"/>
                            <w:sz w:val="16"/>
                          </w:rPr>
                          <w:t>3.66%</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6"/>
                            <w:szCs w:val="16"/>
                          </w:rPr>
                        </w:pPr>
                        <w:r>
                          <w:rPr>
                            <w:rFonts w:ascii="宋体"/>
                            <w:spacing w:val="-1"/>
                            <w:sz w:val="16"/>
                          </w:rPr>
                          <w:t>18,404,728.00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18,404,728.00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z w:val="16"/>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18,404,728.00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18.00%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center"/>
                          <w:rPr>
                            <w:rFonts w:ascii="宋体" w:hAnsi="宋体" w:cs="宋体" w:eastAsia="宋体" w:hint="default"/>
                            <w:sz w:val="16"/>
                            <w:szCs w:val="16"/>
                          </w:rPr>
                        </w:pPr>
                        <w:r>
                          <w:rPr>
                            <w:rFonts w:ascii="宋体"/>
                            <w:sz w:val="16"/>
                          </w:rPr>
                          <w:t>18.00%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6,389,795.40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6,389,795.40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6,389,795.40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江西工商联合担保有限公司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15.26%</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center"/>
                          <w:rPr>
                            <w:rFonts w:ascii="宋体" w:hAnsi="宋体" w:cs="宋体" w:eastAsia="宋体" w:hint="default"/>
                            <w:sz w:val="16"/>
                            <w:szCs w:val="16"/>
                          </w:rPr>
                        </w:pPr>
                        <w:r>
                          <w:rPr>
                            <w:rFonts w:ascii="宋体"/>
                            <w:sz w:val="16"/>
                          </w:rPr>
                          <w:t>15.26%</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9,000,000.00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9,000,000.00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9,000,000.00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北京世纪卓克能源技术有限公司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15.00%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center"/>
                          <w:rPr>
                            <w:rFonts w:ascii="宋体" w:hAnsi="宋体" w:cs="宋体" w:eastAsia="宋体" w:hint="default"/>
                            <w:sz w:val="16"/>
                            <w:szCs w:val="16"/>
                          </w:rPr>
                        </w:pPr>
                        <w:r>
                          <w:rPr>
                            <w:rFonts w:ascii="宋体"/>
                            <w:sz w:val="16"/>
                          </w:rPr>
                          <w:t>15.00%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8,607,146.10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8,607,146.10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8,607,146.10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深圳卓克节能科技有限公司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37.50%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center"/>
                          <w:rPr>
                            <w:rFonts w:ascii="宋体" w:hAnsi="宋体" w:cs="宋体" w:eastAsia="宋体" w:hint="default"/>
                            <w:sz w:val="16"/>
                            <w:szCs w:val="16"/>
                          </w:rPr>
                        </w:pPr>
                        <w:r>
                          <w:rPr>
                            <w:rFonts w:ascii="宋体"/>
                            <w:sz w:val="16"/>
                          </w:rPr>
                          <w:t>37.50%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14,910,673.74</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13,909,638.25</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13,909,638.25</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两湖绿谷物流股份有限公司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7"/>
                          <w:jc w:val="right"/>
                          <w:rPr>
                            <w:rFonts w:ascii="宋体" w:hAnsi="宋体" w:cs="宋体" w:eastAsia="宋体" w:hint="default"/>
                            <w:sz w:val="16"/>
                            <w:szCs w:val="16"/>
                          </w:rPr>
                        </w:pPr>
                        <w:r>
                          <w:rPr>
                            <w:rFonts w:ascii="宋体"/>
                            <w:spacing w:val="-1"/>
                            <w:sz w:val="16"/>
                          </w:rPr>
                          <w:t>5.56%</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center"/>
                          <w:rPr>
                            <w:rFonts w:ascii="宋体" w:hAnsi="宋体" w:cs="宋体" w:eastAsia="宋体" w:hint="default"/>
                            <w:sz w:val="16"/>
                            <w:szCs w:val="16"/>
                          </w:rPr>
                        </w:pPr>
                        <w:r>
                          <w:rPr>
                            <w:rFonts w:ascii="宋体"/>
                            <w:sz w:val="16"/>
                          </w:rPr>
                          <w:t>5.56%</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40,000,000.00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40,000,000.00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40,000,000.00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河南新天科技有限公司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6"/>
                          <w:jc w:val="right"/>
                          <w:rPr>
                            <w:rFonts w:ascii="宋体" w:hAnsi="宋体" w:cs="宋体" w:eastAsia="宋体" w:hint="default"/>
                            <w:sz w:val="16"/>
                            <w:szCs w:val="16"/>
                          </w:rPr>
                        </w:pPr>
                        <w:r>
                          <w:rPr>
                            <w:rFonts w:ascii="宋体"/>
                            <w:spacing w:val="-1"/>
                            <w:sz w:val="16"/>
                          </w:rPr>
                          <w:t>2.75%</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center"/>
                          <w:rPr>
                            <w:rFonts w:ascii="宋体" w:hAnsi="宋体" w:cs="宋体" w:eastAsia="宋体" w:hint="default"/>
                            <w:sz w:val="16"/>
                            <w:szCs w:val="16"/>
                          </w:rPr>
                        </w:pPr>
                        <w:r>
                          <w:rPr>
                            <w:rFonts w:ascii="宋体"/>
                            <w:sz w:val="16"/>
                          </w:rPr>
                          <w:t>2.75%</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10,800,000.00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10,800,000.00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10,800,000.00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云南永保特种水泥股份有限公司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5"/>
                          <w:jc w:val="right"/>
                          <w:rPr>
                            <w:rFonts w:ascii="宋体" w:hAnsi="宋体" w:cs="宋体" w:eastAsia="宋体" w:hint="default"/>
                            <w:sz w:val="16"/>
                            <w:szCs w:val="16"/>
                          </w:rPr>
                        </w:pPr>
                        <w:r>
                          <w:rPr>
                            <w:rFonts w:ascii="宋体"/>
                            <w:spacing w:val="-1"/>
                            <w:sz w:val="16"/>
                          </w:rPr>
                          <w:t>1.70%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center"/>
                          <w:rPr>
                            <w:rFonts w:ascii="宋体" w:hAnsi="宋体" w:cs="宋体" w:eastAsia="宋体" w:hint="default"/>
                            <w:sz w:val="16"/>
                            <w:szCs w:val="16"/>
                          </w:rPr>
                        </w:pPr>
                        <w:r>
                          <w:rPr>
                            <w:rFonts w:ascii="宋体"/>
                            <w:sz w:val="16"/>
                          </w:rPr>
                          <w:t>1.70%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15,000,000.00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15,000,000.00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15,000,000.00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上海星浩股权投资中心（有限合伙）</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3.764%</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center"/>
                          <w:rPr>
                            <w:rFonts w:ascii="宋体" w:hAnsi="宋体" w:cs="宋体" w:eastAsia="宋体" w:hint="default"/>
                            <w:sz w:val="16"/>
                            <w:szCs w:val="16"/>
                          </w:rPr>
                        </w:pPr>
                        <w:r>
                          <w:rPr>
                            <w:rFonts w:ascii="宋体"/>
                            <w:sz w:val="16"/>
                          </w:rPr>
                          <w:t>3.764%</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25,000,000.00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25,000,000.00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25,000,000.00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北京高校创业股份有限公司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7"/>
                          <w:jc w:val="right"/>
                          <w:rPr>
                            <w:rFonts w:ascii="宋体" w:hAnsi="宋体" w:cs="宋体" w:eastAsia="宋体" w:hint="default"/>
                            <w:sz w:val="16"/>
                            <w:szCs w:val="16"/>
                          </w:rPr>
                        </w:pPr>
                        <w:r>
                          <w:rPr>
                            <w:rFonts w:ascii="宋体"/>
                            <w:spacing w:val="-1"/>
                            <w:sz w:val="16"/>
                          </w:rPr>
                          <w:t>2.30%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center"/>
                          <w:rPr>
                            <w:rFonts w:ascii="宋体" w:hAnsi="宋体" w:cs="宋体" w:eastAsia="宋体" w:hint="default"/>
                            <w:sz w:val="16"/>
                            <w:szCs w:val="16"/>
                          </w:rPr>
                        </w:pPr>
                        <w:r>
                          <w:rPr>
                            <w:rFonts w:ascii="宋体"/>
                            <w:sz w:val="16"/>
                          </w:rPr>
                          <w:t>2.30%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2,000,000.00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2,000,000.00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2,000,000.00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北京天语同声信息技术有限公司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5"/>
                          <w:jc w:val="right"/>
                          <w:rPr>
                            <w:rFonts w:ascii="宋体" w:hAnsi="宋体" w:cs="宋体" w:eastAsia="宋体" w:hint="default"/>
                            <w:sz w:val="16"/>
                            <w:szCs w:val="16"/>
                          </w:rPr>
                        </w:pPr>
                        <w:r>
                          <w:rPr>
                            <w:rFonts w:ascii="宋体"/>
                            <w:spacing w:val="-1"/>
                            <w:sz w:val="16"/>
                          </w:rPr>
                          <w:t>0.00%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center"/>
                          <w:rPr>
                            <w:rFonts w:ascii="宋体" w:hAnsi="宋体" w:cs="宋体" w:eastAsia="宋体" w:hint="default"/>
                            <w:sz w:val="16"/>
                            <w:szCs w:val="16"/>
                          </w:rPr>
                        </w:pPr>
                        <w:r>
                          <w:rPr>
                            <w:rFonts w:ascii="宋体"/>
                            <w:sz w:val="16"/>
                          </w:rPr>
                          <w:t>0.00%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5,600,000.00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4,427,001.47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4,427,001.47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瑞思文化传播有限公司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30.00%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center"/>
                          <w:rPr>
                            <w:rFonts w:ascii="宋体" w:hAnsi="宋体" w:cs="宋体" w:eastAsia="宋体" w:hint="default"/>
                            <w:sz w:val="16"/>
                            <w:szCs w:val="16"/>
                          </w:rPr>
                        </w:pPr>
                        <w:r>
                          <w:rPr>
                            <w:rFonts w:ascii="宋体"/>
                            <w:sz w:val="16"/>
                          </w:rPr>
                          <w:t>30.00%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49,820,000.00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49,820,000.00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49,820,000.00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江苏润邦重工股份有限公司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7"/>
                          <w:jc w:val="right"/>
                          <w:rPr>
                            <w:rFonts w:ascii="宋体" w:hAnsi="宋体" w:cs="宋体" w:eastAsia="宋体" w:hint="default"/>
                            <w:sz w:val="16"/>
                            <w:szCs w:val="16"/>
                          </w:rPr>
                        </w:pPr>
                        <w:r>
                          <w:rPr>
                            <w:rFonts w:ascii="宋体"/>
                            <w:spacing w:val="-1"/>
                            <w:sz w:val="16"/>
                          </w:rPr>
                          <w:t>0.00%</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center"/>
                          <w:rPr>
                            <w:rFonts w:ascii="宋体" w:hAnsi="宋体" w:cs="宋体" w:eastAsia="宋体" w:hint="default"/>
                            <w:sz w:val="16"/>
                            <w:szCs w:val="16"/>
                          </w:rPr>
                        </w:pPr>
                        <w:r>
                          <w:rPr>
                            <w:rFonts w:ascii="宋体"/>
                            <w:sz w:val="16"/>
                          </w:rPr>
                          <w:t>0.00%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42,000,000.00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42,000,000.00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spacing w:val="-1"/>
                            <w:sz w:val="16"/>
                          </w:rPr>
                          <w:t>42,000,000.00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上海东方希杰商务有限公司</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7"/>
                          <w:jc w:val="right"/>
                          <w:rPr>
                            <w:rFonts w:ascii="宋体" w:hAnsi="宋体" w:cs="宋体" w:eastAsia="宋体" w:hint="default"/>
                            <w:sz w:val="16"/>
                            <w:szCs w:val="16"/>
                          </w:rPr>
                        </w:pPr>
                        <w:r>
                          <w:rPr>
                            <w:rFonts w:ascii="宋体"/>
                            <w:spacing w:val="-1"/>
                            <w:sz w:val="16"/>
                          </w:rPr>
                          <w:t>1.97%</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center"/>
                          <w:rPr>
                            <w:rFonts w:ascii="宋体" w:hAnsi="宋体" w:cs="宋体" w:eastAsia="宋体" w:hint="default"/>
                            <w:sz w:val="16"/>
                            <w:szCs w:val="16"/>
                          </w:rPr>
                        </w:pPr>
                        <w:r>
                          <w:rPr>
                            <w:rFonts w:ascii="宋体"/>
                            <w:sz w:val="16"/>
                          </w:rPr>
                          <w:t>1.97%</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1"/>
                            <w:sz w:val="16"/>
                          </w:rPr>
                          <w:t>44,941,814.96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1"/>
                            <w:sz w:val="16"/>
                          </w:rPr>
                          <w:t>44,941,814.96</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44,941,814.96</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沂南城市信用社</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8"/>
                          <w:jc w:val="right"/>
                          <w:rPr>
                            <w:rFonts w:ascii="宋体" w:hAnsi="宋体" w:cs="宋体" w:eastAsia="宋体" w:hint="default"/>
                            <w:sz w:val="16"/>
                            <w:szCs w:val="16"/>
                          </w:rPr>
                        </w:pPr>
                        <w:r>
                          <w:rPr>
                            <w:rFonts w:ascii="宋体"/>
                            <w:spacing w:val="-1"/>
                            <w:sz w:val="16"/>
                          </w:rPr>
                          <w:t>0.83%</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7"/>
                          <w:jc w:val="center"/>
                          <w:rPr>
                            <w:rFonts w:ascii="宋体" w:hAnsi="宋体" w:cs="宋体" w:eastAsia="宋体" w:hint="default"/>
                            <w:sz w:val="16"/>
                            <w:szCs w:val="16"/>
                          </w:rPr>
                        </w:pPr>
                        <w:r>
                          <w:rPr>
                            <w:rFonts w:ascii="宋体"/>
                            <w:sz w:val="16"/>
                          </w:rPr>
                          <w:t>0.83%</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55,375.00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72,379.00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宋体" w:hAnsi="宋体" w:cs="宋体" w:eastAsia="宋体" w:hint="default"/>
                            <w:sz w:val="16"/>
                            <w:szCs w:val="16"/>
                          </w:rPr>
                        </w:pPr>
                        <w:r>
                          <w:rPr>
                            <w:rFonts w:ascii="宋体"/>
                            <w:spacing w:val="-1"/>
                            <w:sz w:val="16"/>
                          </w:rPr>
                          <w:t>72,379.00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3,249.37</w:t>
                        </w:r>
                      </w:p>
                    </w:tc>
                  </w:tr>
                  <w:tr>
                    <w:trPr>
                      <w:trHeight w:val="297" w:hRule="exact"/>
                    </w:trPr>
                    <w:tc>
                      <w:tcPr>
                        <w:tcW w:w="277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北京京投土地项目管理咨询股份公司</w:t>
                        </w:r>
                      </w:p>
                    </w:tc>
                    <w:tc>
                      <w:tcPr>
                        <w:tcW w:w="63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84"/>
                          <w:jc w:val="right"/>
                          <w:rPr>
                            <w:rFonts w:ascii="宋体" w:hAnsi="宋体" w:cs="宋体" w:eastAsia="宋体" w:hint="default"/>
                            <w:sz w:val="16"/>
                            <w:szCs w:val="16"/>
                          </w:rPr>
                        </w:pPr>
                        <w:r>
                          <w:rPr>
                            <w:rFonts w:ascii="宋体"/>
                            <w:spacing w:val="-1"/>
                            <w:sz w:val="16"/>
                          </w:rPr>
                          <w:t>5.00%</w:t>
                        </w:r>
                      </w:p>
                    </w:tc>
                    <w:tc>
                      <w:tcPr>
                        <w:tcW w:w="62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2"/>
                          <w:jc w:val="center"/>
                          <w:rPr>
                            <w:rFonts w:ascii="宋体" w:hAnsi="宋体" w:cs="宋体" w:eastAsia="宋体" w:hint="default"/>
                            <w:sz w:val="16"/>
                            <w:szCs w:val="16"/>
                          </w:rPr>
                        </w:pPr>
                        <w:r>
                          <w:rPr>
                            <w:rFonts w:ascii="宋体"/>
                            <w:sz w:val="16"/>
                          </w:rPr>
                          <w:t>5.00%</w:t>
                        </w:r>
                      </w:p>
                    </w:tc>
                    <w:tc>
                      <w:tcPr>
                        <w:tcW w:w="128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1,000,000.00</w:t>
                        </w: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1"/>
                            <w:sz w:val="16"/>
                          </w:rPr>
                          <w:t>400,000.00</w:t>
                        </w:r>
                      </w:p>
                    </w:tc>
                    <w:tc>
                      <w:tcPr>
                        <w:tcW w:w="130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w w:val="95"/>
                            <w:sz w:val="16"/>
                          </w:rPr>
                          <w:t>0.00</w:t>
                        </w:r>
                        <w:r>
                          <w:rPr>
                            <w:rFonts w:ascii="宋体"/>
                            <w:sz w:val="16"/>
                          </w:rPr>
                        </w:r>
                      </w:p>
                    </w:tc>
                    <w:tc>
                      <w:tcPr>
                        <w:tcW w:w="130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w w:val="95"/>
                            <w:sz w:val="16"/>
                          </w:rPr>
                          <w:t>0.00</w:t>
                        </w:r>
                        <w:r>
                          <w:rPr>
                            <w:rFonts w:ascii="宋体"/>
                            <w:sz w:val="16"/>
                          </w:rPr>
                        </w:r>
                      </w:p>
                    </w:tc>
                    <w:tc>
                      <w:tcPr>
                        <w:tcW w:w="130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1"/>
                            <w:sz w:val="16"/>
                          </w:rPr>
                          <w:t>400,000.00</w:t>
                        </w:r>
                      </w:p>
                    </w:tc>
                    <w:tc>
                      <w:tcPr>
                        <w:tcW w:w="85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bl>
                <w:p>
                  <w:pPr/>
                </w:p>
              </w:txbxContent>
            </v:textbox>
            <w10:wrap type="none"/>
          </v:shape>
        </w:pict>
      </w:r>
      <w:r>
        <w:rPr>
          <w:rFonts w:ascii="宋体" w:hAnsi="宋体" w:cs="宋体" w:eastAsia="宋体" w:hint="default"/>
          <w:b/>
          <w:bCs/>
          <w:w w:val="95"/>
          <w:sz w:val="16"/>
          <w:szCs w:val="16"/>
        </w:rPr>
        <w:t>被投资单位名称</w:t>
        <w:tab/>
      </w:r>
      <w:r>
        <w:rPr>
          <w:rFonts w:ascii="宋体" w:hAnsi="宋体" w:cs="宋体" w:eastAsia="宋体" w:hint="default"/>
          <w:b/>
          <w:bCs/>
          <w:position w:val="-9"/>
          <w:sz w:val="16"/>
          <w:szCs w:val="16"/>
        </w:rPr>
        <w:t>比例</w:t>
      </w:r>
      <w:r>
        <w:rPr>
          <w:rFonts w:ascii="宋体" w:hAnsi="宋体" w:cs="宋体" w:eastAsia="宋体" w:hint="default"/>
          <w:sz w:val="16"/>
          <w:szCs w:val="16"/>
        </w:rPr>
      </w:r>
    </w:p>
    <w:p>
      <w:pPr>
        <w:tabs>
          <w:tab w:pos="771" w:val="left" w:leader="none"/>
        </w:tabs>
        <w:spacing w:line="156" w:lineRule="auto" w:before="137"/>
        <w:ind w:left="771" w:right="305" w:hanging="548"/>
        <w:jc w:val="left"/>
        <w:rPr>
          <w:rFonts w:ascii="宋体" w:hAnsi="宋体" w:cs="宋体" w:eastAsia="宋体" w:hint="default"/>
          <w:sz w:val="16"/>
          <w:szCs w:val="16"/>
        </w:rPr>
      </w:pPr>
      <w:r>
        <w:rPr>
          <w:w w:val="95"/>
        </w:rPr>
        <w:br w:type="column"/>
      </w:r>
      <w:r>
        <w:rPr>
          <w:rFonts w:ascii="宋体" w:hAnsi="宋体" w:cs="宋体" w:eastAsia="宋体" w:hint="default"/>
          <w:b/>
          <w:bCs/>
          <w:w w:val="95"/>
          <w:position w:val="-9"/>
          <w:sz w:val="16"/>
          <w:szCs w:val="16"/>
        </w:rPr>
        <w:t>额</w:t>
        <w:tab/>
      </w:r>
      <w:r>
        <w:rPr>
          <w:rFonts w:ascii="宋体" w:hAnsi="宋体" w:cs="宋体" w:eastAsia="宋体" w:hint="default"/>
          <w:b/>
          <w:bCs/>
          <w:sz w:val="16"/>
          <w:szCs w:val="16"/>
        </w:rPr>
        <w:t>当年分得</w:t>
      </w:r>
      <w:r>
        <w:rPr>
          <w:rFonts w:ascii="宋体" w:hAnsi="宋体" w:cs="宋体" w:eastAsia="宋体" w:hint="default"/>
          <w:b/>
          <w:bCs/>
          <w:spacing w:val="1"/>
          <w:w w:val="99"/>
          <w:sz w:val="16"/>
          <w:szCs w:val="16"/>
        </w:rPr>
        <w:t> </w:t>
      </w:r>
      <w:r>
        <w:rPr>
          <w:rFonts w:ascii="宋体" w:hAnsi="宋体" w:cs="宋体" w:eastAsia="宋体" w:hint="default"/>
          <w:b/>
          <w:bCs/>
          <w:sz w:val="16"/>
          <w:szCs w:val="16"/>
        </w:rPr>
        <w:t>现金红利</w:t>
      </w:r>
      <w:r>
        <w:rPr>
          <w:rFonts w:ascii="宋体" w:hAnsi="宋体" w:cs="宋体" w:eastAsia="宋体" w:hint="default"/>
          <w:sz w:val="16"/>
          <w:szCs w:val="16"/>
        </w:rPr>
      </w:r>
    </w:p>
    <w:p>
      <w:pPr>
        <w:spacing w:after="0" w:line="156" w:lineRule="auto"/>
        <w:jc w:val="left"/>
        <w:rPr>
          <w:rFonts w:ascii="宋体" w:hAnsi="宋体" w:cs="宋体" w:eastAsia="宋体" w:hint="default"/>
          <w:sz w:val="16"/>
          <w:szCs w:val="16"/>
        </w:rPr>
        <w:sectPr>
          <w:type w:val="continuous"/>
          <w:pgSz w:w="11910" w:h="16840"/>
          <w:pgMar w:top="1600" w:bottom="280" w:left="180" w:right="40"/>
          <w:cols w:num="2" w:equalWidth="0">
            <w:col w:w="3401" w:space="6561"/>
            <w:col w:w="1728"/>
          </w:cols>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573.4pt;height:1.5pt;mso-position-horizontal-relative:char;mso-position-vertical-relative:line" coordorigin="0,0" coordsize="11468,30">
            <v:group style="position:absolute;left:15;top:15;width:11438;height:2" coordorigin="15,15" coordsize="11438,2">
              <v:shape style="position:absolute;left:15;top:15;width:11438;height:2" coordorigin="15,15" coordsize="11438,0" path="m15,15l11452,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80" w:right="40"/>
        </w:sectPr>
      </w:pPr>
    </w:p>
    <w:p>
      <w:pPr>
        <w:spacing w:line="127"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表决</w:t>
      </w:r>
      <w:r>
        <w:rPr>
          <w:rFonts w:ascii="宋体" w:hAnsi="宋体" w:cs="宋体" w:eastAsia="宋体" w:hint="default"/>
          <w:sz w:val="16"/>
          <w:szCs w:val="16"/>
        </w:rPr>
      </w:r>
    </w:p>
    <w:p>
      <w:pPr>
        <w:tabs>
          <w:tab w:pos="3079" w:val="left" w:leader="none"/>
          <w:tab w:pos="3741" w:val="left" w:leader="none"/>
        </w:tabs>
        <w:spacing w:line="156" w:lineRule="auto" w:before="45"/>
        <w:ind w:left="3079" w:right="79" w:hanging="2855"/>
        <w:jc w:val="left"/>
        <w:rPr>
          <w:rFonts w:ascii="宋体" w:hAnsi="宋体" w:cs="宋体" w:eastAsia="宋体" w:hint="default"/>
          <w:sz w:val="16"/>
          <w:szCs w:val="16"/>
        </w:rPr>
      </w:pPr>
      <w:r>
        <w:rPr/>
        <w:pict>
          <v:shape style="position:absolute;margin-left:14.82pt;margin-top:14.738491pt;width:571.9pt;height:189.7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6"/>
                    <w:gridCol w:w="639"/>
                    <w:gridCol w:w="581"/>
                    <w:gridCol w:w="1289"/>
                    <w:gridCol w:w="1344"/>
                    <w:gridCol w:w="1345"/>
                    <w:gridCol w:w="1265"/>
                    <w:gridCol w:w="1345"/>
                    <w:gridCol w:w="854"/>
                  </w:tblGrid>
                  <w:tr>
                    <w:trPr>
                      <w:trHeight w:val="183" w:hRule="exact"/>
                    </w:trPr>
                    <w:tc>
                      <w:tcPr>
                        <w:tcW w:w="3415" w:type="dxa"/>
                        <w:gridSpan w:val="2"/>
                        <w:tcBorders>
                          <w:top w:val="nil" w:sz="6" w:space="0" w:color="auto"/>
                          <w:left w:val="nil" w:sz="6" w:space="0" w:color="auto"/>
                          <w:bottom w:val="single" w:sz="4" w:space="0" w:color="000000"/>
                          <w:right w:val="nil" w:sz="6" w:space="0" w:color="auto"/>
                        </w:tcBorders>
                      </w:tcPr>
                      <w:p>
                        <w:pPr/>
                      </w:p>
                    </w:tc>
                    <w:tc>
                      <w:tcPr>
                        <w:tcW w:w="581" w:type="dxa"/>
                        <w:tcBorders>
                          <w:top w:val="nil" w:sz="6" w:space="0" w:color="auto"/>
                          <w:left w:val="nil" w:sz="6" w:space="0" w:color="auto"/>
                          <w:bottom w:val="single" w:sz="4" w:space="0" w:color="000000"/>
                          <w:right w:val="nil" w:sz="6" w:space="0" w:color="auto"/>
                        </w:tcBorders>
                      </w:tcPr>
                      <w:p>
                        <w:pPr>
                          <w:pStyle w:val="TableParagraph"/>
                          <w:spacing w:line="160" w:lineRule="exact"/>
                          <w:ind w:right="0"/>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7441" w:type="dxa"/>
                        <w:gridSpan w:val="6"/>
                        <w:tcBorders>
                          <w:top w:val="nil" w:sz="6" w:space="0" w:color="auto"/>
                          <w:left w:val="nil" w:sz="6" w:space="0" w:color="auto"/>
                          <w:bottom w:val="single" w:sz="4" w:space="0" w:color="000000"/>
                          <w:right w:val="nil" w:sz="6" w:space="0" w:color="auto"/>
                        </w:tcBorders>
                      </w:tcPr>
                      <w:p>
                        <w:pPr/>
                      </w:p>
                    </w:tc>
                  </w:tr>
                  <w:tr>
                    <w:trPr>
                      <w:trHeight w:val="291" w:hRule="exact"/>
                    </w:trPr>
                    <w:tc>
                      <w:tcPr>
                        <w:tcW w:w="277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6"/>
                            <w:szCs w:val="16"/>
                          </w:rPr>
                        </w:pPr>
                        <w:r>
                          <w:rPr>
                            <w:rFonts w:ascii="宋体" w:hAnsi="宋体" w:cs="宋体" w:eastAsia="宋体" w:hint="default"/>
                            <w:sz w:val="16"/>
                            <w:szCs w:val="16"/>
                          </w:rPr>
                          <w:t>北京科技园置业有限公司</w:t>
                        </w:r>
                      </w:p>
                    </w:tc>
                    <w:tc>
                      <w:tcPr>
                        <w:tcW w:w="63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5"/>
                          <w:jc w:val="right"/>
                          <w:rPr>
                            <w:rFonts w:ascii="宋体" w:hAnsi="宋体" w:cs="宋体" w:eastAsia="宋体" w:hint="default"/>
                            <w:sz w:val="16"/>
                            <w:szCs w:val="16"/>
                          </w:rPr>
                        </w:pPr>
                        <w:r>
                          <w:rPr>
                            <w:rFonts w:ascii="宋体"/>
                            <w:spacing w:val="-1"/>
                            <w:sz w:val="16"/>
                          </w:rPr>
                          <w:t>1.00%</w:t>
                        </w:r>
                      </w:p>
                    </w:tc>
                    <w:tc>
                      <w:tcPr>
                        <w:tcW w:w="58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7" w:right="0"/>
                          <w:jc w:val="center"/>
                          <w:rPr>
                            <w:rFonts w:ascii="宋体" w:hAnsi="宋体" w:cs="宋体" w:eastAsia="宋体" w:hint="default"/>
                            <w:sz w:val="16"/>
                            <w:szCs w:val="16"/>
                          </w:rPr>
                        </w:pPr>
                        <w:r>
                          <w:rPr>
                            <w:rFonts w:ascii="宋体"/>
                            <w:sz w:val="16"/>
                          </w:rPr>
                          <w:t>1.00%</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4"/>
                          <w:jc w:val="right"/>
                          <w:rPr>
                            <w:rFonts w:ascii="宋体" w:hAnsi="宋体" w:cs="宋体" w:eastAsia="宋体" w:hint="default"/>
                            <w:sz w:val="16"/>
                            <w:szCs w:val="16"/>
                          </w:rPr>
                        </w:pPr>
                        <w:r>
                          <w:rPr>
                            <w:rFonts w:ascii="宋体"/>
                            <w:spacing w:val="-1"/>
                            <w:sz w:val="16"/>
                          </w:rPr>
                          <w:t>1,000,000.00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4"/>
                          <w:jc w:val="right"/>
                          <w:rPr>
                            <w:rFonts w:ascii="宋体" w:hAnsi="宋体" w:cs="宋体" w:eastAsia="宋体" w:hint="default"/>
                            <w:sz w:val="16"/>
                            <w:szCs w:val="16"/>
                          </w:rPr>
                        </w:pPr>
                        <w:r>
                          <w:rPr>
                            <w:rFonts w:ascii="宋体"/>
                            <w:spacing w:val="-1"/>
                            <w:sz w:val="16"/>
                          </w:rPr>
                          <w:t>1,000,000.00</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6"/>
                            <w:szCs w:val="16"/>
                          </w:rPr>
                        </w:pPr>
                        <w:r>
                          <w:rPr>
                            <w:rFonts w:ascii="宋体"/>
                            <w:spacing w:val="-1"/>
                            <w:sz w:val="16"/>
                          </w:rPr>
                          <w:t>1,000,000.00</w:t>
                        </w:r>
                      </w:p>
                    </w:tc>
                    <w:tc>
                      <w:tcPr>
                        <w:tcW w:w="85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北京四一安信科技有限公司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5"/>
                          <w:jc w:val="right"/>
                          <w:rPr>
                            <w:rFonts w:ascii="宋体" w:hAnsi="宋体" w:cs="宋体" w:eastAsia="宋体" w:hint="default"/>
                            <w:sz w:val="16"/>
                            <w:szCs w:val="16"/>
                          </w:rPr>
                        </w:pPr>
                        <w:r>
                          <w:rPr>
                            <w:rFonts w:ascii="宋体"/>
                            <w:spacing w:val="-1"/>
                            <w:sz w:val="16"/>
                          </w:rPr>
                          <w:t>4.00%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4.00%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500,000.00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149,988.92</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149,988.92</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太极华方（北京）系统工程有限公司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10.00%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center"/>
                          <w:rPr>
                            <w:rFonts w:ascii="宋体" w:hAnsi="宋体" w:cs="宋体" w:eastAsia="宋体" w:hint="default"/>
                            <w:sz w:val="16"/>
                            <w:szCs w:val="16"/>
                          </w:rPr>
                        </w:pPr>
                        <w:r>
                          <w:rPr>
                            <w:rFonts w:ascii="宋体"/>
                            <w:sz w:val="16"/>
                          </w:rPr>
                          <w:t>10.00%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1,000,000.00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1,000,000.00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北京中铁亿品旅客信息服务有限公司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10.00%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center"/>
                          <w:rPr>
                            <w:rFonts w:ascii="宋体" w:hAnsi="宋体" w:cs="宋体" w:eastAsia="宋体" w:hint="default"/>
                            <w:sz w:val="16"/>
                            <w:szCs w:val="16"/>
                          </w:rPr>
                        </w:pPr>
                        <w:r>
                          <w:rPr>
                            <w:rFonts w:ascii="宋体"/>
                            <w:sz w:val="16"/>
                          </w:rPr>
                          <w:t>10.00%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3,000,000.00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3,000,000.00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华清农业开发有限公司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5"/>
                          <w:jc w:val="right"/>
                          <w:rPr>
                            <w:rFonts w:ascii="宋体" w:hAnsi="宋体" w:cs="宋体" w:eastAsia="宋体" w:hint="default"/>
                            <w:sz w:val="16"/>
                            <w:szCs w:val="16"/>
                          </w:rPr>
                        </w:pPr>
                        <w:r>
                          <w:rPr>
                            <w:rFonts w:ascii="宋体"/>
                            <w:spacing w:val="-1"/>
                            <w:sz w:val="16"/>
                          </w:rPr>
                          <w:t>5.00%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5.00%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10,000,000.00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10,000,000.00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10,000,000.00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91"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苏州卓凯生物技术有限公司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18.89%</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center"/>
                          <w:rPr>
                            <w:rFonts w:ascii="宋体" w:hAnsi="宋体" w:cs="宋体" w:eastAsia="宋体" w:hint="default"/>
                            <w:sz w:val="16"/>
                            <w:szCs w:val="16"/>
                          </w:rPr>
                        </w:pPr>
                        <w:r>
                          <w:rPr>
                            <w:rFonts w:ascii="宋体"/>
                            <w:sz w:val="16"/>
                          </w:rPr>
                          <w:t>18.89%</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878,385.00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878,385.00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878,385.00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98"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6"/>
                            <w:szCs w:val="16"/>
                          </w:rPr>
                        </w:pPr>
                        <w:r>
                          <w:rPr>
                            <w:rFonts w:ascii="宋体" w:hAnsi="宋体" w:cs="宋体" w:eastAsia="宋体" w:hint="default"/>
                            <w:sz w:val="16"/>
                            <w:szCs w:val="16"/>
                          </w:rPr>
                          <w:t>江西万德福磁带有限公司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8"/>
                          <w:jc w:val="right"/>
                          <w:rPr>
                            <w:rFonts w:ascii="宋体" w:hAnsi="宋体" w:cs="宋体" w:eastAsia="宋体" w:hint="default"/>
                            <w:sz w:val="16"/>
                            <w:szCs w:val="16"/>
                          </w:rPr>
                        </w:pPr>
                        <w:r>
                          <w:rPr>
                            <w:rFonts w:ascii="宋体"/>
                            <w:spacing w:val="-1"/>
                            <w:sz w:val="16"/>
                          </w:rPr>
                          <w:t>35.00%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center"/>
                          <w:rPr>
                            <w:rFonts w:ascii="宋体" w:hAnsi="宋体" w:cs="宋体" w:eastAsia="宋体" w:hint="default"/>
                            <w:sz w:val="16"/>
                            <w:szCs w:val="16"/>
                          </w:rPr>
                        </w:pPr>
                        <w:r>
                          <w:rPr>
                            <w:rFonts w:ascii="宋体"/>
                            <w:sz w:val="16"/>
                          </w:rPr>
                          <w:t>35.00%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16"/>
                            <w:szCs w:val="16"/>
                          </w:rPr>
                        </w:pPr>
                        <w:r>
                          <w:rPr>
                            <w:rFonts w:ascii="宋体"/>
                            <w:spacing w:val="-1"/>
                            <w:sz w:val="16"/>
                          </w:rPr>
                          <w:t>2,741,550.00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6"/>
                            <w:szCs w:val="16"/>
                          </w:rPr>
                        </w:pPr>
                        <w:r>
                          <w:rPr>
                            <w:rFonts w:ascii="宋体"/>
                            <w:spacing w:val="-1"/>
                            <w:sz w:val="16"/>
                          </w:rPr>
                          <w:t>2,741,550.00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6"/>
                            <w:szCs w:val="16"/>
                          </w:rPr>
                        </w:pPr>
                        <w:r>
                          <w:rPr>
                            <w:rFonts w:ascii="宋体"/>
                            <w:spacing w:val="-1"/>
                            <w:sz w:val="16"/>
                          </w:rPr>
                          <w:t>2,741,550.00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91"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6"/>
                            <w:szCs w:val="16"/>
                          </w:rPr>
                        </w:pPr>
                        <w:r>
                          <w:rPr>
                            <w:rFonts w:ascii="宋体" w:hAnsi="宋体" w:cs="宋体" w:eastAsia="宋体" w:hint="default"/>
                            <w:sz w:val="16"/>
                            <w:szCs w:val="16"/>
                          </w:rPr>
                          <w:t>太原五一百货大楼</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6"/>
                            <w:szCs w:val="16"/>
                          </w:rPr>
                        </w:pPr>
                        <w:r>
                          <w:rPr>
                            <w:rFonts w:ascii="宋体"/>
                            <w:spacing w:val="-1"/>
                            <w:sz w:val="16"/>
                          </w:rPr>
                          <w:t>0.15%</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 w:right="0"/>
                          <w:jc w:val="center"/>
                          <w:rPr>
                            <w:rFonts w:ascii="宋体" w:hAnsi="宋体" w:cs="宋体" w:eastAsia="宋体" w:hint="default"/>
                            <w:sz w:val="16"/>
                            <w:szCs w:val="16"/>
                          </w:rPr>
                        </w:pPr>
                        <w:r>
                          <w:rPr>
                            <w:rFonts w:ascii="宋体"/>
                            <w:sz w:val="16"/>
                          </w:rPr>
                          <w:t>0.15%</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6"/>
                            <w:szCs w:val="16"/>
                          </w:rPr>
                        </w:pPr>
                        <w:r>
                          <w:rPr>
                            <w:rFonts w:ascii="宋体"/>
                            <w:spacing w:val="-1"/>
                            <w:sz w:val="16"/>
                          </w:rPr>
                          <w:t>30,000.00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6"/>
                            <w:szCs w:val="16"/>
                          </w:rPr>
                        </w:pPr>
                        <w:r>
                          <w:rPr>
                            <w:rFonts w:ascii="宋体"/>
                            <w:spacing w:val="-1"/>
                            <w:sz w:val="16"/>
                          </w:rPr>
                          <w:t>30,000.00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6"/>
                            <w:szCs w:val="16"/>
                          </w:rPr>
                        </w:pPr>
                        <w:r>
                          <w:rPr>
                            <w:rFonts w:ascii="宋体"/>
                            <w:spacing w:val="-1"/>
                            <w:sz w:val="16"/>
                          </w:rPr>
                          <w:t>30,000.00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21"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扬州华建同方水务有限公司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6"/>
                            <w:szCs w:val="16"/>
                          </w:rPr>
                        </w:pPr>
                        <w:r>
                          <w:rPr>
                            <w:rFonts w:ascii="宋体"/>
                            <w:spacing w:val="-1"/>
                            <w:sz w:val="16"/>
                          </w:rPr>
                          <w:t>10.00%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center"/>
                          <w:rPr>
                            <w:rFonts w:ascii="宋体" w:hAnsi="宋体" w:cs="宋体" w:eastAsia="宋体" w:hint="default"/>
                            <w:sz w:val="16"/>
                            <w:szCs w:val="16"/>
                          </w:rPr>
                        </w:pPr>
                        <w:r>
                          <w:rPr>
                            <w:rFonts w:ascii="宋体"/>
                            <w:sz w:val="16"/>
                          </w:rPr>
                          <w:t>10.00%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700,000.00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700,000.00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700,000.00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484"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00" w:lineRule="exact" w:before="60"/>
                          <w:ind w:left="108" w:right="1067"/>
                          <w:jc w:val="left"/>
                          <w:rPr>
                            <w:rFonts w:ascii="宋体" w:hAnsi="宋体" w:cs="宋体" w:eastAsia="宋体" w:hint="default"/>
                            <w:sz w:val="16"/>
                            <w:szCs w:val="16"/>
                          </w:rPr>
                        </w:pPr>
                        <w:r>
                          <w:rPr>
                            <w:rFonts w:ascii="宋体" w:hAnsi="宋体" w:cs="宋体" w:eastAsia="宋体" w:hint="default"/>
                            <w:w w:val="95"/>
                            <w:sz w:val="16"/>
                            <w:szCs w:val="16"/>
                          </w:rPr>
                          <w:t>北京数字电视国家工程</w:t>
                        </w:r>
                        <w:r>
                          <w:rPr>
                            <w:rFonts w:ascii="宋体" w:hAnsi="宋体" w:cs="宋体" w:eastAsia="宋体" w:hint="default"/>
                            <w:spacing w:val="1"/>
                            <w:w w:val="95"/>
                            <w:sz w:val="16"/>
                            <w:szCs w:val="16"/>
                          </w:rPr>
                          <w:t> </w:t>
                        </w:r>
                        <w:r>
                          <w:rPr>
                            <w:rFonts w:ascii="宋体" w:hAnsi="宋体" w:cs="宋体" w:eastAsia="宋体" w:hint="default"/>
                            <w:spacing w:val="1"/>
                            <w:w w:val="95"/>
                            <w:sz w:val="16"/>
                            <w:szCs w:val="16"/>
                          </w:rPr>
                        </w:r>
                        <w:r>
                          <w:rPr>
                            <w:rFonts w:ascii="宋体" w:hAnsi="宋体" w:cs="宋体" w:eastAsia="宋体" w:hint="default"/>
                            <w:sz w:val="16"/>
                            <w:szCs w:val="16"/>
                          </w:rPr>
                          <w:t>实验室有限公司</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8"/>
                          <w:jc w:val="right"/>
                          <w:rPr>
                            <w:rFonts w:ascii="宋体" w:hAnsi="宋体" w:cs="宋体" w:eastAsia="宋体" w:hint="default"/>
                            <w:sz w:val="16"/>
                            <w:szCs w:val="16"/>
                          </w:rPr>
                        </w:pPr>
                        <w:r>
                          <w:rPr>
                            <w:rFonts w:ascii="宋体"/>
                            <w:spacing w:val="-1"/>
                            <w:sz w:val="16"/>
                          </w:rPr>
                          <w:t>12.50%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 w:right="0"/>
                          <w:jc w:val="center"/>
                          <w:rPr>
                            <w:rFonts w:ascii="宋体" w:hAnsi="宋体" w:cs="宋体" w:eastAsia="宋体" w:hint="default"/>
                            <w:sz w:val="16"/>
                            <w:szCs w:val="16"/>
                          </w:rPr>
                        </w:pPr>
                        <w:r>
                          <w:rPr>
                            <w:rFonts w:ascii="宋体"/>
                            <w:sz w:val="16"/>
                          </w:rPr>
                          <w:t>12.50%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宋体" w:hAnsi="宋体" w:cs="宋体" w:eastAsia="宋体" w:hint="default"/>
                            <w:sz w:val="16"/>
                            <w:szCs w:val="16"/>
                          </w:rPr>
                        </w:pPr>
                        <w:r>
                          <w:rPr>
                            <w:rFonts w:ascii="宋体"/>
                            <w:spacing w:val="-1"/>
                            <w:sz w:val="16"/>
                          </w:rPr>
                          <w:t>6,250,000.00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宋体" w:hAnsi="宋体" w:cs="宋体" w:eastAsia="宋体" w:hint="default"/>
                            <w:sz w:val="16"/>
                            <w:szCs w:val="16"/>
                          </w:rPr>
                        </w:pPr>
                        <w:r>
                          <w:rPr>
                            <w:rFonts w:ascii="宋体"/>
                            <w:spacing w:val="-1"/>
                            <w:sz w:val="16"/>
                          </w:rPr>
                          <w:t>6,250,000.00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宋体" w:hAnsi="宋体" w:cs="宋体" w:eastAsia="宋体" w:hint="default"/>
                            <w:sz w:val="16"/>
                            <w:szCs w:val="16"/>
                          </w:rPr>
                        </w:pPr>
                        <w:r>
                          <w:rPr>
                            <w:rFonts w:ascii="宋体"/>
                            <w:spacing w:val="-1"/>
                            <w:sz w:val="16"/>
                          </w:rPr>
                          <w:t>6,250,000.00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66" w:hRule="exact"/>
                    </w:trPr>
                    <w:tc>
                      <w:tcPr>
                        <w:tcW w:w="2776" w:type="dxa"/>
                        <w:tcBorders>
                          <w:top w:val="nil" w:sz="6" w:space="0" w:color="auto"/>
                          <w:left w:val="nil" w:sz="6" w:space="0" w:color="auto"/>
                          <w:bottom w:val="single" w:sz="4" w:space="0" w:color="000000"/>
                          <w:right w:val="nil" w:sz="6" w:space="0" w:color="auto"/>
                        </w:tcBorders>
                      </w:tcPr>
                      <w:p>
                        <w:pPr>
                          <w:pStyle w:val="TableParagraph"/>
                          <w:spacing w:line="200" w:lineRule="exact"/>
                          <w:ind w:left="108" w:right="0"/>
                          <w:jc w:val="left"/>
                          <w:rPr>
                            <w:rFonts w:ascii="宋体" w:hAnsi="宋体" w:cs="宋体" w:eastAsia="宋体" w:hint="default"/>
                            <w:sz w:val="16"/>
                            <w:szCs w:val="16"/>
                          </w:rPr>
                        </w:pPr>
                        <w:r>
                          <w:rPr>
                            <w:rFonts w:ascii="宋体"/>
                            <w:sz w:val="16"/>
                          </w:rPr>
                          <w:t>e2 Solution</w:t>
                        </w:r>
                        <w:r>
                          <w:rPr>
                            <w:rFonts w:ascii="宋体"/>
                            <w:spacing w:val="-6"/>
                            <w:sz w:val="16"/>
                          </w:rPr>
                          <w:t> </w:t>
                        </w:r>
                        <w:r>
                          <w:rPr>
                            <w:rFonts w:ascii="宋体"/>
                            <w:sz w:val="16"/>
                          </w:rPr>
                          <w:t>Inc.</w:t>
                        </w:r>
                      </w:p>
                    </w:tc>
                    <w:tc>
                      <w:tcPr>
                        <w:tcW w:w="639" w:type="dxa"/>
                        <w:tcBorders>
                          <w:top w:val="nil" w:sz="6" w:space="0" w:color="auto"/>
                          <w:left w:val="nil" w:sz="6" w:space="0" w:color="auto"/>
                          <w:bottom w:val="single" w:sz="4" w:space="0" w:color="000000"/>
                          <w:right w:val="nil" w:sz="6" w:space="0" w:color="auto"/>
                        </w:tcBorders>
                      </w:tcPr>
                      <w:p>
                        <w:pPr>
                          <w:pStyle w:val="TableParagraph"/>
                          <w:spacing w:line="200" w:lineRule="exact"/>
                          <w:ind w:right="48"/>
                          <w:jc w:val="right"/>
                          <w:rPr>
                            <w:rFonts w:ascii="宋体" w:hAnsi="宋体" w:cs="宋体" w:eastAsia="宋体" w:hint="default"/>
                            <w:sz w:val="16"/>
                            <w:szCs w:val="16"/>
                          </w:rPr>
                        </w:pPr>
                        <w:r>
                          <w:rPr>
                            <w:rFonts w:ascii="宋体"/>
                            <w:spacing w:val="-1"/>
                            <w:sz w:val="16"/>
                          </w:rPr>
                          <w:t>24.23%</w:t>
                        </w:r>
                      </w:p>
                    </w:tc>
                    <w:tc>
                      <w:tcPr>
                        <w:tcW w:w="581" w:type="dxa"/>
                        <w:tcBorders>
                          <w:top w:val="nil" w:sz="6" w:space="0" w:color="auto"/>
                          <w:left w:val="nil" w:sz="6" w:space="0" w:color="auto"/>
                          <w:bottom w:val="single" w:sz="4" w:space="0" w:color="000000"/>
                          <w:right w:val="nil" w:sz="6" w:space="0" w:color="auto"/>
                        </w:tcBorders>
                      </w:tcPr>
                      <w:p>
                        <w:pPr>
                          <w:pStyle w:val="TableParagraph"/>
                          <w:spacing w:line="200" w:lineRule="exact"/>
                          <w:ind w:left="1" w:right="0"/>
                          <w:jc w:val="center"/>
                          <w:rPr>
                            <w:rFonts w:ascii="宋体" w:hAnsi="宋体" w:cs="宋体" w:eastAsia="宋体" w:hint="default"/>
                            <w:sz w:val="16"/>
                            <w:szCs w:val="16"/>
                          </w:rPr>
                        </w:pPr>
                        <w:r>
                          <w:rPr>
                            <w:rFonts w:ascii="宋体"/>
                            <w:sz w:val="16"/>
                          </w:rPr>
                          <w:t>24.23%</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00" w:lineRule="exact"/>
                          <w:ind w:right="107"/>
                          <w:jc w:val="right"/>
                          <w:rPr>
                            <w:rFonts w:ascii="宋体" w:hAnsi="宋体" w:cs="宋体" w:eastAsia="宋体" w:hint="default"/>
                            <w:sz w:val="16"/>
                            <w:szCs w:val="16"/>
                          </w:rPr>
                        </w:pPr>
                        <w:r>
                          <w:rPr>
                            <w:rFonts w:ascii="宋体"/>
                            <w:spacing w:val="-1"/>
                            <w:sz w:val="16"/>
                          </w:rPr>
                          <w:t>1,905,067.80</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00" w:lineRule="exact"/>
                          <w:ind w:right="106"/>
                          <w:jc w:val="right"/>
                          <w:rPr>
                            <w:rFonts w:ascii="宋体" w:hAnsi="宋体" w:cs="宋体" w:eastAsia="宋体" w:hint="default"/>
                            <w:sz w:val="16"/>
                            <w:szCs w:val="16"/>
                          </w:rPr>
                        </w:pPr>
                        <w:r>
                          <w:rPr>
                            <w:rFonts w:ascii="宋体"/>
                            <w:spacing w:val="-1"/>
                            <w:sz w:val="16"/>
                          </w:rPr>
                          <w:t>1,905,067.80</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00" w:lineRule="exact"/>
                          <w:ind w:right="107"/>
                          <w:jc w:val="right"/>
                          <w:rPr>
                            <w:rFonts w:ascii="宋体" w:hAnsi="宋体" w:cs="宋体" w:eastAsia="宋体" w:hint="default"/>
                            <w:sz w:val="16"/>
                            <w:szCs w:val="16"/>
                          </w:rPr>
                        </w:pPr>
                        <w:r>
                          <w:rPr>
                            <w:rFonts w:ascii="宋体"/>
                            <w:spacing w:val="-1"/>
                            <w:sz w:val="16"/>
                          </w:rPr>
                          <w:t>1,249,106.26</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00"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200" w:lineRule="exact"/>
                          <w:ind w:right="106"/>
                          <w:jc w:val="right"/>
                          <w:rPr>
                            <w:rFonts w:ascii="宋体" w:hAnsi="宋体" w:cs="宋体" w:eastAsia="宋体" w:hint="default"/>
                            <w:sz w:val="16"/>
                            <w:szCs w:val="16"/>
                          </w:rPr>
                        </w:pPr>
                        <w:r>
                          <w:rPr>
                            <w:rFonts w:ascii="宋体"/>
                            <w:spacing w:val="-1"/>
                            <w:sz w:val="16"/>
                          </w:rPr>
                          <w:t>3,154,174.06</w:t>
                        </w:r>
                      </w:p>
                    </w:tc>
                    <w:tc>
                      <w:tcPr>
                        <w:tcW w:w="854" w:type="dxa"/>
                        <w:tcBorders>
                          <w:top w:val="nil" w:sz="6" w:space="0" w:color="auto"/>
                          <w:left w:val="nil" w:sz="6" w:space="0" w:color="auto"/>
                          <w:bottom w:val="single" w:sz="4" w:space="0" w:color="000000"/>
                          <w:right w:val="nil" w:sz="6" w:space="0" w:color="auto"/>
                        </w:tcBorders>
                      </w:tcPr>
                      <w:p>
                        <w:pPr>
                          <w:pStyle w:val="TableParagraph"/>
                          <w:spacing w:line="200" w:lineRule="exact"/>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304" w:hRule="exact"/>
                    </w:trPr>
                    <w:tc>
                      <w:tcPr>
                        <w:tcW w:w="27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10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639" w:type="dxa"/>
                        <w:tcBorders>
                          <w:top w:val="single" w:sz="4" w:space="0" w:color="000000"/>
                          <w:left w:val="nil" w:sz="6" w:space="0" w:color="auto"/>
                          <w:bottom w:val="single" w:sz="12" w:space="0" w:color="000000"/>
                          <w:right w:val="nil" w:sz="6" w:space="0" w:color="auto"/>
                        </w:tcBorders>
                      </w:tcPr>
                      <w:p>
                        <w:pPr/>
                      </w:p>
                    </w:tc>
                    <w:tc>
                      <w:tcPr>
                        <w:tcW w:w="581" w:type="dxa"/>
                        <w:tcBorders>
                          <w:top w:val="single" w:sz="4" w:space="0" w:color="000000"/>
                          <w:left w:val="nil" w:sz="6" w:space="0" w:color="auto"/>
                          <w:bottom w:val="single" w:sz="12" w:space="0" w:color="000000"/>
                          <w:right w:val="nil" w:sz="6" w:space="0" w:color="auto"/>
                        </w:tcBorders>
                      </w:tcPr>
                      <w:p>
                        <w:pP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8"/>
                          <w:jc w:val="right"/>
                          <w:rPr>
                            <w:rFonts w:ascii="宋体" w:hAnsi="宋体" w:cs="宋体" w:eastAsia="宋体" w:hint="default"/>
                            <w:sz w:val="16"/>
                            <w:szCs w:val="16"/>
                          </w:rPr>
                        </w:pPr>
                        <w:r>
                          <w:rPr>
                            <w:rFonts w:ascii="宋体"/>
                            <w:b/>
                            <w:w w:val="95"/>
                            <w:sz w:val="16"/>
                          </w:rPr>
                          <w:t>360,874,536.00</w:t>
                        </w:r>
                        <w:r>
                          <w:rPr>
                            <w:rFonts w:ascii="宋体"/>
                            <w:sz w:val="16"/>
                          </w:rPr>
                        </w: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6"/>
                            <w:szCs w:val="16"/>
                          </w:rPr>
                        </w:pPr>
                        <w:r>
                          <w:rPr>
                            <w:rFonts w:ascii="宋体"/>
                            <w:b/>
                            <w:w w:val="95"/>
                            <w:sz w:val="16"/>
                          </w:rPr>
                          <w:t>175,641,146.99</w:t>
                        </w:r>
                        <w:r>
                          <w:rPr>
                            <w:rFonts w:ascii="宋体"/>
                            <w:sz w:val="16"/>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6"/>
                            <w:szCs w:val="16"/>
                          </w:rPr>
                        </w:pPr>
                        <w:r>
                          <w:rPr>
                            <w:rFonts w:ascii="宋体"/>
                            <w:b/>
                            <w:w w:val="95"/>
                            <w:sz w:val="16"/>
                          </w:rPr>
                          <w:t>186,336,090.57</w:t>
                        </w:r>
                        <w:r>
                          <w:rPr>
                            <w:rFonts w:ascii="宋体"/>
                            <w:sz w:val="16"/>
                          </w:rPr>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6"/>
                            <w:szCs w:val="16"/>
                          </w:rPr>
                        </w:pPr>
                        <w:r>
                          <w:rPr>
                            <w:rFonts w:ascii="宋体"/>
                            <w:b/>
                            <w:w w:val="95"/>
                            <w:sz w:val="16"/>
                          </w:rPr>
                          <w:t>46,427,001.47</w:t>
                        </w:r>
                        <w:r>
                          <w:rPr>
                            <w:rFonts w:ascii="宋体"/>
                            <w:sz w:val="16"/>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6"/>
                          <w:jc w:val="right"/>
                          <w:rPr>
                            <w:rFonts w:ascii="宋体" w:hAnsi="宋体" w:cs="宋体" w:eastAsia="宋体" w:hint="default"/>
                            <w:sz w:val="16"/>
                            <w:szCs w:val="16"/>
                          </w:rPr>
                        </w:pPr>
                        <w:r>
                          <w:rPr>
                            <w:rFonts w:ascii="宋体"/>
                            <w:b/>
                            <w:w w:val="95"/>
                            <w:sz w:val="16"/>
                          </w:rPr>
                          <w:t>315,550,236.09</w:t>
                        </w:r>
                        <w:r>
                          <w:rPr>
                            <w:rFonts w:ascii="宋体"/>
                            <w:sz w:val="16"/>
                          </w:rPr>
                        </w:r>
                      </w:p>
                    </w:tc>
                    <w:tc>
                      <w:tcPr>
                        <w:tcW w:w="854"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0"/>
                          <w:jc w:val="right"/>
                          <w:rPr>
                            <w:rFonts w:ascii="宋体" w:hAnsi="宋体" w:cs="宋体" w:eastAsia="宋体" w:hint="default"/>
                            <w:sz w:val="16"/>
                            <w:szCs w:val="16"/>
                          </w:rPr>
                        </w:pPr>
                        <w:r>
                          <w:rPr>
                            <w:rFonts w:ascii="宋体"/>
                            <w:b/>
                            <w:w w:val="95"/>
                            <w:sz w:val="16"/>
                          </w:rPr>
                          <w:t>3,249.37</w:t>
                        </w:r>
                        <w:r>
                          <w:rPr>
                            <w:rFonts w:ascii="宋体"/>
                            <w:sz w:val="16"/>
                          </w:rPr>
                        </w:r>
                      </w:p>
                    </w:tc>
                  </w:tr>
                </w:tbl>
                <w:p>
                  <w:pPr/>
                </w:p>
              </w:txbxContent>
            </v:textbox>
            <w10:wrap type="none"/>
          </v:shape>
        </w:pict>
      </w:r>
      <w:r>
        <w:rPr>
          <w:rFonts w:ascii="宋体" w:hAnsi="宋体" w:cs="宋体" w:eastAsia="宋体" w:hint="default"/>
          <w:b/>
          <w:bCs/>
          <w:w w:val="95"/>
          <w:sz w:val="16"/>
          <w:szCs w:val="16"/>
        </w:rPr>
        <w:t>被投资单位名称</w:t>
        <w:tab/>
      </w:r>
      <w:r>
        <w:rPr>
          <w:rFonts w:ascii="宋体" w:hAnsi="宋体" w:cs="宋体" w:eastAsia="宋体" w:hint="default"/>
          <w:b/>
          <w:bCs/>
          <w:w w:val="95"/>
          <w:position w:val="10"/>
          <w:sz w:val="16"/>
          <w:szCs w:val="16"/>
        </w:rPr>
        <w:t>持股</w:t>
        <w:tab/>
      </w:r>
      <w:r>
        <w:rPr>
          <w:rFonts w:ascii="宋体" w:hAnsi="宋体" w:cs="宋体" w:eastAsia="宋体" w:hint="default"/>
          <w:b/>
          <w:bCs/>
          <w:sz w:val="16"/>
          <w:szCs w:val="16"/>
        </w:rPr>
        <w:t>权</w:t>
      </w:r>
      <w:r>
        <w:rPr>
          <w:rFonts w:ascii="宋体" w:hAnsi="宋体" w:cs="宋体" w:eastAsia="宋体" w:hint="default"/>
          <w:b/>
          <w:bCs/>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p>
      <w:pPr>
        <w:tabs>
          <w:tab w:pos="1345" w:val="left" w:leader="none"/>
          <w:tab w:pos="2689" w:val="left" w:leader="none"/>
          <w:tab w:pos="3994" w:val="left" w:leader="none"/>
          <w:tab w:pos="5298" w:val="left" w:leader="none"/>
          <w:tab w:pos="6328" w:val="left" w:leader="none"/>
        </w:tabs>
        <w:spacing w:line="254" w:lineRule="exact" w:before="72"/>
        <w:ind w:left="0" w:right="305" w:firstLine="0"/>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投资成本</w:t>
        <w:tab/>
        <w:t>年初金额</w:t>
        <w:tab/>
        <w:t>本年增加</w:t>
        <w:tab/>
        <w:t>本年减少</w:t>
        <w:tab/>
        <w:t>年末金额</w:t>
        <w:tab/>
      </w:r>
      <w:r>
        <w:rPr>
          <w:rFonts w:ascii="宋体" w:hAnsi="宋体" w:cs="宋体" w:eastAsia="宋体" w:hint="default"/>
          <w:b/>
          <w:bCs/>
          <w:w w:val="95"/>
          <w:position w:val="10"/>
          <w:sz w:val="16"/>
          <w:szCs w:val="16"/>
        </w:rPr>
        <w:t>当年分得</w:t>
      </w:r>
      <w:r>
        <w:rPr>
          <w:rFonts w:ascii="宋体" w:hAnsi="宋体" w:cs="宋体" w:eastAsia="宋体" w:hint="default"/>
          <w:sz w:val="16"/>
          <w:szCs w:val="16"/>
        </w:rPr>
      </w:r>
    </w:p>
    <w:p>
      <w:pPr>
        <w:spacing w:line="154" w:lineRule="exact" w:before="0"/>
        <w:ind w:left="0" w:right="305" w:firstLine="0"/>
        <w:jc w:val="right"/>
        <w:rPr>
          <w:rFonts w:ascii="宋体" w:hAnsi="宋体" w:cs="宋体" w:eastAsia="宋体" w:hint="default"/>
          <w:sz w:val="16"/>
          <w:szCs w:val="16"/>
        </w:rPr>
      </w:pPr>
      <w:r>
        <w:rPr>
          <w:rFonts w:ascii="宋体" w:hAnsi="宋体" w:cs="宋体" w:eastAsia="宋体" w:hint="default"/>
          <w:b/>
          <w:bCs/>
          <w:w w:val="95"/>
          <w:sz w:val="16"/>
          <w:szCs w:val="16"/>
        </w:rPr>
        <w:t>现金红利</w:t>
      </w:r>
      <w:r>
        <w:rPr>
          <w:rFonts w:ascii="宋体" w:hAnsi="宋体" w:cs="宋体" w:eastAsia="宋体" w:hint="default"/>
          <w:sz w:val="16"/>
          <w:szCs w:val="16"/>
        </w:rPr>
      </w:r>
    </w:p>
    <w:p>
      <w:pPr>
        <w:spacing w:after="0" w:line="154" w:lineRule="exact"/>
        <w:jc w:val="right"/>
        <w:rPr>
          <w:rFonts w:ascii="宋体" w:hAnsi="宋体" w:cs="宋体" w:eastAsia="宋体" w:hint="default"/>
          <w:sz w:val="16"/>
          <w:szCs w:val="16"/>
        </w:rPr>
        <w:sectPr>
          <w:type w:val="continuous"/>
          <w:pgSz w:w="11910" w:h="16840"/>
          <w:pgMar w:top="1600" w:bottom="280" w:left="180" w:right="40"/>
          <w:cols w:num="2" w:equalWidth="0">
            <w:col w:w="3983" w:space="198"/>
            <w:col w:w="750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spacing w:before="31"/>
        <w:ind w:left="169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按权益法核算的长期股权投资</w:t>
      </w:r>
    </w:p>
    <w:p>
      <w:pPr>
        <w:spacing w:line="240" w:lineRule="auto" w:before="6"/>
        <w:rPr>
          <w:rFonts w:ascii="宋体" w:hAnsi="宋体" w:cs="宋体" w:eastAsia="宋体" w:hint="default"/>
          <w:sz w:val="12"/>
          <w:szCs w:val="12"/>
        </w:rPr>
      </w:pPr>
    </w:p>
    <w:p>
      <w:pPr>
        <w:spacing w:line="30" w:lineRule="exact"/>
        <w:ind w:left="172" w:right="0" w:firstLine="0"/>
        <w:rPr>
          <w:rFonts w:ascii="宋体" w:hAnsi="宋体" w:cs="宋体" w:eastAsia="宋体" w:hint="default"/>
          <w:sz w:val="3"/>
          <w:szCs w:val="3"/>
        </w:rPr>
      </w:pPr>
      <w:r>
        <w:rPr>
          <w:rFonts w:ascii="宋体" w:hAnsi="宋体" w:cs="宋体" w:eastAsia="宋体" w:hint="default"/>
          <w:position w:val="0"/>
          <w:sz w:val="3"/>
          <w:szCs w:val="3"/>
        </w:rPr>
        <w:pict>
          <v:group style="width:566.3pt;height:1.5pt;mso-position-horizontal-relative:char;mso-position-vertical-relative:line" coordorigin="0,0" coordsize="11326,30">
            <v:group style="position:absolute;left:15;top:15;width:11296;height:2" coordorigin="15,15" coordsize="11296,2">
              <v:shape style="position:absolute;left:15;top:15;width:11296;height:2" coordorigin="15,15" coordsize="11296,0" path="m15,15l1131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80" w:right="40"/>
        </w:sectPr>
      </w:pPr>
    </w:p>
    <w:p>
      <w:pPr>
        <w:tabs>
          <w:tab w:pos="3814" w:val="left" w:leader="none"/>
        </w:tabs>
        <w:spacing w:line="227"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被投资单位名称</w:t>
        <w:tab/>
      </w:r>
      <w:r>
        <w:rPr>
          <w:rFonts w:ascii="宋体" w:hAnsi="宋体" w:cs="宋体" w:eastAsia="宋体" w:hint="default"/>
          <w:b/>
          <w:bCs/>
          <w:w w:val="95"/>
          <w:position w:val="10"/>
          <w:sz w:val="16"/>
          <w:szCs w:val="16"/>
        </w:rPr>
        <w:t>持股</w:t>
      </w:r>
      <w:r>
        <w:rPr>
          <w:rFonts w:ascii="宋体" w:hAnsi="宋体" w:cs="宋体" w:eastAsia="宋体" w:hint="default"/>
          <w:sz w:val="16"/>
          <w:szCs w:val="16"/>
        </w:rPr>
      </w:r>
    </w:p>
    <w:p>
      <w:pPr>
        <w:spacing w:line="155"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1557" w:val="left" w:leader="none"/>
        </w:tabs>
        <w:spacing w:line="178" w:lineRule="exact" w:before="0"/>
        <w:ind w:left="295" w:right="-19"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表决权</w:t>
        <w:tab/>
      </w:r>
      <w:r>
        <w:rPr>
          <w:rFonts w:ascii="宋体" w:hAnsi="宋体" w:cs="宋体" w:eastAsia="宋体" w:hint="default"/>
          <w:b/>
          <w:bCs/>
          <w:sz w:val="16"/>
          <w:szCs w:val="16"/>
        </w:rPr>
        <w:t>投资</w:t>
      </w:r>
      <w:r>
        <w:rPr>
          <w:rFonts w:ascii="宋体" w:hAnsi="宋体" w:cs="宋体" w:eastAsia="宋体" w:hint="default"/>
          <w:sz w:val="16"/>
          <w:szCs w:val="16"/>
        </w:rPr>
      </w:r>
    </w:p>
    <w:p>
      <w:pPr>
        <w:tabs>
          <w:tab w:pos="1557" w:val="left" w:leader="none"/>
        </w:tabs>
        <w:spacing w:line="205" w:lineRule="exact" w:before="0"/>
        <w:ind w:left="375" w:right="-19" w:firstLine="0"/>
        <w:jc w:val="left"/>
        <w:rPr>
          <w:rFonts w:ascii="宋体" w:hAnsi="宋体" w:cs="宋体" w:eastAsia="宋体" w:hint="default"/>
          <w:sz w:val="16"/>
          <w:szCs w:val="16"/>
        </w:rPr>
      </w:pPr>
      <w:r>
        <w:rPr>
          <w:rFonts w:ascii="宋体" w:hAnsi="宋体" w:cs="宋体" w:eastAsia="宋体" w:hint="default"/>
          <w:b/>
          <w:bCs/>
          <w:w w:val="95"/>
          <w:sz w:val="16"/>
          <w:szCs w:val="16"/>
        </w:rPr>
        <w:t>比例</w:t>
        <w:tab/>
      </w:r>
      <w:r>
        <w:rPr>
          <w:rFonts w:ascii="宋体" w:hAnsi="宋体" w:cs="宋体" w:eastAsia="宋体" w:hint="default"/>
          <w:b/>
          <w:bCs/>
          <w:sz w:val="16"/>
          <w:szCs w:val="16"/>
        </w:rPr>
        <w:t>成本</w:t>
      </w:r>
      <w:r>
        <w:rPr>
          <w:rFonts w:ascii="宋体" w:hAnsi="宋体" w:cs="宋体" w:eastAsia="宋体" w:hint="default"/>
          <w:sz w:val="16"/>
          <w:szCs w:val="16"/>
        </w:rPr>
      </w:r>
    </w:p>
    <w:p>
      <w:pPr>
        <w:tabs>
          <w:tab w:pos="1756" w:val="left" w:leader="none"/>
          <w:tab w:pos="3217" w:val="left" w:leader="none"/>
        </w:tabs>
        <w:spacing w:line="178" w:lineRule="exact" w:before="0"/>
        <w:ind w:left="295"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年初</w:t>
        <w:tab/>
        <w:t>本年</w:t>
        <w:tab/>
      </w:r>
      <w:r>
        <w:rPr>
          <w:rFonts w:ascii="宋体" w:hAnsi="宋体" w:cs="宋体" w:eastAsia="宋体" w:hint="default"/>
          <w:b/>
          <w:bCs/>
          <w:sz w:val="16"/>
          <w:szCs w:val="16"/>
        </w:rPr>
        <w:t>年末</w:t>
      </w:r>
      <w:r>
        <w:rPr>
          <w:rFonts w:ascii="宋体" w:hAnsi="宋体" w:cs="宋体" w:eastAsia="宋体" w:hint="default"/>
          <w:sz w:val="16"/>
          <w:szCs w:val="16"/>
        </w:rPr>
      </w:r>
    </w:p>
    <w:p>
      <w:pPr>
        <w:tabs>
          <w:tab w:pos="1595" w:val="left" w:leader="none"/>
          <w:tab w:pos="3217" w:val="left" w:leader="none"/>
        </w:tabs>
        <w:spacing w:line="205" w:lineRule="exact" w:before="0"/>
        <w:ind w:left="295" w:right="0" w:firstLine="0"/>
        <w:jc w:val="left"/>
        <w:rPr>
          <w:rFonts w:ascii="宋体" w:hAnsi="宋体" w:cs="宋体" w:eastAsia="宋体" w:hint="default"/>
          <w:sz w:val="16"/>
          <w:szCs w:val="16"/>
        </w:rPr>
      </w:pPr>
      <w:r>
        <w:rPr>
          <w:rFonts w:ascii="宋体" w:hAnsi="宋体" w:cs="宋体" w:eastAsia="宋体" w:hint="default"/>
          <w:b/>
          <w:bCs/>
          <w:w w:val="95"/>
          <w:sz w:val="16"/>
          <w:szCs w:val="16"/>
        </w:rPr>
        <w:t>金额</w:t>
        <w:tab/>
        <w:t>权益增减</w:t>
        <w:tab/>
      </w:r>
      <w:r>
        <w:rPr>
          <w:rFonts w:ascii="宋体" w:hAnsi="宋体" w:cs="宋体" w:eastAsia="宋体" w:hint="default"/>
          <w:b/>
          <w:bCs/>
          <w:sz w:val="16"/>
          <w:szCs w:val="16"/>
        </w:rPr>
        <w:t>金额</w:t>
      </w:r>
      <w:r>
        <w:rPr>
          <w:rFonts w:ascii="宋体" w:hAnsi="宋体" w:cs="宋体" w:eastAsia="宋体" w:hint="default"/>
          <w:sz w:val="16"/>
          <w:szCs w:val="16"/>
        </w:rPr>
      </w:r>
    </w:p>
    <w:p>
      <w:pPr>
        <w:spacing w:after="0" w:line="205" w:lineRule="exact"/>
        <w:jc w:val="left"/>
        <w:rPr>
          <w:rFonts w:ascii="宋体" w:hAnsi="宋体" w:cs="宋体" w:eastAsia="宋体" w:hint="default"/>
          <w:sz w:val="16"/>
          <w:szCs w:val="16"/>
        </w:rPr>
        <w:sectPr>
          <w:type w:val="continuous"/>
          <w:pgSz w:w="11910" w:h="16840"/>
          <w:pgMar w:top="1600" w:bottom="280" w:left="180" w:right="40"/>
          <w:cols w:num="3" w:equalWidth="0">
            <w:col w:w="4432" w:space="158"/>
            <w:col w:w="1880" w:space="889"/>
            <w:col w:w="4331"/>
          </w:cols>
        </w:sectPr>
      </w:pPr>
    </w:p>
    <w:tbl>
      <w:tblPr>
        <w:tblW w:w="0" w:type="auto"/>
        <w:jc w:val="left"/>
        <w:tblInd w:w="260" w:type="dxa"/>
        <w:tblLayout w:type="fixed"/>
        <w:tblCellMar>
          <w:top w:w="0" w:type="dxa"/>
          <w:left w:w="0" w:type="dxa"/>
          <w:bottom w:w="0" w:type="dxa"/>
          <w:right w:w="0" w:type="dxa"/>
        </w:tblCellMar>
        <w:tblLook w:val="01E0"/>
      </w:tblPr>
      <w:tblGrid>
        <w:gridCol w:w="3227"/>
        <w:gridCol w:w="1216"/>
        <w:gridCol w:w="940"/>
        <w:gridCol w:w="1506"/>
        <w:gridCol w:w="1460"/>
        <w:gridCol w:w="1460"/>
        <w:gridCol w:w="1348"/>
      </w:tblGrid>
      <w:tr>
        <w:trPr>
          <w:trHeight w:val="291" w:hRule="exact"/>
        </w:trPr>
        <w:tc>
          <w:tcPr>
            <w:tcW w:w="322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6"/>
                <w:szCs w:val="16"/>
              </w:rPr>
            </w:pPr>
            <w:r>
              <w:rPr>
                <w:rFonts w:ascii="宋体"/>
                <w:spacing w:val="-1"/>
                <w:sz w:val="16"/>
              </w:rPr>
              <w:t>16.00%</w:t>
            </w: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91"/>
              <w:jc w:val="right"/>
              <w:rPr>
                <w:rFonts w:ascii="宋体" w:hAnsi="宋体" w:cs="宋体" w:eastAsia="宋体" w:hint="default"/>
                <w:sz w:val="16"/>
                <w:szCs w:val="16"/>
              </w:rPr>
            </w:pPr>
            <w:r>
              <w:rPr>
                <w:rFonts w:ascii="宋体"/>
                <w:spacing w:val="-1"/>
                <w:sz w:val="16"/>
              </w:rPr>
              <w:t>16.00%</w:t>
            </w: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91"/>
              <w:jc w:val="right"/>
              <w:rPr>
                <w:rFonts w:ascii="宋体" w:hAnsi="宋体" w:cs="宋体" w:eastAsia="宋体" w:hint="default"/>
                <w:sz w:val="16"/>
                <w:szCs w:val="16"/>
              </w:rPr>
            </w:pPr>
            <w:r>
              <w:rPr>
                <w:rFonts w:ascii="宋体"/>
                <w:spacing w:val="-1"/>
                <w:sz w:val="16"/>
              </w:rPr>
              <w:t>22,722,179.64</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6"/>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91"/>
              <w:jc w:val="right"/>
              <w:rPr>
                <w:rFonts w:ascii="宋体" w:hAnsi="宋体" w:cs="宋体" w:eastAsia="宋体" w:hint="default"/>
                <w:sz w:val="16"/>
                <w:szCs w:val="16"/>
              </w:rPr>
            </w:pPr>
            <w:r>
              <w:rPr>
                <w:rFonts w:ascii="宋体"/>
                <w:spacing w:val="-1"/>
                <w:sz w:val="16"/>
              </w:rPr>
              <w:t>33,292,847.88</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6"/>
                <w:szCs w:val="16"/>
              </w:rPr>
            </w:pPr>
            <w:r>
              <w:rPr>
                <w:rFonts w:ascii="宋体"/>
                <w:spacing w:val="-1"/>
                <w:sz w:val="16"/>
              </w:rPr>
              <w:t>33,292,847.88</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46.00%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46.00%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3,680,000.00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3,303,774.21</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-37,252.84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3,266,521.37</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50.00%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50.00%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宋体" w:hAnsi="宋体" w:cs="宋体" w:eastAsia="宋体" w:hint="default"/>
                <w:sz w:val="16"/>
                <w:szCs w:val="16"/>
              </w:rPr>
            </w:pPr>
            <w:r>
              <w:rPr>
                <w:rFonts w:ascii="宋体"/>
                <w:spacing w:val="-1"/>
                <w:sz w:val="16"/>
              </w:rPr>
              <w:t>10,482,311.48</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-22,598.47</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10,459,713.01</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50.00%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50.00%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29,000,000.00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w w:val="95"/>
                <w:sz w:val="16"/>
              </w:rPr>
              <w:t>0.00</w:t>
            </w:r>
            <w:r>
              <w:rPr>
                <w:rFonts w:ascii="宋体"/>
                <w:sz w:val="16"/>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25.00%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25.00%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150,370,000.00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149,322,635.77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2,077,567.49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151,400,203.26</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37.50%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37.50%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宋体" w:hAnsi="宋体" w:cs="宋体" w:eastAsia="宋体" w:hint="default"/>
                <w:sz w:val="16"/>
                <w:szCs w:val="16"/>
              </w:rPr>
            </w:pPr>
            <w:r>
              <w:rPr>
                <w:rFonts w:ascii="宋体"/>
                <w:spacing w:val="-1"/>
                <w:sz w:val="16"/>
              </w:rPr>
              <w:t>12,976,761.85</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3,092,435.53</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16,069,197.38</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31.50%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31.50%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35,000,000.00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5"/>
              <w:jc w:val="right"/>
              <w:rPr>
                <w:rFonts w:ascii="宋体" w:hAnsi="宋体" w:cs="宋体" w:eastAsia="宋体" w:hint="default"/>
                <w:sz w:val="16"/>
                <w:szCs w:val="16"/>
              </w:rPr>
            </w:pPr>
            <w:r>
              <w:rPr>
                <w:rFonts w:ascii="宋体"/>
                <w:spacing w:val="-1"/>
                <w:sz w:val="16"/>
              </w:rPr>
              <w:t>127,611,900.69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33,834,319.46</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161,446,220.15</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45.45%</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45.45%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250,000,000.00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479,538,662.25</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3,403,532.09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482,942,194.34</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32.25%</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32.25%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14,662,000.00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宋体" w:hAnsi="宋体" w:cs="宋体" w:eastAsia="宋体" w:hint="default"/>
                <w:sz w:val="16"/>
                <w:szCs w:val="16"/>
              </w:rPr>
            </w:pPr>
            <w:r>
              <w:rPr>
                <w:rFonts w:ascii="宋体"/>
                <w:spacing w:val="-1"/>
                <w:sz w:val="16"/>
              </w:rPr>
              <w:t>14,040,929.88</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-1,071,751.59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12,969,178.29</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49.9999%</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49.9999%</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9,938,413.20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宋体" w:hAnsi="宋体" w:cs="宋体" w:eastAsia="宋体" w:hint="default"/>
                <w:sz w:val="16"/>
                <w:szCs w:val="16"/>
              </w:rPr>
            </w:pPr>
            <w:r>
              <w:rPr>
                <w:rFonts w:ascii="宋体"/>
                <w:spacing w:val="-1"/>
                <w:sz w:val="16"/>
              </w:rPr>
              <w:t>3,989,481.73</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-3,845,343.48</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144,138.25</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上海百视通电视传媒有限公司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spacing w:val="-1"/>
                <w:sz w:val="16"/>
              </w:rPr>
              <w:t>5,920,000.00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7,493,902.39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-7,493,902.39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百视通网络电视技术发展有限责任公司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15.466%</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15.466%</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spacing w:val="-1"/>
                <w:sz w:val="16"/>
              </w:rPr>
              <w:t>144,080,000.00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268,146,246.87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-95,527,854.95</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172,618,391.92</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同方恩欧凯（无锡）膜技术有限公司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50.00%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50.00%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19,957,465.74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-2,287,069.13</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17,670,396.61</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40.00%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40.00%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80,000,000.00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79,835,542.31</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-389,935.14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79,445,607.17</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40.00%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40.00%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8,000,000.00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8,000,000.00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-738,330.36</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7,261,669.64</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10.16%</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10.16%</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47,500,000.00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宋体" w:hAnsi="宋体" w:cs="宋体" w:eastAsia="宋体" w:hint="default"/>
                <w:sz w:val="16"/>
                <w:szCs w:val="16"/>
              </w:rPr>
            </w:pPr>
            <w:r>
              <w:rPr>
                <w:rFonts w:ascii="宋体"/>
                <w:spacing w:val="-1"/>
                <w:sz w:val="16"/>
              </w:rPr>
              <w:t>54,083,057.52</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5,513,856.64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59,596,914.16</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北京辰安伟业科技有限公司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11.25%</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11.25%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25,200,000.00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25,078,285.11</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25,078,285.11</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南昌</w:t>
            </w:r>
            <w:r>
              <w:rPr>
                <w:rFonts w:ascii="宋体" w:hAnsi="宋体" w:cs="宋体" w:eastAsia="宋体" w:hint="default"/>
                <w:spacing w:val="-43"/>
                <w:sz w:val="16"/>
                <w:szCs w:val="16"/>
              </w:rPr>
              <w:t> </w:t>
            </w:r>
            <w:r>
              <w:rPr>
                <w:rFonts w:ascii="宋体" w:hAnsi="宋体" w:cs="宋体" w:eastAsia="宋体" w:hint="default"/>
                <w:sz w:val="16"/>
                <w:szCs w:val="16"/>
              </w:rPr>
              <w:t>ABB</w:t>
            </w:r>
            <w:r>
              <w:rPr>
                <w:rFonts w:ascii="宋体" w:hAnsi="宋体" w:cs="宋体" w:eastAsia="宋体" w:hint="default"/>
                <w:spacing w:val="-42"/>
                <w:sz w:val="16"/>
                <w:szCs w:val="16"/>
              </w:rPr>
              <w:t> </w:t>
            </w:r>
            <w:r>
              <w:rPr>
                <w:rFonts w:ascii="宋体" w:hAnsi="宋体" w:cs="宋体" w:eastAsia="宋体" w:hint="default"/>
                <w:sz w:val="16"/>
                <w:szCs w:val="16"/>
              </w:rPr>
              <w:t>发电机有限公司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49.00%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18,810,806.00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w w:val="95"/>
                <w:sz w:val="16"/>
              </w:rPr>
              <w:t>0.00</w:t>
            </w:r>
            <w:r>
              <w:rPr>
                <w:rFonts w:ascii="宋体"/>
                <w:sz w:val="16"/>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南昌创业投资有限公司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25.00%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25.00%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29,848,408.54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13,873.75</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29,862,282.29</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天津清华泰豪智能科技有限公司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40.00%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40.00%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2,270,518.44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-562,330.30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1,708,188.14</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上海誉德泰豪能源技术有限公司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30.00%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spacing w:val="-1"/>
                <w:sz w:val="16"/>
              </w:rPr>
              <w:t>300,000.00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300,000.00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w w:val="95"/>
                <w:sz w:val="16"/>
              </w:rPr>
              <w:t>0.00</w:t>
            </w:r>
            <w:r>
              <w:rPr>
                <w:rFonts w:ascii="宋体"/>
                <w:sz w:val="16"/>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300,000.00</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江西铂铄耐科技有限公司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33.33%</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33.33%</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spacing w:val="-1"/>
                <w:sz w:val="16"/>
              </w:rPr>
              <w:t>70,000,000.00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5"/>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spacing w:val="-1"/>
                <w:sz w:val="16"/>
              </w:rPr>
              <w:t>68,452,792.15</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68,452,792.15</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成都华太航空科技有限公司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34.22%</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34.22%</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24,418,500.00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25,001,083.19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25,001,083.19</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北京世纪卓克能源技术有限公司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15.00%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9,273,782.49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9,273,782.49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-9,273,782.49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深圳卓克节能科技有限公司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37.50%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37.50%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14,910,673.74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宋体" w:hAnsi="宋体" w:cs="宋体" w:eastAsia="宋体" w:hint="default"/>
                <w:sz w:val="16"/>
                <w:szCs w:val="16"/>
              </w:rPr>
            </w:pPr>
            <w:r>
              <w:rPr>
                <w:rFonts w:ascii="宋体"/>
                <w:spacing w:val="-1"/>
                <w:sz w:val="16"/>
              </w:rPr>
              <w:t>14,910,673.74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spacing w:val="-1"/>
                <w:sz w:val="16"/>
              </w:rPr>
              <w:t>-14,910,673.74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35.00%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21,153,563.00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宋体" w:hAnsi="宋体" w:cs="宋体" w:eastAsia="宋体" w:hint="default"/>
                <w:sz w:val="16"/>
                <w:szCs w:val="16"/>
              </w:rPr>
            </w:pPr>
            <w:r>
              <w:rPr>
                <w:rFonts w:ascii="宋体"/>
                <w:spacing w:val="-1"/>
                <w:sz w:val="16"/>
              </w:rPr>
              <w:t>21,153,563.00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3"/>
              <w:jc w:val="right"/>
              <w:rPr>
                <w:rFonts w:ascii="宋体" w:hAnsi="宋体" w:cs="宋体" w:eastAsia="宋体" w:hint="default"/>
                <w:sz w:val="16"/>
                <w:szCs w:val="16"/>
              </w:rPr>
            </w:pPr>
            <w:r>
              <w:rPr>
                <w:rFonts w:ascii="宋体"/>
                <w:w w:val="95"/>
                <w:sz w:val="16"/>
              </w:rPr>
              <w:t>0.00</w:t>
            </w:r>
            <w:r>
              <w:rPr>
                <w:rFonts w:ascii="宋体"/>
                <w:sz w:val="16"/>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21,153,563.00</w:t>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20.00%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6,000,000.00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w w:val="95"/>
                <w:sz w:val="16"/>
              </w:rPr>
              <w:t>0.00</w:t>
            </w:r>
            <w:r>
              <w:rPr>
                <w:rFonts w:ascii="宋体"/>
                <w:sz w:val="16"/>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上海同方友友电视购物有限公司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w:t>
            </w:r>
            <w:r>
              <w:rPr>
                <w:rFonts w:ascii="宋体"/>
                <w:sz w:val="16"/>
              </w:rPr>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w w:val="95"/>
                <w:sz w:val="16"/>
              </w:rPr>
              <w:t>00%</w:t>
            </w:r>
            <w:r>
              <w:rPr>
                <w:rFonts w:ascii="宋体"/>
                <w:sz w:val="16"/>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1,600,000.00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w w:val="95"/>
                <w:sz w:val="16"/>
              </w:rPr>
              <w:t>0.00</w:t>
            </w:r>
            <w:r>
              <w:rPr>
                <w:rFonts w:ascii="宋体"/>
                <w:sz w:val="16"/>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97" w:hRule="exact"/>
        </w:trPr>
        <w:tc>
          <w:tcPr>
            <w:tcW w:w="322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同方知好乐教育科技(北京)有限公司</w:t>
            </w:r>
          </w:p>
        </w:tc>
        <w:tc>
          <w:tcPr>
            <w:tcW w:w="121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13.51%</w:t>
            </w:r>
          </w:p>
        </w:tc>
        <w:tc>
          <w:tcPr>
            <w:tcW w:w="94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13.51%</w:t>
            </w:r>
          </w:p>
        </w:tc>
        <w:tc>
          <w:tcPr>
            <w:tcW w:w="150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1,500,000.00</w:t>
            </w:r>
          </w:p>
        </w:tc>
        <w:tc>
          <w:tcPr>
            <w:tcW w:w="146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6"/>
              <w:jc w:val="right"/>
              <w:rPr>
                <w:rFonts w:ascii="宋体" w:hAnsi="宋体" w:cs="宋体" w:eastAsia="宋体" w:hint="default"/>
                <w:sz w:val="16"/>
                <w:szCs w:val="16"/>
              </w:rPr>
            </w:pPr>
            <w:r>
              <w:rPr>
                <w:rFonts w:ascii="宋体"/>
                <w:spacing w:val="-1"/>
                <w:sz w:val="16"/>
              </w:rPr>
              <w:t>971,635.33</w:t>
            </w:r>
          </w:p>
        </w:tc>
        <w:tc>
          <w:tcPr>
            <w:tcW w:w="146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92"/>
              <w:jc w:val="right"/>
              <w:rPr>
                <w:rFonts w:ascii="宋体" w:hAnsi="宋体" w:cs="宋体" w:eastAsia="宋体" w:hint="default"/>
                <w:sz w:val="16"/>
                <w:szCs w:val="16"/>
              </w:rPr>
            </w:pPr>
            <w:r>
              <w:rPr>
                <w:rFonts w:ascii="宋体"/>
                <w:spacing w:val="-1"/>
                <w:sz w:val="16"/>
              </w:rPr>
              <w:t>-281,884.77</w:t>
            </w:r>
          </w:p>
        </w:tc>
        <w:tc>
          <w:tcPr>
            <w:tcW w:w="134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689,750.56</w:t>
            </w:r>
          </w:p>
        </w:tc>
      </w:tr>
    </w:tbl>
    <w:p>
      <w:pPr>
        <w:spacing w:after="0" w:line="240" w:lineRule="auto"/>
        <w:jc w:val="right"/>
        <w:rPr>
          <w:rFonts w:ascii="宋体" w:hAnsi="宋体" w:cs="宋体" w:eastAsia="宋体" w:hint="default"/>
          <w:sz w:val="16"/>
          <w:szCs w:val="16"/>
        </w:rPr>
        <w:sectPr>
          <w:type w:val="continuous"/>
          <w:pgSz w:w="11910" w:h="16840"/>
          <w:pgMar w:top="1600" w:bottom="280" w:left="180" w:right="40"/>
        </w:sectPr>
      </w:pPr>
    </w:p>
    <w:p>
      <w:pPr>
        <w:tabs>
          <w:tab w:pos="4109" w:val="left" w:leader="none"/>
        </w:tabs>
        <w:spacing w:line="282" w:lineRule="exact" w:before="0"/>
        <w:ind w:left="295" w:right="-19" w:firstLine="0"/>
        <w:jc w:val="left"/>
        <w:rPr>
          <w:rFonts w:ascii="宋体" w:hAnsi="宋体" w:cs="宋体" w:eastAsia="宋体" w:hint="default"/>
          <w:sz w:val="16"/>
          <w:szCs w:val="16"/>
        </w:rPr>
      </w:pPr>
      <w:r>
        <w:rPr/>
        <w:pict>
          <v:shape style="position:absolute;margin-left:18.360001pt;margin-top:11.081408pt;width:564.8pt;height:367.1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35"/>
                    <w:gridCol w:w="858"/>
                    <w:gridCol w:w="776"/>
                    <w:gridCol w:w="1506"/>
                    <w:gridCol w:w="1506"/>
                    <w:gridCol w:w="1415"/>
                    <w:gridCol w:w="1498"/>
                  </w:tblGrid>
                  <w:tr>
                    <w:trPr>
                      <w:trHeight w:val="183" w:hRule="exact"/>
                    </w:trPr>
                    <w:tc>
                      <w:tcPr>
                        <w:tcW w:w="4593" w:type="dxa"/>
                        <w:gridSpan w:val="2"/>
                        <w:tcBorders>
                          <w:top w:val="nil" w:sz="6" w:space="0" w:color="auto"/>
                          <w:left w:val="nil" w:sz="6" w:space="0" w:color="auto"/>
                          <w:bottom w:val="single" w:sz="4" w:space="0" w:color="000000"/>
                          <w:right w:val="nil" w:sz="6" w:space="0" w:color="auto"/>
                        </w:tcBorders>
                      </w:tcPr>
                      <w:p>
                        <w:pPr>
                          <w:pStyle w:val="TableParagraph"/>
                          <w:spacing w:line="160" w:lineRule="exact"/>
                          <w:ind w:right="348"/>
                          <w:jc w:val="right"/>
                          <w:rPr>
                            <w:rFonts w:ascii="宋体" w:hAnsi="宋体" w:cs="宋体" w:eastAsia="宋体" w:hint="default"/>
                            <w:sz w:val="16"/>
                            <w:szCs w:val="16"/>
                          </w:rPr>
                        </w:pPr>
                        <w:r>
                          <w:rPr>
                            <w:rFonts w:ascii="宋体" w:hAnsi="宋体" w:cs="宋体" w:eastAsia="宋体" w:hint="default"/>
                            <w:b/>
                            <w:bCs/>
                            <w:w w:val="95"/>
                            <w:sz w:val="16"/>
                            <w:szCs w:val="16"/>
                          </w:rPr>
                          <w:t>比例</w:t>
                        </w:r>
                        <w:r>
                          <w:rPr>
                            <w:rFonts w:ascii="宋体" w:hAnsi="宋体" w:cs="宋体" w:eastAsia="宋体" w:hint="default"/>
                            <w:sz w:val="16"/>
                            <w:szCs w:val="16"/>
                          </w:rPr>
                        </w:r>
                      </w:p>
                    </w:tc>
                    <w:tc>
                      <w:tcPr>
                        <w:tcW w:w="776" w:type="dxa"/>
                        <w:tcBorders>
                          <w:top w:val="nil" w:sz="6" w:space="0" w:color="auto"/>
                          <w:left w:val="nil" w:sz="6" w:space="0" w:color="auto"/>
                          <w:bottom w:val="single" w:sz="4" w:space="0" w:color="000000"/>
                          <w:right w:val="nil" w:sz="6" w:space="0" w:color="auto"/>
                        </w:tcBorders>
                      </w:tcPr>
                      <w:p>
                        <w:pPr>
                          <w:pStyle w:val="TableParagraph"/>
                          <w:spacing w:line="160" w:lineRule="exact"/>
                          <w:ind w:left="18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506" w:type="dxa"/>
                        <w:tcBorders>
                          <w:top w:val="nil" w:sz="6" w:space="0" w:color="auto"/>
                          <w:left w:val="nil" w:sz="6" w:space="0" w:color="auto"/>
                          <w:bottom w:val="single" w:sz="4" w:space="0" w:color="000000"/>
                          <w:right w:val="nil" w:sz="6" w:space="0" w:color="auto"/>
                        </w:tcBorders>
                      </w:tcPr>
                      <w:p>
                        <w:pPr>
                          <w:pStyle w:val="TableParagraph"/>
                          <w:spacing w:line="160" w:lineRule="exact"/>
                          <w:ind w:right="1"/>
                          <w:jc w:val="center"/>
                          <w:rPr>
                            <w:rFonts w:ascii="宋体" w:hAnsi="宋体" w:cs="宋体" w:eastAsia="宋体" w:hint="default"/>
                            <w:sz w:val="16"/>
                            <w:szCs w:val="16"/>
                          </w:rPr>
                        </w:pPr>
                        <w:r>
                          <w:rPr>
                            <w:rFonts w:ascii="宋体" w:hAnsi="宋体" w:cs="宋体" w:eastAsia="宋体" w:hint="default"/>
                            <w:b/>
                            <w:bCs/>
                            <w:sz w:val="16"/>
                            <w:szCs w:val="16"/>
                          </w:rPr>
                          <w:t>成本</w:t>
                        </w:r>
                        <w:r>
                          <w:rPr>
                            <w:rFonts w:ascii="宋体" w:hAnsi="宋体" w:cs="宋体" w:eastAsia="宋体" w:hint="default"/>
                            <w:sz w:val="16"/>
                            <w:szCs w:val="16"/>
                          </w:rPr>
                        </w:r>
                      </w:p>
                    </w:tc>
                    <w:tc>
                      <w:tcPr>
                        <w:tcW w:w="1506" w:type="dxa"/>
                        <w:tcBorders>
                          <w:top w:val="nil" w:sz="6" w:space="0" w:color="auto"/>
                          <w:left w:val="nil" w:sz="6" w:space="0" w:color="auto"/>
                          <w:bottom w:val="single" w:sz="4" w:space="0" w:color="000000"/>
                          <w:right w:val="nil" w:sz="6" w:space="0" w:color="auto"/>
                        </w:tcBorders>
                      </w:tcPr>
                      <w:p>
                        <w:pPr>
                          <w:pStyle w:val="TableParagraph"/>
                          <w:spacing w:line="160" w:lineRule="exact"/>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415" w:type="dxa"/>
                        <w:tcBorders>
                          <w:top w:val="nil" w:sz="6" w:space="0" w:color="auto"/>
                          <w:left w:val="nil" w:sz="6" w:space="0" w:color="auto"/>
                          <w:bottom w:val="single" w:sz="4" w:space="0" w:color="000000"/>
                          <w:right w:val="nil" w:sz="6" w:space="0" w:color="auto"/>
                        </w:tcBorders>
                      </w:tcPr>
                      <w:p>
                        <w:pPr>
                          <w:pStyle w:val="TableParagraph"/>
                          <w:spacing w:line="160" w:lineRule="exact"/>
                          <w:ind w:left="385" w:right="0"/>
                          <w:jc w:val="left"/>
                          <w:rPr>
                            <w:rFonts w:ascii="宋体" w:hAnsi="宋体" w:cs="宋体" w:eastAsia="宋体" w:hint="default"/>
                            <w:sz w:val="16"/>
                            <w:szCs w:val="16"/>
                          </w:rPr>
                        </w:pPr>
                        <w:r>
                          <w:rPr>
                            <w:rFonts w:ascii="宋体" w:hAnsi="宋体" w:cs="宋体" w:eastAsia="宋体" w:hint="default"/>
                            <w:b/>
                            <w:bCs/>
                            <w:sz w:val="16"/>
                            <w:szCs w:val="16"/>
                          </w:rPr>
                          <w:t>权益增减</w:t>
                        </w:r>
                        <w:r>
                          <w:rPr>
                            <w:rFonts w:ascii="宋体" w:hAnsi="宋体" w:cs="宋体" w:eastAsia="宋体" w:hint="default"/>
                            <w:sz w:val="16"/>
                            <w:szCs w:val="16"/>
                          </w:rPr>
                        </w:r>
                      </w:p>
                    </w:tc>
                    <w:tc>
                      <w:tcPr>
                        <w:tcW w:w="1498" w:type="dxa"/>
                        <w:tcBorders>
                          <w:top w:val="nil" w:sz="6" w:space="0" w:color="auto"/>
                          <w:left w:val="nil" w:sz="6" w:space="0" w:color="auto"/>
                          <w:bottom w:val="single" w:sz="4" w:space="0" w:color="000000"/>
                          <w:right w:val="nil" w:sz="6" w:space="0" w:color="auto"/>
                        </w:tcBorders>
                      </w:tcPr>
                      <w:p>
                        <w:pPr>
                          <w:pStyle w:val="TableParagraph"/>
                          <w:spacing w:line="160" w:lineRule="exact"/>
                          <w:ind w:left="5"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291"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6"/>
                            <w:szCs w:val="16"/>
                          </w:rPr>
                        </w:pPr>
                        <w:r>
                          <w:rPr>
                            <w:rFonts w:ascii="宋体" w:hAnsi="宋体" w:cs="宋体" w:eastAsia="宋体" w:hint="default"/>
                            <w:sz w:val="16"/>
                            <w:szCs w:val="16"/>
                          </w:rPr>
                          <w:t>北京迈信力通科技有限公司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3"/>
                          <w:jc w:val="right"/>
                          <w:rPr>
                            <w:rFonts w:ascii="宋体" w:hAnsi="宋体" w:cs="宋体" w:eastAsia="宋体" w:hint="default"/>
                            <w:sz w:val="16"/>
                            <w:szCs w:val="16"/>
                          </w:rPr>
                        </w:pPr>
                        <w:r>
                          <w:rPr>
                            <w:rFonts w:ascii="宋体"/>
                            <w:spacing w:val="-1"/>
                            <w:sz w:val="16"/>
                          </w:rPr>
                          <w:t>15.00%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8" w:right="0"/>
                          <w:jc w:val="left"/>
                          <w:rPr>
                            <w:rFonts w:ascii="宋体" w:hAnsi="宋体" w:cs="宋体" w:eastAsia="宋体" w:hint="default"/>
                            <w:sz w:val="16"/>
                            <w:szCs w:val="16"/>
                          </w:rPr>
                        </w:pPr>
                        <w:r>
                          <w:rPr>
                            <w:rFonts w:ascii="宋体"/>
                            <w:sz w:val="16"/>
                          </w:rPr>
                          <w:t>15.00%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6"/>
                            <w:szCs w:val="16"/>
                          </w:rPr>
                        </w:pPr>
                        <w:r>
                          <w:rPr>
                            <w:rFonts w:ascii="宋体"/>
                            <w:spacing w:val="-1"/>
                            <w:sz w:val="16"/>
                          </w:rPr>
                          <w:t>10,000,000.00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6"/>
                            <w:szCs w:val="16"/>
                          </w:rPr>
                        </w:pPr>
                        <w:r>
                          <w:rPr>
                            <w:rFonts w:ascii="宋体"/>
                            <w:spacing w:val="-1"/>
                            <w:sz w:val="16"/>
                          </w:rPr>
                          <w:t>9,967,022.88</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8"/>
                          <w:jc w:val="right"/>
                          <w:rPr>
                            <w:rFonts w:ascii="宋体" w:hAnsi="宋体" w:cs="宋体" w:eastAsia="宋体" w:hint="default"/>
                            <w:sz w:val="16"/>
                            <w:szCs w:val="16"/>
                          </w:rPr>
                        </w:pPr>
                        <w:r>
                          <w:rPr>
                            <w:rFonts w:ascii="宋体"/>
                            <w:spacing w:val="-1"/>
                            <w:sz w:val="16"/>
                          </w:rPr>
                          <w:t>9,967,022.88</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4"/>
                          <w:jc w:val="right"/>
                          <w:rPr>
                            <w:rFonts w:ascii="宋体" w:hAnsi="宋体" w:cs="宋体" w:eastAsia="宋体" w:hint="default"/>
                            <w:sz w:val="16"/>
                            <w:szCs w:val="16"/>
                          </w:rPr>
                        </w:pPr>
                        <w:r>
                          <w:rPr>
                            <w:rFonts w:ascii="宋体"/>
                            <w:spacing w:val="-1"/>
                            <w:sz w:val="16"/>
                          </w:rPr>
                          <w:t>35.00%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8" w:right="0"/>
                          <w:jc w:val="left"/>
                          <w:rPr>
                            <w:rFonts w:ascii="宋体" w:hAnsi="宋体" w:cs="宋体" w:eastAsia="宋体" w:hint="default"/>
                            <w:sz w:val="16"/>
                            <w:szCs w:val="16"/>
                          </w:rPr>
                        </w:pPr>
                        <w:r>
                          <w:rPr>
                            <w:rFonts w:ascii="宋体"/>
                            <w:sz w:val="16"/>
                          </w:rPr>
                          <w:t>35.00%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21,000,000.00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26,009,536.64</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10,457,135.84</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36,466,672.48</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北京卓凯生物技术有限公司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20.00%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8" w:right="0"/>
                          <w:jc w:val="left"/>
                          <w:rPr>
                            <w:rFonts w:ascii="宋体" w:hAnsi="宋体" w:cs="宋体" w:eastAsia="宋体" w:hint="default"/>
                            <w:sz w:val="16"/>
                            <w:szCs w:val="16"/>
                          </w:rPr>
                        </w:pPr>
                        <w:r>
                          <w:rPr>
                            <w:rFonts w:ascii="宋体"/>
                            <w:sz w:val="16"/>
                          </w:rPr>
                          <w:t>20.00%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900,000.00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915,847.70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108,928.58</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1,024,776.28</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北京同方时讯电子有限公司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35.00%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8" w:right="0"/>
                          <w:jc w:val="left"/>
                          <w:rPr>
                            <w:rFonts w:ascii="宋体" w:hAnsi="宋体" w:cs="宋体" w:eastAsia="宋体" w:hint="default"/>
                            <w:sz w:val="16"/>
                            <w:szCs w:val="16"/>
                          </w:rPr>
                        </w:pPr>
                        <w:r>
                          <w:rPr>
                            <w:rFonts w:ascii="宋体"/>
                            <w:sz w:val="16"/>
                          </w:rPr>
                          <w:t>35.00%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1,750,000.00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1,750,000.00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1,750,000.00</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北京威视科技发展有限公司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45.00%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8" w:right="0"/>
                          <w:jc w:val="left"/>
                          <w:rPr>
                            <w:rFonts w:ascii="宋体" w:hAnsi="宋体" w:cs="宋体" w:eastAsia="宋体" w:hint="default"/>
                            <w:sz w:val="16"/>
                            <w:szCs w:val="16"/>
                          </w:rPr>
                        </w:pPr>
                        <w:r>
                          <w:rPr>
                            <w:rFonts w:ascii="宋体"/>
                            <w:sz w:val="16"/>
                          </w:rPr>
                          <w:t>45.00%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9,000,000.00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12,861,923.05</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-943,134.66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11,918,788.39</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36.00%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8" w:right="0"/>
                          <w:jc w:val="left"/>
                          <w:rPr>
                            <w:rFonts w:ascii="宋体" w:hAnsi="宋体" w:cs="宋体" w:eastAsia="宋体" w:hint="default"/>
                            <w:sz w:val="16"/>
                            <w:szCs w:val="16"/>
                          </w:rPr>
                        </w:pPr>
                        <w:r>
                          <w:rPr>
                            <w:rFonts w:ascii="宋体"/>
                            <w:sz w:val="16"/>
                          </w:rPr>
                          <w:t>36.00%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18,000,000.00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27,505,108.05</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-9,385,890.13</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18,119,217.92</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9,000,000.00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8,183,939.27</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-548,370.05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7,635,569.22</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11,000,000.00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10,305,187.98</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250,684.32</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10,555,872.30</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15,000,000.00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15,000,000.00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15,000,000.00</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10,000,000.00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9,880,871.58</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-192,270.75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9,688,600.83</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7,000,000.00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7,000,000.00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272,801.86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7,272,801.86</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8"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40,000,000.00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39,865,137.01</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-150,038.27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39,715,098.74</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北京同方创信科技有限公司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4"/>
                          <w:jc w:val="right"/>
                          <w:rPr>
                            <w:rFonts w:ascii="宋体" w:hAnsi="宋体" w:cs="宋体" w:eastAsia="宋体" w:hint="default"/>
                            <w:sz w:val="16"/>
                            <w:szCs w:val="16"/>
                          </w:rPr>
                        </w:pPr>
                        <w:r>
                          <w:rPr>
                            <w:rFonts w:ascii="宋体"/>
                            <w:spacing w:val="-1"/>
                            <w:sz w:val="16"/>
                          </w:rPr>
                          <w:t>0.00%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3,500,000.00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5,280,410.40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-5,280,410.40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sz w:val="16"/>
                          </w:rPr>
                          <w:t>Zebra Media</w:t>
                        </w:r>
                        <w:r>
                          <w:rPr>
                            <w:rFonts w:ascii="宋体"/>
                            <w:spacing w:val="-6"/>
                            <w:sz w:val="16"/>
                          </w:rPr>
                          <w:t> </w:t>
                        </w:r>
                        <w:r>
                          <w:rPr>
                            <w:rFonts w:ascii="宋体"/>
                            <w:sz w:val="16"/>
                          </w:rPr>
                          <w:t>Inc.</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7"/>
                          <w:jc w:val="right"/>
                          <w:rPr>
                            <w:rFonts w:ascii="宋体" w:hAnsi="宋体" w:cs="宋体" w:eastAsia="宋体" w:hint="default"/>
                            <w:sz w:val="16"/>
                            <w:szCs w:val="16"/>
                          </w:rPr>
                        </w:pPr>
                        <w:r>
                          <w:rPr>
                            <w:rFonts w:ascii="宋体"/>
                            <w:spacing w:val="-1"/>
                            <w:sz w:val="16"/>
                          </w:rPr>
                          <w:t>31.79%</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4" w:right="0"/>
                          <w:jc w:val="left"/>
                          <w:rPr>
                            <w:rFonts w:ascii="宋体" w:hAnsi="宋体" w:cs="宋体" w:eastAsia="宋体" w:hint="default"/>
                            <w:sz w:val="16"/>
                            <w:szCs w:val="16"/>
                          </w:rPr>
                        </w:pPr>
                        <w:r>
                          <w:rPr>
                            <w:rFonts w:ascii="宋体"/>
                            <w:sz w:val="16"/>
                          </w:rPr>
                          <w:t>31.79%</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w w:val="95"/>
                            <w:sz w:val="16"/>
                          </w:rPr>
                          <w:t>0.00</w:t>
                        </w:r>
                        <w:r>
                          <w:rPr>
                            <w:rFonts w:ascii="宋体"/>
                            <w:sz w:val="16"/>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w w:val="95"/>
                            <w:sz w:val="16"/>
                          </w:rPr>
                          <w:t>0.00</w:t>
                        </w:r>
                        <w:r>
                          <w:rPr>
                            <w:rFonts w:ascii="宋体"/>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濮阳广电同方数字电视有限公司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1,840,000.00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1,840,000.00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1,840,000.00</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达州广电同方无线数字电视有限公司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2"/>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2,160,000.00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2,160,000.00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2,160,000.00</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无锡生益动力科技有限公司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36.47%</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8" w:right="0"/>
                          <w:jc w:val="left"/>
                          <w:rPr>
                            <w:rFonts w:ascii="宋体" w:hAnsi="宋体" w:cs="宋体" w:eastAsia="宋体" w:hint="default"/>
                            <w:sz w:val="16"/>
                            <w:szCs w:val="16"/>
                          </w:rPr>
                        </w:pPr>
                        <w:r>
                          <w:rPr>
                            <w:rFonts w:ascii="宋体"/>
                            <w:sz w:val="16"/>
                          </w:rPr>
                          <w:t>36.47%</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5,470,000.00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5,470,000.00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5,470,000.00</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sz w:val="16"/>
                          </w:rPr>
                          <w:t>Technovator</w:t>
                        </w:r>
                        <w:r>
                          <w:rPr>
                            <w:rFonts w:ascii="宋体"/>
                            <w:spacing w:val="-8"/>
                            <w:sz w:val="16"/>
                          </w:rPr>
                          <w:t> </w:t>
                        </w:r>
                        <w:r>
                          <w:rPr>
                            <w:rFonts w:ascii="宋体"/>
                            <w:sz w:val="16"/>
                          </w:rPr>
                          <w:t>Qatar</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7"/>
                          <w:jc w:val="right"/>
                          <w:rPr>
                            <w:rFonts w:ascii="宋体" w:hAnsi="宋体" w:cs="宋体" w:eastAsia="宋体" w:hint="default"/>
                            <w:sz w:val="16"/>
                            <w:szCs w:val="16"/>
                          </w:rPr>
                        </w:pPr>
                        <w:r>
                          <w:rPr>
                            <w:rFonts w:ascii="宋体"/>
                            <w:spacing w:val="-1"/>
                            <w:sz w:val="16"/>
                          </w:rPr>
                          <w:t>49.00%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4" w:right="0"/>
                          <w:jc w:val="left"/>
                          <w:rPr>
                            <w:rFonts w:ascii="宋体" w:hAnsi="宋体" w:cs="宋体" w:eastAsia="宋体" w:hint="default"/>
                            <w:sz w:val="16"/>
                            <w:szCs w:val="16"/>
                          </w:rPr>
                        </w:pPr>
                        <w:r>
                          <w:rPr>
                            <w:rFonts w:ascii="宋体"/>
                            <w:sz w:val="16"/>
                          </w:rPr>
                          <w:t>49.00%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209,628.69</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184,361.40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w w:val="95"/>
                            <w:sz w:val="16"/>
                          </w:rPr>
                          <w:t>0.00</w:t>
                        </w:r>
                        <w:r>
                          <w:rPr>
                            <w:rFonts w:ascii="宋体"/>
                            <w:sz w:val="16"/>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184,361.40</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泰盛国际（控股）有限公司（HK08103）</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4"/>
                          <w:jc w:val="right"/>
                          <w:rPr>
                            <w:rFonts w:ascii="宋体" w:hAnsi="宋体" w:cs="宋体" w:eastAsia="宋体" w:hint="default"/>
                            <w:sz w:val="16"/>
                            <w:szCs w:val="16"/>
                          </w:rPr>
                        </w:pPr>
                        <w:r>
                          <w:rPr>
                            <w:rFonts w:ascii="宋体"/>
                            <w:spacing w:val="-1"/>
                            <w:sz w:val="16"/>
                          </w:rPr>
                          <w:t>0.00%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8,634,442.58</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3,401,783.09</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-3,401,783.09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sz w:val="16"/>
                          </w:rPr>
                          <w:t>Limepc Multimedia Technologies Co.,</w:t>
                        </w:r>
                        <w:r>
                          <w:rPr>
                            <w:rFonts w:ascii="宋体"/>
                            <w:spacing w:val="-19"/>
                            <w:sz w:val="16"/>
                          </w:rPr>
                          <w:t> </w:t>
                        </w:r>
                        <w:r>
                          <w:rPr>
                            <w:rFonts w:ascii="宋体"/>
                            <w:sz w:val="16"/>
                          </w:rPr>
                          <w:t>Limited</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8"/>
                          <w:jc w:val="right"/>
                          <w:rPr>
                            <w:rFonts w:ascii="宋体" w:hAnsi="宋体" w:cs="宋体" w:eastAsia="宋体" w:hint="default"/>
                            <w:sz w:val="16"/>
                            <w:szCs w:val="16"/>
                          </w:rPr>
                        </w:pPr>
                        <w:r>
                          <w:rPr>
                            <w:rFonts w:ascii="宋体"/>
                            <w:spacing w:val="-1"/>
                            <w:sz w:val="16"/>
                          </w:rPr>
                          <w:t>50.00%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4" w:right="0"/>
                          <w:jc w:val="left"/>
                          <w:rPr>
                            <w:rFonts w:ascii="宋体" w:hAnsi="宋体" w:cs="宋体" w:eastAsia="宋体" w:hint="default"/>
                            <w:sz w:val="16"/>
                            <w:szCs w:val="16"/>
                          </w:rPr>
                        </w:pPr>
                        <w:r>
                          <w:rPr>
                            <w:rFonts w:ascii="宋体"/>
                            <w:sz w:val="16"/>
                          </w:rPr>
                          <w:t>50.00%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2,202,319.83</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2,202,319.83</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2,202,319.83</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同方佰宜科技（北京）有限公司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30.00%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30.00%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3,000,000.00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3,000,168.62</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92,273.59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3,092,442.21</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九江佳华压电晶体材料有限公司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宋体" w:hAnsi="宋体" w:cs="宋体" w:eastAsia="宋体" w:hint="default"/>
                            <w:sz w:val="16"/>
                            <w:szCs w:val="16"/>
                          </w:rPr>
                        </w:pPr>
                        <w:r>
                          <w:rPr>
                            <w:rFonts w:ascii="宋体"/>
                            <w:spacing w:val="-1"/>
                            <w:sz w:val="16"/>
                          </w:rPr>
                          <w:t>30.00%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9" w:right="0"/>
                          <w:jc w:val="left"/>
                          <w:rPr>
                            <w:rFonts w:ascii="宋体" w:hAnsi="宋体" w:cs="宋体" w:eastAsia="宋体" w:hint="default"/>
                            <w:sz w:val="16"/>
                            <w:szCs w:val="16"/>
                          </w:rPr>
                        </w:pPr>
                        <w:r>
                          <w:rPr>
                            <w:rFonts w:ascii="宋体"/>
                            <w:sz w:val="16"/>
                          </w:rPr>
                          <w:t>30.00%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2,550,000.00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2,054,035.65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2,054,035.65</w:t>
                        </w:r>
                      </w:p>
                    </w:tc>
                  </w:tr>
                  <w:tr>
                    <w:trPr>
                      <w:trHeight w:val="284"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上海东方希杰商务有限公司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5"/>
                          <w:jc w:val="right"/>
                          <w:rPr>
                            <w:rFonts w:ascii="宋体" w:hAnsi="宋体" w:cs="宋体" w:eastAsia="宋体" w:hint="default"/>
                            <w:sz w:val="16"/>
                            <w:szCs w:val="16"/>
                          </w:rPr>
                        </w:pPr>
                        <w:r>
                          <w:rPr>
                            <w:rFonts w:ascii="宋体"/>
                            <w:spacing w:val="-1"/>
                            <w:sz w:val="16"/>
                          </w:rPr>
                          <w:t>0.00%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133,970,354.15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144,246,144.39</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-144,246,144.39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7" w:hRule="exact"/>
                    </w:trPr>
                    <w:tc>
                      <w:tcPr>
                        <w:tcW w:w="373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北京九州同映国产数字电影院线有限公司</w:t>
                        </w:r>
                      </w:p>
                    </w:tc>
                    <w:tc>
                      <w:tcPr>
                        <w:tcW w:w="85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82"/>
                          <w:jc w:val="right"/>
                          <w:rPr>
                            <w:rFonts w:ascii="宋体" w:hAnsi="宋体" w:cs="宋体" w:eastAsia="宋体" w:hint="default"/>
                            <w:sz w:val="16"/>
                            <w:szCs w:val="16"/>
                          </w:rPr>
                        </w:pPr>
                        <w:r>
                          <w:rPr>
                            <w:rFonts w:ascii="宋体"/>
                            <w:spacing w:val="-1"/>
                            <w:sz w:val="16"/>
                          </w:rPr>
                          <w:t>40.00%</w:t>
                        </w:r>
                      </w:p>
                    </w:tc>
                    <w:tc>
                      <w:tcPr>
                        <w:tcW w:w="77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90" w:right="0"/>
                          <w:jc w:val="left"/>
                          <w:rPr>
                            <w:rFonts w:ascii="宋体" w:hAnsi="宋体" w:cs="宋体" w:eastAsia="宋体" w:hint="default"/>
                            <w:sz w:val="16"/>
                            <w:szCs w:val="16"/>
                          </w:rPr>
                        </w:pPr>
                        <w:r>
                          <w:rPr>
                            <w:rFonts w:ascii="宋体"/>
                            <w:sz w:val="16"/>
                          </w:rPr>
                          <w:t>40.00%</w:t>
                        </w: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2,000,000.00</w:t>
                        </w: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1,707,837.06</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52,474.06</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1,760,311.12</w:t>
                        </w:r>
                      </w:p>
                    </w:tc>
                  </w:tr>
                  <w:tr>
                    <w:trPr>
                      <w:trHeight w:val="304" w:hRule="exact"/>
                    </w:trPr>
                    <w:tc>
                      <w:tcPr>
                        <w:tcW w:w="37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10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858" w:type="dxa"/>
                        <w:tcBorders>
                          <w:top w:val="single" w:sz="4" w:space="0" w:color="000000"/>
                          <w:left w:val="nil" w:sz="6" w:space="0" w:color="auto"/>
                          <w:bottom w:val="single" w:sz="12" w:space="0" w:color="000000"/>
                          <w:right w:val="nil" w:sz="6" w:space="0" w:color="auto"/>
                        </w:tcBorders>
                      </w:tcPr>
                      <w:p>
                        <w:pPr/>
                      </w:p>
                    </w:tc>
                    <w:tc>
                      <w:tcPr>
                        <w:tcW w:w="776" w:type="dxa"/>
                        <w:tcBorders>
                          <w:top w:val="single" w:sz="4" w:space="0" w:color="000000"/>
                          <w:left w:val="nil" w:sz="6" w:space="0" w:color="auto"/>
                          <w:bottom w:val="single" w:sz="12" w:space="0" w:color="000000"/>
                          <w:right w:val="nil" w:sz="6" w:space="0" w:color="auto"/>
                        </w:tcBorders>
                      </w:tcPr>
                      <w:p>
                        <w:pPr/>
                      </w:p>
                    </w:tc>
                    <w:tc>
                      <w:tcPr>
                        <w:tcW w:w="1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6"/>
                            <w:szCs w:val="16"/>
                          </w:rPr>
                        </w:pPr>
                        <w:r>
                          <w:rPr>
                            <w:rFonts w:ascii="宋体"/>
                            <w:b/>
                            <w:w w:val="95"/>
                            <w:sz w:val="16"/>
                          </w:rPr>
                          <w:t>1,404,226,663.32</w:t>
                        </w:r>
                        <w:r>
                          <w:rPr>
                            <w:rFonts w:ascii="宋体"/>
                            <w:sz w:val="16"/>
                          </w:rPr>
                        </w:r>
                      </w:p>
                    </w:tc>
                    <w:tc>
                      <w:tcPr>
                        <w:tcW w:w="1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6"/>
                            <w:szCs w:val="16"/>
                          </w:rPr>
                        </w:pPr>
                        <w:r>
                          <w:rPr>
                            <w:rFonts w:ascii="宋体"/>
                            <w:b/>
                            <w:w w:val="95"/>
                            <w:sz w:val="16"/>
                          </w:rPr>
                          <w:t>1,635,061,830.30</w:t>
                        </w:r>
                        <w:r>
                          <w:rPr>
                            <w:rFonts w:ascii="宋体"/>
                            <w:sz w:val="16"/>
                          </w:rPr>
                        </w:r>
                      </w:p>
                    </w:tc>
                    <w:tc>
                      <w:tcPr>
                        <w:tcW w:w="1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6"/>
                            <w:szCs w:val="16"/>
                          </w:rPr>
                        </w:pPr>
                        <w:r>
                          <w:rPr>
                            <w:rFonts w:ascii="宋体"/>
                            <w:b/>
                            <w:w w:val="95"/>
                            <w:sz w:val="16"/>
                          </w:rPr>
                          <w:t>-66,354,801.32</w:t>
                        </w:r>
                        <w:r>
                          <w:rPr>
                            <w:rFonts w:ascii="宋体"/>
                            <w:sz w:val="16"/>
                          </w:rPr>
                        </w: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98"/>
                          <w:jc w:val="right"/>
                          <w:rPr>
                            <w:rFonts w:ascii="宋体" w:hAnsi="宋体" w:cs="宋体" w:eastAsia="宋体" w:hint="default"/>
                            <w:sz w:val="16"/>
                            <w:szCs w:val="16"/>
                          </w:rPr>
                        </w:pPr>
                        <w:r>
                          <w:rPr>
                            <w:rFonts w:ascii="宋体"/>
                            <w:b/>
                            <w:w w:val="95"/>
                            <w:sz w:val="16"/>
                          </w:rPr>
                          <w:t>1,568,707,028.98</w:t>
                        </w:r>
                        <w:r>
                          <w:rPr>
                            <w:rFonts w:ascii="宋体"/>
                            <w:sz w:val="16"/>
                          </w:rPr>
                        </w:r>
                      </w:p>
                    </w:tc>
                  </w:tr>
                </w:tbl>
                <w:p>
                  <w:pPr/>
                </w:p>
              </w:txbxContent>
            </v:textbox>
            <w10:wrap type="none"/>
          </v:shape>
        </w:pict>
      </w:r>
      <w:r>
        <w:rPr>
          <w:rFonts w:ascii="宋体" w:hAnsi="宋体" w:cs="宋体" w:eastAsia="宋体" w:hint="default"/>
          <w:b/>
          <w:bCs/>
          <w:w w:val="95"/>
          <w:sz w:val="16"/>
          <w:szCs w:val="16"/>
        </w:rPr>
        <w:t>被投资单位名称</w:t>
        <w:tab/>
      </w:r>
      <w:r>
        <w:rPr>
          <w:rFonts w:ascii="宋体" w:hAnsi="宋体" w:cs="宋体" w:eastAsia="宋体" w:hint="default"/>
          <w:b/>
          <w:bCs/>
          <w:position w:val="10"/>
          <w:sz w:val="16"/>
          <w:szCs w:val="16"/>
        </w:rPr>
        <w:t>持股</w:t>
      </w:r>
      <w:r>
        <w:rPr>
          <w:rFonts w:ascii="宋体" w:hAnsi="宋体" w:cs="宋体" w:eastAsia="宋体" w:hint="default"/>
          <w:sz w:val="16"/>
          <w:szCs w:val="16"/>
        </w:rPr>
      </w:r>
    </w:p>
    <w:p>
      <w:pPr>
        <w:tabs>
          <w:tab w:pos="1557" w:val="left" w:leader="none"/>
        </w:tabs>
        <w:spacing w:line="182" w:lineRule="exact" w:before="0"/>
        <w:ind w:left="295" w:right="-19"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表决权</w:t>
        <w:tab/>
      </w:r>
      <w:r>
        <w:rPr>
          <w:rFonts w:ascii="宋体" w:hAnsi="宋体" w:cs="宋体" w:eastAsia="宋体" w:hint="default"/>
          <w:b/>
          <w:bCs/>
          <w:sz w:val="16"/>
          <w:szCs w:val="16"/>
        </w:rPr>
        <w:t>投资</w:t>
      </w:r>
      <w:r>
        <w:rPr>
          <w:rFonts w:ascii="宋体" w:hAnsi="宋体" w:cs="宋体" w:eastAsia="宋体" w:hint="default"/>
          <w:sz w:val="16"/>
          <w:szCs w:val="16"/>
        </w:rPr>
      </w:r>
    </w:p>
    <w:p>
      <w:pPr>
        <w:tabs>
          <w:tab w:pos="1756" w:val="left" w:leader="none"/>
          <w:tab w:pos="3217" w:val="left" w:leader="none"/>
        </w:tabs>
        <w:spacing w:line="182" w:lineRule="exact" w:before="0"/>
        <w:ind w:left="295"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年初</w:t>
        <w:tab/>
        <w:t>本年</w:t>
        <w:tab/>
      </w:r>
      <w:r>
        <w:rPr>
          <w:rFonts w:ascii="宋体" w:hAnsi="宋体" w:cs="宋体" w:eastAsia="宋体" w:hint="default"/>
          <w:b/>
          <w:bCs/>
          <w:sz w:val="16"/>
          <w:szCs w:val="16"/>
        </w:rPr>
        <w:t>年末</w:t>
      </w:r>
      <w:r>
        <w:rPr>
          <w:rFonts w:ascii="宋体" w:hAnsi="宋体" w:cs="宋体" w:eastAsia="宋体" w:hint="default"/>
          <w:sz w:val="16"/>
          <w:szCs w:val="16"/>
        </w:rPr>
      </w:r>
    </w:p>
    <w:p>
      <w:pPr>
        <w:spacing w:after="0" w:line="182" w:lineRule="exact"/>
        <w:jc w:val="left"/>
        <w:rPr>
          <w:rFonts w:ascii="宋体" w:hAnsi="宋体" w:cs="宋体" w:eastAsia="宋体" w:hint="default"/>
          <w:sz w:val="16"/>
          <w:szCs w:val="16"/>
        </w:rPr>
        <w:sectPr>
          <w:headerReference w:type="default" r:id="rId39"/>
          <w:pgSz w:w="11910" w:h="16840"/>
          <w:pgMar w:header="610" w:footer="784" w:top="1720" w:bottom="980" w:left="180" w:right="40"/>
          <w:cols w:num="3" w:equalWidth="0">
            <w:col w:w="4432" w:space="158"/>
            <w:col w:w="1880" w:space="889"/>
            <w:col w:w="433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31"/>
        <w:ind w:left="169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对联营企业的投资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50"/>
        <w:ind w:left="0" w:right="1272" w:firstLine="0"/>
        <w:jc w:val="right"/>
        <w:rPr>
          <w:rFonts w:ascii="宋体" w:hAnsi="宋体" w:cs="宋体" w:eastAsia="宋体" w:hint="default"/>
          <w:sz w:val="16"/>
          <w:szCs w:val="16"/>
        </w:rPr>
      </w:pPr>
      <w:r>
        <w:rPr/>
        <w:pict>
          <v:shape style="position:absolute;margin-left:53.939999pt;margin-top:-201.710358pt;width:493.3pt;height:266.05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40"/>
                    <w:gridCol w:w="1300"/>
                    <w:gridCol w:w="4116"/>
                    <w:gridCol w:w="1309"/>
                  </w:tblGrid>
                  <w:tr>
                    <w:trPr>
                      <w:trHeight w:val="304" w:hRule="exact"/>
                    </w:trPr>
                    <w:tc>
                      <w:tcPr>
                        <w:tcW w:w="3140"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22"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300"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549" w:right="0"/>
                          <w:jc w:val="left"/>
                          <w:rPr>
                            <w:rFonts w:ascii="宋体" w:hAnsi="宋体" w:cs="宋体" w:eastAsia="宋体" w:hint="default"/>
                            <w:sz w:val="16"/>
                            <w:szCs w:val="16"/>
                          </w:rPr>
                        </w:pPr>
                        <w:r>
                          <w:rPr>
                            <w:rFonts w:ascii="宋体" w:hAnsi="宋体" w:cs="宋体" w:eastAsia="宋体" w:hint="default"/>
                            <w:b/>
                            <w:bCs/>
                            <w:sz w:val="16"/>
                            <w:szCs w:val="16"/>
                          </w:rPr>
                          <w:t>注册地</w:t>
                        </w:r>
                        <w:r>
                          <w:rPr>
                            <w:rFonts w:ascii="宋体" w:hAnsi="宋体" w:cs="宋体" w:eastAsia="宋体" w:hint="default"/>
                            <w:sz w:val="16"/>
                            <w:szCs w:val="16"/>
                          </w:rPr>
                        </w:r>
                      </w:p>
                    </w:tc>
                    <w:tc>
                      <w:tcPr>
                        <w:tcW w:w="411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213"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c>
                      <w:tcPr>
                        <w:tcW w:w="1309"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20" w:right="0"/>
                          <w:jc w:val="center"/>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r>
                  <w:tr>
                    <w:trPr>
                      <w:trHeight w:val="291" w:hRule="exact"/>
                    </w:trPr>
                    <w:tc>
                      <w:tcPr>
                        <w:tcW w:w="314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98" w:right="0"/>
                          <w:jc w:val="left"/>
                          <w:rPr>
                            <w:rFonts w:ascii="宋体" w:hAnsi="宋体" w:cs="宋体" w:eastAsia="宋体" w:hint="default"/>
                            <w:sz w:val="16"/>
                            <w:szCs w:val="16"/>
                          </w:rPr>
                        </w:pPr>
                        <w:r>
                          <w:rPr>
                            <w:rFonts w:ascii="宋体" w:hAnsi="宋体" w:cs="宋体" w:eastAsia="宋体" w:hint="default"/>
                            <w:sz w:val="16"/>
                            <w:szCs w:val="16"/>
                          </w:rPr>
                          <w:t>吉林长春</w:t>
                        </w:r>
                      </w:p>
                    </w:tc>
                    <w:tc>
                      <w:tcPr>
                        <w:tcW w:w="411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02" w:right="0"/>
                          <w:jc w:val="left"/>
                          <w:rPr>
                            <w:rFonts w:ascii="宋体" w:hAnsi="宋体" w:cs="宋体" w:eastAsia="宋体" w:hint="default"/>
                            <w:sz w:val="16"/>
                            <w:szCs w:val="16"/>
                          </w:rPr>
                        </w:pPr>
                        <w:r>
                          <w:rPr>
                            <w:rFonts w:ascii="宋体" w:hAnsi="宋体" w:cs="宋体" w:eastAsia="宋体" w:hint="default"/>
                            <w:sz w:val="16"/>
                            <w:szCs w:val="16"/>
                          </w:rPr>
                          <w:t>计算机及信息产品、人环控制设备、仪器仪表</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23" w:right="0"/>
                          <w:jc w:val="center"/>
                          <w:rPr>
                            <w:rFonts w:ascii="宋体" w:hAnsi="宋体" w:cs="宋体" w:eastAsia="宋体" w:hint="default"/>
                            <w:sz w:val="16"/>
                            <w:szCs w:val="16"/>
                          </w:rPr>
                        </w:pPr>
                        <w:r>
                          <w:rPr>
                            <w:rFonts w:ascii="宋体"/>
                            <w:sz w:val="16"/>
                          </w:rPr>
                          <w:t>46.00%</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河南郑州</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电子、通信、计算机软硬件，医疗仪器</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center"/>
                          <w:rPr>
                            <w:rFonts w:ascii="宋体" w:hAnsi="宋体" w:cs="宋体" w:eastAsia="宋体" w:hint="default"/>
                            <w:sz w:val="16"/>
                            <w:szCs w:val="16"/>
                          </w:rPr>
                        </w:pPr>
                        <w:r>
                          <w:rPr>
                            <w:rFonts w:ascii="宋体"/>
                            <w:sz w:val="16"/>
                          </w:rPr>
                          <w:t>50.00%</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北京昌平</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音像制品、数字多媒体、宽频网络多媒体</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3" w:right="0"/>
                          <w:jc w:val="center"/>
                          <w:rPr>
                            <w:rFonts w:ascii="宋体" w:hAnsi="宋体" w:cs="宋体" w:eastAsia="宋体" w:hint="default"/>
                            <w:sz w:val="16"/>
                            <w:szCs w:val="16"/>
                          </w:rPr>
                        </w:pPr>
                        <w:r>
                          <w:rPr>
                            <w:rFonts w:ascii="宋体"/>
                            <w:sz w:val="16"/>
                          </w:rPr>
                          <w:t>50.00%</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上海浦东</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实业投资、创业投资、投资咨询与管理</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center"/>
                          <w:rPr>
                            <w:rFonts w:ascii="宋体" w:hAnsi="宋体" w:cs="宋体" w:eastAsia="宋体" w:hint="default"/>
                            <w:sz w:val="16"/>
                            <w:szCs w:val="16"/>
                          </w:rPr>
                        </w:pPr>
                        <w:r>
                          <w:rPr>
                            <w:rFonts w:ascii="宋体"/>
                            <w:sz w:val="16"/>
                          </w:rPr>
                          <w:t>25.00%</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9" w:right="0"/>
                          <w:jc w:val="left"/>
                          <w:rPr>
                            <w:rFonts w:ascii="宋体" w:hAnsi="宋体" w:cs="宋体" w:eastAsia="宋体" w:hint="default"/>
                            <w:sz w:val="16"/>
                            <w:szCs w:val="16"/>
                          </w:rPr>
                        </w:pPr>
                        <w:r>
                          <w:rPr>
                            <w:rFonts w:ascii="宋体" w:hAnsi="宋体" w:cs="宋体" w:eastAsia="宋体" w:hint="default"/>
                            <w:sz w:val="16"/>
                            <w:szCs w:val="16"/>
                          </w:rPr>
                          <w:t>云南昆明</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3" w:right="0"/>
                          <w:jc w:val="left"/>
                          <w:rPr>
                            <w:rFonts w:ascii="宋体" w:hAnsi="宋体" w:cs="宋体" w:eastAsia="宋体" w:hint="default"/>
                            <w:sz w:val="16"/>
                            <w:szCs w:val="16"/>
                          </w:rPr>
                        </w:pPr>
                        <w:r>
                          <w:rPr>
                            <w:rFonts w:ascii="宋体" w:hAnsi="宋体" w:cs="宋体" w:eastAsia="宋体" w:hint="default"/>
                            <w:sz w:val="16"/>
                            <w:szCs w:val="16"/>
                          </w:rPr>
                          <w:t>IT</w:t>
                        </w:r>
                        <w:r>
                          <w:rPr>
                            <w:rFonts w:ascii="宋体" w:hAnsi="宋体" w:cs="宋体" w:eastAsia="宋体" w:hint="default"/>
                            <w:spacing w:val="-42"/>
                            <w:sz w:val="16"/>
                            <w:szCs w:val="16"/>
                          </w:rPr>
                          <w:t> </w:t>
                        </w:r>
                        <w:r>
                          <w:rPr>
                            <w:rFonts w:ascii="宋体" w:hAnsi="宋体" w:cs="宋体" w:eastAsia="宋体" w:hint="default"/>
                            <w:sz w:val="16"/>
                            <w:szCs w:val="16"/>
                          </w:rPr>
                          <w:t>与电力高科技产品</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center"/>
                          <w:rPr>
                            <w:rFonts w:ascii="宋体" w:hAnsi="宋体" w:cs="宋体" w:eastAsia="宋体" w:hint="default"/>
                            <w:sz w:val="16"/>
                            <w:szCs w:val="16"/>
                          </w:rPr>
                        </w:pPr>
                        <w:r>
                          <w:rPr>
                            <w:rFonts w:ascii="宋体"/>
                            <w:sz w:val="16"/>
                          </w:rPr>
                          <w:t>37.50%</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环保工程、新能源发电、垃圾处理</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3" w:right="0"/>
                          <w:jc w:val="center"/>
                          <w:rPr>
                            <w:rFonts w:ascii="宋体" w:hAnsi="宋体" w:cs="宋体" w:eastAsia="宋体" w:hint="default"/>
                            <w:sz w:val="16"/>
                            <w:szCs w:val="16"/>
                          </w:rPr>
                        </w:pPr>
                        <w:r>
                          <w:rPr>
                            <w:rFonts w:ascii="宋体"/>
                            <w:sz w:val="16"/>
                          </w:rPr>
                          <w:t>31.50%</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山东潍坊</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项目投资及管理、咨询服务</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3" w:right="0"/>
                          <w:jc w:val="center"/>
                          <w:rPr>
                            <w:rFonts w:ascii="宋体" w:hAnsi="宋体" w:cs="宋体" w:eastAsia="宋体" w:hint="default"/>
                            <w:sz w:val="16"/>
                            <w:szCs w:val="16"/>
                          </w:rPr>
                        </w:pPr>
                        <w:r>
                          <w:rPr>
                            <w:rFonts w:ascii="宋体"/>
                            <w:sz w:val="16"/>
                          </w:rPr>
                          <w:t>45.45%</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酒店宽带互联网与互动数字电视系统解决方案</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3" w:right="0"/>
                          <w:jc w:val="center"/>
                          <w:rPr>
                            <w:rFonts w:ascii="宋体" w:hAnsi="宋体" w:cs="宋体" w:eastAsia="宋体" w:hint="default"/>
                            <w:sz w:val="16"/>
                            <w:szCs w:val="16"/>
                          </w:rPr>
                        </w:pPr>
                        <w:r>
                          <w:rPr>
                            <w:rFonts w:ascii="宋体"/>
                            <w:sz w:val="16"/>
                          </w:rPr>
                          <w:t>32.25%</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9"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3" w:right="0"/>
                          <w:jc w:val="left"/>
                          <w:rPr>
                            <w:rFonts w:ascii="宋体" w:hAnsi="宋体" w:cs="宋体" w:eastAsia="宋体" w:hint="default"/>
                            <w:sz w:val="16"/>
                            <w:szCs w:val="16"/>
                          </w:rPr>
                        </w:pPr>
                        <w:r>
                          <w:rPr>
                            <w:rFonts w:ascii="宋体" w:hAnsi="宋体" w:cs="宋体" w:eastAsia="宋体" w:hint="default"/>
                            <w:sz w:val="16"/>
                            <w:szCs w:val="16"/>
                          </w:rPr>
                          <w:t>RFID</w:t>
                        </w:r>
                        <w:r>
                          <w:rPr>
                            <w:rFonts w:ascii="宋体" w:hAnsi="宋体" w:cs="宋体" w:eastAsia="宋体" w:hint="default"/>
                            <w:spacing w:val="-43"/>
                            <w:sz w:val="16"/>
                            <w:szCs w:val="16"/>
                          </w:rPr>
                          <w:t> </w:t>
                        </w:r>
                        <w:r>
                          <w:rPr>
                            <w:rFonts w:ascii="宋体" w:hAnsi="宋体" w:cs="宋体" w:eastAsia="宋体" w:hint="default"/>
                            <w:sz w:val="16"/>
                            <w:szCs w:val="16"/>
                          </w:rPr>
                          <w:t>电子标签识别技术产品</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3" w:right="0"/>
                          <w:jc w:val="center"/>
                          <w:rPr>
                            <w:rFonts w:ascii="宋体" w:hAnsi="宋体" w:cs="宋体" w:eastAsia="宋体" w:hint="default"/>
                            <w:sz w:val="16"/>
                            <w:szCs w:val="16"/>
                          </w:rPr>
                        </w:pPr>
                        <w:r>
                          <w:rPr>
                            <w:rFonts w:ascii="宋体"/>
                            <w:sz w:val="16"/>
                          </w:rPr>
                          <w:t>49.9999%</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百视通网络电视技术发展有限责任公司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9" w:right="0"/>
                          <w:jc w:val="left"/>
                          <w:rPr>
                            <w:rFonts w:ascii="宋体" w:hAnsi="宋体" w:cs="宋体" w:eastAsia="宋体" w:hint="default"/>
                            <w:sz w:val="16"/>
                            <w:szCs w:val="16"/>
                          </w:rPr>
                        </w:pPr>
                        <w:r>
                          <w:rPr>
                            <w:rFonts w:ascii="宋体" w:hAnsi="宋体" w:cs="宋体" w:eastAsia="宋体" w:hint="default"/>
                            <w:sz w:val="16"/>
                            <w:szCs w:val="16"/>
                          </w:rPr>
                          <w:t>上海长宁</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3" w:right="0"/>
                          <w:jc w:val="left"/>
                          <w:rPr>
                            <w:rFonts w:ascii="宋体" w:hAnsi="宋体" w:cs="宋体" w:eastAsia="宋体" w:hint="default"/>
                            <w:sz w:val="16"/>
                            <w:szCs w:val="16"/>
                          </w:rPr>
                        </w:pPr>
                        <w:r>
                          <w:rPr>
                            <w:rFonts w:ascii="宋体" w:hAnsi="宋体" w:cs="宋体" w:eastAsia="宋体" w:hint="default"/>
                            <w:sz w:val="16"/>
                            <w:szCs w:val="16"/>
                          </w:rPr>
                          <w:t>开展</w:t>
                        </w:r>
                        <w:r>
                          <w:rPr>
                            <w:rFonts w:ascii="宋体" w:hAnsi="宋体" w:cs="宋体" w:eastAsia="宋体" w:hint="default"/>
                            <w:spacing w:val="-43"/>
                            <w:sz w:val="16"/>
                            <w:szCs w:val="16"/>
                          </w:rPr>
                          <w:t> </w:t>
                        </w:r>
                        <w:r>
                          <w:rPr>
                            <w:rFonts w:ascii="宋体" w:hAnsi="宋体" w:cs="宋体" w:eastAsia="宋体" w:hint="default"/>
                            <w:sz w:val="16"/>
                            <w:szCs w:val="16"/>
                          </w:rPr>
                          <w:t>IPTV</w:t>
                        </w:r>
                        <w:r>
                          <w:rPr>
                            <w:rFonts w:ascii="宋体" w:hAnsi="宋体" w:cs="宋体" w:eastAsia="宋体" w:hint="default"/>
                            <w:spacing w:val="-42"/>
                            <w:sz w:val="16"/>
                            <w:szCs w:val="16"/>
                          </w:rPr>
                          <w:t> </w:t>
                        </w:r>
                        <w:r>
                          <w:rPr>
                            <w:rFonts w:ascii="宋体" w:hAnsi="宋体" w:cs="宋体" w:eastAsia="宋体" w:hint="default"/>
                            <w:sz w:val="16"/>
                            <w:szCs w:val="16"/>
                          </w:rPr>
                          <w:t>收视及广告服务运营</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center"/>
                          <w:rPr>
                            <w:rFonts w:ascii="宋体" w:hAnsi="宋体" w:cs="宋体" w:eastAsia="宋体" w:hint="default"/>
                            <w:sz w:val="16"/>
                            <w:szCs w:val="16"/>
                          </w:rPr>
                        </w:pPr>
                        <w:r>
                          <w:rPr>
                            <w:rFonts w:ascii="宋体"/>
                            <w:sz w:val="16"/>
                          </w:rPr>
                          <w:t>15.466%</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黑龙江哈市</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center"/>
                          <w:rPr>
                            <w:rFonts w:ascii="宋体" w:hAnsi="宋体" w:cs="宋体" w:eastAsia="宋体" w:hint="default"/>
                            <w:sz w:val="16"/>
                            <w:szCs w:val="16"/>
                          </w:rPr>
                        </w:pPr>
                        <w:r>
                          <w:rPr>
                            <w:rFonts w:ascii="宋体"/>
                            <w:sz w:val="16"/>
                          </w:rPr>
                          <w:t>10.16%</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同方恩欧凯（无锡）膜技术有限公司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江苏无锡</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环保用有机膜、膜组件及膜生产设备的研发与生产</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center"/>
                          <w:rPr>
                            <w:rFonts w:ascii="宋体" w:hAnsi="宋体" w:cs="宋体" w:eastAsia="宋体" w:hint="default"/>
                            <w:sz w:val="16"/>
                            <w:szCs w:val="16"/>
                          </w:rPr>
                        </w:pPr>
                        <w:r>
                          <w:rPr>
                            <w:rFonts w:ascii="宋体"/>
                            <w:sz w:val="16"/>
                          </w:rPr>
                          <w:t>50.00%</w:t>
                        </w:r>
                      </w:p>
                    </w:tc>
                  </w:tr>
                  <w:tr>
                    <w:trPr>
                      <w:trHeight w:val="222"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动漫形象及相关衍生产品开发、生产、经营</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3" w:right="0"/>
                          <w:jc w:val="center"/>
                          <w:rPr>
                            <w:rFonts w:ascii="宋体" w:hAnsi="宋体" w:cs="宋体" w:eastAsia="宋体" w:hint="default"/>
                            <w:sz w:val="16"/>
                            <w:szCs w:val="16"/>
                          </w:rPr>
                        </w:pPr>
                        <w:r>
                          <w:rPr>
                            <w:rFonts w:ascii="宋体"/>
                            <w:sz w:val="16"/>
                          </w:rPr>
                          <w:t>40.00%</w:t>
                        </w:r>
                      </w:p>
                    </w:tc>
                  </w:tr>
                  <w:tr>
                    <w:trPr>
                      <w:trHeight w:val="323" w:hRule="exact"/>
                    </w:trPr>
                    <w:tc>
                      <w:tcPr>
                        <w:tcW w:w="9865" w:type="dxa"/>
                        <w:gridSpan w:val="4"/>
                        <w:tcBorders>
                          <w:top w:val="nil" w:sz="6" w:space="0" w:color="auto"/>
                          <w:left w:val="nil" w:sz="6" w:space="0" w:color="auto"/>
                          <w:bottom w:val="nil" w:sz="6" w:space="0" w:color="auto"/>
                          <w:right w:val="nil" w:sz="6" w:space="0" w:color="auto"/>
                        </w:tcBorders>
                      </w:tcPr>
                      <w:p>
                        <w:pPr>
                          <w:pStyle w:val="TableParagraph"/>
                          <w:tabs>
                            <w:tab w:pos="3437" w:val="left" w:leader="none"/>
                            <w:tab w:pos="4641" w:val="left" w:leader="none"/>
                          </w:tabs>
                          <w:spacing w:line="240" w:lineRule="auto" w:before="44"/>
                          <w:ind w:left="122" w:right="0"/>
                          <w:jc w:val="left"/>
                          <w:rPr>
                            <w:rFonts w:ascii="宋体" w:hAnsi="宋体" w:cs="宋体" w:eastAsia="宋体" w:hint="default"/>
                            <w:sz w:val="16"/>
                            <w:szCs w:val="16"/>
                          </w:rPr>
                        </w:pPr>
                        <w:r>
                          <w:rPr>
                            <w:rFonts w:ascii="宋体" w:hAnsi="宋体" w:cs="宋体" w:eastAsia="宋体" w:hint="default"/>
                            <w:w w:val="95"/>
                            <w:position w:val="-9"/>
                            <w:sz w:val="16"/>
                            <w:szCs w:val="16"/>
                          </w:rPr>
                          <w:t>重庆同方合志科技有限公司</w:t>
                          <w:tab/>
                          <w:t>重庆北部</w:t>
                          <w:tab/>
                        </w:r>
                        <w:r>
                          <w:rPr>
                            <w:rFonts w:ascii="宋体" w:hAnsi="宋体" w:cs="宋体" w:eastAsia="宋体" w:hint="default"/>
                            <w:sz w:val="16"/>
                            <w:szCs w:val="16"/>
                          </w:rPr>
                          <w:t>通信设备器材、嵌入式电子系统、计算机软硬件</w:t>
                        </w:r>
                      </w:p>
                    </w:tc>
                  </w:tr>
                  <w:tr>
                    <w:trPr>
                      <w:trHeight w:val="177" w:hRule="exact"/>
                    </w:trPr>
                    <w:tc>
                      <w:tcPr>
                        <w:tcW w:w="3140"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4116" w:type="dxa"/>
                        <w:tcBorders>
                          <w:top w:val="nil" w:sz="6" w:space="0" w:color="auto"/>
                          <w:left w:val="nil" w:sz="6" w:space="0" w:color="auto"/>
                          <w:bottom w:val="nil" w:sz="6" w:space="0" w:color="auto"/>
                          <w:right w:val="nil" w:sz="6" w:space="0" w:color="auto"/>
                        </w:tcBorders>
                      </w:tcPr>
                      <w:p>
                        <w:pPr>
                          <w:pStyle w:val="TableParagraph"/>
                          <w:spacing w:line="130" w:lineRule="exact"/>
                          <w:ind w:left="201" w:right="0"/>
                          <w:jc w:val="left"/>
                          <w:rPr>
                            <w:rFonts w:ascii="宋体" w:hAnsi="宋体" w:cs="宋体" w:eastAsia="宋体" w:hint="default"/>
                            <w:sz w:val="16"/>
                            <w:szCs w:val="16"/>
                          </w:rPr>
                        </w:pPr>
                        <w:r>
                          <w:rPr>
                            <w:rFonts w:ascii="宋体" w:hAnsi="宋体" w:cs="宋体" w:eastAsia="宋体" w:hint="default"/>
                            <w:sz w:val="16"/>
                            <w:szCs w:val="16"/>
                          </w:rPr>
                          <w:t>的开发、产销与技术服务</w:t>
                        </w:r>
                      </w:p>
                    </w:tc>
                    <w:tc>
                      <w:tcPr>
                        <w:tcW w:w="1309" w:type="dxa"/>
                        <w:tcBorders>
                          <w:top w:val="nil" w:sz="6" w:space="0" w:color="auto"/>
                          <w:left w:val="nil" w:sz="6" w:space="0" w:color="auto"/>
                          <w:bottom w:val="nil" w:sz="6" w:space="0" w:color="auto"/>
                          <w:right w:val="nil" w:sz="6" w:space="0" w:color="auto"/>
                        </w:tcBorders>
                      </w:tcPr>
                      <w:p>
                        <w:pPr/>
                      </w:p>
                    </w:tc>
                  </w:tr>
                  <w:tr>
                    <w:trPr>
                      <w:trHeight w:val="269"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南昌</w:t>
                        </w:r>
                        <w:r>
                          <w:rPr>
                            <w:rFonts w:ascii="宋体" w:hAnsi="宋体" w:cs="宋体" w:eastAsia="宋体" w:hint="default"/>
                            <w:spacing w:val="-43"/>
                            <w:sz w:val="16"/>
                            <w:szCs w:val="16"/>
                          </w:rPr>
                          <w:t> </w:t>
                        </w:r>
                        <w:r>
                          <w:rPr>
                            <w:rFonts w:ascii="宋体" w:hAnsi="宋体" w:cs="宋体" w:eastAsia="宋体" w:hint="default"/>
                            <w:sz w:val="16"/>
                            <w:szCs w:val="16"/>
                          </w:rPr>
                          <w:t>ABB</w:t>
                        </w:r>
                        <w:r>
                          <w:rPr>
                            <w:rFonts w:ascii="宋体" w:hAnsi="宋体" w:cs="宋体" w:eastAsia="宋体" w:hint="default"/>
                            <w:spacing w:val="-42"/>
                            <w:sz w:val="16"/>
                            <w:szCs w:val="16"/>
                          </w:rPr>
                          <w:t> </w:t>
                        </w:r>
                        <w:r>
                          <w:rPr>
                            <w:rFonts w:ascii="宋体" w:hAnsi="宋体" w:cs="宋体" w:eastAsia="宋体" w:hint="default"/>
                            <w:sz w:val="16"/>
                            <w:szCs w:val="16"/>
                          </w:rPr>
                          <w:t>发电机有限公司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07" w:lineRule="exact"/>
                          <w:ind w:left="297"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4116" w:type="dxa"/>
                        <w:tcBorders>
                          <w:top w:val="nil" w:sz="6" w:space="0" w:color="auto"/>
                          <w:left w:val="nil" w:sz="6" w:space="0" w:color="auto"/>
                          <w:bottom w:val="nil" w:sz="6" w:space="0" w:color="auto"/>
                          <w:right w:val="nil" w:sz="6" w:space="0" w:color="auto"/>
                        </w:tcBorders>
                      </w:tcPr>
                      <w:p>
                        <w:pPr>
                          <w:pStyle w:val="TableParagraph"/>
                          <w:spacing w:line="207" w:lineRule="exact"/>
                          <w:ind w:left="202" w:right="0"/>
                          <w:jc w:val="left"/>
                          <w:rPr>
                            <w:rFonts w:ascii="宋体" w:hAnsi="宋体" w:cs="宋体" w:eastAsia="宋体" w:hint="default"/>
                            <w:sz w:val="16"/>
                            <w:szCs w:val="16"/>
                          </w:rPr>
                        </w:pPr>
                        <w:r>
                          <w:rPr>
                            <w:rFonts w:ascii="宋体" w:hAnsi="宋体" w:cs="宋体" w:eastAsia="宋体" w:hint="default"/>
                            <w:sz w:val="16"/>
                            <w:szCs w:val="16"/>
                          </w:rPr>
                          <w:t>发电机产品的开发、设计、制造和销售</w:t>
                        </w:r>
                      </w:p>
                    </w:tc>
                    <w:tc>
                      <w:tcPr>
                        <w:tcW w:w="1309"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center"/>
                          <w:rPr>
                            <w:rFonts w:ascii="宋体" w:hAnsi="宋体" w:cs="宋体" w:eastAsia="宋体" w:hint="default"/>
                            <w:sz w:val="16"/>
                            <w:szCs w:val="16"/>
                          </w:rPr>
                        </w:pPr>
                        <w:r>
                          <w:rPr>
                            <w:rFonts w:ascii="宋体"/>
                            <w:sz w:val="16"/>
                          </w:rPr>
                          <w:t>49.00%</w:t>
                        </w:r>
                      </w:p>
                    </w:tc>
                  </w:tr>
                  <w:tr>
                    <w:trPr>
                      <w:trHeight w:val="284"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南昌创业投资有限公司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2" w:right="0"/>
                          <w:jc w:val="left"/>
                          <w:rPr>
                            <w:rFonts w:ascii="宋体" w:hAnsi="宋体" w:cs="宋体" w:eastAsia="宋体" w:hint="default"/>
                            <w:sz w:val="16"/>
                            <w:szCs w:val="16"/>
                          </w:rPr>
                        </w:pPr>
                        <w:r>
                          <w:rPr>
                            <w:rFonts w:ascii="宋体" w:hAnsi="宋体" w:cs="宋体" w:eastAsia="宋体" w:hint="default"/>
                            <w:sz w:val="16"/>
                            <w:szCs w:val="16"/>
                          </w:rPr>
                          <w:t>项目投资及相关管理和咨询服务</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center"/>
                          <w:rPr>
                            <w:rFonts w:ascii="宋体" w:hAnsi="宋体" w:cs="宋体" w:eastAsia="宋体" w:hint="default"/>
                            <w:sz w:val="16"/>
                            <w:szCs w:val="16"/>
                          </w:rPr>
                        </w:pPr>
                        <w:r>
                          <w:rPr>
                            <w:rFonts w:ascii="宋体"/>
                            <w:sz w:val="16"/>
                          </w:rPr>
                          <w:t>25.00%</w:t>
                        </w:r>
                      </w:p>
                    </w:tc>
                  </w:tr>
                  <w:tr>
                    <w:trPr>
                      <w:trHeight w:val="296" w:hRule="exact"/>
                    </w:trPr>
                    <w:tc>
                      <w:tcPr>
                        <w:tcW w:w="314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天津清华泰豪智能科技有限公司</w:t>
                        </w:r>
                      </w:p>
                    </w:tc>
                    <w:tc>
                      <w:tcPr>
                        <w:tcW w:w="130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99" w:right="0"/>
                          <w:jc w:val="left"/>
                          <w:rPr>
                            <w:rFonts w:ascii="宋体" w:hAnsi="宋体" w:cs="宋体" w:eastAsia="宋体" w:hint="default"/>
                            <w:sz w:val="16"/>
                            <w:szCs w:val="16"/>
                          </w:rPr>
                        </w:pPr>
                        <w:r>
                          <w:rPr>
                            <w:rFonts w:ascii="宋体" w:hAnsi="宋体" w:cs="宋体" w:eastAsia="宋体" w:hint="default"/>
                            <w:sz w:val="16"/>
                            <w:szCs w:val="16"/>
                          </w:rPr>
                          <w:t>天津和平</w:t>
                        </w:r>
                      </w:p>
                    </w:tc>
                    <w:tc>
                      <w:tcPr>
                        <w:tcW w:w="411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03" w:right="0"/>
                          <w:jc w:val="left"/>
                          <w:rPr>
                            <w:rFonts w:ascii="宋体" w:hAnsi="宋体" w:cs="宋体" w:eastAsia="宋体" w:hint="default"/>
                            <w:sz w:val="16"/>
                            <w:szCs w:val="16"/>
                          </w:rPr>
                        </w:pPr>
                        <w:r>
                          <w:rPr>
                            <w:rFonts w:ascii="宋体" w:hAnsi="宋体" w:cs="宋体" w:eastAsia="宋体" w:hint="default"/>
                            <w:sz w:val="16"/>
                            <w:szCs w:val="16"/>
                          </w:rPr>
                          <w:t>智能建筑技术产品销售、计算机系统咨询开发</w:t>
                        </w:r>
                      </w:p>
                    </w:tc>
                    <w:tc>
                      <w:tcPr>
                        <w:tcW w:w="130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24" w:right="0"/>
                          <w:jc w:val="center"/>
                          <w:rPr>
                            <w:rFonts w:ascii="宋体" w:hAnsi="宋体" w:cs="宋体" w:eastAsia="宋体" w:hint="default"/>
                            <w:sz w:val="16"/>
                            <w:szCs w:val="16"/>
                          </w:rPr>
                        </w:pPr>
                        <w:r>
                          <w:rPr>
                            <w:rFonts w:ascii="宋体"/>
                            <w:sz w:val="16"/>
                          </w:rPr>
                          <w:t>40.00%</w:t>
                        </w:r>
                      </w:p>
                    </w:tc>
                  </w:tr>
                </w:tbl>
                <w:p>
                  <w:pPr/>
                </w:p>
              </w:txbxContent>
            </v:textbox>
            <w10:wrap type="none"/>
          </v:shape>
        </w:pict>
      </w:r>
      <w:r>
        <w:rPr>
          <w:rFonts w:ascii="宋体"/>
          <w:spacing w:val="-1"/>
          <w:sz w:val="16"/>
        </w:rPr>
        <w:t>40.00%</w:t>
      </w:r>
    </w:p>
    <w:p>
      <w:pPr>
        <w:spacing w:after="0"/>
        <w:jc w:val="right"/>
        <w:rPr>
          <w:rFonts w:ascii="宋体" w:hAnsi="宋体" w:cs="宋体" w:eastAsia="宋体" w:hint="default"/>
          <w:sz w:val="16"/>
          <w:szCs w:val="16"/>
        </w:rPr>
        <w:sectPr>
          <w:type w:val="continuous"/>
          <w:pgSz w:w="11910" w:h="16840"/>
          <w:pgMar w:top="1600" w:bottom="280" w:left="180" w:right="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7pt;height:1.5pt;mso-position-horizontal-relative:char;mso-position-vertical-relative:line" coordorigin="0,0" coordsize="9874,30">
            <v:group style="position:absolute;left:15;top:15;width:9844;height:2" coordorigin="15,15" coordsize="9844,2">
              <v:shape style="position:absolute;left:15;top:15;width:9844;height:2" coordorigin="15,15" coordsize="9844,0" path="m15,15l9859,15e" filled="false" stroked="true" strokeweight="1.5pt" strokecolor="#000000">
                <v:path arrowok="t"/>
              </v:shape>
            </v:group>
          </v:group>
        </w:pict>
      </w:r>
      <w:r>
        <w:rPr>
          <w:rFonts w:ascii="宋体" w:hAnsi="宋体" w:cs="宋体" w:eastAsia="宋体" w:hint="default"/>
          <w:position w:val="0"/>
          <w:sz w:val="3"/>
          <w:szCs w:val="3"/>
        </w:rPr>
      </w:r>
    </w:p>
    <w:p>
      <w:pPr>
        <w:tabs>
          <w:tab w:pos="3808" w:val="left" w:leader="none"/>
          <w:tab w:pos="6401" w:val="left" w:leader="none"/>
          <w:tab w:pos="9068" w:val="left" w:leader="none"/>
        </w:tabs>
        <w:spacing w:before="14"/>
        <w:ind w:left="241" w:right="0" w:firstLine="0"/>
        <w:jc w:val="left"/>
        <w:rPr>
          <w:rFonts w:ascii="宋体" w:hAnsi="宋体" w:cs="宋体" w:eastAsia="宋体" w:hint="default"/>
          <w:sz w:val="16"/>
          <w:szCs w:val="16"/>
        </w:rPr>
      </w:pPr>
      <w:r>
        <w:rPr/>
        <w:pict>
          <v:group style="position:absolute;margin-left:54.66pt;margin-top:14.364021pt;width:492.2pt;height:.1pt;mso-position-horizontal-relative:page;mso-position-vertical-relative:paragraph;z-index:-1047040" coordorigin="1093,287" coordsize="9844,2">
            <v:shape style="position:absolute;left:1093;top:287;width:9844;height:2" coordorigin="1093,287" coordsize="9844,0" path="m1093,287l10937,287e" filled="false" stroked="true" strokeweight=".48pt" strokecolor="#000000">
              <v:path arrowok="t"/>
            </v:shape>
            <w10:wrap type="none"/>
          </v:group>
        </w:pict>
      </w:r>
      <w:r>
        <w:rPr>
          <w:rFonts w:ascii="宋体" w:hAnsi="宋体" w:cs="宋体" w:eastAsia="宋体" w:hint="default"/>
          <w:b/>
          <w:bCs/>
          <w:w w:val="95"/>
          <w:sz w:val="16"/>
          <w:szCs w:val="16"/>
        </w:rPr>
        <w:t>被投资单位名称</w:t>
        <w:tab/>
        <w:t>注册地</w:t>
        <w:tab/>
        <w:t>主营业务</w:t>
        <w:tab/>
      </w:r>
      <w:r>
        <w:rPr>
          <w:rFonts w:ascii="宋体" w:hAnsi="宋体" w:cs="宋体" w:eastAsia="宋体" w:hint="default"/>
          <w:b/>
          <w:bCs/>
          <w:sz w:val="16"/>
          <w:szCs w:val="16"/>
        </w:rPr>
        <w:t>持股比例</w:t>
      </w:r>
      <w:r>
        <w:rPr>
          <w:rFonts w:ascii="宋体" w:hAnsi="宋体" w:cs="宋体" w:eastAsia="宋体" w:hint="default"/>
          <w:sz w:val="16"/>
          <w:szCs w:val="16"/>
        </w:rPr>
      </w:r>
    </w:p>
    <w:p>
      <w:pPr>
        <w:spacing w:after="0"/>
        <w:jc w:val="left"/>
        <w:rPr>
          <w:rFonts w:ascii="宋体" w:hAnsi="宋体" w:cs="宋体" w:eastAsia="宋体" w:hint="default"/>
          <w:sz w:val="16"/>
          <w:szCs w:val="16"/>
        </w:rPr>
        <w:sectPr>
          <w:headerReference w:type="default" r:id="rId40"/>
          <w:pgSz w:w="11910" w:h="16840"/>
          <w:pgMar w:header="610" w:footer="784" w:top="1080" w:bottom="980" w:left="960" w:right="840"/>
        </w:sectPr>
      </w:pPr>
    </w:p>
    <w:p>
      <w:pPr>
        <w:tabs>
          <w:tab w:pos="3556" w:val="left" w:leader="none"/>
          <w:tab w:pos="4760" w:val="left" w:leader="none"/>
        </w:tabs>
        <w:spacing w:line="255" w:lineRule="exact" w:before="41"/>
        <w:ind w:left="241" w:right="0" w:firstLine="0"/>
        <w:jc w:val="left"/>
        <w:rPr>
          <w:rFonts w:ascii="宋体" w:hAnsi="宋体" w:cs="宋体" w:eastAsia="宋体" w:hint="default"/>
          <w:sz w:val="16"/>
          <w:szCs w:val="16"/>
        </w:rPr>
      </w:pPr>
      <w:r>
        <w:rPr>
          <w:rFonts w:ascii="宋体" w:hAnsi="宋体" w:cs="宋体" w:eastAsia="宋体" w:hint="default"/>
          <w:w w:val="95"/>
          <w:position w:val="-9"/>
          <w:sz w:val="16"/>
          <w:szCs w:val="16"/>
        </w:rPr>
        <w:t>上海誉德泰豪能源技术有限公司</w:t>
        <w:tab/>
        <w:t>上海市</w:t>
        <w:tab/>
      </w:r>
      <w:r>
        <w:rPr>
          <w:rFonts w:ascii="宋体" w:hAnsi="宋体" w:cs="宋体" w:eastAsia="宋体" w:hint="default"/>
          <w:w w:val="95"/>
          <w:sz w:val="16"/>
          <w:szCs w:val="16"/>
        </w:rPr>
        <w:t>建筑节能工程技术方案的设计，电器设备安装、</w:t>
      </w:r>
      <w:r>
        <w:rPr>
          <w:rFonts w:ascii="宋体" w:hAnsi="宋体" w:cs="宋体" w:eastAsia="宋体" w:hint="default"/>
          <w:sz w:val="16"/>
          <w:szCs w:val="16"/>
        </w:rPr>
      </w:r>
    </w:p>
    <w:p>
      <w:pPr>
        <w:spacing w:line="155" w:lineRule="exact" w:before="0"/>
        <w:ind w:left="4760" w:right="0" w:firstLine="0"/>
        <w:jc w:val="left"/>
        <w:rPr>
          <w:rFonts w:ascii="宋体" w:hAnsi="宋体" w:cs="宋体" w:eastAsia="宋体" w:hint="default"/>
          <w:sz w:val="16"/>
          <w:szCs w:val="16"/>
        </w:rPr>
      </w:pPr>
      <w:r>
        <w:rPr>
          <w:rFonts w:ascii="宋体" w:hAnsi="宋体" w:cs="宋体" w:eastAsia="宋体" w:hint="default"/>
          <w:sz w:val="16"/>
          <w:szCs w:val="16"/>
        </w:rPr>
        <w:t>调试及技术咨询</w:t>
      </w:r>
    </w:p>
    <w:p>
      <w:pPr>
        <w:spacing w:before="141"/>
        <w:ind w:left="241" w:right="0" w:firstLine="0"/>
        <w:jc w:val="left"/>
        <w:rPr>
          <w:rFonts w:ascii="宋体" w:hAnsi="宋体" w:cs="宋体" w:eastAsia="宋体" w:hint="default"/>
          <w:sz w:val="16"/>
          <w:szCs w:val="16"/>
        </w:rPr>
      </w:pPr>
      <w:r>
        <w:rPr/>
        <w:br w:type="column"/>
      </w:r>
      <w:r>
        <w:rPr>
          <w:rFonts w:ascii="宋体"/>
          <w:sz w:val="16"/>
        </w:rPr>
        <w:t>30.00%</w:t>
      </w:r>
    </w:p>
    <w:p>
      <w:pPr>
        <w:spacing w:after="0"/>
        <w:jc w:val="left"/>
        <w:rPr>
          <w:rFonts w:ascii="宋体" w:hAnsi="宋体" w:cs="宋体" w:eastAsia="宋体" w:hint="default"/>
          <w:sz w:val="16"/>
          <w:szCs w:val="16"/>
        </w:rPr>
        <w:sectPr>
          <w:type w:val="continuous"/>
          <w:pgSz w:w="11910" w:h="16840"/>
          <w:pgMar w:top="1600" w:bottom="280" w:left="960" w:right="840"/>
          <w:cols w:num="2" w:equalWidth="0">
            <w:col w:w="8118" w:space="789"/>
            <w:col w:w="1203"/>
          </w:cols>
        </w:sectPr>
      </w:pPr>
    </w:p>
    <w:p>
      <w:pPr>
        <w:tabs>
          <w:tab w:pos="3558" w:val="left" w:leader="none"/>
          <w:tab w:pos="9151" w:val="left" w:leader="none"/>
        </w:tabs>
        <w:spacing w:before="33"/>
        <w:ind w:left="241" w:right="0" w:firstLine="0"/>
        <w:jc w:val="both"/>
        <w:rPr>
          <w:rFonts w:ascii="宋体" w:hAnsi="宋体" w:cs="宋体" w:eastAsia="宋体" w:hint="default"/>
          <w:sz w:val="16"/>
          <w:szCs w:val="16"/>
        </w:rPr>
      </w:pPr>
      <w:r>
        <w:rPr>
          <w:rFonts w:ascii="宋体" w:hAnsi="宋体" w:cs="宋体" w:eastAsia="宋体" w:hint="default"/>
          <w:w w:val="95"/>
          <w:sz w:val="16"/>
          <w:szCs w:val="16"/>
        </w:rPr>
        <w:t>山西左云晋能新能源发电有限公司</w:t>
        <w:tab/>
      </w:r>
      <w:r>
        <w:rPr>
          <w:rFonts w:ascii="宋体" w:hAnsi="宋体" w:cs="宋体" w:eastAsia="宋体" w:hint="default"/>
          <w:sz w:val="16"/>
          <w:szCs w:val="16"/>
        </w:rPr>
        <w:t>山西左云      </w:t>
      </w:r>
      <w:r>
        <w:rPr>
          <w:rFonts w:ascii="宋体" w:hAnsi="宋体" w:cs="宋体" w:eastAsia="宋体" w:hint="default"/>
          <w:spacing w:val="2"/>
          <w:sz w:val="16"/>
          <w:szCs w:val="16"/>
        </w:rPr>
        <w:t> </w:t>
      </w:r>
      <w:r>
        <w:rPr>
          <w:rFonts w:ascii="宋体" w:hAnsi="宋体" w:cs="宋体" w:eastAsia="宋体" w:hint="default"/>
          <w:sz w:val="16"/>
          <w:szCs w:val="16"/>
        </w:rPr>
        <w:t>煤矸石发电</w:t>
        <w:tab/>
        <w:t>35.00%</w:t>
      </w:r>
    </w:p>
    <w:p>
      <w:pPr>
        <w:tabs>
          <w:tab w:pos="3557" w:val="left" w:leader="none"/>
          <w:tab w:pos="9151" w:val="left" w:leader="none"/>
        </w:tabs>
        <w:spacing w:before="75"/>
        <w:ind w:left="241" w:right="0" w:firstLine="0"/>
        <w:jc w:val="both"/>
        <w:rPr>
          <w:rFonts w:ascii="宋体" w:hAnsi="宋体" w:cs="宋体" w:eastAsia="宋体" w:hint="default"/>
          <w:sz w:val="16"/>
          <w:szCs w:val="16"/>
        </w:rPr>
      </w:pPr>
      <w:r>
        <w:rPr>
          <w:rFonts w:ascii="宋体" w:hAnsi="宋体" w:cs="宋体" w:eastAsia="宋体" w:hint="default"/>
          <w:w w:val="95"/>
          <w:sz w:val="16"/>
          <w:szCs w:val="16"/>
        </w:rPr>
        <w:t>北京文录激光科技有限公司</w:t>
        <w:tab/>
      </w:r>
      <w:r>
        <w:rPr>
          <w:rFonts w:ascii="宋体" w:hAnsi="宋体" w:cs="宋体" w:eastAsia="宋体" w:hint="default"/>
          <w:sz w:val="16"/>
          <w:szCs w:val="16"/>
        </w:rPr>
        <w:t>北京昌平       激光数码储存电子盘复制</w:t>
        <w:tab/>
        <w:t>20.00%</w:t>
      </w:r>
    </w:p>
    <w:p>
      <w:pPr>
        <w:tabs>
          <w:tab w:pos="3557" w:val="left" w:leader="none"/>
          <w:tab w:pos="9151" w:val="left" w:leader="none"/>
        </w:tabs>
        <w:spacing w:line="326" w:lineRule="auto" w:before="73"/>
        <w:ind w:left="241" w:right="472" w:firstLine="0"/>
        <w:jc w:val="both"/>
        <w:rPr>
          <w:rFonts w:ascii="宋体" w:hAnsi="宋体" w:cs="宋体" w:eastAsia="宋体" w:hint="default"/>
          <w:sz w:val="16"/>
          <w:szCs w:val="16"/>
        </w:rPr>
      </w:pPr>
      <w:r>
        <w:rPr>
          <w:rFonts w:ascii="宋体" w:hAnsi="宋体" w:cs="宋体" w:eastAsia="宋体" w:hint="default"/>
          <w:sz w:val="16"/>
          <w:szCs w:val="16"/>
        </w:rPr>
        <w:t>北京九州同映国产数字电影院线有限公司     北京西城      </w:t>
      </w:r>
      <w:r>
        <w:rPr>
          <w:rFonts w:ascii="宋体" w:hAnsi="宋体" w:cs="宋体" w:eastAsia="宋体" w:hint="default"/>
          <w:spacing w:val="36"/>
          <w:sz w:val="16"/>
          <w:szCs w:val="16"/>
        </w:rPr>
        <w:t> </w:t>
      </w:r>
      <w:r>
        <w:rPr>
          <w:rFonts w:ascii="宋体" w:hAnsi="宋体" w:cs="宋体" w:eastAsia="宋体" w:hint="default"/>
          <w:sz w:val="16"/>
          <w:szCs w:val="16"/>
        </w:rPr>
        <w:t>数字电影发行推广</w:t>
        <w:tab/>
        <w:t>40.00%</w:t>
      </w:r>
      <w:r>
        <w:rPr>
          <w:rFonts w:ascii="宋体" w:hAnsi="宋体" w:cs="宋体" w:eastAsia="宋体" w:hint="default"/>
          <w:w w:val="99"/>
          <w:sz w:val="16"/>
          <w:szCs w:val="16"/>
        </w:rPr>
        <w:t> </w:t>
      </w:r>
      <w:r>
        <w:rPr>
          <w:rFonts w:ascii="宋体" w:hAnsi="宋体" w:cs="宋体" w:eastAsia="宋体" w:hint="default"/>
          <w:sz w:val="16"/>
          <w:szCs w:val="16"/>
        </w:rPr>
        <w:t>同方知好乐教育科技（北京）有限公司       北京海淀      </w:t>
      </w:r>
      <w:r>
        <w:rPr>
          <w:rFonts w:ascii="宋体" w:hAnsi="宋体" w:cs="宋体" w:eastAsia="宋体" w:hint="default"/>
          <w:spacing w:val="34"/>
          <w:sz w:val="16"/>
          <w:szCs w:val="16"/>
        </w:rPr>
        <w:t> </w:t>
      </w:r>
      <w:r>
        <w:rPr>
          <w:rFonts w:ascii="宋体" w:hAnsi="宋体" w:cs="宋体" w:eastAsia="宋体" w:hint="default"/>
          <w:sz w:val="16"/>
          <w:szCs w:val="16"/>
        </w:rPr>
        <w:t>教育软硬件与教学仪器的开发、服务、培训</w:t>
        <w:tab/>
        <w:t>13.51%</w:t>
      </w:r>
      <w:r>
        <w:rPr>
          <w:rFonts w:ascii="宋体" w:hAnsi="宋体" w:cs="宋体" w:eastAsia="宋体" w:hint="default"/>
          <w:w w:val="99"/>
          <w:sz w:val="16"/>
          <w:szCs w:val="16"/>
        </w:rPr>
        <w:t> </w:t>
      </w:r>
      <w:r>
        <w:rPr>
          <w:rFonts w:ascii="宋体" w:hAnsi="宋体" w:cs="宋体" w:eastAsia="宋体" w:hint="default"/>
          <w:w w:val="95"/>
          <w:sz w:val="16"/>
          <w:szCs w:val="16"/>
        </w:rPr>
        <w:t>北京威视科技发展有限公司</w:t>
        <w:tab/>
      </w:r>
      <w:r>
        <w:rPr>
          <w:rFonts w:ascii="宋体" w:hAnsi="宋体" w:cs="宋体" w:eastAsia="宋体" w:hint="default"/>
          <w:sz w:val="16"/>
          <w:szCs w:val="16"/>
        </w:rPr>
        <w:t>北京海淀       网络安全产品与解决方案</w:t>
        <w:tab/>
        <w:t>45.00%</w:t>
      </w:r>
    </w:p>
    <w:p>
      <w:pPr>
        <w:tabs>
          <w:tab w:pos="3557" w:val="left" w:leader="none"/>
          <w:tab w:pos="9151" w:val="left" w:leader="none"/>
        </w:tabs>
        <w:spacing w:line="326" w:lineRule="auto" w:before="17"/>
        <w:ind w:left="241" w:right="472" w:firstLine="0"/>
        <w:jc w:val="both"/>
        <w:rPr>
          <w:rFonts w:ascii="宋体" w:hAnsi="宋体" w:cs="宋体" w:eastAsia="宋体" w:hint="default"/>
          <w:sz w:val="16"/>
          <w:szCs w:val="16"/>
        </w:rPr>
      </w:pPr>
      <w:r>
        <w:rPr>
          <w:rFonts w:ascii="宋体" w:hAnsi="宋体" w:cs="宋体" w:eastAsia="宋体" w:hint="default"/>
          <w:w w:val="95"/>
          <w:sz w:val="16"/>
          <w:szCs w:val="16"/>
        </w:rPr>
        <w:t>北京卓凯生物技术有限公司</w:t>
        <w:tab/>
      </w:r>
      <w:r>
        <w:rPr>
          <w:rFonts w:ascii="宋体" w:hAnsi="宋体" w:cs="宋体" w:eastAsia="宋体" w:hint="default"/>
          <w:sz w:val="16"/>
          <w:szCs w:val="16"/>
        </w:rPr>
        <w:t>北京昌平      </w:t>
      </w:r>
      <w:r>
        <w:rPr>
          <w:rFonts w:ascii="宋体" w:hAnsi="宋体" w:cs="宋体" w:eastAsia="宋体" w:hint="default"/>
          <w:spacing w:val="1"/>
          <w:sz w:val="16"/>
          <w:szCs w:val="16"/>
        </w:rPr>
        <w:t> </w:t>
      </w:r>
      <w:r>
        <w:rPr>
          <w:rFonts w:ascii="宋体" w:hAnsi="宋体" w:cs="宋体" w:eastAsia="宋体" w:hint="default"/>
          <w:sz w:val="16"/>
          <w:szCs w:val="16"/>
        </w:rPr>
        <w:t>生物科技</w:t>
        <w:tab/>
        <w:t>20.00%</w:t>
      </w:r>
      <w:r>
        <w:rPr>
          <w:rFonts w:ascii="宋体" w:hAnsi="宋体" w:cs="宋体" w:eastAsia="宋体" w:hint="default"/>
          <w:w w:val="99"/>
          <w:sz w:val="16"/>
          <w:szCs w:val="16"/>
        </w:rPr>
        <w:t> </w:t>
      </w:r>
      <w:r>
        <w:rPr>
          <w:rFonts w:ascii="宋体" w:hAnsi="宋体" w:cs="宋体" w:eastAsia="宋体" w:hint="default"/>
          <w:w w:val="95"/>
          <w:sz w:val="16"/>
          <w:szCs w:val="16"/>
        </w:rPr>
        <w:t>北京威视数据系统有限公司</w:t>
        <w:tab/>
      </w:r>
      <w:r>
        <w:rPr>
          <w:rFonts w:ascii="宋体" w:hAnsi="宋体" w:cs="宋体" w:eastAsia="宋体" w:hint="default"/>
          <w:sz w:val="16"/>
          <w:szCs w:val="16"/>
        </w:rPr>
        <w:t>北京海淀       网络存储、数据安全、容灾备份解决方案</w:t>
        <w:tab/>
        <w:t>36.00%</w:t>
      </w:r>
      <w:r>
        <w:rPr>
          <w:rFonts w:ascii="宋体" w:hAnsi="宋体" w:cs="宋体" w:eastAsia="宋体" w:hint="default"/>
          <w:w w:val="99"/>
          <w:sz w:val="16"/>
          <w:szCs w:val="16"/>
        </w:rPr>
        <w:t> </w:t>
      </w:r>
      <w:r>
        <w:rPr>
          <w:rFonts w:ascii="宋体" w:hAnsi="宋体" w:cs="宋体" w:eastAsia="宋体" w:hint="default"/>
          <w:w w:val="95"/>
          <w:sz w:val="16"/>
          <w:szCs w:val="16"/>
        </w:rPr>
        <w:t>易程科技股份有限公司</w:t>
        <w:tab/>
      </w:r>
      <w:r>
        <w:rPr>
          <w:rFonts w:ascii="宋体" w:hAnsi="宋体" w:cs="宋体" w:eastAsia="宋体" w:hint="default"/>
          <w:sz w:val="16"/>
          <w:szCs w:val="16"/>
        </w:rPr>
        <w:t>北京海淀       铁路客运专线信息服务系统、票务系统</w:t>
        <w:tab/>
        <w:t>35.00%</w:t>
      </w:r>
      <w:r>
        <w:rPr>
          <w:rFonts w:ascii="宋体" w:hAnsi="宋体" w:cs="宋体" w:eastAsia="宋体" w:hint="default"/>
          <w:w w:val="99"/>
          <w:sz w:val="16"/>
          <w:szCs w:val="16"/>
        </w:rPr>
        <w:t> </w:t>
      </w:r>
      <w:r>
        <w:rPr>
          <w:rFonts w:ascii="宋体" w:hAnsi="宋体" w:cs="宋体" w:eastAsia="宋体" w:hint="default"/>
          <w:w w:val="95"/>
          <w:sz w:val="16"/>
          <w:szCs w:val="16"/>
        </w:rPr>
        <w:t>开封广电同方数字电视有限公司</w:t>
        <w:tab/>
      </w:r>
      <w:r>
        <w:rPr>
          <w:rFonts w:ascii="宋体" w:hAnsi="宋体" w:cs="宋体" w:eastAsia="宋体" w:hint="default"/>
          <w:sz w:val="16"/>
          <w:szCs w:val="16"/>
        </w:rPr>
        <w:t>河南开封      </w:t>
      </w:r>
      <w:r>
        <w:rPr>
          <w:rFonts w:ascii="宋体" w:hAnsi="宋体" w:cs="宋体" w:eastAsia="宋体" w:hint="default"/>
          <w:spacing w:val="1"/>
          <w:sz w:val="16"/>
          <w:szCs w:val="16"/>
        </w:rPr>
        <w:t> </w:t>
      </w:r>
      <w:r>
        <w:rPr>
          <w:rFonts w:ascii="宋体" w:hAnsi="宋体" w:cs="宋体" w:eastAsia="宋体" w:hint="default"/>
          <w:sz w:val="16"/>
          <w:szCs w:val="16"/>
        </w:rPr>
        <w:t>广播电视节目无线传输覆盖业务运营</w:t>
        <w:tab/>
        <w:t>49.00%</w:t>
      </w:r>
      <w:r>
        <w:rPr>
          <w:rFonts w:ascii="宋体" w:hAnsi="宋体" w:cs="宋体" w:eastAsia="宋体" w:hint="default"/>
          <w:w w:val="99"/>
          <w:sz w:val="16"/>
          <w:szCs w:val="16"/>
        </w:rPr>
        <w:t> </w:t>
      </w:r>
      <w:r>
        <w:rPr>
          <w:rFonts w:ascii="宋体" w:hAnsi="宋体" w:cs="宋体" w:eastAsia="宋体" w:hint="default"/>
          <w:w w:val="95"/>
          <w:sz w:val="16"/>
          <w:szCs w:val="16"/>
        </w:rPr>
        <w:t>商丘同方恒泰数字电视有限公司</w:t>
        <w:tab/>
      </w:r>
      <w:r>
        <w:rPr>
          <w:rFonts w:ascii="宋体" w:hAnsi="宋体" w:cs="宋体" w:eastAsia="宋体" w:hint="default"/>
          <w:sz w:val="16"/>
          <w:szCs w:val="16"/>
        </w:rPr>
        <w:t>河南商丘       广播电视节目无线传输覆盖业务运营</w:t>
        <w:tab/>
        <w:t>49.00%</w:t>
      </w:r>
      <w:r>
        <w:rPr>
          <w:rFonts w:ascii="宋体" w:hAnsi="宋体" w:cs="宋体" w:eastAsia="宋体" w:hint="default"/>
          <w:w w:val="99"/>
          <w:sz w:val="16"/>
          <w:szCs w:val="16"/>
        </w:rPr>
        <w:t> </w:t>
      </w:r>
      <w:r>
        <w:rPr>
          <w:rFonts w:ascii="宋体" w:hAnsi="宋体" w:cs="宋体" w:eastAsia="宋体" w:hint="default"/>
          <w:w w:val="95"/>
          <w:sz w:val="16"/>
          <w:szCs w:val="16"/>
        </w:rPr>
        <w:t>泉州广电同方数字电视有限公司</w:t>
        <w:tab/>
      </w:r>
      <w:r>
        <w:rPr>
          <w:rFonts w:ascii="宋体" w:hAnsi="宋体" w:cs="宋体" w:eastAsia="宋体" w:hint="default"/>
          <w:sz w:val="16"/>
          <w:szCs w:val="16"/>
        </w:rPr>
        <w:t>福建泉州      </w:t>
      </w:r>
      <w:r>
        <w:rPr>
          <w:rFonts w:ascii="宋体" w:hAnsi="宋体" w:cs="宋体" w:eastAsia="宋体" w:hint="default"/>
          <w:spacing w:val="1"/>
          <w:sz w:val="16"/>
          <w:szCs w:val="16"/>
        </w:rPr>
        <w:t> </w:t>
      </w:r>
      <w:r>
        <w:rPr>
          <w:rFonts w:ascii="宋体" w:hAnsi="宋体" w:cs="宋体" w:eastAsia="宋体" w:hint="default"/>
          <w:sz w:val="16"/>
          <w:szCs w:val="16"/>
        </w:rPr>
        <w:t>广播电视节目无线传输覆盖业务运营</w:t>
        <w:tab/>
        <w:t>49.00%</w:t>
      </w:r>
      <w:r>
        <w:rPr>
          <w:rFonts w:ascii="宋体" w:hAnsi="宋体" w:cs="宋体" w:eastAsia="宋体" w:hint="default"/>
          <w:w w:val="99"/>
          <w:sz w:val="16"/>
          <w:szCs w:val="16"/>
        </w:rPr>
        <w:t> </w:t>
      </w:r>
      <w:r>
        <w:rPr>
          <w:rFonts w:ascii="宋体" w:hAnsi="宋体" w:cs="宋体" w:eastAsia="宋体" w:hint="default"/>
          <w:w w:val="95"/>
          <w:sz w:val="16"/>
          <w:szCs w:val="16"/>
        </w:rPr>
        <w:t>许昌广电同方数字电视有限公司</w:t>
        <w:tab/>
      </w:r>
      <w:r>
        <w:rPr>
          <w:rFonts w:ascii="宋体" w:hAnsi="宋体" w:cs="宋体" w:eastAsia="宋体" w:hint="default"/>
          <w:sz w:val="16"/>
          <w:szCs w:val="16"/>
        </w:rPr>
        <w:t>河南许昌      </w:t>
      </w:r>
      <w:r>
        <w:rPr>
          <w:rFonts w:ascii="宋体" w:hAnsi="宋体" w:cs="宋体" w:eastAsia="宋体" w:hint="default"/>
          <w:spacing w:val="1"/>
          <w:sz w:val="16"/>
          <w:szCs w:val="16"/>
        </w:rPr>
        <w:t> </w:t>
      </w:r>
      <w:r>
        <w:rPr>
          <w:rFonts w:ascii="宋体" w:hAnsi="宋体" w:cs="宋体" w:eastAsia="宋体" w:hint="default"/>
          <w:sz w:val="16"/>
          <w:szCs w:val="16"/>
        </w:rPr>
        <w:t>广播电视节目无线传输覆盖业务运营</w:t>
        <w:tab/>
        <w:t>49.00%</w:t>
      </w:r>
      <w:r>
        <w:rPr>
          <w:rFonts w:ascii="宋体" w:hAnsi="宋体" w:cs="宋体" w:eastAsia="宋体" w:hint="default"/>
          <w:w w:val="99"/>
          <w:sz w:val="16"/>
          <w:szCs w:val="16"/>
        </w:rPr>
        <w:t> </w:t>
      </w:r>
      <w:r>
        <w:rPr>
          <w:rFonts w:ascii="宋体" w:hAnsi="宋体" w:cs="宋体" w:eastAsia="宋体" w:hint="default"/>
          <w:w w:val="95"/>
          <w:sz w:val="16"/>
          <w:szCs w:val="16"/>
        </w:rPr>
        <w:t>运城市蓝星同方数字电视有限公司</w:t>
        <w:tab/>
      </w:r>
      <w:r>
        <w:rPr>
          <w:rFonts w:ascii="宋体" w:hAnsi="宋体" w:cs="宋体" w:eastAsia="宋体" w:hint="default"/>
          <w:sz w:val="16"/>
          <w:szCs w:val="16"/>
        </w:rPr>
        <w:t>山西运城       广播电视节目无线传输覆盖业务运营</w:t>
        <w:tab/>
        <w:t>49.00%</w:t>
      </w:r>
      <w:r>
        <w:rPr>
          <w:rFonts w:ascii="宋体" w:hAnsi="宋体" w:cs="宋体" w:eastAsia="宋体" w:hint="default"/>
          <w:w w:val="99"/>
          <w:sz w:val="16"/>
          <w:szCs w:val="16"/>
        </w:rPr>
        <w:t> </w:t>
      </w:r>
      <w:r>
        <w:rPr>
          <w:rFonts w:ascii="宋体" w:hAnsi="宋体" w:cs="宋体" w:eastAsia="宋体" w:hint="default"/>
          <w:w w:val="95"/>
          <w:sz w:val="16"/>
          <w:szCs w:val="16"/>
        </w:rPr>
        <w:t>天津北方移动传媒有限公司</w:t>
        <w:tab/>
      </w:r>
      <w:r>
        <w:rPr>
          <w:rFonts w:ascii="宋体" w:hAnsi="宋体" w:cs="宋体" w:eastAsia="宋体" w:hint="default"/>
          <w:sz w:val="16"/>
          <w:szCs w:val="16"/>
        </w:rPr>
        <w:t>天津河东      </w:t>
      </w:r>
      <w:r>
        <w:rPr>
          <w:rFonts w:ascii="宋体" w:hAnsi="宋体" w:cs="宋体" w:eastAsia="宋体" w:hint="default"/>
          <w:spacing w:val="1"/>
          <w:sz w:val="16"/>
          <w:szCs w:val="16"/>
        </w:rPr>
        <w:t> </w:t>
      </w:r>
      <w:r>
        <w:rPr>
          <w:rFonts w:ascii="宋体" w:hAnsi="宋体" w:cs="宋体" w:eastAsia="宋体" w:hint="default"/>
          <w:sz w:val="16"/>
          <w:szCs w:val="16"/>
        </w:rPr>
        <w:t>广播电视节目无线传输覆盖业务运营</w:t>
        <w:tab/>
        <w:t>49.00%</w:t>
      </w:r>
    </w:p>
    <w:p>
      <w:pPr>
        <w:tabs>
          <w:tab w:pos="3554" w:val="left" w:leader="none"/>
          <w:tab w:pos="9150" w:val="left" w:leader="none"/>
        </w:tabs>
        <w:spacing w:line="242" w:lineRule="exact" w:before="10"/>
        <w:ind w:left="241" w:right="472" w:firstLine="0"/>
        <w:jc w:val="both"/>
        <w:rPr>
          <w:rFonts w:ascii="宋体" w:hAnsi="宋体" w:cs="宋体" w:eastAsia="宋体" w:hint="default"/>
          <w:sz w:val="16"/>
          <w:szCs w:val="16"/>
        </w:rPr>
      </w:pPr>
      <w:r>
        <w:rPr>
          <w:rFonts w:ascii="宋体" w:hAnsi="宋体" w:cs="宋体" w:eastAsia="宋体" w:hint="default"/>
          <w:sz w:val="16"/>
          <w:szCs w:val="16"/>
        </w:rPr>
        <w:t>Zebra Media</w:t>
      </w:r>
      <w:r>
        <w:rPr>
          <w:rFonts w:ascii="宋体" w:hAnsi="宋体" w:cs="宋体" w:eastAsia="宋体" w:hint="default"/>
          <w:spacing w:val="-8"/>
          <w:sz w:val="16"/>
          <w:szCs w:val="16"/>
        </w:rPr>
        <w:t> </w:t>
      </w:r>
      <w:r>
        <w:rPr>
          <w:rFonts w:ascii="宋体" w:hAnsi="宋体" w:cs="宋体" w:eastAsia="宋体" w:hint="default"/>
          <w:sz w:val="16"/>
          <w:szCs w:val="16"/>
        </w:rPr>
        <w:t>Inc.</w:t>
        <w:tab/>
        <w:t>开曼群岛      </w:t>
      </w:r>
      <w:r>
        <w:rPr>
          <w:rFonts w:ascii="宋体" w:hAnsi="宋体" w:cs="宋体" w:eastAsia="宋体" w:hint="default"/>
          <w:spacing w:val="1"/>
          <w:sz w:val="16"/>
          <w:szCs w:val="16"/>
        </w:rPr>
        <w:t> </w:t>
      </w:r>
      <w:r>
        <w:rPr>
          <w:rFonts w:ascii="宋体" w:hAnsi="宋体" w:cs="宋体" w:eastAsia="宋体" w:hint="default"/>
          <w:sz w:val="16"/>
          <w:szCs w:val="16"/>
        </w:rPr>
        <w:t>科技项目投资与管理</w:t>
        <w:tab/>
        <w:t>31.79%</w:t>
      </w:r>
      <w:r>
        <w:rPr>
          <w:rFonts w:ascii="宋体" w:hAnsi="宋体" w:cs="宋体" w:eastAsia="宋体" w:hint="default"/>
          <w:w w:val="99"/>
          <w:sz w:val="16"/>
          <w:szCs w:val="16"/>
        </w:rPr>
        <w:t> </w:t>
      </w:r>
      <w:r>
        <w:rPr>
          <w:rFonts w:ascii="宋体" w:hAnsi="宋体" w:cs="宋体" w:eastAsia="宋体" w:hint="default"/>
          <w:sz w:val="16"/>
          <w:szCs w:val="16"/>
        </w:rPr>
        <w:t>Limepc  Multimedia  Technologies </w:t>
      </w:r>
      <w:r>
        <w:rPr>
          <w:rFonts w:ascii="宋体" w:hAnsi="宋体" w:cs="宋体" w:eastAsia="宋体" w:hint="default"/>
          <w:spacing w:val="42"/>
          <w:sz w:val="16"/>
          <w:szCs w:val="16"/>
        </w:rPr>
        <w:t> </w:t>
      </w:r>
      <w:r>
        <w:rPr>
          <w:rFonts w:ascii="宋体" w:hAnsi="宋体" w:cs="宋体" w:eastAsia="宋体" w:hint="default"/>
          <w:sz w:val="16"/>
          <w:szCs w:val="16"/>
        </w:rPr>
        <w:t>Co.,</w:t>
      </w:r>
    </w:p>
    <w:p>
      <w:pPr>
        <w:tabs>
          <w:tab w:pos="3556" w:val="left" w:leader="none"/>
          <w:tab w:pos="9150" w:val="left" w:leader="none"/>
        </w:tabs>
        <w:spacing w:line="174" w:lineRule="exact" w:before="0"/>
        <w:ind w:left="241" w:right="0" w:firstLine="0"/>
        <w:jc w:val="both"/>
        <w:rPr>
          <w:rFonts w:ascii="宋体" w:hAnsi="宋体" w:cs="宋体" w:eastAsia="宋体" w:hint="default"/>
          <w:sz w:val="16"/>
          <w:szCs w:val="16"/>
        </w:rPr>
      </w:pPr>
      <w:r>
        <w:rPr>
          <w:rFonts w:ascii="宋体" w:hAnsi="宋体" w:cs="宋体" w:eastAsia="宋体" w:hint="default"/>
          <w:spacing w:val="-1"/>
          <w:position w:val="-9"/>
          <w:sz w:val="16"/>
          <w:szCs w:val="16"/>
        </w:rPr>
        <w:t>Limited</w:t>
        <w:tab/>
      </w:r>
      <w:r>
        <w:rPr>
          <w:rFonts w:ascii="宋体" w:hAnsi="宋体" w:cs="宋体" w:eastAsia="宋体" w:hint="default"/>
          <w:sz w:val="16"/>
          <w:szCs w:val="16"/>
        </w:rPr>
        <w:t>中国香港      </w:t>
      </w:r>
      <w:r>
        <w:rPr>
          <w:rFonts w:ascii="宋体" w:hAnsi="宋体" w:cs="宋体" w:eastAsia="宋体" w:hint="default"/>
          <w:spacing w:val="1"/>
          <w:sz w:val="16"/>
          <w:szCs w:val="16"/>
        </w:rPr>
        <w:t> </w:t>
      </w:r>
      <w:r>
        <w:rPr>
          <w:rFonts w:ascii="宋体" w:hAnsi="宋体" w:cs="宋体" w:eastAsia="宋体" w:hint="default"/>
          <w:sz w:val="16"/>
          <w:szCs w:val="16"/>
        </w:rPr>
        <w:t>消费类电子产品产销</w:t>
        <w:tab/>
      </w:r>
      <w:r>
        <w:rPr>
          <w:rFonts w:ascii="宋体" w:hAnsi="宋体" w:cs="宋体" w:eastAsia="宋体" w:hint="default"/>
          <w:spacing w:val="-1"/>
          <w:sz w:val="16"/>
          <w:szCs w:val="16"/>
        </w:rPr>
        <w:t>50.00%</w:t>
      </w:r>
    </w:p>
    <w:p>
      <w:pPr>
        <w:tabs>
          <w:tab w:pos="3558" w:val="left" w:leader="none"/>
          <w:tab w:pos="9151" w:val="left" w:leader="none"/>
        </w:tabs>
        <w:spacing w:before="32"/>
        <w:ind w:left="241" w:right="0" w:firstLine="0"/>
        <w:jc w:val="both"/>
        <w:rPr>
          <w:rFonts w:ascii="宋体" w:hAnsi="宋体" w:cs="宋体" w:eastAsia="宋体" w:hint="default"/>
          <w:sz w:val="16"/>
          <w:szCs w:val="16"/>
        </w:rPr>
      </w:pPr>
      <w:r>
        <w:rPr>
          <w:rFonts w:ascii="宋体" w:hAnsi="宋体" w:cs="宋体" w:eastAsia="宋体" w:hint="default"/>
          <w:w w:val="95"/>
          <w:sz w:val="16"/>
          <w:szCs w:val="16"/>
        </w:rPr>
        <w:t>同方佰宜科技（北京）有限公司</w:t>
        <w:tab/>
      </w:r>
      <w:r>
        <w:rPr>
          <w:rFonts w:ascii="宋体" w:hAnsi="宋体" w:cs="宋体" w:eastAsia="宋体" w:hint="default"/>
          <w:sz w:val="16"/>
          <w:szCs w:val="16"/>
        </w:rPr>
        <w:t>北京海淀      </w:t>
      </w:r>
      <w:r>
        <w:rPr>
          <w:rFonts w:ascii="宋体" w:hAnsi="宋体" w:cs="宋体" w:eastAsia="宋体" w:hint="default"/>
          <w:spacing w:val="2"/>
          <w:sz w:val="16"/>
          <w:szCs w:val="16"/>
        </w:rPr>
        <w:t> </w:t>
      </w:r>
      <w:r>
        <w:rPr>
          <w:rFonts w:ascii="宋体" w:hAnsi="宋体" w:cs="宋体" w:eastAsia="宋体" w:hint="default"/>
          <w:sz w:val="16"/>
          <w:szCs w:val="16"/>
        </w:rPr>
        <w:t>控制系统软件开发</w:t>
        <w:tab/>
        <w:t>30.00%</w:t>
      </w:r>
    </w:p>
    <w:p>
      <w:pPr>
        <w:tabs>
          <w:tab w:pos="3553" w:val="left" w:leader="none"/>
          <w:tab w:pos="4758" w:val="left" w:leader="none"/>
          <w:tab w:pos="9150" w:val="left" w:leader="none"/>
        </w:tabs>
        <w:spacing w:line="240" w:lineRule="atLeast" w:before="44"/>
        <w:ind w:left="4760" w:right="472" w:hanging="4520"/>
        <w:jc w:val="left"/>
        <w:rPr>
          <w:rFonts w:ascii="宋体" w:hAnsi="宋体" w:cs="宋体" w:eastAsia="宋体" w:hint="default"/>
          <w:sz w:val="16"/>
          <w:szCs w:val="16"/>
        </w:rPr>
      </w:pPr>
      <w:r>
        <w:rPr>
          <w:rFonts w:ascii="宋体" w:hAnsi="宋体" w:cs="宋体" w:eastAsia="宋体" w:hint="default"/>
          <w:sz w:val="16"/>
          <w:szCs w:val="16"/>
        </w:rPr>
        <w:t>Technovator</w:t>
      </w:r>
      <w:r>
        <w:rPr>
          <w:rFonts w:ascii="宋体" w:hAnsi="宋体" w:cs="宋体" w:eastAsia="宋体" w:hint="default"/>
          <w:spacing w:val="-9"/>
          <w:sz w:val="16"/>
          <w:szCs w:val="16"/>
        </w:rPr>
        <w:t> </w:t>
      </w:r>
      <w:r>
        <w:rPr>
          <w:rFonts w:ascii="宋体" w:hAnsi="宋体" w:cs="宋体" w:eastAsia="宋体" w:hint="default"/>
          <w:sz w:val="16"/>
          <w:szCs w:val="16"/>
        </w:rPr>
        <w:t>Qatar</w:t>
        <w:tab/>
      </w:r>
      <w:r>
        <w:rPr>
          <w:rFonts w:ascii="宋体" w:hAnsi="宋体" w:cs="宋体" w:eastAsia="宋体" w:hint="default"/>
          <w:w w:val="95"/>
          <w:sz w:val="16"/>
          <w:szCs w:val="16"/>
        </w:rPr>
        <w:t>卡塔尔</w:t>
        <w:tab/>
        <w:t>智能建筑控制产品及相关服务</w:t>
        <w:tab/>
      </w:r>
      <w:r>
        <w:rPr>
          <w:rFonts w:ascii="宋体" w:hAnsi="宋体" w:cs="宋体" w:eastAsia="宋体" w:hint="default"/>
          <w:sz w:val="16"/>
          <w:szCs w:val="16"/>
        </w:rPr>
        <w:t>49.00%</w:t>
      </w:r>
      <w:r>
        <w:rPr>
          <w:rFonts w:ascii="宋体" w:hAnsi="宋体" w:cs="宋体" w:eastAsia="宋体" w:hint="default"/>
          <w:w w:val="99"/>
          <w:sz w:val="16"/>
          <w:szCs w:val="16"/>
        </w:rPr>
        <w:t> </w:t>
      </w:r>
      <w:r>
        <w:rPr>
          <w:rFonts w:ascii="宋体" w:hAnsi="宋体" w:cs="宋体" w:eastAsia="宋体" w:hint="default"/>
          <w:sz w:val="16"/>
          <w:szCs w:val="16"/>
        </w:rPr>
        <w:t>网络技术和计算机软硬件研发；投资咨询、国际经济</w:t>
      </w:r>
    </w:p>
    <w:p>
      <w:pPr>
        <w:spacing w:after="0" w:line="240" w:lineRule="atLeast"/>
        <w:jc w:val="left"/>
        <w:rPr>
          <w:rFonts w:ascii="宋体" w:hAnsi="宋体" w:cs="宋体" w:eastAsia="宋体" w:hint="default"/>
          <w:sz w:val="16"/>
          <w:szCs w:val="16"/>
        </w:rPr>
        <w:sectPr>
          <w:type w:val="continuous"/>
          <w:pgSz w:w="11910" w:h="16840"/>
          <w:pgMar w:top="1600" w:bottom="280" w:left="960" w:right="840"/>
        </w:sectPr>
      </w:pPr>
    </w:p>
    <w:p>
      <w:pPr>
        <w:tabs>
          <w:tab w:pos="3556" w:val="left" w:leader="none"/>
        </w:tabs>
        <w:spacing w:line="100" w:lineRule="exact" w:before="0"/>
        <w:ind w:left="241"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北京同方电子商务有限公司</w:t>
        <w:tab/>
        <w:t>北京海淀</w:t>
      </w:r>
      <w:r>
        <w:rPr>
          <w:rFonts w:ascii="宋体" w:hAnsi="宋体" w:cs="宋体" w:eastAsia="宋体" w:hint="default"/>
          <w:sz w:val="16"/>
          <w:szCs w:val="16"/>
        </w:rPr>
      </w:r>
    </w:p>
    <w:p>
      <w:pPr>
        <w:tabs>
          <w:tab w:pos="4629" w:val="left" w:leader="none"/>
        </w:tabs>
        <w:spacing w:line="200" w:lineRule="exact" w:before="0"/>
        <w:ind w:left="241"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咨询、科技咨询、环保信息咨询、贸易信息咨询</w:t>
        <w:tab/>
      </w:r>
      <w:r>
        <w:rPr>
          <w:rFonts w:ascii="宋体" w:hAnsi="宋体" w:cs="宋体" w:eastAsia="宋体" w:hint="default"/>
          <w:position w:val="10"/>
          <w:sz w:val="16"/>
          <w:szCs w:val="16"/>
        </w:rPr>
        <w:t>16.00%</w:t>
      </w:r>
      <w:r>
        <w:rPr>
          <w:rFonts w:ascii="宋体" w:hAnsi="宋体" w:cs="宋体" w:eastAsia="宋体" w:hint="default"/>
          <w:sz w:val="16"/>
          <w:szCs w:val="16"/>
        </w:rPr>
      </w:r>
    </w:p>
    <w:p>
      <w:pPr>
        <w:spacing w:after="0" w:line="200" w:lineRule="exact"/>
        <w:jc w:val="left"/>
        <w:rPr>
          <w:rFonts w:ascii="宋体" w:hAnsi="宋体" w:cs="宋体" w:eastAsia="宋体" w:hint="default"/>
          <w:sz w:val="16"/>
          <w:szCs w:val="16"/>
        </w:rPr>
        <w:sectPr>
          <w:type w:val="continuous"/>
          <w:pgSz w:w="11910" w:h="16840"/>
          <w:pgMar w:top="1600" w:bottom="280" w:left="960" w:right="840"/>
          <w:cols w:num="2" w:equalWidth="0">
            <w:col w:w="4195" w:space="324"/>
            <w:col w:w="5591"/>
          </w:cols>
        </w:sectPr>
      </w:pPr>
    </w:p>
    <w:p>
      <w:pPr>
        <w:tabs>
          <w:tab w:pos="3558" w:val="left" w:leader="none"/>
          <w:tab w:pos="4762" w:val="left" w:leader="none"/>
          <w:tab w:pos="9151" w:val="left" w:leader="none"/>
        </w:tabs>
        <w:spacing w:before="33"/>
        <w:ind w:left="241" w:right="0" w:firstLine="0"/>
        <w:jc w:val="left"/>
        <w:rPr>
          <w:rFonts w:ascii="宋体" w:hAnsi="宋体" w:cs="宋体" w:eastAsia="宋体" w:hint="default"/>
          <w:sz w:val="16"/>
          <w:szCs w:val="16"/>
        </w:rPr>
      </w:pPr>
      <w:r>
        <w:rPr>
          <w:rFonts w:ascii="宋体" w:hAnsi="宋体" w:cs="宋体" w:eastAsia="宋体" w:hint="default"/>
          <w:w w:val="95"/>
          <w:sz w:val="16"/>
          <w:szCs w:val="16"/>
        </w:rPr>
        <w:t>北京辰安伟业科技有限公司</w:t>
        <w:tab/>
        <w:t>北京海淀</w:t>
        <w:tab/>
        <w:t>技术开发</w:t>
        <w:tab/>
      </w:r>
      <w:r>
        <w:rPr>
          <w:rFonts w:ascii="宋体" w:hAnsi="宋体" w:cs="宋体" w:eastAsia="宋体" w:hint="default"/>
          <w:sz w:val="16"/>
          <w:szCs w:val="16"/>
        </w:rPr>
        <w:t>11.25%</w:t>
      </w:r>
    </w:p>
    <w:p>
      <w:pPr>
        <w:spacing w:line="149" w:lineRule="exact" w:before="31"/>
        <w:ind w:left="4760" w:right="0" w:firstLine="0"/>
        <w:jc w:val="left"/>
        <w:rPr>
          <w:rFonts w:ascii="宋体" w:hAnsi="宋体" w:cs="宋体" w:eastAsia="宋体" w:hint="default"/>
          <w:sz w:val="16"/>
          <w:szCs w:val="16"/>
        </w:rPr>
      </w:pPr>
      <w:r>
        <w:rPr>
          <w:rFonts w:ascii="宋体" w:hAnsi="宋体" w:cs="宋体" w:eastAsia="宋体" w:hint="default"/>
          <w:sz w:val="16"/>
          <w:szCs w:val="16"/>
        </w:rPr>
        <w:t>热塑性复合材料、建筑模板、太阳能光伏电池组件、</w:t>
      </w:r>
    </w:p>
    <w:p>
      <w:pPr>
        <w:spacing w:after="0" w:line="149" w:lineRule="exact"/>
        <w:jc w:val="left"/>
        <w:rPr>
          <w:rFonts w:ascii="宋体" w:hAnsi="宋体" w:cs="宋体" w:eastAsia="宋体" w:hint="default"/>
          <w:sz w:val="16"/>
          <w:szCs w:val="16"/>
        </w:rPr>
        <w:sectPr>
          <w:type w:val="continuous"/>
          <w:pgSz w:w="11910" w:h="16840"/>
          <w:pgMar w:top="1600" w:bottom="280" w:left="960" w:right="840"/>
        </w:sectPr>
      </w:pPr>
    </w:p>
    <w:p>
      <w:pPr>
        <w:tabs>
          <w:tab w:pos="3556" w:val="left" w:leader="none"/>
        </w:tabs>
        <w:spacing w:line="160" w:lineRule="exact" w:before="0"/>
        <w:ind w:left="241" w:right="0" w:firstLine="0"/>
        <w:jc w:val="left"/>
        <w:rPr>
          <w:rFonts w:ascii="宋体" w:hAnsi="宋体" w:cs="宋体" w:eastAsia="宋体" w:hint="default"/>
          <w:sz w:val="16"/>
          <w:szCs w:val="16"/>
        </w:rPr>
      </w:pPr>
      <w:r>
        <w:rPr>
          <w:rFonts w:ascii="宋体" w:hAnsi="宋体" w:cs="宋体" w:eastAsia="宋体" w:hint="default"/>
          <w:w w:val="95"/>
          <w:sz w:val="16"/>
          <w:szCs w:val="16"/>
        </w:rPr>
        <w:t>江西铂铄耐科技有限公司</w:t>
        <w:tab/>
        <w:t>江西新余</w:t>
      </w:r>
      <w:r>
        <w:rPr>
          <w:rFonts w:ascii="宋体" w:hAnsi="宋体" w:cs="宋体" w:eastAsia="宋体" w:hint="default"/>
          <w:sz w:val="16"/>
          <w:szCs w:val="16"/>
        </w:rPr>
      </w:r>
    </w:p>
    <w:p>
      <w:pPr>
        <w:tabs>
          <w:tab w:pos="4629" w:val="left" w:leader="none"/>
        </w:tabs>
        <w:spacing w:line="261" w:lineRule="exact" w:before="0"/>
        <w:ind w:left="241"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沼气池大型构件产品</w:t>
        <w:tab/>
      </w:r>
      <w:r>
        <w:rPr>
          <w:rFonts w:ascii="宋体" w:hAnsi="宋体" w:cs="宋体" w:eastAsia="宋体" w:hint="default"/>
          <w:position w:val="10"/>
          <w:sz w:val="16"/>
          <w:szCs w:val="16"/>
        </w:rPr>
        <w:t>33.33%</w:t>
      </w:r>
      <w:r>
        <w:rPr>
          <w:rFonts w:ascii="宋体" w:hAnsi="宋体" w:cs="宋体" w:eastAsia="宋体" w:hint="default"/>
          <w:sz w:val="16"/>
          <w:szCs w:val="16"/>
        </w:rPr>
      </w:r>
    </w:p>
    <w:p>
      <w:pPr>
        <w:spacing w:after="0" w:line="261" w:lineRule="exact"/>
        <w:jc w:val="left"/>
        <w:rPr>
          <w:rFonts w:ascii="宋体" w:hAnsi="宋体" w:cs="宋体" w:eastAsia="宋体" w:hint="default"/>
          <w:sz w:val="16"/>
          <w:szCs w:val="16"/>
        </w:rPr>
        <w:sectPr>
          <w:type w:val="continuous"/>
          <w:pgSz w:w="11910" w:h="16840"/>
          <w:pgMar w:top="1600" w:bottom="280" w:left="960" w:right="840"/>
          <w:cols w:num="2" w:equalWidth="0">
            <w:col w:w="4195" w:space="324"/>
            <w:col w:w="5591"/>
          </w:cols>
        </w:sectPr>
      </w:pPr>
    </w:p>
    <w:p>
      <w:pPr>
        <w:tabs>
          <w:tab w:pos="3557" w:val="left" w:leader="none"/>
          <w:tab w:pos="9151" w:val="left" w:leader="none"/>
        </w:tabs>
        <w:spacing w:before="33"/>
        <w:ind w:left="241" w:right="0" w:firstLine="0"/>
        <w:jc w:val="both"/>
        <w:rPr>
          <w:rFonts w:ascii="宋体" w:hAnsi="宋体" w:cs="宋体" w:eastAsia="宋体" w:hint="default"/>
          <w:sz w:val="16"/>
          <w:szCs w:val="16"/>
        </w:rPr>
      </w:pPr>
      <w:r>
        <w:rPr>
          <w:rFonts w:ascii="宋体" w:hAnsi="宋体" w:cs="宋体" w:eastAsia="宋体" w:hint="default"/>
          <w:w w:val="95"/>
          <w:sz w:val="16"/>
          <w:szCs w:val="16"/>
        </w:rPr>
        <w:t>成都华太航空科技有限公司</w:t>
        <w:tab/>
      </w:r>
      <w:r>
        <w:rPr>
          <w:rFonts w:ascii="宋体" w:hAnsi="宋体" w:cs="宋体" w:eastAsia="宋体" w:hint="default"/>
          <w:sz w:val="16"/>
          <w:szCs w:val="16"/>
        </w:rPr>
        <w:t>四川成都      </w:t>
      </w:r>
      <w:r>
        <w:rPr>
          <w:rFonts w:ascii="宋体" w:hAnsi="宋体" w:cs="宋体" w:eastAsia="宋体" w:hint="default"/>
          <w:spacing w:val="2"/>
          <w:sz w:val="16"/>
          <w:szCs w:val="16"/>
        </w:rPr>
        <w:t> </w:t>
      </w:r>
      <w:r>
        <w:rPr>
          <w:rFonts w:ascii="宋体" w:hAnsi="宋体" w:cs="宋体" w:eastAsia="宋体" w:hint="default"/>
          <w:sz w:val="16"/>
          <w:szCs w:val="16"/>
        </w:rPr>
        <w:t>民用航空电子维修</w:t>
        <w:tab/>
        <w:t>34.22%</w:t>
      </w:r>
    </w:p>
    <w:p>
      <w:pPr>
        <w:tabs>
          <w:tab w:pos="3557" w:val="left" w:leader="none"/>
          <w:tab w:pos="9150" w:val="left" w:leader="none"/>
        </w:tabs>
        <w:spacing w:line="326" w:lineRule="auto" w:before="73"/>
        <w:ind w:left="241" w:right="471" w:firstLine="0"/>
        <w:jc w:val="both"/>
        <w:rPr>
          <w:rFonts w:ascii="宋体" w:hAnsi="宋体" w:cs="宋体" w:eastAsia="宋体" w:hint="default"/>
          <w:sz w:val="16"/>
          <w:szCs w:val="16"/>
        </w:rPr>
      </w:pPr>
      <w:r>
        <w:rPr>
          <w:rFonts w:ascii="宋体" w:hAnsi="宋体" w:cs="宋体" w:eastAsia="宋体" w:hint="default"/>
          <w:w w:val="95"/>
          <w:sz w:val="16"/>
          <w:szCs w:val="16"/>
        </w:rPr>
        <w:t>北京同方时讯电子有限公司</w:t>
        <w:tab/>
      </w:r>
      <w:r>
        <w:rPr>
          <w:rFonts w:ascii="宋体" w:hAnsi="宋体" w:cs="宋体" w:eastAsia="宋体" w:hint="default"/>
          <w:sz w:val="16"/>
          <w:szCs w:val="16"/>
        </w:rPr>
        <w:t>北京海淀      </w:t>
      </w:r>
      <w:r>
        <w:rPr>
          <w:rFonts w:ascii="宋体" w:hAnsi="宋体" w:cs="宋体" w:eastAsia="宋体" w:hint="default"/>
          <w:spacing w:val="2"/>
          <w:sz w:val="16"/>
          <w:szCs w:val="16"/>
        </w:rPr>
        <w:t> </w:t>
      </w:r>
      <w:r>
        <w:rPr>
          <w:rFonts w:ascii="宋体" w:hAnsi="宋体" w:cs="宋体" w:eastAsia="宋体" w:hint="default"/>
          <w:sz w:val="16"/>
          <w:szCs w:val="16"/>
        </w:rPr>
        <w:t>军用电子标签</w:t>
        <w:tab/>
        <w:t>35.00%</w:t>
      </w:r>
      <w:r>
        <w:rPr>
          <w:rFonts w:ascii="宋体" w:hAnsi="宋体" w:cs="宋体" w:eastAsia="宋体" w:hint="default"/>
          <w:w w:val="99"/>
          <w:sz w:val="16"/>
          <w:szCs w:val="16"/>
        </w:rPr>
        <w:t> </w:t>
      </w:r>
      <w:r>
        <w:rPr>
          <w:rFonts w:ascii="宋体" w:hAnsi="宋体" w:cs="宋体" w:eastAsia="宋体" w:hint="default"/>
          <w:w w:val="95"/>
          <w:sz w:val="16"/>
          <w:szCs w:val="16"/>
        </w:rPr>
        <w:t>濮阳广电同方数字电视有限公司</w:t>
        <w:tab/>
      </w:r>
      <w:r>
        <w:rPr>
          <w:rFonts w:ascii="宋体" w:hAnsi="宋体" w:cs="宋体" w:eastAsia="宋体" w:hint="default"/>
          <w:sz w:val="16"/>
          <w:szCs w:val="16"/>
        </w:rPr>
        <w:t>河南濮阳      </w:t>
      </w:r>
      <w:r>
        <w:rPr>
          <w:rFonts w:ascii="宋体" w:hAnsi="宋体" w:cs="宋体" w:eastAsia="宋体" w:hint="default"/>
          <w:spacing w:val="1"/>
          <w:sz w:val="16"/>
          <w:szCs w:val="16"/>
        </w:rPr>
        <w:t> </w:t>
      </w:r>
      <w:r>
        <w:rPr>
          <w:rFonts w:ascii="宋体" w:hAnsi="宋体" w:cs="宋体" w:eastAsia="宋体" w:hint="default"/>
          <w:sz w:val="16"/>
          <w:szCs w:val="16"/>
        </w:rPr>
        <w:t>广播电视节目无线传输覆盖业务运营</w:t>
        <w:tab/>
        <w:t>49.00%</w:t>
      </w:r>
      <w:r>
        <w:rPr>
          <w:rFonts w:ascii="宋体" w:hAnsi="宋体" w:cs="宋体" w:eastAsia="宋体" w:hint="default"/>
          <w:w w:val="99"/>
          <w:sz w:val="16"/>
          <w:szCs w:val="16"/>
        </w:rPr>
        <w:t> </w:t>
      </w:r>
      <w:r>
        <w:rPr>
          <w:rFonts w:ascii="宋体" w:hAnsi="宋体" w:cs="宋体" w:eastAsia="宋体" w:hint="default"/>
          <w:sz w:val="16"/>
          <w:szCs w:val="16"/>
        </w:rPr>
        <w:t>达州广电同方无线数字电视有限公司         四川达州      </w:t>
      </w:r>
      <w:r>
        <w:rPr>
          <w:rFonts w:ascii="宋体" w:hAnsi="宋体" w:cs="宋体" w:eastAsia="宋体" w:hint="default"/>
          <w:spacing w:val="35"/>
          <w:sz w:val="16"/>
          <w:szCs w:val="16"/>
        </w:rPr>
        <w:t> </w:t>
      </w:r>
      <w:r>
        <w:rPr>
          <w:rFonts w:ascii="宋体" w:hAnsi="宋体" w:cs="宋体" w:eastAsia="宋体" w:hint="default"/>
          <w:sz w:val="16"/>
          <w:szCs w:val="16"/>
        </w:rPr>
        <w:t>广播电视节目无线传输覆盖业务运营</w:t>
        <w:tab/>
        <w:t>49.00%</w:t>
      </w:r>
      <w:r>
        <w:rPr>
          <w:rFonts w:ascii="宋体" w:hAnsi="宋体" w:cs="宋体" w:eastAsia="宋体" w:hint="default"/>
          <w:w w:val="99"/>
          <w:sz w:val="16"/>
          <w:szCs w:val="16"/>
        </w:rPr>
        <w:t> </w:t>
      </w:r>
      <w:r>
        <w:rPr>
          <w:rFonts w:ascii="宋体" w:hAnsi="宋体" w:cs="宋体" w:eastAsia="宋体" w:hint="default"/>
          <w:w w:val="95"/>
          <w:sz w:val="16"/>
          <w:szCs w:val="16"/>
        </w:rPr>
        <w:t>无锡生益动力科技有限公司</w:t>
        <w:tab/>
      </w:r>
      <w:r>
        <w:rPr>
          <w:rFonts w:ascii="宋体" w:hAnsi="宋体" w:cs="宋体" w:eastAsia="宋体" w:hint="default"/>
          <w:sz w:val="16"/>
          <w:szCs w:val="16"/>
        </w:rPr>
        <w:t>江苏无锡      </w:t>
      </w:r>
      <w:r>
        <w:rPr>
          <w:rFonts w:ascii="宋体" w:hAnsi="宋体" w:cs="宋体" w:eastAsia="宋体" w:hint="default"/>
          <w:spacing w:val="1"/>
          <w:sz w:val="16"/>
          <w:szCs w:val="16"/>
        </w:rPr>
        <w:t> </w:t>
      </w:r>
      <w:r>
        <w:rPr>
          <w:rFonts w:ascii="宋体" w:hAnsi="宋体" w:cs="宋体" w:eastAsia="宋体" w:hint="default"/>
          <w:sz w:val="16"/>
          <w:szCs w:val="16"/>
        </w:rPr>
        <w:t>机械配件制造、加工、销售</w:t>
        <w:tab/>
        <w:t>36.47%</w:t>
      </w:r>
      <w:r>
        <w:rPr>
          <w:rFonts w:ascii="宋体" w:hAnsi="宋体" w:cs="宋体" w:eastAsia="宋体" w:hint="default"/>
          <w:w w:val="99"/>
          <w:sz w:val="16"/>
          <w:szCs w:val="16"/>
        </w:rPr>
        <w:t> </w:t>
      </w:r>
      <w:r>
        <w:rPr>
          <w:rFonts w:ascii="宋体" w:hAnsi="宋体" w:cs="宋体" w:eastAsia="宋体" w:hint="default"/>
          <w:w w:val="95"/>
          <w:sz w:val="16"/>
          <w:szCs w:val="16"/>
        </w:rPr>
        <w:t>九江佳华压电晶体材料有限公司</w:t>
        <w:tab/>
      </w:r>
      <w:r>
        <w:rPr>
          <w:rFonts w:ascii="宋体" w:hAnsi="宋体" w:cs="宋体" w:eastAsia="宋体" w:hint="default"/>
          <w:sz w:val="16"/>
          <w:szCs w:val="16"/>
        </w:rPr>
        <w:t>江西九江       压电晶体材料及相关制品生产、加工、销售</w:t>
        <w:tab/>
        <w:t>30.00%</w:t>
      </w:r>
      <w:r>
        <w:rPr>
          <w:rFonts w:ascii="宋体" w:hAnsi="宋体" w:cs="宋体" w:eastAsia="宋体" w:hint="default"/>
          <w:w w:val="99"/>
          <w:sz w:val="16"/>
          <w:szCs w:val="16"/>
        </w:rPr>
        <w:t> </w:t>
      </w:r>
      <w:r>
        <w:rPr>
          <w:rFonts w:ascii="宋体" w:hAnsi="宋体" w:cs="宋体" w:eastAsia="宋体" w:hint="default"/>
          <w:w w:val="95"/>
          <w:sz w:val="16"/>
          <w:szCs w:val="16"/>
        </w:rPr>
        <w:t>北京迈信力通科技有限公司</w:t>
        <w:tab/>
      </w:r>
      <w:r>
        <w:rPr>
          <w:rFonts w:ascii="宋体" w:hAnsi="宋体" w:cs="宋体" w:eastAsia="宋体" w:hint="default"/>
          <w:sz w:val="16"/>
          <w:szCs w:val="16"/>
        </w:rPr>
        <w:t>北京海淀       通讯设备、计算机、软件及辅助设备购销</w:t>
        <w:tab/>
        <w:t>15.00%</w:t>
      </w:r>
    </w:p>
    <w:p>
      <w:pPr>
        <w:spacing w:line="30" w:lineRule="exact"/>
        <w:ind w:left="10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4.8pt;height:1.5pt;mso-position-horizontal-relative:char;mso-position-vertical-relative:line" coordorigin="0,0" coordsize="9896,30">
            <v:group style="position:absolute;left:15;top:15;width:3330;height:2" coordorigin="15,15" coordsize="3330,2">
              <v:shape style="position:absolute;left:15;top:15;width:3330;height:2" coordorigin="15,15" coordsize="3330,0" path="m15,15l3345,15e" filled="false" stroked="true" strokeweight="1.5pt" strokecolor="#000000">
                <v:path arrowok="t"/>
              </v:shape>
            </v:group>
            <v:group style="position:absolute;left:3331;top:15;width:1218;height:2" coordorigin="3331,15" coordsize="1218,2">
              <v:shape style="position:absolute;left:3331;top:15;width:1218;height:2" coordorigin="3331,15" coordsize="1218,0" path="m3331,15l4549,15e" filled="false" stroked="true" strokeweight="1.5pt" strokecolor="#000000">
                <v:path arrowok="t"/>
              </v:shape>
            </v:group>
            <v:group style="position:absolute;left:4534;top:15;width:4158;height:2" coordorigin="4534,15" coordsize="4158,2">
              <v:shape style="position:absolute;left:4534;top:15;width:4158;height:2" coordorigin="4534,15" coordsize="4158,0" path="m4534,15l8692,15e" filled="false" stroked="true" strokeweight="1.5pt" strokecolor="#000000">
                <v:path arrowok="t"/>
              </v:shape>
            </v:group>
            <v:group style="position:absolute;left:8678;top:15;width:1203;height:2" coordorigin="8678,15" coordsize="1203,2">
              <v:shape style="position:absolute;left:8678;top:15;width:1203;height:2" coordorigin="8678,15" coordsize="1203,0" path="m8678,15l9880,15e" filled="false" stroked="true" strokeweight="1.5pt" strokecolor="#000000">
                <v:path arrowok="t"/>
              </v:shape>
            </v:group>
          </v:group>
        </w:pict>
      </w:r>
      <w:r>
        <w:rPr>
          <w:rFonts w:ascii="宋体" w:hAnsi="宋体" w:cs="宋体" w:eastAsia="宋体" w:hint="default"/>
          <w:position w:val="0"/>
          <w:sz w:val="3"/>
          <w:szCs w:val="3"/>
        </w:rPr>
      </w:r>
    </w:p>
    <w:p>
      <w:pPr>
        <w:spacing w:before="96"/>
        <w:ind w:left="911" w:right="4506"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7"/>
          <w:sz w:val="22"/>
          <w:szCs w:val="22"/>
        </w:rPr>
        <w:t> </w:t>
      </w:r>
      <w:r>
        <w:rPr>
          <w:rFonts w:ascii="宋体" w:hAnsi="宋体" w:cs="宋体" w:eastAsia="宋体" w:hint="default"/>
          <w:sz w:val="22"/>
          <w:szCs w:val="22"/>
        </w:rPr>
        <w:t>长期股权投资减值准备</w:t>
      </w:r>
    </w:p>
    <w:p>
      <w:pPr>
        <w:spacing w:line="240" w:lineRule="auto" w:before="6"/>
        <w:rPr>
          <w:rFonts w:ascii="宋体" w:hAnsi="宋体" w:cs="宋体" w:eastAsia="宋体" w:hint="default"/>
          <w:sz w:val="12"/>
          <w:szCs w:val="12"/>
        </w:rPr>
      </w:pPr>
    </w:p>
    <w:p>
      <w:pPr>
        <w:spacing w:line="30" w:lineRule="exact"/>
        <w:ind w:left="7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960" w:right="840"/>
        </w:sectPr>
      </w:pPr>
    </w:p>
    <w:p>
      <w:pPr>
        <w:spacing w:line="187" w:lineRule="exact" w:before="0"/>
        <w:ind w:left="0" w:right="317" w:firstLine="0"/>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p>
      <w:pPr>
        <w:tabs>
          <w:tab w:pos="3892" w:val="left" w:leader="none"/>
          <w:tab w:pos="5243" w:val="left" w:leader="none"/>
        </w:tabs>
        <w:spacing w:line="164" w:lineRule="exact" w:before="0"/>
        <w:ind w:left="844" w:right="0" w:firstLine="0"/>
        <w:jc w:val="left"/>
        <w:rPr>
          <w:rFonts w:ascii="宋体" w:hAnsi="宋体" w:cs="宋体" w:eastAsia="宋体" w:hint="default"/>
          <w:sz w:val="18"/>
          <w:szCs w:val="18"/>
        </w:rPr>
      </w:pPr>
      <w:r>
        <w:rPr/>
        <w:pict>
          <v:shape style="position:absolute;margin-left:412.016998pt;margin-top:3.668723pt;width:27.2pt;height:9pt;mso-position-horizontal-relative:page;mso-position-vertical-relative:paragraph;z-index:40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其他转</w:t>
                  </w:r>
                  <w:r>
                    <w:rPr>
                      <w:rFonts w:ascii="宋体" w:hAnsi="宋体" w:cs="宋体" w:eastAsia="宋体" w:hint="default"/>
                      <w:sz w:val="18"/>
                      <w:szCs w:val="18"/>
                    </w:rPr>
                  </w:r>
                </w:p>
              </w:txbxContent>
            </v:textbox>
            <w10:wrap type="none"/>
          </v:shape>
        </w:pict>
      </w:r>
      <w:r>
        <w:rPr>
          <w:rFonts w:ascii="宋体" w:hAnsi="宋体" w:cs="宋体" w:eastAsia="宋体" w:hint="default"/>
          <w:b/>
          <w:bCs/>
          <w:w w:val="95"/>
          <w:sz w:val="18"/>
          <w:szCs w:val="18"/>
        </w:rPr>
        <w:t>被投资单位名称</w:t>
        <w:tab/>
        <w:t>年初金额</w:t>
        <w:tab/>
      </w:r>
      <w:r>
        <w:rPr>
          <w:rFonts w:ascii="宋体" w:hAnsi="宋体" w:cs="宋体" w:eastAsia="宋体" w:hint="default"/>
          <w:b/>
          <w:bCs/>
          <w:sz w:val="18"/>
          <w:szCs w:val="18"/>
        </w:rPr>
        <w:t>本年增加</w:t>
      </w:r>
      <w:r>
        <w:rPr>
          <w:rFonts w:ascii="宋体" w:hAnsi="宋体" w:cs="宋体" w:eastAsia="宋体" w:hint="default"/>
          <w:sz w:val="18"/>
          <w:szCs w:val="18"/>
        </w:rPr>
      </w:r>
    </w:p>
    <w:p>
      <w:pPr>
        <w:spacing w:line="122" w:lineRule="exact" w:before="0"/>
        <w:ind w:left="0" w:right="930" w:firstLine="0"/>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p>
      <w:pPr>
        <w:spacing w:line="168" w:lineRule="exact" w:before="0"/>
        <w:ind w:left="0" w:right="180" w:firstLine="0"/>
        <w:jc w:val="right"/>
        <w:rPr>
          <w:rFonts w:ascii="宋体" w:hAnsi="宋体" w:cs="宋体" w:eastAsia="宋体" w:hint="default"/>
          <w:sz w:val="18"/>
          <w:szCs w:val="18"/>
        </w:rPr>
      </w:pPr>
      <w:r>
        <w:rPr>
          <w:rFonts w:ascii="宋体" w:hAnsi="宋体" w:cs="宋体" w:eastAsia="宋体" w:hint="default"/>
          <w:b/>
          <w:bCs/>
          <w:w w:val="99"/>
          <w:sz w:val="18"/>
          <w:szCs w:val="18"/>
        </w:rPr>
        <w:t>出</w:t>
      </w:r>
      <w:r>
        <w:rPr>
          <w:rFonts w:ascii="宋体" w:hAnsi="宋体" w:cs="宋体" w:eastAsia="宋体" w:hint="default"/>
          <w:sz w:val="18"/>
          <w:szCs w:val="18"/>
        </w:rPr>
      </w:r>
    </w:p>
    <w:p>
      <w:pPr>
        <w:spacing w:before="161"/>
        <w:ind w:left="45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960" w:right="840"/>
          <w:cols w:num="2" w:equalWidth="0">
            <w:col w:w="7824" w:space="40"/>
            <w:col w:w="2246"/>
          </w:cols>
        </w:sectPr>
      </w:pPr>
    </w:p>
    <w:p>
      <w:pPr>
        <w:spacing w:line="20" w:lineRule="exact"/>
        <w:ind w:left="73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3718" w:val="left" w:leader="none"/>
          <w:tab w:pos="5835" w:val="left" w:leader="none"/>
          <w:tab w:pos="6650" w:val="left" w:leader="none"/>
          <w:tab w:pos="7518" w:val="left" w:leader="none"/>
          <w:tab w:pos="8193" w:val="left" w:leader="none"/>
        </w:tabs>
        <w:spacing w:before="0"/>
        <w:ind w:left="844" w:right="0" w:firstLine="0"/>
        <w:jc w:val="left"/>
        <w:rPr>
          <w:rFonts w:ascii="宋体" w:hAnsi="宋体" w:cs="宋体" w:eastAsia="宋体" w:hint="default"/>
          <w:sz w:val="18"/>
          <w:szCs w:val="18"/>
        </w:rPr>
      </w:pPr>
      <w:r>
        <w:rPr>
          <w:rFonts w:ascii="宋体" w:hAnsi="宋体" w:cs="宋体" w:eastAsia="宋体" w:hint="default"/>
          <w:sz w:val="18"/>
          <w:szCs w:val="18"/>
        </w:rPr>
        <w:t>江西万德福磁带有限公司</w:t>
        <w:tab/>
        <w:t>2,741,550.00</w:t>
        <w:tab/>
        <w:t>0.00</w:t>
        <w:tab/>
        <w:t>0.00</w:t>
        <w:tab/>
        <w:t>0.00</w:t>
        <w:tab/>
        <w:t>2,741,550.00</w:t>
      </w:r>
    </w:p>
    <w:p>
      <w:pPr>
        <w:tabs>
          <w:tab w:pos="3988" w:val="left" w:leader="none"/>
          <w:tab w:pos="5835" w:val="left" w:leader="none"/>
          <w:tab w:pos="6650" w:val="left" w:leader="none"/>
          <w:tab w:pos="7518" w:val="left" w:leader="none"/>
          <w:tab w:pos="8463" w:val="left" w:leader="none"/>
        </w:tabs>
        <w:spacing w:before="47"/>
        <w:ind w:left="844" w:right="0" w:firstLine="0"/>
        <w:jc w:val="left"/>
        <w:rPr>
          <w:rFonts w:ascii="宋体" w:hAnsi="宋体" w:cs="宋体" w:eastAsia="宋体" w:hint="default"/>
          <w:sz w:val="18"/>
          <w:szCs w:val="18"/>
        </w:rPr>
      </w:pPr>
      <w:r>
        <w:rPr>
          <w:rFonts w:ascii="宋体" w:hAnsi="宋体" w:cs="宋体" w:eastAsia="宋体" w:hint="default"/>
          <w:sz w:val="18"/>
          <w:szCs w:val="18"/>
        </w:rPr>
        <w:t>太原五一百货大楼</w:t>
        <w:tab/>
        <w:t>30,000.00</w:t>
        <w:tab/>
        <w:t>0.00</w:t>
        <w:tab/>
        <w:t>0.00</w:t>
        <w:tab/>
        <w:t>0.00</w:t>
        <w:tab/>
        <w:t>30,000.00</w:t>
      </w:r>
    </w:p>
    <w:p>
      <w:pPr>
        <w:tabs>
          <w:tab w:pos="4438" w:val="left" w:leader="none"/>
          <w:tab w:pos="5025" w:val="left" w:leader="none"/>
          <w:tab w:pos="6650" w:val="left" w:leader="none"/>
          <w:tab w:pos="7518" w:val="left" w:leader="none"/>
          <w:tab w:pos="8103" w:val="left" w:leader="none"/>
        </w:tabs>
        <w:spacing w:before="47"/>
        <w:ind w:left="844" w:right="0" w:firstLine="0"/>
        <w:jc w:val="left"/>
        <w:rPr>
          <w:rFonts w:ascii="宋体" w:hAnsi="宋体" w:cs="宋体" w:eastAsia="宋体" w:hint="default"/>
          <w:sz w:val="18"/>
          <w:szCs w:val="18"/>
        </w:rPr>
      </w:pPr>
      <w:r>
        <w:rPr>
          <w:rFonts w:ascii="宋体" w:hAnsi="宋体" w:cs="宋体" w:eastAsia="宋体" w:hint="default"/>
          <w:sz w:val="18"/>
          <w:szCs w:val="18"/>
        </w:rPr>
        <w:t>瑞思文化传播有限公司</w:t>
        <w:tab/>
        <w:t>0.00</w:t>
        <w:tab/>
        <w:t>24,910,000.00</w:t>
        <w:tab/>
        <w:t>0.00</w:t>
        <w:tab/>
        <w:t>0.00</w:t>
        <w:tab/>
        <w:t>24,910,000.00</w:t>
      </w:r>
    </w:p>
    <w:p>
      <w:pPr>
        <w:spacing w:line="168" w:lineRule="exact" w:before="7"/>
        <w:ind w:left="844" w:right="4506" w:firstLine="0"/>
        <w:jc w:val="left"/>
        <w:rPr>
          <w:rFonts w:ascii="宋体" w:hAnsi="宋体" w:cs="宋体" w:eastAsia="宋体" w:hint="default"/>
          <w:sz w:val="18"/>
          <w:szCs w:val="18"/>
        </w:rPr>
      </w:pPr>
      <w:r>
        <w:rPr>
          <w:rFonts w:ascii="宋体" w:hAnsi="宋体" w:cs="宋体" w:eastAsia="宋体" w:hint="default"/>
          <w:spacing w:val="9"/>
          <w:sz w:val="18"/>
          <w:szCs w:val="18"/>
        </w:rPr>
        <w:t>山西左云晋能新能源发电有限公</w:t>
      </w:r>
      <w:r>
        <w:rPr>
          <w:rFonts w:ascii="宋体" w:hAnsi="宋体" w:cs="宋体" w:eastAsia="宋体" w:hint="default"/>
          <w:sz w:val="18"/>
          <w:szCs w:val="18"/>
        </w:rPr>
      </w:r>
    </w:p>
    <w:p>
      <w:pPr>
        <w:tabs>
          <w:tab w:pos="4438" w:val="left" w:leader="none"/>
          <w:tab w:pos="5025" w:val="left" w:leader="none"/>
          <w:tab w:pos="6650" w:val="left" w:leader="none"/>
          <w:tab w:pos="7518" w:val="left" w:leader="none"/>
          <w:tab w:pos="8103" w:val="left" w:leader="none"/>
        </w:tabs>
        <w:spacing w:line="268" w:lineRule="exact" w:before="0"/>
        <w:ind w:left="844" w:right="0" w:firstLine="0"/>
        <w:jc w:val="left"/>
        <w:rPr>
          <w:rFonts w:ascii="宋体" w:hAnsi="宋体" w:cs="宋体" w:eastAsia="宋体" w:hint="default"/>
          <w:sz w:val="18"/>
          <w:szCs w:val="18"/>
        </w:rPr>
      </w:pPr>
      <w:r>
        <w:rPr>
          <w:rFonts w:ascii="宋体" w:hAnsi="宋体" w:cs="宋体" w:eastAsia="宋体" w:hint="default"/>
          <w:position w:val="-9"/>
          <w:sz w:val="18"/>
          <w:szCs w:val="18"/>
        </w:rPr>
        <w:t>司</w:t>
        <w:tab/>
      </w:r>
      <w:r>
        <w:rPr>
          <w:rFonts w:ascii="宋体" w:hAnsi="宋体" w:cs="宋体" w:eastAsia="宋体" w:hint="default"/>
          <w:sz w:val="18"/>
          <w:szCs w:val="18"/>
        </w:rPr>
        <w:t>0.00</w:t>
        <w:tab/>
        <w:t>21,153,563.00</w:t>
        <w:tab/>
        <w:t>0.00</w:t>
        <w:tab/>
        <w:t>0.00</w:t>
        <w:tab/>
        <w:t>21,153,563.00</w:t>
      </w:r>
    </w:p>
    <w:p>
      <w:pPr>
        <w:tabs>
          <w:tab w:pos="3898" w:val="left" w:leader="none"/>
          <w:tab w:pos="5835" w:val="left" w:leader="none"/>
          <w:tab w:pos="6650" w:val="left" w:leader="none"/>
          <w:tab w:pos="7518" w:val="left" w:leader="none"/>
          <w:tab w:pos="8373" w:val="left" w:leader="none"/>
        </w:tabs>
        <w:spacing w:before="5"/>
        <w:ind w:left="844" w:right="0" w:firstLine="0"/>
        <w:jc w:val="left"/>
        <w:rPr>
          <w:rFonts w:ascii="宋体" w:hAnsi="宋体" w:cs="宋体" w:eastAsia="宋体" w:hint="default"/>
          <w:sz w:val="18"/>
          <w:szCs w:val="18"/>
        </w:rPr>
      </w:pPr>
      <w:r>
        <w:rPr>
          <w:rFonts w:ascii="宋体"/>
          <w:sz w:val="18"/>
        </w:rPr>
        <w:t>Technovator Qatar</w:t>
        <w:tab/>
        <w:t>184,361.40</w:t>
        <w:tab/>
        <w:t>0.00</w:t>
        <w:tab/>
        <w:t>0.00</w:t>
        <w:tab/>
        <w:t>0.00</w:t>
        <w:tab/>
        <w:t>184,361.40</w:t>
      </w:r>
    </w:p>
    <w:p>
      <w:pPr>
        <w:tabs>
          <w:tab w:pos="3710" w:val="left" w:leader="none"/>
          <w:tab w:pos="5015" w:val="left" w:leader="none"/>
          <w:tab w:pos="6646" w:val="left" w:leader="none"/>
          <w:tab w:pos="7513" w:val="left" w:leader="none"/>
          <w:tab w:pos="8093" w:val="left" w:leader="none"/>
        </w:tabs>
        <w:spacing w:before="47"/>
        <w:ind w:left="844"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2,955,911.40</w:t>
        <w:tab/>
        <w:t>46,063,563.00</w:t>
        <w:tab/>
        <w:t>0.00</w:t>
        <w:tab/>
        <w:t>0.00</w:t>
        <w:tab/>
      </w:r>
      <w:r>
        <w:rPr>
          <w:rFonts w:ascii="宋体" w:hAnsi="宋体" w:cs="宋体" w:eastAsia="宋体" w:hint="default"/>
          <w:b/>
          <w:bCs/>
          <w:sz w:val="18"/>
          <w:szCs w:val="18"/>
        </w:rPr>
        <w:t>49,019,474.40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7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880;height:2" coordorigin="15,15" coordsize="2880,2">
              <v:shape style="position:absolute;left:15;top:15;width:2880;height:2" coordorigin="15,15" coordsize="2880,0" path="m15,15l2895,15e" filled="false" stroked="true" strokeweight="1.5pt" strokecolor="#000000">
                <v:path arrowok="t"/>
              </v:shape>
            </v:group>
            <v:group style="position:absolute;left:2881;top:15;width:1320;height:2" coordorigin="2881,15" coordsize="1320,2">
              <v:shape style="position:absolute;left:2881;top:15;width:1320;height:2" coordorigin="2881,15" coordsize="1320,0" path="m2881,15l4201,15e" filled="false" stroked="true" strokeweight="1.5pt" strokecolor="#000000">
                <v:path arrowok="t"/>
              </v:shape>
            </v:group>
            <v:group style="position:absolute;left:4186;top:15;width:1410;height:2" coordorigin="4186,15" coordsize="1410,2">
              <v:shape style="position:absolute;left:4186;top:15;width:1410;height:2" coordorigin="4186,15" coordsize="1410,0" path="m4186,15l5596,15e" filled="false" stroked="true" strokeweight="1.5pt" strokecolor="#000000">
                <v:path arrowok="t"/>
              </v:shape>
            </v:group>
            <v:group style="position:absolute;left:5582;top:15;width:830;height:2" coordorigin="5582,15" coordsize="830,2">
              <v:shape style="position:absolute;left:5582;top:15;width:830;height:2" coordorigin="5582,15" coordsize="830,0" path="m5582,15l6411,15e" filled="false" stroked="true" strokeweight="1.5pt" strokecolor="#000000">
                <v:path arrowok="t"/>
              </v:shape>
            </v:group>
            <v:group style="position:absolute;left:6397;top:15;width:882;height:2" coordorigin="6397,15" coordsize="882,2">
              <v:shape style="position:absolute;left:6397;top:15;width:882;height:2" coordorigin="6397,15" coordsize="882,0" path="m6397,15l7279,15e" filled="false" stroked="true" strokeweight="1.5pt" strokecolor="#000000">
                <v:path arrowok="t"/>
              </v:shape>
            </v:group>
            <v:group style="position:absolute;left:7264;top:15;width:1410;height:2" coordorigin="7264,15" coordsize="1410,2">
              <v:shape style="position:absolute;left:7264;top:15;width:1410;height:2" coordorigin="7264,15" coordsize="1410,0" path="m7264,15l867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960" w:right="8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416" w:type="dxa"/>
        <w:tblLayout w:type="fixed"/>
        <w:tblCellMar>
          <w:top w:w="0" w:type="dxa"/>
          <w:left w:w="0" w:type="dxa"/>
          <w:bottom w:w="0" w:type="dxa"/>
          <w:right w:w="0" w:type="dxa"/>
        </w:tblCellMar>
        <w:tblLook w:val="01E0"/>
      </w:tblPr>
      <w:tblGrid>
        <w:gridCol w:w="3513"/>
        <w:gridCol w:w="1346"/>
        <w:gridCol w:w="1311"/>
        <w:gridCol w:w="1431"/>
        <w:gridCol w:w="1038"/>
      </w:tblGrid>
      <w:tr>
        <w:trPr>
          <w:trHeight w:val="965" w:hRule="exact"/>
        </w:trPr>
        <w:tc>
          <w:tcPr>
            <w:tcW w:w="3513" w:type="dxa"/>
            <w:tcBorders>
              <w:top w:val="nil" w:sz="6" w:space="0" w:color="auto"/>
              <w:left w:val="nil" w:sz="6" w:space="0" w:color="auto"/>
              <w:bottom w:val="single" w:sz="12" w:space="0" w:color="000000"/>
              <w:right w:val="nil" w:sz="6" w:space="0" w:color="auto"/>
            </w:tcBorders>
          </w:tcPr>
          <w:p>
            <w:pPr>
              <w:pStyle w:val="TableParagraph"/>
              <w:spacing w:line="367" w:lineRule="auto" w:before="31"/>
              <w:ind w:left="161" w:right="49"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投资性房地产</w:t>
            </w:r>
            <w:r>
              <w:rPr>
                <w:rFonts w:ascii="宋体" w:hAnsi="宋体" w:cs="宋体" w:eastAsia="宋体" w:hint="default"/>
                <w:w w:val="99"/>
                <w:sz w:val="22"/>
                <w:szCs w:val="22"/>
              </w:rPr>
              <w:t> </w:t>
            </w:r>
            <w:r>
              <w:rPr>
                <w:rFonts w:ascii="宋体" w:hAnsi="宋体" w:cs="宋体" w:eastAsia="宋体" w:hint="default"/>
                <w:sz w:val="22"/>
                <w:szCs w:val="22"/>
              </w:rPr>
              <w:t>采用成本模式计量的投资性房地产</w:t>
            </w:r>
          </w:p>
        </w:tc>
        <w:tc>
          <w:tcPr>
            <w:tcW w:w="5125" w:type="dxa"/>
            <w:gridSpan w:val="4"/>
            <w:tcBorders>
              <w:top w:val="nil" w:sz="6" w:space="0" w:color="auto"/>
              <w:left w:val="nil" w:sz="6" w:space="0" w:color="auto"/>
              <w:bottom w:val="single" w:sz="12" w:space="0" w:color="000000"/>
              <w:right w:val="nil" w:sz="6" w:space="0" w:color="auto"/>
            </w:tcBorders>
          </w:tcPr>
          <w:p>
            <w:pPr/>
          </w:p>
        </w:tc>
      </w:tr>
      <w:tr>
        <w:trPr>
          <w:trHeight w:val="303" w:hRule="exact"/>
        </w:trPr>
        <w:tc>
          <w:tcPr>
            <w:tcW w:w="351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7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1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3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03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70"/>
              <w:jc w:val="right"/>
              <w:rPr>
                <w:rFonts w:ascii="宋体" w:hAnsi="宋体" w:cs="宋体" w:eastAsia="宋体" w:hint="default"/>
                <w:sz w:val="18"/>
                <w:szCs w:val="18"/>
              </w:rPr>
            </w:pPr>
            <w:r>
              <w:rPr>
                <w:rFonts w:ascii="宋体" w:hAnsi="宋体" w:cs="宋体" w:eastAsia="宋体" w:hint="default"/>
                <w:b/>
                <w:bCs/>
                <w:w w:val="95"/>
                <w:sz w:val="18"/>
                <w:szCs w:val="18"/>
              </w:rPr>
              <w:t>年末金额</w:t>
            </w:r>
            <w:r>
              <w:rPr>
                <w:rFonts w:ascii="宋体" w:hAnsi="宋体" w:cs="宋体" w:eastAsia="宋体" w:hint="default"/>
                <w:sz w:val="18"/>
                <w:szCs w:val="18"/>
              </w:rPr>
            </w:r>
          </w:p>
        </w:tc>
      </w:tr>
      <w:tr>
        <w:trPr>
          <w:trHeight w:val="282" w:hRule="exact"/>
        </w:trPr>
        <w:tc>
          <w:tcPr>
            <w:tcW w:w="351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346" w:type="dxa"/>
            <w:tcBorders>
              <w:top w:val="single" w:sz="4" w:space="0" w:color="000000"/>
              <w:left w:val="nil" w:sz="6" w:space="0" w:color="auto"/>
              <w:bottom w:val="nil" w:sz="6" w:space="0" w:color="auto"/>
              <w:right w:val="nil" w:sz="6" w:space="0" w:color="auto"/>
            </w:tcBorders>
          </w:tcPr>
          <w:p>
            <w:pPr>
              <w:pStyle w:val="TableParagraph"/>
              <w:spacing w:line="226" w:lineRule="exact"/>
              <w:ind w:right="111"/>
              <w:jc w:val="right"/>
              <w:rPr>
                <w:rFonts w:ascii="宋体" w:hAnsi="宋体" w:cs="宋体" w:eastAsia="宋体" w:hint="default"/>
                <w:sz w:val="18"/>
                <w:szCs w:val="18"/>
              </w:rPr>
            </w:pPr>
            <w:r>
              <w:rPr>
                <w:rFonts w:ascii="宋体"/>
                <w:b/>
                <w:w w:val="95"/>
                <w:sz w:val="18"/>
              </w:rPr>
              <w:t>61,320,342.36</w:t>
            </w:r>
            <w:r>
              <w:rPr>
                <w:rFonts w:ascii="宋体"/>
                <w:sz w:val="18"/>
              </w:rPr>
            </w:r>
          </w:p>
        </w:tc>
        <w:tc>
          <w:tcPr>
            <w:tcW w:w="1311"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0.00</w:t>
            </w:r>
            <w:r>
              <w:rPr>
                <w:rFonts w:ascii="宋体"/>
                <w:sz w:val="18"/>
              </w:rPr>
            </w:r>
          </w:p>
        </w:tc>
        <w:tc>
          <w:tcPr>
            <w:tcW w:w="1431" w:type="dxa"/>
            <w:tcBorders>
              <w:top w:val="single" w:sz="4" w:space="0" w:color="000000"/>
              <w:left w:val="nil" w:sz="6" w:space="0" w:color="auto"/>
              <w:bottom w:val="nil" w:sz="6" w:space="0" w:color="auto"/>
              <w:right w:val="nil" w:sz="6" w:space="0" w:color="auto"/>
            </w:tcBorders>
          </w:tcPr>
          <w:p>
            <w:pPr>
              <w:pStyle w:val="TableParagraph"/>
              <w:spacing w:line="226" w:lineRule="exact"/>
              <w:ind w:right="140"/>
              <w:jc w:val="right"/>
              <w:rPr>
                <w:rFonts w:ascii="宋体" w:hAnsi="宋体" w:cs="宋体" w:eastAsia="宋体" w:hint="default"/>
                <w:sz w:val="18"/>
                <w:szCs w:val="18"/>
              </w:rPr>
            </w:pPr>
            <w:r>
              <w:rPr>
                <w:rFonts w:ascii="宋体"/>
                <w:b/>
                <w:w w:val="95"/>
                <w:sz w:val="18"/>
              </w:rPr>
              <w:t>61,320,342.36</w:t>
            </w:r>
            <w:r>
              <w:rPr>
                <w:rFonts w:ascii="宋体"/>
                <w:sz w:val="18"/>
              </w:rPr>
            </w:r>
          </w:p>
        </w:tc>
        <w:tc>
          <w:tcPr>
            <w:tcW w:w="1038"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0.00</w:t>
            </w:r>
            <w:r>
              <w:rPr>
                <w:rFonts w:ascii="宋体"/>
                <w:sz w:val="18"/>
              </w:rPr>
            </w:r>
          </w:p>
        </w:tc>
      </w:tr>
      <w:tr>
        <w:trPr>
          <w:trHeight w:val="283"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46"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61,320,342.36</w:t>
            </w:r>
          </w:p>
        </w:tc>
        <w:tc>
          <w:tcPr>
            <w:tcW w:w="131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31" w:type="dxa"/>
            <w:tcBorders>
              <w:top w:val="nil" w:sz="6" w:space="0" w:color="auto"/>
              <w:left w:val="nil" w:sz="6" w:space="0" w:color="auto"/>
              <w:bottom w:val="nil" w:sz="6" w:space="0" w:color="auto"/>
              <w:right w:val="nil" w:sz="6" w:space="0" w:color="auto"/>
            </w:tcBorders>
          </w:tcPr>
          <w:p>
            <w:pPr>
              <w:pStyle w:val="TableParagraph"/>
              <w:spacing w:line="232" w:lineRule="exact"/>
              <w:ind w:right="141"/>
              <w:jc w:val="right"/>
              <w:rPr>
                <w:rFonts w:ascii="宋体" w:hAnsi="宋体" w:cs="宋体" w:eastAsia="宋体" w:hint="default"/>
                <w:sz w:val="18"/>
                <w:szCs w:val="18"/>
              </w:rPr>
            </w:pPr>
            <w:r>
              <w:rPr>
                <w:rFonts w:ascii="宋体"/>
                <w:sz w:val="18"/>
              </w:rPr>
              <w:t>61,320,342.36</w:t>
            </w:r>
          </w:p>
        </w:tc>
        <w:tc>
          <w:tcPr>
            <w:tcW w:w="10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累计折旧和累计摊销</w:t>
            </w:r>
            <w:r>
              <w:rPr>
                <w:rFonts w:ascii="宋体" w:hAnsi="宋体" w:cs="宋体" w:eastAsia="宋体" w:hint="default"/>
                <w:sz w:val="18"/>
                <w:szCs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b/>
                <w:w w:val="95"/>
                <w:sz w:val="18"/>
              </w:rPr>
              <w:t>16,415,374.39</w:t>
            </w:r>
            <w:r>
              <w:rPr>
                <w:rFonts w:ascii="宋体"/>
                <w:sz w:val="18"/>
              </w:rPr>
            </w:r>
          </w:p>
        </w:tc>
        <w:tc>
          <w:tcPr>
            <w:tcW w:w="131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w w:val="95"/>
                <w:sz w:val="18"/>
              </w:rPr>
              <w:t>1,251,902.52</w:t>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b/>
                <w:w w:val="95"/>
                <w:sz w:val="18"/>
              </w:rPr>
              <w:t>17,667,276.91</w:t>
            </w:r>
            <w:r>
              <w:rPr>
                <w:rFonts w:ascii="宋体"/>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b/>
                <w:w w:val="95"/>
                <w:sz w:val="18"/>
              </w:rPr>
              <w:t>0.00</w:t>
            </w:r>
            <w:r>
              <w:rPr>
                <w:rFonts w:ascii="宋体"/>
                <w:sz w:val="18"/>
              </w:rPr>
            </w:r>
          </w:p>
        </w:tc>
      </w:tr>
      <w:tr>
        <w:trPr>
          <w:trHeight w:val="283"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46"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16,415,374.39</w:t>
            </w:r>
          </w:p>
        </w:tc>
        <w:tc>
          <w:tcPr>
            <w:tcW w:w="131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1,251,902.52</w:t>
            </w:r>
          </w:p>
        </w:tc>
        <w:tc>
          <w:tcPr>
            <w:tcW w:w="1431" w:type="dxa"/>
            <w:tcBorders>
              <w:top w:val="nil" w:sz="6" w:space="0" w:color="auto"/>
              <w:left w:val="nil" w:sz="6" w:space="0" w:color="auto"/>
              <w:bottom w:val="nil" w:sz="6" w:space="0" w:color="auto"/>
              <w:right w:val="nil" w:sz="6" w:space="0" w:color="auto"/>
            </w:tcBorders>
          </w:tcPr>
          <w:p>
            <w:pPr>
              <w:pStyle w:val="TableParagraph"/>
              <w:spacing w:line="232" w:lineRule="exact"/>
              <w:ind w:right="141"/>
              <w:jc w:val="right"/>
              <w:rPr>
                <w:rFonts w:ascii="宋体" w:hAnsi="宋体" w:cs="宋体" w:eastAsia="宋体" w:hint="default"/>
                <w:sz w:val="18"/>
                <w:szCs w:val="18"/>
              </w:rPr>
            </w:pPr>
            <w:r>
              <w:rPr>
                <w:rFonts w:ascii="宋体"/>
                <w:sz w:val="18"/>
              </w:rPr>
              <w:t>17,667,276.91</w:t>
            </w:r>
          </w:p>
        </w:tc>
        <w:tc>
          <w:tcPr>
            <w:tcW w:w="10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32" w:lineRule="exact"/>
              <w:ind w:right="114"/>
              <w:jc w:val="right"/>
              <w:rPr>
                <w:rFonts w:ascii="宋体" w:hAnsi="宋体" w:cs="宋体" w:eastAsia="宋体" w:hint="default"/>
                <w:sz w:val="18"/>
                <w:szCs w:val="18"/>
              </w:rPr>
            </w:pPr>
            <w:r>
              <w:rPr>
                <w:rFonts w:ascii="宋体"/>
                <w:b/>
                <w:w w:val="95"/>
                <w:sz w:val="18"/>
              </w:rPr>
              <w:t>0.00</w:t>
            </w:r>
            <w:r>
              <w:rPr>
                <w:rFonts w:ascii="宋体"/>
                <w:sz w:val="18"/>
              </w:rPr>
            </w:r>
          </w:p>
        </w:tc>
        <w:tc>
          <w:tcPr>
            <w:tcW w:w="131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b/>
                <w:w w:val="95"/>
                <w:sz w:val="18"/>
              </w:rPr>
              <w:t>0.00</w:t>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32" w:lineRule="exact"/>
              <w:ind w:right="142"/>
              <w:jc w:val="right"/>
              <w:rPr>
                <w:rFonts w:ascii="宋体" w:hAnsi="宋体" w:cs="宋体" w:eastAsia="宋体" w:hint="default"/>
                <w:sz w:val="18"/>
                <w:szCs w:val="18"/>
              </w:rPr>
            </w:pPr>
            <w:r>
              <w:rPr>
                <w:rFonts w:ascii="宋体"/>
                <w:b/>
                <w:w w:val="95"/>
                <w:sz w:val="18"/>
              </w:rPr>
              <w:t>0.00</w:t>
            </w:r>
            <w:r>
              <w:rPr>
                <w:rFonts w:ascii="宋体"/>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b/>
                <w:w w:val="95"/>
                <w:sz w:val="18"/>
              </w:rPr>
              <w:t>0.00</w:t>
            </w:r>
            <w:r>
              <w:rPr>
                <w:rFonts w:ascii="宋体"/>
                <w:sz w:val="18"/>
              </w:rPr>
            </w:r>
          </w:p>
        </w:tc>
      </w:tr>
      <w:tr>
        <w:trPr>
          <w:trHeight w:val="283"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46"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31" w:type="dxa"/>
            <w:tcBorders>
              <w:top w:val="nil" w:sz="6" w:space="0" w:color="auto"/>
              <w:left w:val="nil" w:sz="6" w:space="0" w:color="auto"/>
              <w:bottom w:val="nil" w:sz="6" w:space="0" w:color="auto"/>
              <w:right w:val="nil" w:sz="6" w:space="0" w:color="auto"/>
            </w:tcBorders>
          </w:tcPr>
          <w:p>
            <w:pPr>
              <w:pStyle w:val="TableParagraph"/>
              <w:spacing w:line="232" w:lineRule="exact"/>
              <w:ind w:right="141"/>
              <w:jc w:val="right"/>
              <w:rPr>
                <w:rFonts w:ascii="宋体" w:hAnsi="宋体" w:cs="宋体" w:eastAsia="宋体" w:hint="default"/>
                <w:sz w:val="18"/>
                <w:szCs w:val="18"/>
              </w:rPr>
            </w:pPr>
            <w:r>
              <w:rPr>
                <w:rFonts w:ascii="宋体"/>
                <w:sz w:val="18"/>
              </w:rPr>
              <w:t>0.00</w:t>
            </w:r>
          </w:p>
        </w:tc>
        <w:tc>
          <w:tcPr>
            <w:tcW w:w="10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32" w:lineRule="exact"/>
              <w:ind w:right="111"/>
              <w:jc w:val="right"/>
              <w:rPr>
                <w:rFonts w:ascii="宋体" w:hAnsi="宋体" w:cs="宋体" w:eastAsia="宋体" w:hint="default"/>
                <w:sz w:val="18"/>
                <w:szCs w:val="18"/>
              </w:rPr>
            </w:pPr>
            <w:r>
              <w:rPr>
                <w:rFonts w:ascii="宋体"/>
                <w:b/>
                <w:w w:val="95"/>
                <w:sz w:val="18"/>
              </w:rPr>
              <w:t>44,904,967.97</w:t>
            </w:r>
            <w:r>
              <w:rPr>
                <w:rFonts w:ascii="宋体"/>
                <w:sz w:val="18"/>
              </w:rPr>
            </w:r>
          </w:p>
        </w:tc>
        <w:tc>
          <w:tcPr>
            <w:tcW w:w="1311"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b/>
                <w:w w:val="95"/>
                <w:sz w:val="18"/>
              </w:rPr>
              <w:t>0.00</w:t>
            </w:r>
            <w:r>
              <w:rPr>
                <w:rFonts w:ascii="宋体"/>
                <w:sz w:val="18"/>
              </w:rPr>
            </w:r>
          </w:p>
        </w:tc>
      </w:tr>
      <w:tr>
        <w:trPr>
          <w:trHeight w:val="304" w:hRule="exact"/>
        </w:trPr>
        <w:tc>
          <w:tcPr>
            <w:tcW w:w="3513" w:type="dxa"/>
            <w:tcBorders>
              <w:top w:val="nil" w:sz="6" w:space="0" w:color="auto"/>
              <w:left w:val="nil" w:sz="6" w:space="0" w:color="auto"/>
              <w:bottom w:val="single" w:sz="12" w:space="0" w:color="000000"/>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46" w:type="dxa"/>
            <w:tcBorders>
              <w:top w:val="nil" w:sz="6" w:space="0" w:color="auto"/>
              <w:left w:val="nil" w:sz="6" w:space="0" w:color="auto"/>
              <w:bottom w:val="single" w:sz="12" w:space="0" w:color="000000"/>
              <w:right w:val="nil" w:sz="6" w:space="0" w:color="auto"/>
            </w:tcBorders>
          </w:tcPr>
          <w:p>
            <w:pPr>
              <w:pStyle w:val="TableParagraph"/>
              <w:spacing w:line="231" w:lineRule="exact"/>
              <w:ind w:right="113"/>
              <w:jc w:val="right"/>
              <w:rPr>
                <w:rFonts w:ascii="宋体" w:hAnsi="宋体" w:cs="宋体" w:eastAsia="宋体" w:hint="default"/>
                <w:sz w:val="18"/>
                <w:szCs w:val="18"/>
              </w:rPr>
            </w:pPr>
            <w:r>
              <w:rPr>
                <w:rFonts w:ascii="宋体"/>
                <w:sz w:val="18"/>
              </w:rPr>
              <w:t>44,904,967.97</w:t>
            </w:r>
          </w:p>
        </w:tc>
        <w:tc>
          <w:tcPr>
            <w:tcW w:w="1311" w:type="dxa"/>
            <w:tcBorders>
              <w:top w:val="nil" w:sz="6" w:space="0" w:color="auto"/>
              <w:left w:val="nil" w:sz="6" w:space="0" w:color="auto"/>
              <w:bottom w:val="single" w:sz="12" w:space="0" w:color="000000"/>
              <w:right w:val="nil" w:sz="6" w:space="0" w:color="auto"/>
            </w:tcBorders>
          </w:tcPr>
          <w:p>
            <w:pPr/>
          </w:p>
        </w:tc>
        <w:tc>
          <w:tcPr>
            <w:tcW w:w="1431" w:type="dxa"/>
            <w:tcBorders>
              <w:top w:val="nil" w:sz="6" w:space="0" w:color="auto"/>
              <w:left w:val="nil" w:sz="6" w:space="0" w:color="auto"/>
              <w:bottom w:val="single" w:sz="12" w:space="0" w:color="000000"/>
              <w:right w:val="nil" w:sz="6" w:space="0" w:color="auto"/>
            </w:tcBorders>
          </w:tcPr>
          <w:p>
            <w:pPr/>
          </w:p>
        </w:tc>
        <w:tc>
          <w:tcPr>
            <w:tcW w:w="1038" w:type="dxa"/>
            <w:tcBorders>
              <w:top w:val="nil" w:sz="6" w:space="0" w:color="auto"/>
              <w:left w:val="nil" w:sz="6" w:space="0" w:color="auto"/>
              <w:bottom w:val="single" w:sz="12"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bl>
    <w:p>
      <w:pPr>
        <w:spacing w:line="324" w:lineRule="auto" w:before="79"/>
        <w:ind w:left="138" w:right="143" w:firstLine="440"/>
        <w:jc w:val="both"/>
        <w:rPr>
          <w:rFonts w:ascii="宋体" w:hAnsi="宋体" w:cs="宋体" w:eastAsia="宋体" w:hint="default"/>
          <w:sz w:val="22"/>
          <w:szCs w:val="22"/>
        </w:rPr>
      </w:pPr>
      <w:r>
        <w:rPr>
          <w:rFonts w:ascii="宋体" w:hAnsi="宋体" w:cs="宋体" w:eastAsia="宋体" w:hint="default"/>
          <w:sz w:val="22"/>
          <w:szCs w:val="22"/>
        </w:rPr>
        <w:t>年末账面价值较年初余额减少</w:t>
      </w:r>
      <w:r>
        <w:rPr>
          <w:rFonts w:ascii="宋体" w:hAnsi="宋体" w:cs="宋体" w:eastAsia="宋体" w:hint="default"/>
          <w:spacing w:val="-55"/>
          <w:sz w:val="22"/>
          <w:szCs w:val="22"/>
        </w:rPr>
        <w:t> </w:t>
      </w:r>
      <w:r>
        <w:rPr>
          <w:rFonts w:ascii="宋体" w:hAnsi="宋体" w:cs="宋体" w:eastAsia="宋体" w:hint="default"/>
          <w:sz w:val="22"/>
          <w:szCs w:val="22"/>
        </w:rPr>
        <w:t>44,904,967.97</w:t>
      </w:r>
      <w:r>
        <w:rPr>
          <w:rFonts w:ascii="宋体" w:hAnsi="宋体" w:cs="宋体" w:eastAsia="宋体" w:hint="default"/>
          <w:spacing w:val="-56"/>
          <w:sz w:val="22"/>
          <w:szCs w:val="22"/>
        </w:rPr>
        <w:t> </w:t>
      </w:r>
      <w:r>
        <w:rPr>
          <w:rFonts w:ascii="宋体" w:hAnsi="宋体" w:cs="宋体" w:eastAsia="宋体" w:hint="default"/>
          <w:sz w:val="22"/>
          <w:szCs w:val="22"/>
        </w:rPr>
        <w:t>元，减幅</w:t>
      </w:r>
      <w:r>
        <w:rPr>
          <w:rFonts w:ascii="宋体" w:hAnsi="宋体" w:cs="宋体" w:eastAsia="宋体" w:hint="default"/>
          <w:spacing w:val="-55"/>
          <w:sz w:val="22"/>
          <w:szCs w:val="22"/>
        </w:rPr>
        <w:t> </w:t>
      </w:r>
      <w:r>
        <w:rPr>
          <w:rFonts w:ascii="宋体" w:hAnsi="宋体" w:cs="宋体" w:eastAsia="宋体" w:hint="default"/>
          <w:sz w:val="22"/>
          <w:szCs w:val="22"/>
        </w:rPr>
        <w:t>100.00%，主要系本公司及本公司之</w:t>
      </w:r>
      <w:r>
        <w:rPr>
          <w:rFonts w:ascii="宋体" w:hAnsi="宋体" w:cs="宋体" w:eastAsia="宋体" w:hint="default"/>
          <w:w w:val="99"/>
          <w:sz w:val="22"/>
          <w:szCs w:val="22"/>
        </w:rPr>
        <w:t> </w:t>
      </w:r>
      <w:r>
        <w:rPr>
          <w:rFonts w:ascii="宋体" w:hAnsi="宋体" w:cs="宋体" w:eastAsia="宋体" w:hint="default"/>
          <w:spacing w:val="-1"/>
          <w:sz w:val="22"/>
          <w:szCs w:val="22"/>
        </w:rPr>
        <w:t>控股子公司泰豪科技股份有限公司的投资性房地产变更使用用途而转入固定资产核算，以及本公</w:t>
      </w:r>
      <w:r>
        <w:rPr>
          <w:rFonts w:ascii="宋体" w:hAnsi="宋体" w:cs="宋体" w:eastAsia="宋体" w:hint="default"/>
          <w:w w:val="99"/>
          <w:sz w:val="22"/>
          <w:szCs w:val="22"/>
        </w:rPr>
        <w:t> </w:t>
      </w:r>
      <w:r>
        <w:rPr>
          <w:rFonts w:ascii="宋体" w:hAnsi="宋体" w:cs="宋体" w:eastAsia="宋体" w:hint="default"/>
          <w:spacing w:val="-1"/>
          <w:sz w:val="22"/>
          <w:szCs w:val="22"/>
        </w:rPr>
        <w:t>司之控股子公司泰豪科技股份有限公司处置其子公司衡阳泰豪置业有限公司股权，衡阳泰豪置业</w:t>
      </w:r>
      <w:r>
        <w:rPr>
          <w:rFonts w:ascii="宋体" w:hAnsi="宋体" w:cs="宋体" w:eastAsia="宋体" w:hint="default"/>
          <w:w w:val="99"/>
          <w:sz w:val="22"/>
          <w:szCs w:val="22"/>
        </w:rPr>
        <w:t> </w:t>
      </w:r>
      <w:r>
        <w:rPr>
          <w:rFonts w:ascii="宋体" w:hAnsi="宋体" w:cs="宋体" w:eastAsia="宋体" w:hint="default"/>
          <w:sz w:val="22"/>
          <w:szCs w:val="22"/>
        </w:rPr>
        <w:t>有限公司年末不再纳入合并范围所致。</w:t>
      </w:r>
    </w:p>
    <w:p>
      <w:pPr>
        <w:spacing w:before="103"/>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固定资产</w:t>
      </w:r>
    </w:p>
    <w:p>
      <w:pPr>
        <w:spacing w:before="163"/>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固定资产明细表</w:t>
      </w:r>
    </w:p>
    <w:p>
      <w:pPr>
        <w:spacing w:line="240" w:lineRule="auto" w:before="7"/>
        <w:rPr>
          <w:rFonts w:ascii="宋体" w:hAnsi="宋体" w:cs="宋体" w:eastAsia="宋体" w:hint="default"/>
          <w:sz w:val="6"/>
          <w:szCs w:val="6"/>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1739" w:val="left" w:leader="none"/>
          <w:tab w:pos="4059" w:val="left" w:leader="none"/>
          <w:tab w:pos="6288" w:val="left" w:leader="none"/>
          <w:tab w:pos="7865" w:val="left" w:leader="none"/>
        </w:tabs>
        <w:spacing w:before="0"/>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年初金额</w:t>
        <w:tab/>
        <w:t>本年增加</w:t>
        <w:tab/>
        <w:t>本年减少</w:t>
        <w:tab/>
      </w:r>
      <w:r>
        <w:rPr>
          <w:rFonts w:ascii="宋体" w:hAnsi="宋体" w:cs="宋体" w:eastAsia="宋体" w:hint="default"/>
          <w:b/>
          <w:bCs/>
          <w:sz w:val="18"/>
          <w:szCs w:val="18"/>
        </w:rPr>
        <w:t>年末金额</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416" w:type="dxa"/>
        <w:tblLayout w:type="fixed"/>
        <w:tblCellMar>
          <w:top w:w="0" w:type="dxa"/>
          <w:left w:w="0" w:type="dxa"/>
          <w:bottom w:w="0" w:type="dxa"/>
          <w:right w:w="0" w:type="dxa"/>
        </w:tblCellMar>
        <w:tblLook w:val="01E0"/>
      </w:tblPr>
      <w:tblGrid>
        <w:gridCol w:w="2519"/>
        <w:gridCol w:w="1394"/>
        <w:gridCol w:w="1578"/>
        <w:gridCol w:w="1485"/>
        <w:gridCol w:w="1661"/>
      </w:tblGrid>
      <w:tr>
        <w:trPr>
          <w:trHeight w:val="311" w:hRule="exact"/>
        </w:trPr>
        <w:tc>
          <w:tcPr>
            <w:tcW w:w="2519" w:type="dxa"/>
            <w:tcBorders>
              <w:top w:val="single" w:sz="4" w:space="0" w:color="000000"/>
              <w:left w:val="nil" w:sz="6" w:space="0" w:color="auto"/>
              <w:bottom w:val="nil" w:sz="6" w:space="0" w:color="auto"/>
              <w:right w:val="nil" w:sz="6" w:space="0" w:color="auto"/>
            </w:tcBorders>
          </w:tcPr>
          <w:p>
            <w:pPr>
              <w:pStyle w:val="TableParagraph"/>
              <w:tabs>
                <w:tab w:pos="958"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原价</w:t>
              <w:tab/>
            </w:r>
            <w:r>
              <w:rPr>
                <w:rFonts w:ascii="宋体" w:hAnsi="宋体" w:cs="宋体" w:eastAsia="宋体" w:hint="default"/>
                <w:b/>
                <w:bCs/>
                <w:sz w:val="18"/>
                <w:szCs w:val="18"/>
              </w:rPr>
              <w:t>3,615,690,510.69</w:t>
            </w:r>
            <w:r>
              <w:rPr>
                <w:rFonts w:ascii="宋体" w:hAnsi="宋体" w:cs="宋体" w:eastAsia="宋体" w:hint="default"/>
                <w:sz w:val="18"/>
                <w:szCs w:val="18"/>
              </w:rPr>
            </w:r>
          </w:p>
        </w:tc>
        <w:tc>
          <w:tcPr>
            <w:tcW w:w="2972"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410" w:right="0"/>
              <w:jc w:val="left"/>
              <w:rPr>
                <w:rFonts w:ascii="宋体" w:hAnsi="宋体" w:cs="宋体" w:eastAsia="宋体" w:hint="default"/>
                <w:sz w:val="18"/>
                <w:szCs w:val="18"/>
              </w:rPr>
            </w:pPr>
            <w:r>
              <w:rPr>
                <w:rFonts w:ascii="宋体"/>
                <w:b/>
                <w:sz w:val="18"/>
              </w:rPr>
              <w:t>1,124,596,248.03</w:t>
            </w:r>
            <w:r>
              <w:rPr>
                <w:rFonts w:ascii="宋体"/>
                <w:sz w:val="18"/>
              </w:rPr>
            </w:r>
          </w:p>
        </w:tc>
        <w:tc>
          <w:tcPr>
            <w:tcW w:w="1485"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119,671,305.35</w:t>
            </w:r>
            <w:r>
              <w:rPr>
                <w:rFonts w:ascii="宋体"/>
                <w:sz w:val="18"/>
              </w:rPr>
            </w:r>
          </w:p>
        </w:tc>
        <w:tc>
          <w:tcPr>
            <w:tcW w:w="1661" w:type="dxa"/>
            <w:tcBorders>
              <w:top w:val="single" w:sz="4" w:space="0" w:color="000000"/>
              <w:left w:val="nil" w:sz="6" w:space="0" w:color="auto"/>
              <w:bottom w:val="nil" w:sz="6" w:space="0" w:color="auto"/>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4,620,615,453.37</w:t>
            </w:r>
            <w:r>
              <w:rPr>
                <w:rFonts w:ascii="宋体"/>
                <w:sz w:val="18"/>
              </w:rPr>
            </w:r>
          </w:p>
        </w:tc>
      </w:tr>
      <w:tr>
        <w:trPr>
          <w:trHeight w:val="371"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93"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z w:val="18"/>
                <w:szCs w:val="18"/>
              </w:rPr>
              <w:t> 屋</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970"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建筑物</w:t>
              <w:tab/>
            </w:r>
            <w:r>
              <w:rPr>
                <w:rFonts w:ascii="宋体" w:hAnsi="宋体" w:cs="宋体" w:eastAsia="宋体" w:hint="default"/>
                <w:sz w:val="18"/>
                <w:szCs w:val="18"/>
              </w:rPr>
              <w:t>2,098,886,282.70</w:t>
            </w:r>
          </w:p>
        </w:tc>
        <w:tc>
          <w:tcPr>
            <w:tcW w:w="2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603" w:right="0"/>
              <w:jc w:val="left"/>
              <w:rPr>
                <w:rFonts w:ascii="宋体" w:hAnsi="宋体" w:cs="宋体" w:eastAsia="宋体" w:hint="default"/>
                <w:sz w:val="18"/>
                <w:szCs w:val="18"/>
              </w:rPr>
            </w:pPr>
            <w:r>
              <w:rPr>
                <w:rFonts w:ascii="宋体"/>
                <w:sz w:val="18"/>
              </w:rPr>
              <w:t>300,590,233.69</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33,718,145.70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2,365,758,370.69</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3" w:lineRule="exact"/>
              <w:ind w:left="288" w:right="0"/>
              <w:jc w:val="left"/>
              <w:rPr>
                <w:rFonts w:ascii="宋体" w:hAnsi="宋体" w:cs="宋体" w:eastAsia="宋体" w:hint="default"/>
                <w:sz w:val="18"/>
                <w:szCs w:val="18"/>
              </w:rPr>
            </w:pPr>
            <w:r>
              <w:rPr>
                <w:rFonts w:ascii="宋体" w:hAnsi="宋体" w:cs="宋体" w:eastAsia="宋体" w:hint="default"/>
                <w:spacing w:val="4"/>
                <w:sz w:val="18"/>
                <w:szCs w:val="18"/>
              </w:rPr>
              <w:t>电</w:t>
            </w:r>
            <w:r>
              <w:rPr>
                <w:rFonts w:ascii="宋体" w:hAnsi="宋体" w:cs="宋体" w:eastAsia="宋体" w:hint="default"/>
                <w:sz w:val="18"/>
                <w:szCs w:val="18"/>
              </w:rPr>
              <w:t> 子</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421,734,394.46</w:t>
            </w:r>
          </w:p>
        </w:tc>
        <w:tc>
          <w:tcPr>
            <w:tcW w:w="2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603" w:right="0"/>
              <w:jc w:val="left"/>
              <w:rPr>
                <w:rFonts w:ascii="宋体" w:hAnsi="宋体" w:cs="宋体" w:eastAsia="宋体" w:hint="default"/>
                <w:sz w:val="18"/>
                <w:szCs w:val="18"/>
              </w:rPr>
            </w:pPr>
            <w:r>
              <w:rPr>
                <w:rFonts w:ascii="宋体"/>
                <w:sz w:val="18"/>
              </w:rPr>
              <w:t>186,970,827.04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51,357,174.21</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557,348,047.29</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8" w:right="0"/>
              <w:jc w:val="left"/>
              <w:rPr>
                <w:rFonts w:ascii="宋体" w:hAnsi="宋体" w:cs="宋体" w:eastAsia="宋体" w:hint="default"/>
                <w:sz w:val="18"/>
                <w:szCs w:val="18"/>
              </w:rPr>
            </w:pPr>
            <w:r>
              <w:rPr>
                <w:rFonts w:ascii="宋体" w:hAnsi="宋体" w:cs="宋体" w:eastAsia="宋体" w:hint="default"/>
                <w:spacing w:val="4"/>
                <w:sz w:val="18"/>
                <w:szCs w:val="18"/>
              </w:rPr>
              <w:t>专</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358,164,743.49</w:t>
            </w:r>
          </w:p>
        </w:tc>
        <w:tc>
          <w:tcPr>
            <w:tcW w:w="2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603" w:right="0"/>
              <w:jc w:val="left"/>
              <w:rPr>
                <w:rFonts w:ascii="宋体" w:hAnsi="宋体" w:cs="宋体" w:eastAsia="宋体" w:hint="default"/>
                <w:sz w:val="18"/>
                <w:szCs w:val="18"/>
              </w:rPr>
            </w:pPr>
            <w:r>
              <w:rPr>
                <w:rFonts w:ascii="宋体"/>
                <w:sz w:val="18"/>
              </w:rPr>
              <w:t>568,044,590.21</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18,629,749.03</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907,579,584.67</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8" w:right="0"/>
              <w:jc w:val="left"/>
              <w:rPr>
                <w:rFonts w:ascii="宋体" w:hAnsi="宋体" w:cs="宋体" w:eastAsia="宋体" w:hint="default"/>
                <w:sz w:val="18"/>
                <w:szCs w:val="18"/>
              </w:rPr>
            </w:pPr>
            <w:r>
              <w:rPr>
                <w:rFonts w:ascii="宋体" w:hAnsi="宋体" w:cs="宋体" w:eastAsia="宋体" w:hint="default"/>
                <w:spacing w:val="4"/>
                <w:sz w:val="18"/>
                <w:szCs w:val="18"/>
              </w:rPr>
              <w:t>通</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623,495,869.83</w:t>
            </w:r>
          </w:p>
        </w:tc>
        <w:tc>
          <w:tcPr>
            <w:tcW w:w="2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693" w:right="0"/>
              <w:jc w:val="left"/>
              <w:rPr>
                <w:rFonts w:ascii="宋体" w:hAnsi="宋体" w:cs="宋体" w:eastAsia="宋体" w:hint="default"/>
                <w:sz w:val="18"/>
                <w:szCs w:val="18"/>
              </w:rPr>
            </w:pPr>
            <w:r>
              <w:rPr>
                <w:rFonts w:ascii="宋体"/>
                <w:sz w:val="18"/>
              </w:rPr>
              <w:t>49,414,199.03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8,351,016.11</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664,559,052.75</w:t>
            </w:r>
          </w:p>
        </w:tc>
      </w:tr>
      <w:tr>
        <w:trPr>
          <w:trHeight w:val="371"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3" w:lineRule="exact"/>
              <w:ind w:left="288" w:right="0"/>
              <w:jc w:val="left"/>
              <w:rPr>
                <w:rFonts w:ascii="宋体" w:hAnsi="宋体" w:cs="宋体" w:eastAsia="宋体" w:hint="default"/>
                <w:sz w:val="18"/>
                <w:szCs w:val="18"/>
              </w:rPr>
            </w:pPr>
            <w:r>
              <w:rPr>
                <w:rFonts w:ascii="宋体" w:hAnsi="宋体" w:cs="宋体" w:eastAsia="宋体" w:hint="default"/>
                <w:spacing w:val="4"/>
                <w:sz w:val="18"/>
                <w:szCs w:val="18"/>
              </w:rPr>
              <w:t>运</w:t>
            </w:r>
            <w:r>
              <w:rPr>
                <w:rFonts w:ascii="宋体" w:hAnsi="宋体" w:cs="宋体" w:eastAsia="宋体" w:hint="default"/>
                <w:sz w:val="18"/>
                <w:szCs w:val="18"/>
              </w:rPr>
              <w:t> 输</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113,409,220.21</w:t>
            </w:r>
          </w:p>
        </w:tc>
        <w:tc>
          <w:tcPr>
            <w:tcW w:w="2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693" w:right="0"/>
              <w:jc w:val="left"/>
              <w:rPr>
                <w:rFonts w:ascii="宋体" w:hAnsi="宋体" w:cs="宋体" w:eastAsia="宋体" w:hint="default"/>
                <w:sz w:val="18"/>
                <w:szCs w:val="18"/>
              </w:rPr>
            </w:pPr>
            <w:r>
              <w:rPr>
                <w:rFonts w:ascii="宋体"/>
                <w:sz w:val="18"/>
              </w:rPr>
              <w:t>19,576,398.06</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7,615,220.30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125,370,397.97</w:t>
            </w:r>
          </w:p>
        </w:tc>
      </w:tr>
      <w:tr>
        <w:trPr>
          <w:trHeight w:val="712"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168" w:lineRule="exact"/>
              <w:ind w:left="107" w:right="0"/>
              <w:jc w:val="left"/>
              <w:rPr>
                <w:rFonts w:ascii="宋体" w:hAnsi="宋体" w:cs="宋体" w:eastAsia="宋体" w:hint="default"/>
                <w:sz w:val="18"/>
                <w:szCs w:val="18"/>
              </w:rPr>
            </w:pPr>
            <w:r>
              <w:rPr>
                <w:rFonts w:ascii="宋体" w:hAnsi="宋体" w:cs="宋体" w:eastAsia="宋体" w:hint="default"/>
                <w:b/>
                <w:bCs/>
                <w:spacing w:val="24"/>
                <w:sz w:val="18"/>
                <w:szCs w:val="18"/>
              </w:rPr>
              <w:t>累计</w:t>
            </w:r>
            <w:r>
              <w:rPr>
                <w:rFonts w:ascii="宋体" w:hAnsi="宋体" w:cs="宋体" w:eastAsia="宋体" w:hint="default"/>
                <w:b/>
                <w:bCs/>
                <w:spacing w:val="-47"/>
                <w:sz w:val="18"/>
                <w:szCs w:val="18"/>
              </w:rPr>
              <w:t> </w:t>
            </w:r>
            <w:r>
              <w:rPr>
                <w:rFonts w:ascii="宋体" w:hAnsi="宋体" w:cs="宋体" w:eastAsia="宋体" w:hint="default"/>
                <w:b/>
                <w:bCs/>
                <w:sz w:val="18"/>
                <w:szCs w:val="18"/>
              </w:rPr>
              <w:t>折</w:t>
            </w:r>
            <w:r>
              <w:rPr>
                <w:rFonts w:ascii="宋体" w:hAnsi="宋体" w:cs="宋体" w:eastAsia="宋体" w:hint="default"/>
                <w:sz w:val="18"/>
                <w:szCs w:val="18"/>
              </w:rPr>
            </w:r>
          </w:p>
          <w:p>
            <w:pPr>
              <w:pStyle w:val="TableParagraph"/>
              <w:tabs>
                <w:tab w:pos="958"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旧</w:t>
              <w:tab/>
            </w:r>
            <w:r>
              <w:rPr>
                <w:rFonts w:ascii="宋体" w:hAnsi="宋体" w:cs="宋体" w:eastAsia="宋体" w:hint="default"/>
                <w:b/>
                <w:bCs/>
                <w:sz w:val="18"/>
                <w:szCs w:val="18"/>
              </w:rPr>
              <w:t>1,104,710,394.64</w:t>
            </w:r>
            <w:r>
              <w:rPr>
                <w:rFonts w:ascii="宋体" w:hAnsi="宋体" w:cs="宋体" w:eastAsia="宋体" w:hint="default"/>
                <w:sz w:val="18"/>
                <w:szCs w:val="18"/>
              </w:rPr>
            </w:r>
          </w:p>
        </w:tc>
        <w:tc>
          <w:tcPr>
            <w:tcW w:w="1394" w:type="dxa"/>
            <w:tcBorders>
              <w:top w:val="nil" w:sz="6" w:space="0" w:color="auto"/>
              <w:left w:val="nil" w:sz="6" w:space="0" w:color="auto"/>
              <w:bottom w:val="nil" w:sz="6" w:space="0" w:color="auto"/>
              <w:right w:val="nil" w:sz="6" w:space="0" w:color="auto"/>
            </w:tcBorders>
          </w:tcPr>
          <w:p>
            <w:pPr>
              <w:pStyle w:val="TableParagraph"/>
              <w:spacing w:line="348" w:lineRule="auto" w:before="25"/>
              <w:ind w:left="107" w:right="15" w:firstLine="332"/>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b/>
                <w:bCs/>
                <w:w w:val="99"/>
                <w:sz w:val="18"/>
                <w:szCs w:val="18"/>
              </w:rPr>
              <w:t> </w:t>
            </w:r>
            <w:r>
              <w:rPr>
                <w:rFonts w:ascii="宋体" w:hAnsi="宋体" w:cs="宋体" w:eastAsia="宋体" w:hint="default"/>
                <w:b/>
                <w:bCs/>
                <w:w w:val="95"/>
                <w:sz w:val="18"/>
                <w:szCs w:val="18"/>
              </w:rPr>
              <w:t>218,227,256.40</w:t>
            </w:r>
            <w:r>
              <w:rPr>
                <w:rFonts w:ascii="宋体" w:hAnsi="宋体" w:cs="宋体" w:eastAsia="宋体" w:hint="default"/>
                <w:sz w:val="18"/>
                <w:szCs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348" w:lineRule="auto" w:before="25"/>
              <w:ind w:left="198" w:right="107" w:firstLine="332"/>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b/>
                <w:bCs/>
                <w:w w:val="99"/>
                <w:sz w:val="18"/>
                <w:szCs w:val="18"/>
              </w:rPr>
              <w:t> </w:t>
            </w:r>
            <w:r>
              <w:rPr>
                <w:rFonts w:ascii="宋体" w:hAnsi="宋体" w:cs="宋体" w:eastAsia="宋体" w:hint="default"/>
                <w:b/>
                <w:bCs/>
                <w:w w:val="95"/>
                <w:sz w:val="18"/>
                <w:szCs w:val="18"/>
              </w:rPr>
              <w:t>235,441,861.50</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05"/>
              <w:jc w:val="right"/>
              <w:rPr>
                <w:rFonts w:ascii="宋体" w:hAnsi="宋体" w:cs="宋体" w:eastAsia="宋体" w:hint="default"/>
                <w:sz w:val="18"/>
                <w:szCs w:val="18"/>
              </w:rPr>
            </w:pPr>
            <w:r>
              <w:rPr>
                <w:rFonts w:ascii="宋体"/>
                <w:b/>
                <w:w w:val="95"/>
                <w:sz w:val="18"/>
              </w:rPr>
              <w:t>72,991,183.99</w:t>
            </w:r>
            <w:r>
              <w:rPr>
                <w:rFonts w:ascii="宋体"/>
                <w:sz w:val="18"/>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97"/>
              <w:jc w:val="right"/>
              <w:rPr>
                <w:rFonts w:ascii="宋体" w:hAnsi="宋体" w:cs="宋体" w:eastAsia="宋体" w:hint="default"/>
                <w:sz w:val="18"/>
                <w:szCs w:val="18"/>
              </w:rPr>
            </w:pPr>
            <w:r>
              <w:rPr>
                <w:rFonts w:ascii="宋体"/>
                <w:b/>
                <w:w w:val="95"/>
                <w:sz w:val="18"/>
              </w:rPr>
              <w:t>1,485,388,328.55</w:t>
            </w:r>
            <w:r>
              <w:rPr>
                <w:rFonts w:ascii="宋体"/>
                <w:sz w:val="18"/>
              </w:rPr>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z w:val="18"/>
                <w:szCs w:val="18"/>
              </w:rPr>
              <w:t> 屋</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建筑物</w:t>
              <w:tab/>
            </w:r>
            <w:r>
              <w:rPr>
                <w:rFonts w:ascii="宋体" w:hAnsi="宋体" w:cs="宋体" w:eastAsia="宋体" w:hint="default"/>
                <w:sz w:val="18"/>
                <w:szCs w:val="18"/>
              </w:rPr>
              <w:t>297,830,855.98</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right"/>
              <w:rPr>
                <w:rFonts w:ascii="宋体" w:hAnsi="宋体" w:cs="宋体" w:eastAsia="宋体" w:hint="default"/>
                <w:sz w:val="18"/>
                <w:szCs w:val="18"/>
              </w:rPr>
            </w:pPr>
            <w:r>
              <w:rPr>
                <w:rFonts w:ascii="宋体"/>
                <w:sz w:val="18"/>
              </w:rPr>
              <w:t>27,352,216.16</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65,453,155.62</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11,385,601.82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379,250,625.94</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电</w:t>
            </w:r>
            <w:r>
              <w:rPr>
                <w:rFonts w:ascii="宋体" w:hAnsi="宋体" w:cs="宋体" w:eastAsia="宋体" w:hint="default"/>
                <w:sz w:val="18"/>
                <w:szCs w:val="18"/>
              </w:rPr>
              <w:t> 子</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297,398,594.52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right"/>
              <w:rPr>
                <w:rFonts w:ascii="宋体" w:hAnsi="宋体" w:cs="宋体" w:eastAsia="宋体" w:hint="default"/>
                <w:sz w:val="18"/>
                <w:szCs w:val="18"/>
              </w:rPr>
            </w:pPr>
            <w:r>
              <w:rPr>
                <w:rFonts w:ascii="宋体"/>
                <w:sz w:val="18"/>
              </w:rPr>
              <w:t>103,369,253.28</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54,915,511.27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42,693,547.28</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412,989,811.79</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专</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171,659,630.55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
              <w:jc w:val="right"/>
              <w:rPr>
                <w:rFonts w:ascii="宋体" w:hAnsi="宋体" w:cs="宋体" w:eastAsia="宋体" w:hint="default"/>
                <w:sz w:val="18"/>
                <w:szCs w:val="18"/>
              </w:rPr>
            </w:pPr>
            <w:r>
              <w:rPr>
                <w:rFonts w:ascii="宋体"/>
                <w:sz w:val="18"/>
              </w:rPr>
              <w:t>85,570,667.26</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45,004,751.77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8,830,198.20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z w:val="18"/>
              </w:rPr>
              <w:t>293,404,851.38</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通</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150"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281,105,015.03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
              <w:jc w:val="right"/>
              <w:rPr>
                <w:rFonts w:ascii="宋体" w:hAnsi="宋体" w:cs="宋体" w:eastAsia="宋体" w:hint="default"/>
                <w:sz w:val="18"/>
                <w:szCs w:val="18"/>
              </w:rPr>
            </w:pPr>
            <w:r>
              <w:rPr>
                <w:rFonts w:ascii="宋体"/>
                <w:sz w:val="18"/>
              </w:rPr>
              <w:t>177,471.89</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59,585,659.91</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4,984,534.17</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335,883,612.66</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运</w:t>
            </w:r>
            <w:r>
              <w:rPr>
                <w:rFonts w:ascii="宋体" w:hAnsi="宋体" w:cs="宋体" w:eastAsia="宋体" w:hint="default"/>
                <w:sz w:val="18"/>
                <w:szCs w:val="18"/>
              </w:rPr>
              <w:t> 输</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23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56,716,298.56</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
              <w:jc w:val="right"/>
              <w:rPr>
                <w:rFonts w:ascii="宋体" w:hAnsi="宋体" w:cs="宋体" w:eastAsia="宋体" w:hint="default"/>
                <w:sz w:val="18"/>
                <w:szCs w:val="18"/>
              </w:rPr>
            </w:pPr>
            <w:r>
              <w:rPr>
                <w:rFonts w:ascii="宋体"/>
                <w:sz w:val="18"/>
              </w:rPr>
              <w:t>1,757,647.81</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10,482,782.93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5,097,302.52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63,859,426.78</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3" w:lineRule="exact"/>
              <w:ind w:left="107" w:right="0"/>
              <w:jc w:val="left"/>
              <w:rPr>
                <w:rFonts w:ascii="宋体" w:hAnsi="宋体" w:cs="宋体" w:eastAsia="宋体" w:hint="default"/>
                <w:sz w:val="18"/>
                <w:szCs w:val="18"/>
              </w:rPr>
            </w:pPr>
            <w:r>
              <w:rPr>
                <w:rFonts w:ascii="宋体" w:hAnsi="宋体" w:cs="宋体" w:eastAsia="宋体" w:hint="default"/>
                <w:b/>
                <w:bCs/>
                <w:spacing w:val="24"/>
                <w:sz w:val="18"/>
                <w:szCs w:val="18"/>
              </w:rPr>
              <w:t>减值</w:t>
            </w:r>
            <w:r>
              <w:rPr>
                <w:rFonts w:ascii="宋体" w:hAnsi="宋体" w:cs="宋体" w:eastAsia="宋体" w:hint="default"/>
                <w:b/>
                <w:bCs/>
                <w:spacing w:val="-47"/>
                <w:sz w:val="18"/>
                <w:szCs w:val="18"/>
              </w:rPr>
              <w:t> </w:t>
            </w:r>
            <w:r>
              <w:rPr>
                <w:rFonts w:ascii="宋体" w:hAnsi="宋体" w:cs="宋体" w:eastAsia="宋体" w:hint="default"/>
                <w:b/>
                <w:bCs/>
                <w:sz w:val="18"/>
                <w:szCs w:val="18"/>
              </w:rPr>
              <w:t>准</w:t>
            </w:r>
            <w:r>
              <w:rPr>
                <w:rFonts w:ascii="宋体" w:hAnsi="宋体" w:cs="宋体" w:eastAsia="宋体" w:hint="default"/>
                <w:sz w:val="18"/>
                <w:szCs w:val="18"/>
              </w:rPr>
            </w:r>
          </w:p>
          <w:p>
            <w:pPr>
              <w:pStyle w:val="TableParagraph"/>
              <w:tabs>
                <w:tab w:pos="1321"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备</w:t>
              <w:tab/>
            </w:r>
            <w:r>
              <w:rPr>
                <w:rFonts w:ascii="宋体" w:hAnsi="宋体" w:cs="宋体" w:eastAsia="宋体" w:hint="default"/>
                <w:b/>
                <w:bCs/>
                <w:sz w:val="18"/>
                <w:szCs w:val="18"/>
              </w:rPr>
              <w:t>6,054,226.38</w:t>
            </w:r>
            <w:r>
              <w:rPr>
                <w:rFonts w:ascii="宋体" w:hAnsi="宋体" w:cs="宋体" w:eastAsia="宋体" w:hint="default"/>
                <w:sz w:val="18"/>
                <w:szCs w:val="18"/>
              </w:rPr>
            </w:r>
          </w:p>
        </w:tc>
        <w:tc>
          <w:tcPr>
            <w:tcW w:w="13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b/>
                <w:w w:val="95"/>
                <w:sz w:val="18"/>
              </w:rPr>
              <w:t>21,860,418.72</w:t>
            </w:r>
            <w:r>
              <w:rPr>
                <w:rFonts w:ascii="宋体"/>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b/>
                <w:w w:val="95"/>
                <w:sz w:val="18"/>
              </w:rPr>
              <w:t>1,291,155.30</w:t>
            </w:r>
            <w:r>
              <w:rPr>
                <w:rFonts w:ascii="宋体"/>
                <w:sz w:val="18"/>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b/>
                <w:w w:val="95"/>
                <w:sz w:val="18"/>
              </w:rPr>
              <w:t>26,623,489.80</w:t>
            </w:r>
            <w:r>
              <w:rPr>
                <w:rFonts w:ascii="宋体"/>
                <w:sz w:val="18"/>
              </w:rPr>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z w:val="18"/>
                <w:szCs w:val="18"/>
              </w:rPr>
              <w:t> 屋</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20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建筑物</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3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85,923.00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85,923.00</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电</w:t>
            </w:r>
            <w:r>
              <w:rPr>
                <w:rFonts w:ascii="宋体" w:hAnsi="宋体" w:cs="宋体" w:eastAsia="宋体" w:hint="default"/>
                <w:sz w:val="18"/>
                <w:szCs w:val="18"/>
              </w:rPr>
              <w:t> 子</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32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1,479,901.46</w:t>
            </w:r>
          </w:p>
        </w:tc>
        <w:tc>
          <w:tcPr>
            <w:tcW w:w="13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1,066,276.23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532,430.31</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2,013,747.38</w:t>
            </w:r>
          </w:p>
        </w:tc>
      </w:tr>
      <w:tr>
        <w:trPr>
          <w:trHeight w:val="40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专</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32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1,145,792.76</w:t>
            </w:r>
          </w:p>
        </w:tc>
        <w:tc>
          <w:tcPr>
            <w:tcW w:w="13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18,629,582.64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758,724.99</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z w:val="18"/>
              </w:rPr>
              <w:t>19,016,650.41</w:t>
            </w:r>
          </w:p>
        </w:tc>
      </w:tr>
      <w:tr>
        <w:trPr>
          <w:trHeight w:val="29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通</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tabs>
                <w:tab w:pos="1329" w:val="left" w:leader="none"/>
              </w:tabs>
              <w:spacing w:line="20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3,258,077.73</w:t>
            </w:r>
          </w:p>
        </w:tc>
        <w:tc>
          <w:tcPr>
            <w:tcW w:w="13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2,078,636.85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5,336,714.58</w:t>
            </w:r>
          </w:p>
        </w:tc>
      </w:tr>
    </w:tbl>
    <w:p>
      <w:pPr>
        <w:spacing w:line="240" w:lineRule="auto" w:before="10"/>
        <w:rPr>
          <w:rFonts w:ascii="宋体" w:hAnsi="宋体" w:cs="宋体" w:eastAsia="宋体" w:hint="default"/>
          <w:b/>
          <w:bCs/>
          <w:sz w:val="8"/>
          <w:szCs w:val="8"/>
        </w:r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866;height:2" coordorigin="15,15" coordsize="866,2">
              <v:shape style="position:absolute;left:15;top:15;width:866;height:2" coordorigin="15,15" coordsize="866,0" path="m15,15l880,15e" filled="false" stroked="true" strokeweight="1.5pt" strokecolor="#000000">
                <v:path arrowok="t"/>
              </v:shape>
            </v:group>
            <v:group style="position:absolute;left:866;top:15;width:1683;height:2" coordorigin="866,15" coordsize="1683,2">
              <v:shape style="position:absolute;left:866;top:15;width:1683;height:2" coordorigin="866,15" coordsize="1683,0" path="m866,15l2548,15e" filled="false" stroked="true" strokeweight="1.5pt" strokecolor="#000000">
                <v:path arrowok="t"/>
              </v:shape>
            </v:group>
            <v:group style="position:absolute;left:2534;top:15;width:2987;height:2" coordorigin="2534,15" coordsize="2987,2">
              <v:shape style="position:absolute;left:2534;top:15;width:2987;height:2" coordorigin="2534,15" coordsize="2987,0" path="m2534,15l5521,15e" filled="false" stroked="true" strokeweight="1.5pt" strokecolor="#000000">
                <v:path arrowok="t"/>
              </v:shape>
            </v:group>
            <v:group style="position:absolute;left:5506;top:15;width:1500;height:2" coordorigin="5506,15" coordsize="1500,2">
              <v:shape style="position:absolute;left:5506;top:15;width:1500;height:2" coordorigin="5506,15" coordsize="1500,0" path="m5506,15l7006,15e" filled="false" stroked="true" strokeweight="1.5pt" strokecolor="#000000">
                <v:path arrowok="t"/>
              </v:shape>
            </v:group>
            <v:group style="position:absolute;left:6992;top:15;width:1683;height:2" coordorigin="6992,15" coordsize="1683,2">
              <v:shape style="position:absolute;left:6992;top:15;width:1683;height:2" coordorigin="6992,15" coordsize="1683,0" path="m6992,15l867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0" w:lineRule="exact"/>
        <w:ind w:left="56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1899" w:val="left" w:leader="none"/>
          <w:tab w:pos="4219" w:val="left" w:leader="none"/>
          <w:tab w:pos="6448" w:val="left" w:leader="none"/>
          <w:tab w:pos="8025" w:val="left" w:leader="none"/>
        </w:tabs>
        <w:spacing w:line="254" w:lineRule="auto" w:before="0"/>
        <w:ind w:left="864" w:right="1054" w:hanging="180"/>
        <w:jc w:val="left"/>
        <w:rPr>
          <w:rFonts w:ascii="宋体" w:hAnsi="宋体" w:cs="宋体" w:eastAsia="宋体" w:hint="default"/>
          <w:sz w:val="18"/>
          <w:szCs w:val="18"/>
        </w:rPr>
      </w:pPr>
      <w:r>
        <w:rPr/>
        <w:pict>
          <v:group style="position:absolute;margin-left:84.839996pt;margin-top:14.832048pt;width:431.9pt;height:.1pt;mso-position-horizontal-relative:page;mso-position-vertical-relative:paragraph;z-index:-1046872" coordorigin="1697,297" coordsize="8638,2">
            <v:shape style="position:absolute;left:1697;top:297;width:8638;height:2" coordorigin="1697,297" coordsize="8638,0" path="m1697,297l10334,297e" filled="false" stroked="true" strokeweight=".48pt" strokecolor="#000000">
              <v:path arrowok="t"/>
            </v:shape>
            <w10:wrap type="none"/>
          </v:group>
        </w:pict>
      </w:r>
      <w:r>
        <w:rPr/>
        <w:pict>
          <v:shape style="position:absolute;margin-left:131.033005pt;margin-top:15.294374pt;width:382.45pt;height:134.1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9"/>
                    <w:gridCol w:w="2228"/>
                    <w:gridCol w:w="1076"/>
                    <w:gridCol w:w="1596"/>
                  </w:tblGrid>
                  <w:tr>
                    <w:trPr>
                      <w:trHeight w:val="39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59"/>
                          <w:jc w:val="right"/>
                          <w:rPr>
                            <w:rFonts w:ascii="宋体" w:hAnsi="宋体" w:cs="宋体" w:eastAsia="宋体" w:hint="default"/>
                            <w:sz w:val="18"/>
                            <w:szCs w:val="18"/>
                          </w:rPr>
                        </w:pPr>
                        <w:r>
                          <w:rPr>
                            <w:rFonts w:ascii="宋体"/>
                            <w:sz w:val="18"/>
                          </w:rPr>
                          <w:t>170,454.43</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60" w:right="0"/>
                          <w:jc w:val="left"/>
                          <w:rPr>
                            <w:rFonts w:ascii="宋体" w:hAnsi="宋体" w:cs="宋体" w:eastAsia="宋体" w:hint="default"/>
                            <w:sz w:val="18"/>
                            <w:szCs w:val="18"/>
                          </w:rPr>
                        </w:pPr>
                        <w:r>
                          <w:rPr>
                            <w:rFonts w:ascii="宋体"/>
                            <w:sz w:val="18"/>
                          </w:rPr>
                          <w:t>0.00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7" w:right="0"/>
                          <w:jc w:val="left"/>
                          <w:rPr>
                            <w:rFonts w:ascii="宋体" w:hAnsi="宋体" w:cs="宋体" w:eastAsia="宋体" w:hint="default"/>
                            <w:sz w:val="18"/>
                            <w:szCs w:val="18"/>
                          </w:rPr>
                        </w:pPr>
                        <w:r>
                          <w:rPr>
                            <w:rFonts w:ascii="宋体"/>
                            <w:sz w:val="18"/>
                          </w:rPr>
                          <w:t>0.00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170,454.43</w:t>
                        </w:r>
                      </w:p>
                    </w:tc>
                  </w:tr>
                  <w:tr>
                    <w:trPr>
                      <w:trHeight w:val="40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58"/>
                          <w:jc w:val="right"/>
                          <w:rPr>
                            <w:rFonts w:ascii="宋体" w:hAnsi="宋体" w:cs="宋体" w:eastAsia="宋体" w:hint="default"/>
                            <w:sz w:val="18"/>
                            <w:szCs w:val="18"/>
                          </w:rPr>
                        </w:pPr>
                        <w:r>
                          <w:rPr>
                            <w:rFonts w:ascii="宋体"/>
                            <w:b/>
                            <w:w w:val="95"/>
                            <w:sz w:val="18"/>
                          </w:rPr>
                          <w:t>2,504,925,889.67</w:t>
                        </w:r>
                        <w:r>
                          <w:rPr>
                            <w:rFonts w:ascii="宋体"/>
                            <w:sz w:val="18"/>
                          </w:rPr>
                        </w:r>
                      </w:p>
                    </w:tc>
                    <w:tc>
                      <w:tcPr>
                        <w:tcW w:w="2228"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b/>
                            <w:w w:val="95"/>
                            <w:sz w:val="18"/>
                          </w:rPr>
                          <w:t>3,108,603,635.02</w:t>
                        </w:r>
                        <w:r>
                          <w:rPr>
                            <w:rFonts w:ascii="宋体"/>
                            <w:sz w:val="18"/>
                          </w:rPr>
                        </w:r>
                      </w:p>
                    </w:tc>
                  </w:tr>
                  <w:tr>
                    <w:trPr>
                      <w:trHeight w:val="40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59"/>
                          <w:jc w:val="right"/>
                          <w:rPr>
                            <w:rFonts w:ascii="宋体" w:hAnsi="宋体" w:cs="宋体" w:eastAsia="宋体" w:hint="default"/>
                            <w:sz w:val="18"/>
                            <w:szCs w:val="18"/>
                          </w:rPr>
                        </w:pPr>
                        <w:r>
                          <w:rPr>
                            <w:rFonts w:ascii="宋体"/>
                            <w:sz w:val="18"/>
                          </w:rPr>
                          <w:t>1,801,055,426.72</w:t>
                        </w:r>
                      </w:p>
                    </w:tc>
                    <w:tc>
                      <w:tcPr>
                        <w:tcW w:w="2228"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1,986,421,821.75</w:t>
                        </w:r>
                      </w:p>
                    </w:tc>
                  </w:tr>
                  <w:tr>
                    <w:trPr>
                      <w:trHeight w:val="40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59"/>
                          <w:jc w:val="right"/>
                          <w:rPr>
                            <w:rFonts w:ascii="宋体" w:hAnsi="宋体" w:cs="宋体" w:eastAsia="宋体" w:hint="default"/>
                            <w:sz w:val="18"/>
                            <w:szCs w:val="18"/>
                          </w:rPr>
                        </w:pPr>
                        <w:r>
                          <w:rPr>
                            <w:rFonts w:ascii="宋体"/>
                            <w:sz w:val="18"/>
                          </w:rPr>
                          <w:t>122,855,898.48</w:t>
                        </w:r>
                      </w:p>
                    </w:tc>
                    <w:tc>
                      <w:tcPr>
                        <w:tcW w:w="2228"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142,344,488.12</w:t>
                        </w:r>
                      </w:p>
                    </w:tc>
                  </w:tr>
                  <w:tr>
                    <w:trPr>
                      <w:trHeight w:val="40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59"/>
                          <w:jc w:val="right"/>
                          <w:rPr>
                            <w:rFonts w:ascii="宋体" w:hAnsi="宋体" w:cs="宋体" w:eastAsia="宋体" w:hint="default"/>
                            <w:sz w:val="18"/>
                            <w:szCs w:val="18"/>
                          </w:rPr>
                        </w:pPr>
                        <w:r>
                          <w:rPr>
                            <w:rFonts w:ascii="宋体"/>
                            <w:sz w:val="18"/>
                          </w:rPr>
                          <w:t>185,359,320.18</w:t>
                        </w:r>
                      </w:p>
                    </w:tc>
                    <w:tc>
                      <w:tcPr>
                        <w:tcW w:w="2228"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595,158,082.88</w:t>
                        </w:r>
                      </w:p>
                    </w:tc>
                  </w:tr>
                  <w:tr>
                    <w:trPr>
                      <w:trHeight w:val="40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59"/>
                          <w:jc w:val="right"/>
                          <w:rPr>
                            <w:rFonts w:ascii="宋体" w:hAnsi="宋体" w:cs="宋体" w:eastAsia="宋体" w:hint="default"/>
                            <w:sz w:val="18"/>
                            <w:szCs w:val="18"/>
                          </w:rPr>
                        </w:pPr>
                        <w:r>
                          <w:rPr>
                            <w:rFonts w:ascii="宋体"/>
                            <w:sz w:val="18"/>
                          </w:rPr>
                          <w:t>339,132,777.07</w:t>
                        </w:r>
                      </w:p>
                    </w:tc>
                    <w:tc>
                      <w:tcPr>
                        <w:tcW w:w="2228"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323,338,725.51</w:t>
                        </w:r>
                      </w:p>
                    </w:tc>
                  </w:tr>
                  <w:tr>
                    <w:trPr>
                      <w:trHeight w:val="29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59"/>
                          <w:jc w:val="right"/>
                          <w:rPr>
                            <w:rFonts w:ascii="宋体" w:hAnsi="宋体" w:cs="宋体" w:eastAsia="宋体" w:hint="default"/>
                            <w:sz w:val="18"/>
                            <w:szCs w:val="18"/>
                          </w:rPr>
                        </w:pPr>
                        <w:r>
                          <w:rPr>
                            <w:rFonts w:ascii="宋体"/>
                            <w:sz w:val="18"/>
                          </w:rPr>
                          <w:t>56,522,467.22</w:t>
                        </w:r>
                      </w:p>
                    </w:tc>
                    <w:tc>
                      <w:tcPr>
                        <w:tcW w:w="2228"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61,340,516.76</w:t>
                        </w:r>
                      </w:p>
                    </w:tc>
                  </w:tr>
                </w:tbl>
                <w:p>
                  <w:pPr/>
                </w:p>
              </w:txbxContent>
            </v:textbox>
            <w10:wrap type="none"/>
          </v:shape>
        </w:pict>
      </w:r>
      <w:r>
        <w:rPr>
          <w:rFonts w:ascii="宋体" w:hAnsi="宋体" w:cs="宋体" w:eastAsia="宋体" w:hint="default"/>
          <w:b/>
          <w:bCs/>
          <w:w w:val="95"/>
          <w:sz w:val="18"/>
          <w:szCs w:val="18"/>
        </w:rPr>
        <w:t>项目</w:t>
        <w:tab/>
        <w:t>年初金额</w:t>
        <w:tab/>
        <w:t>本年增加</w:t>
        <w:tab/>
        <w:t>本年减少</w:t>
        <w:tab/>
      </w:r>
      <w:r>
        <w:rPr>
          <w:rFonts w:ascii="宋体" w:hAnsi="宋体" w:cs="宋体" w:eastAsia="宋体" w:hint="default"/>
          <w:b/>
          <w:bCs/>
          <w:sz w:val="18"/>
          <w:szCs w:val="18"/>
        </w:rPr>
        <w:t>年末金额</w:t>
      </w:r>
      <w:r>
        <w:rPr>
          <w:rFonts w:ascii="宋体" w:hAnsi="宋体" w:cs="宋体" w:eastAsia="宋体" w:hint="default"/>
          <w:b/>
          <w:bCs/>
          <w:w w:val="99"/>
          <w:sz w:val="18"/>
          <w:szCs w:val="18"/>
        </w:rPr>
        <w:t> </w:t>
      </w:r>
      <w:r>
        <w:rPr>
          <w:rFonts w:ascii="宋体" w:hAnsi="宋体" w:cs="宋体" w:eastAsia="宋体" w:hint="default"/>
          <w:spacing w:val="4"/>
          <w:sz w:val="18"/>
          <w:szCs w:val="18"/>
        </w:rPr>
        <w:t>运</w:t>
      </w:r>
      <w:r>
        <w:rPr>
          <w:rFonts w:ascii="宋体" w:hAnsi="宋体" w:cs="宋体" w:eastAsia="宋体" w:hint="default"/>
          <w:sz w:val="18"/>
          <w:szCs w:val="18"/>
        </w:rPr>
        <w:t> 输</w:t>
      </w:r>
      <w:r>
        <w:rPr>
          <w:rFonts w:ascii="宋体" w:hAnsi="宋体" w:cs="宋体" w:eastAsia="宋体" w:hint="default"/>
          <w:spacing w:val="4"/>
          <w:sz w:val="18"/>
          <w:szCs w:val="18"/>
        </w:rPr>
        <w:t> </w:t>
      </w:r>
      <w:r>
        <w:rPr>
          <w:rFonts w:ascii="宋体" w:hAnsi="宋体" w:cs="宋体" w:eastAsia="宋体" w:hint="default"/>
          <w:sz w:val="18"/>
          <w:szCs w:val="18"/>
        </w:rPr>
      </w:r>
    </w:p>
    <w:p>
      <w:pPr>
        <w:spacing w:line="172" w:lineRule="exact" w:before="0"/>
        <w:ind w:left="684" w:right="1054" w:firstLine="0"/>
        <w:jc w:val="left"/>
        <w:rPr>
          <w:rFonts w:ascii="宋体" w:hAnsi="宋体" w:cs="宋体" w:eastAsia="宋体" w:hint="default"/>
          <w:sz w:val="18"/>
          <w:szCs w:val="18"/>
        </w:rPr>
      </w:pPr>
      <w:r>
        <w:rPr>
          <w:rFonts w:ascii="宋体" w:hAnsi="宋体" w:cs="宋体" w:eastAsia="宋体" w:hint="default"/>
          <w:sz w:val="18"/>
          <w:szCs w:val="18"/>
        </w:rPr>
        <w:t>设备</w:t>
      </w:r>
    </w:p>
    <w:p>
      <w:pPr>
        <w:spacing w:line="200" w:lineRule="exact" w:before="32"/>
        <w:ind w:left="684" w:right="8465" w:firstLine="0"/>
        <w:jc w:val="left"/>
        <w:rPr>
          <w:rFonts w:ascii="宋体" w:hAnsi="宋体" w:cs="宋体" w:eastAsia="宋体" w:hint="default"/>
          <w:sz w:val="18"/>
          <w:szCs w:val="18"/>
        </w:rPr>
      </w:pPr>
      <w:r>
        <w:rPr>
          <w:rFonts w:ascii="宋体" w:hAnsi="宋体" w:cs="宋体" w:eastAsia="宋体" w:hint="default"/>
          <w:b/>
          <w:bCs/>
          <w:spacing w:val="24"/>
          <w:sz w:val="18"/>
          <w:szCs w:val="18"/>
        </w:rPr>
        <w:t>账面</w:t>
      </w:r>
      <w:r>
        <w:rPr>
          <w:rFonts w:ascii="宋体" w:hAnsi="宋体" w:cs="宋体" w:eastAsia="宋体" w:hint="default"/>
          <w:b/>
          <w:bCs/>
          <w:spacing w:val="-46"/>
          <w:sz w:val="18"/>
          <w:szCs w:val="18"/>
        </w:rPr>
        <w:t> </w:t>
      </w:r>
      <w:r>
        <w:rPr>
          <w:rFonts w:ascii="宋体" w:hAnsi="宋体" w:cs="宋体" w:eastAsia="宋体" w:hint="default"/>
          <w:b/>
          <w:bCs/>
          <w:sz w:val="18"/>
          <w:szCs w:val="18"/>
        </w:rPr>
        <w:t>价</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p>
      <w:pPr>
        <w:spacing w:line="167" w:lineRule="exact" w:before="0"/>
        <w:ind w:left="864" w:right="1054" w:firstLine="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z w:val="18"/>
          <w:szCs w:val="18"/>
        </w:rPr>
        <w:t> 屋</w:t>
      </w:r>
      <w:r>
        <w:rPr>
          <w:rFonts w:ascii="宋体" w:hAnsi="宋体" w:cs="宋体" w:eastAsia="宋体" w:hint="default"/>
          <w:spacing w:val="4"/>
          <w:sz w:val="18"/>
          <w:szCs w:val="18"/>
        </w:rPr>
        <w:t> </w:t>
      </w:r>
      <w:r>
        <w:rPr>
          <w:rFonts w:ascii="宋体" w:hAnsi="宋体" w:cs="宋体" w:eastAsia="宋体" w:hint="default"/>
          <w:sz w:val="18"/>
          <w:szCs w:val="18"/>
        </w:rPr>
      </w:r>
    </w:p>
    <w:p>
      <w:pPr>
        <w:spacing w:line="200" w:lineRule="exact" w:before="0"/>
        <w:ind w:left="684" w:right="1054" w:firstLine="0"/>
        <w:jc w:val="left"/>
        <w:rPr>
          <w:rFonts w:ascii="宋体" w:hAnsi="宋体" w:cs="宋体" w:eastAsia="宋体" w:hint="default"/>
          <w:sz w:val="18"/>
          <w:szCs w:val="18"/>
        </w:rPr>
      </w:pPr>
      <w:r>
        <w:rPr>
          <w:rFonts w:ascii="宋体" w:hAnsi="宋体" w:cs="宋体" w:eastAsia="宋体" w:hint="default"/>
          <w:sz w:val="18"/>
          <w:szCs w:val="18"/>
        </w:rPr>
        <w:t>建筑物</w:t>
      </w:r>
    </w:p>
    <w:p>
      <w:pPr>
        <w:spacing w:line="200" w:lineRule="exact" w:before="32"/>
        <w:ind w:left="684" w:right="8146" w:firstLine="180"/>
        <w:jc w:val="left"/>
        <w:rPr>
          <w:rFonts w:ascii="宋体" w:hAnsi="宋体" w:cs="宋体" w:eastAsia="宋体" w:hint="default"/>
          <w:sz w:val="18"/>
          <w:szCs w:val="18"/>
        </w:rPr>
      </w:pPr>
      <w:r>
        <w:rPr>
          <w:rFonts w:ascii="宋体" w:hAnsi="宋体" w:cs="宋体" w:eastAsia="宋体" w:hint="default"/>
          <w:spacing w:val="4"/>
          <w:sz w:val="18"/>
          <w:szCs w:val="18"/>
        </w:rPr>
        <w:t>电</w:t>
      </w:r>
      <w:r>
        <w:rPr>
          <w:rFonts w:ascii="宋体" w:hAnsi="宋体" w:cs="宋体" w:eastAsia="宋体" w:hint="default"/>
          <w:sz w:val="18"/>
          <w:szCs w:val="18"/>
        </w:rPr>
        <w:t> 子</w:t>
      </w:r>
      <w:r>
        <w:rPr>
          <w:rFonts w:ascii="宋体" w:hAnsi="宋体" w:cs="宋体" w:eastAsia="宋体" w:hint="default"/>
          <w:spacing w:val="4"/>
          <w:sz w:val="18"/>
          <w:szCs w:val="18"/>
        </w:rPr>
        <w:t> </w:t>
      </w:r>
      <w:r>
        <w:rPr>
          <w:rFonts w:ascii="宋体" w:hAnsi="宋体" w:cs="宋体" w:eastAsia="宋体" w:hint="default"/>
          <w:sz w:val="18"/>
          <w:szCs w:val="18"/>
        </w:rPr>
        <w:t>设备</w:t>
      </w:r>
    </w:p>
    <w:p>
      <w:pPr>
        <w:spacing w:line="200" w:lineRule="exact" w:before="0"/>
        <w:ind w:left="684" w:right="8146" w:firstLine="180"/>
        <w:jc w:val="left"/>
        <w:rPr>
          <w:rFonts w:ascii="宋体" w:hAnsi="宋体" w:cs="宋体" w:eastAsia="宋体" w:hint="default"/>
          <w:sz w:val="18"/>
          <w:szCs w:val="18"/>
        </w:rPr>
      </w:pPr>
      <w:r>
        <w:rPr>
          <w:rFonts w:ascii="宋体" w:hAnsi="宋体" w:cs="宋体" w:eastAsia="宋体" w:hint="default"/>
          <w:spacing w:val="4"/>
          <w:sz w:val="18"/>
          <w:szCs w:val="18"/>
        </w:rPr>
        <w:t>专</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t>设备</w:t>
      </w:r>
    </w:p>
    <w:p>
      <w:pPr>
        <w:spacing w:line="167" w:lineRule="exact" w:before="0"/>
        <w:ind w:left="864" w:right="1054" w:firstLine="0"/>
        <w:jc w:val="left"/>
        <w:rPr>
          <w:rFonts w:ascii="宋体" w:hAnsi="宋体" w:cs="宋体" w:eastAsia="宋体" w:hint="default"/>
          <w:sz w:val="18"/>
          <w:szCs w:val="18"/>
        </w:rPr>
      </w:pPr>
      <w:r>
        <w:rPr>
          <w:rFonts w:ascii="宋体" w:hAnsi="宋体" w:cs="宋体" w:eastAsia="宋体" w:hint="default"/>
          <w:spacing w:val="4"/>
          <w:sz w:val="18"/>
          <w:szCs w:val="18"/>
        </w:rPr>
        <w:t>通</w:t>
      </w:r>
      <w:r>
        <w:rPr>
          <w:rFonts w:ascii="宋体" w:hAnsi="宋体" w:cs="宋体" w:eastAsia="宋体" w:hint="default"/>
          <w:sz w:val="18"/>
          <w:szCs w:val="18"/>
        </w:rPr>
        <w:t> 用</w:t>
      </w:r>
      <w:r>
        <w:rPr>
          <w:rFonts w:ascii="宋体" w:hAnsi="宋体" w:cs="宋体" w:eastAsia="宋体" w:hint="default"/>
          <w:spacing w:val="4"/>
          <w:sz w:val="18"/>
          <w:szCs w:val="18"/>
        </w:rPr>
        <w:t> </w:t>
      </w:r>
      <w:r>
        <w:rPr>
          <w:rFonts w:ascii="宋体" w:hAnsi="宋体" w:cs="宋体" w:eastAsia="宋体" w:hint="default"/>
          <w:sz w:val="18"/>
          <w:szCs w:val="18"/>
        </w:rPr>
      </w:r>
    </w:p>
    <w:p>
      <w:pPr>
        <w:spacing w:line="200" w:lineRule="exact" w:before="0"/>
        <w:ind w:left="684" w:right="1054" w:firstLine="0"/>
        <w:jc w:val="left"/>
        <w:rPr>
          <w:rFonts w:ascii="宋体" w:hAnsi="宋体" w:cs="宋体" w:eastAsia="宋体" w:hint="default"/>
          <w:sz w:val="18"/>
          <w:szCs w:val="18"/>
        </w:rPr>
      </w:pPr>
      <w:r>
        <w:rPr>
          <w:rFonts w:ascii="宋体" w:hAnsi="宋体" w:cs="宋体" w:eastAsia="宋体" w:hint="default"/>
          <w:sz w:val="18"/>
          <w:szCs w:val="18"/>
        </w:rPr>
        <w:t>设备</w:t>
      </w:r>
    </w:p>
    <w:p>
      <w:pPr>
        <w:spacing w:line="200" w:lineRule="exact" w:before="32"/>
        <w:ind w:left="684" w:right="8146" w:firstLine="180"/>
        <w:jc w:val="left"/>
        <w:rPr>
          <w:rFonts w:ascii="宋体" w:hAnsi="宋体" w:cs="宋体" w:eastAsia="宋体" w:hint="default"/>
          <w:sz w:val="18"/>
          <w:szCs w:val="18"/>
        </w:rPr>
      </w:pPr>
      <w:r>
        <w:rPr>
          <w:rFonts w:ascii="宋体" w:hAnsi="宋体" w:cs="宋体" w:eastAsia="宋体" w:hint="default"/>
          <w:spacing w:val="4"/>
          <w:sz w:val="18"/>
          <w:szCs w:val="18"/>
        </w:rPr>
        <w:t>运</w:t>
      </w:r>
      <w:r>
        <w:rPr>
          <w:rFonts w:ascii="宋体" w:hAnsi="宋体" w:cs="宋体" w:eastAsia="宋体" w:hint="default"/>
          <w:sz w:val="18"/>
          <w:szCs w:val="18"/>
        </w:rPr>
        <w:t> 输</w:t>
      </w:r>
      <w:r>
        <w:rPr>
          <w:rFonts w:ascii="宋体" w:hAnsi="宋体" w:cs="宋体" w:eastAsia="宋体" w:hint="default"/>
          <w:spacing w:val="4"/>
          <w:sz w:val="18"/>
          <w:szCs w:val="18"/>
        </w:rPr>
        <w:t> </w:t>
      </w:r>
      <w:r>
        <w:rPr>
          <w:rFonts w:ascii="宋体" w:hAnsi="宋体" w:cs="宋体" w:eastAsia="宋体" w:hint="default"/>
          <w:sz w:val="18"/>
          <w:szCs w:val="18"/>
        </w:rPr>
        <w:t>设备</w:t>
      </w:r>
    </w:p>
    <w:p>
      <w:pPr>
        <w:spacing w:line="30" w:lineRule="exact"/>
        <w:ind w:left="54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866;height:2" coordorigin="15,15" coordsize="866,2">
              <v:shape style="position:absolute;left:15;top:15;width:866;height:2" coordorigin="15,15" coordsize="866,0" path="m15,15l880,15e" filled="false" stroked="true" strokeweight="1.5pt" strokecolor="#000000">
                <v:path arrowok="t"/>
              </v:shape>
            </v:group>
            <v:group style="position:absolute;left:866;top:15;width:1683;height:2" coordorigin="866,15" coordsize="1683,2">
              <v:shape style="position:absolute;left:866;top:15;width:1683;height:2" coordorigin="866,15" coordsize="1683,0" path="m866,15l2548,15e" filled="false" stroked="true" strokeweight="1.5pt" strokecolor="#000000">
                <v:path arrowok="t"/>
              </v:shape>
            </v:group>
            <v:group style="position:absolute;left:2534;top:15;width:2987;height:2" coordorigin="2534,15" coordsize="2987,2">
              <v:shape style="position:absolute;left:2534;top:15;width:2987;height:2" coordorigin="2534,15" coordsize="2987,0" path="m2534,15l5521,15e" filled="false" stroked="true" strokeweight="1.5pt" strokecolor="#000000">
                <v:path arrowok="t"/>
              </v:shape>
            </v:group>
            <v:group style="position:absolute;left:5506;top:15;width:1500;height:2" coordorigin="5506,15" coordsize="1500,2">
              <v:shape style="position:absolute;left:5506;top:15;width:1500;height:2" coordorigin="5506,15" coordsize="1500,0" path="m5506,15l7006,15e" filled="false" stroked="true" strokeweight="1.5pt" strokecolor="#000000">
                <v:path arrowok="t"/>
              </v:shape>
            </v:group>
            <v:group style="position:absolute;left:6992;top:15;width:1683;height:2" coordorigin="6992,15" coordsize="1683,2">
              <v:shape style="position:absolute;left:6992;top:15;width:1683;height:2" coordorigin="6992,15" coordsize="1683,0" path="m6992,15l8674,15e" filled="false" stroked="true" strokeweight="1.5pt" strokecolor="#000000">
                <v:path arrowok="t"/>
              </v:shape>
            </v:group>
          </v:group>
        </w:pict>
      </w:r>
      <w:r>
        <w:rPr>
          <w:rFonts w:ascii="宋体" w:hAnsi="宋体" w:cs="宋体" w:eastAsia="宋体" w:hint="default"/>
          <w:position w:val="0"/>
          <w:sz w:val="3"/>
          <w:szCs w:val="3"/>
        </w:rPr>
      </w:r>
    </w:p>
    <w:p>
      <w:pPr>
        <w:spacing w:line="391" w:lineRule="auto" w:before="94"/>
        <w:ind w:left="738" w:right="2132" w:firstLine="0"/>
        <w:jc w:val="left"/>
        <w:rPr>
          <w:rFonts w:ascii="宋体" w:hAnsi="宋体" w:cs="宋体" w:eastAsia="宋体" w:hint="default"/>
          <w:sz w:val="22"/>
          <w:szCs w:val="22"/>
        </w:rPr>
      </w:pPr>
      <w:r>
        <w:rPr>
          <w:rFonts w:ascii="宋体" w:hAnsi="宋体" w:cs="宋体" w:eastAsia="宋体" w:hint="default"/>
          <w:sz w:val="22"/>
          <w:szCs w:val="22"/>
        </w:rPr>
        <w:t>本年增加的固定资产中，由在建工程转入的金额为</w:t>
      </w:r>
      <w:r>
        <w:rPr>
          <w:rFonts w:ascii="宋体" w:hAnsi="宋体" w:cs="宋体" w:eastAsia="宋体" w:hint="default"/>
          <w:spacing w:val="-63"/>
          <w:sz w:val="22"/>
          <w:szCs w:val="22"/>
        </w:rPr>
        <w:t> </w:t>
      </w:r>
      <w:r>
        <w:rPr>
          <w:rFonts w:ascii="宋体" w:hAnsi="宋体" w:cs="宋体" w:eastAsia="宋体" w:hint="default"/>
          <w:sz w:val="22"/>
          <w:szCs w:val="22"/>
        </w:rPr>
        <w:t>434,029,357.02</w:t>
      </w:r>
      <w:r>
        <w:rPr>
          <w:rFonts w:ascii="宋体" w:hAnsi="宋体" w:cs="宋体" w:eastAsia="宋体" w:hint="default"/>
          <w:spacing w:val="-63"/>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本年新增的累计折旧主要系公司本年合并范围变化所致。</w:t>
      </w:r>
    </w:p>
    <w:p>
      <w:pPr>
        <w:spacing w:before="41"/>
        <w:ind w:left="751" w:right="0"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截至 2010 年 12 月 31</w:t>
      </w:r>
      <w:r>
        <w:rPr>
          <w:rFonts w:ascii="宋体" w:hAnsi="宋体" w:cs="宋体" w:eastAsia="宋体" w:hint="default"/>
          <w:spacing w:val="30"/>
          <w:sz w:val="22"/>
          <w:szCs w:val="22"/>
        </w:rPr>
        <w:t> </w:t>
      </w:r>
      <w:r>
        <w:rPr>
          <w:rFonts w:ascii="宋体" w:hAnsi="宋体" w:cs="宋体" w:eastAsia="宋体" w:hint="default"/>
          <w:spacing w:val="4"/>
          <w:sz w:val="22"/>
          <w:szCs w:val="22"/>
        </w:rPr>
        <w:t>日，本公司之控股子公司同方炭素科技有限公司以账面价值</w:t>
      </w:r>
    </w:p>
    <w:p>
      <w:pPr>
        <w:spacing w:before="102"/>
        <w:ind w:left="298" w:right="1054" w:firstLine="0"/>
        <w:jc w:val="left"/>
        <w:rPr>
          <w:rFonts w:ascii="宋体" w:hAnsi="宋体" w:cs="宋体" w:eastAsia="宋体" w:hint="default"/>
          <w:sz w:val="22"/>
          <w:szCs w:val="22"/>
        </w:rPr>
      </w:pPr>
      <w:r>
        <w:rPr>
          <w:rFonts w:ascii="宋体" w:hAnsi="宋体" w:cs="宋体" w:eastAsia="宋体" w:hint="default"/>
          <w:sz w:val="22"/>
          <w:szCs w:val="22"/>
        </w:rPr>
        <w:t>3,591,208.49</w:t>
      </w:r>
      <w:r>
        <w:rPr>
          <w:rFonts w:ascii="宋体" w:hAnsi="宋体" w:cs="宋体" w:eastAsia="宋体" w:hint="default"/>
          <w:spacing w:val="-59"/>
          <w:sz w:val="22"/>
          <w:szCs w:val="22"/>
        </w:rPr>
        <w:t> </w:t>
      </w:r>
      <w:r>
        <w:rPr>
          <w:rFonts w:ascii="宋体" w:hAnsi="宋体" w:cs="宋体" w:eastAsia="宋体" w:hint="default"/>
          <w:sz w:val="22"/>
          <w:szCs w:val="22"/>
        </w:rPr>
        <w:t>元的房屋建筑物抵押取得抵押借款</w:t>
      </w:r>
      <w:r>
        <w:rPr>
          <w:rFonts w:ascii="宋体" w:hAnsi="宋体" w:cs="宋体" w:eastAsia="宋体" w:hint="default"/>
          <w:spacing w:val="-59"/>
          <w:sz w:val="22"/>
          <w:szCs w:val="22"/>
        </w:rPr>
        <w:t> </w:t>
      </w:r>
      <w:r>
        <w:rPr>
          <w:rFonts w:ascii="宋体" w:hAnsi="宋体" w:cs="宋体" w:eastAsia="宋体" w:hint="default"/>
          <w:sz w:val="22"/>
          <w:szCs w:val="22"/>
        </w:rPr>
        <w:t>1,800,000.00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before="180"/>
        <w:ind w:left="75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1"/>
          <w:sz w:val="22"/>
          <w:szCs w:val="22"/>
        </w:rPr>
        <w:t> </w:t>
      </w:r>
      <w:r>
        <w:rPr>
          <w:rFonts w:ascii="宋体" w:hAnsi="宋体" w:cs="宋体" w:eastAsia="宋体" w:hint="default"/>
          <w:sz w:val="22"/>
          <w:szCs w:val="22"/>
        </w:rPr>
        <w:t>2010</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z w:val="22"/>
          <w:szCs w:val="22"/>
        </w:rPr>
        <w:t>日，本公司之控股子公司清芯光电有限公司存在使用受限的固定</w:t>
      </w:r>
    </w:p>
    <w:p>
      <w:pPr>
        <w:spacing w:before="102"/>
        <w:ind w:left="298" w:right="1054" w:firstLine="0"/>
        <w:jc w:val="left"/>
        <w:rPr>
          <w:rFonts w:ascii="宋体" w:hAnsi="宋体" w:cs="宋体" w:eastAsia="宋体" w:hint="default"/>
          <w:sz w:val="22"/>
          <w:szCs w:val="22"/>
        </w:rPr>
      </w:pPr>
      <w:r>
        <w:rPr>
          <w:rFonts w:ascii="宋体" w:hAnsi="宋体" w:cs="宋体" w:eastAsia="宋体" w:hint="default"/>
          <w:sz w:val="22"/>
          <w:szCs w:val="22"/>
        </w:rPr>
        <w:t>资产账面价值共计</w:t>
      </w:r>
      <w:r>
        <w:rPr>
          <w:rFonts w:ascii="宋体" w:hAnsi="宋体" w:cs="宋体" w:eastAsia="宋体" w:hint="default"/>
          <w:spacing w:val="-60"/>
          <w:sz w:val="22"/>
          <w:szCs w:val="22"/>
        </w:rPr>
        <w:t> </w:t>
      </w:r>
      <w:r>
        <w:rPr>
          <w:rFonts w:ascii="宋体" w:hAnsi="宋体" w:cs="宋体" w:eastAsia="宋体" w:hint="default"/>
          <w:sz w:val="22"/>
          <w:szCs w:val="22"/>
        </w:rPr>
        <w:t>38,610,538.71</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before="180"/>
        <w:ind w:left="752" w:right="1054"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日，本公司无融资租入固定资产。</w:t>
      </w:r>
    </w:p>
    <w:p>
      <w:pPr>
        <w:spacing w:before="180"/>
        <w:ind w:left="752" w:right="105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在建工程</w:t>
      </w:r>
    </w:p>
    <w:p>
      <w:pPr>
        <w:spacing w:before="163"/>
        <w:ind w:left="751" w:right="1054"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在建工程明细表</w:t>
      </w:r>
    </w:p>
    <w:p>
      <w:pPr>
        <w:spacing w:line="240" w:lineRule="auto" w:before="7"/>
        <w:rPr>
          <w:rFonts w:ascii="宋体" w:hAnsi="宋体" w:cs="宋体" w:eastAsia="宋体" w:hint="default"/>
          <w:sz w:val="12"/>
          <w:szCs w:val="12"/>
        </w:rPr>
      </w:pPr>
    </w:p>
    <w:p>
      <w:pPr>
        <w:spacing w:line="30" w:lineRule="exact"/>
        <w:ind w:left="11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8.8pt;height:1.5pt;mso-position-horizontal-relative:char;mso-position-vertical-relative:line" coordorigin="0,0" coordsize="9576,30">
            <v:group style="position:absolute;left:15;top:15;width:9546;height:2" coordorigin="15,15" coordsize="9546,2">
              <v:shape style="position:absolute;left:15;top:15;width:9546;height:2" coordorigin="15,15" coordsize="9546,0" path="m15,15l9561,15e" filled="false" stroked="true" strokeweight="1.5pt" strokecolor="#000000">
                <v:path arrowok="t"/>
              </v:shape>
            </v:group>
          </v:group>
        </w:pict>
      </w:r>
      <w:r>
        <w:rPr>
          <w:rFonts w:ascii="宋体" w:hAnsi="宋体" w:cs="宋体" w:eastAsia="宋体" w:hint="default"/>
          <w:position w:val="0"/>
          <w:sz w:val="3"/>
          <w:szCs w:val="3"/>
        </w:rPr>
      </w:r>
    </w:p>
    <w:p>
      <w:pPr>
        <w:tabs>
          <w:tab w:pos="7540" w:val="left" w:leader="none"/>
        </w:tabs>
        <w:spacing w:line="170" w:lineRule="exact" w:before="13"/>
        <w:ind w:left="3788" w:right="1054" w:firstLine="0"/>
        <w:jc w:val="left"/>
        <w:rPr>
          <w:rFonts w:ascii="宋体" w:hAnsi="宋体" w:cs="宋体" w:eastAsia="宋体" w:hint="default"/>
          <w:sz w:val="16"/>
          <w:szCs w:val="16"/>
        </w:rPr>
      </w:pP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spacing w:line="170" w:lineRule="exact" w:before="0"/>
        <w:ind w:left="226" w:right="1054" w:firstLine="0"/>
        <w:jc w:val="left"/>
        <w:rPr>
          <w:rFonts w:ascii="宋体" w:hAnsi="宋体" w:cs="宋体" w:eastAsia="宋体" w:hint="default"/>
          <w:sz w:val="16"/>
          <w:szCs w:val="16"/>
        </w:rPr>
      </w:pPr>
      <w:r>
        <w:rPr/>
        <w:pict>
          <v:shape style="position:absolute;margin-left:61.919998pt;margin-top:5.159678pt;width:477.7pt;height:299.150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7"/>
                    <w:gridCol w:w="1435"/>
                    <w:gridCol w:w="1109"/>
                    <w:gridCol w:w="1344"/>
                    <w:gridCol w:w="1360"/>
                    <w:gridCol w:w="926"/>
                    <w:gridCol w:w="1333"/>
                  </w:tblGrid>
                  <w:tr>
                    <w:trPr>
                      <w:trHeight w:val="292" w:hRule="exact"/>
                    </w:trPr>
                    <w:tc>
                      <w:tcPr>
                        <w:tcW w:w="2047" w:type="dxa"/>
                        <w:tcBorders>
                          <w:top w:val="nil" w:sz="6" w:space="0" w:color="auto"/>
                          <w:left w:val="nil" w:sz="6" w:space="0" w:color="auto"/>
                          <w:bottom w:val="single" w:sz="4" w:space="0" w:color="000000"/>
                          <w:right w:val="nil" w:sz="6" w:space="0" w:color="auto"/>
                        </w:tcBorders>
                      </w:tcPr>
                      <w:p>
                        <w:pP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357"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10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87"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342"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c>
                      <w:tcPr>
                        <w:tcW w:w="136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343"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92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53"/>
                          <w:jc w:val="right"/>
                          <w:rPr>
                            <w:rFonts w:ascii="宋体" w:hAnsi="宋体" w:cs="宋体" w:eastAsia="宋体" w:hint="default"/>
                            <w:sz w:val="16"/>
                            <w:szCs w:val="16"/>
                          </w:rPr>
                        </w:pPr>
                        <w:r>
                          <w:rPr>
                            <w:rFonts w:ascii="宋体" w:hAnsi="宋体" w:cs="宋体" w:eastAsia="宋体" w:hint="default"/>
                            <w:b/>
                            <w:bCs/>
                            <w:w w:val="95"/>
                            <w:sz w:val="16"/>
                            <w:szCs w:val="16"/>
                          </w:rPr>
                          <w:t>减值准备</w:t>
                        </w:r>
                        <w:r>
                          <w:rPr>
                            <w:rFonts w:ascii="宋体" w:hAnsi="宋体" w:cs="宋体" w:eastAsia="宋体" w:hint="default"/>
                            <w:sz w:val="16"/>
                            <w:szCs w:val="16"/>
                          </w:rPr>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345"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r>
                  <w:tr>
                    <w:trPr>
                      <w:trHeight w:val="289" w:hRule="exact"/>
                    </w:trPr>
                    <w:tc>
                      <w:tcPr>
                        <w:tcW w:w="204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16"/>
                            <w:szCs w:val="16"/>
                          </w:rPr>
                        </w:pPr>
                        <w:r>
                          <w:rPr>
                            <w:rFonts w:ascii="宋体" w:hAnsi="宋体" w:cs="宋体" w:eastAsia="宋体" w:hint="default"/>
                            <w:sz w:val="16"/>
                            <w:szCs w:val="16"/>
                          </w:rPr>
                          <w:t>清华同方科技广场二期</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85"/>
                          <w:jc w:val="right"/>
                          <w:rPr>
                            <w:rFonts w:ascii="宋体" w:hAnsi="宋体" w:cs="宋体" w:eastAsia="宋体" w:hint="default"/>
                            <w:sz w:val="16"/>
                            <w:szCs w:val="16"/>
                          </w:rPr>
                        </w:pPr>
                        <w:r>
                          <w:rPr>
                            <w:rFonts w:ascii="宋体"/>
                            <w:spacing w:val="-1"/>
                            <w:sz w:val="16"/>
                          </w:rPr>
                          <w:t>496,736,223.46</w:t>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10"/>
                          <w:jc w:val="right"/>
                          <w:rPr>
                            <w:rFonts w:ascii="宋体" w:hAnsi="宋体" w:cs="宋体" w:eastAsia="宋体" w:hint="default"/>
                            <w:sz w:val="16"/>
                            <w:szCs w:val="16"/>
                          </w:rPr>
                        </w:pPr>
                        <w:r>
                          <w:rPr>
                            <w:rFonts w:ascii="宋体"/>
                            <w:spacing w:val="-1"/>
                            <w:sz w:val="16"/>
                          </w:rPr>
                          <w:t>496,736,223.46</w:t>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26"/>
                          <w:jc w:val="right"/>
                          <w:rPr>
                            <w:rFonts w:ascii="宋体" w:hAnsi="宋体" w:cs="宋体" w:eastAsia="宋体" w:hint="default"/>
                            <w:sz w:val="16"/>
                            <w:szCs w:val="16"/>
                          </w:rPr>
                        </w:pPr>
                        <w:r>
                          <w:rPr>
                            <w:rFonts w:ascii="宋体"/>
                            <w:spacing w:val="-1"/>
                            <w:sz w:val="16"/>
                          </w:rPr>
                          <w:t>259,986,805.94</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6"/>
                            <w:szCs w:val="16"/>
                          </w:rPr>
                        </w:pPr>
                        <w:r>
                          <w:rPr>
                            <w:rFonts w:ascii="宋体"/>
                            <w:spacing w:val="-1"/>
                            <w:sz w:val="16"/>
                          </w:rPr>
                          <w:t>259,986,805.94</w:t>
                        </w:r>
                      </w:p>
                    </w:tc>
                  </w:tr>
                  <w:tr>
                    <w:trPr>
                      <w:trHeight w:val="283"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亦庄研发基地（泰豪并入）</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6"/>
                          <w:jc w:val="right"/>
                          <w:rPr>
                            <w:rFonts w:ascii="宋体" w:hAnsi="宋体" w:cs="宋体" w:eastAsia="宋体" w:hint="default"/>
                            <w:sz w:val="16"/>
                            <w:szCs w:val="16"/>
                          </w:rPr>
                        </w:pPr>
                        <w:r>
                          <w:rPr>
                            <w:rFonts w:ascii="宋体"/>
                            <w:spacing w:val="-1"/>
                            <w:sz w:val="16"/>
                          </w:rPr>
                          <w:t>95,518,972.03</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宋体" w:hAnsi="宋体" w:cs="宋体" w:eastAsia="宋体" w:hint="default"/>
                            <w:sz w:val="16"/>
                            <w:szCs w:val="16"/>
                          </w:rPr>
                        </w:pPr>
                        <w:r>
                          <w:rPr>
                            <w:rFonts w:ascii="宋体"/>
                            <w:spacing w:val="-1"/>
                            <w:sz w:val="16"/>
                          </w:rPr>
                          <w:t>95,518,972.03</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7"/>
                          <w:jc w:val="right"/>
                          <w:rPr>
                            <w:rFonts w:ascii="宋体" w:hAnsi="宋体" w:cs="宋体" w:eastAsia="宋体" w:hint="default"/>
                            <w:sz w:val="16"/>
                            <w:szCs w:val="16"/>
                          </w:rPr>
                        </w:pPr>
                        <w:r>
                          <w:rPr>
                            <w:rFonts w:ascii="宋体"/>
                            <w:spacing w:val="-1"/>
                            <w:sz w:val="16"/>
                          </w:rPr>
                          <w:t>21,929,387.06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21,929,387.06</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南通科技园</w:t>
                        </w:r>
                        <w:r>
                          <w:rPr>
                            <w:rFonts w:ascii="宋体" w:hAnsi="宋体" w:cs="宋体" w:eastAsia="宋体" w:hint="default"/>
                            <w:spacing w:val="-43"/>
                            <w:sz w:val="16"/>
                            <w:szCs w:val="16"/>
                          </w:rPr>
                          <w:t> </w:t>
                        </w:r>
                        <w:r>
                          <w:rPr>
                            <w:rFonts w:ascii="宋体" w:hAnsi="宋体" w:cs="宋体" w:eastAsia="宋体" w:hint="default"/>
                            <w:sz w:val="16"/>
                            <w:szCs w:val="16"/>
                          </w:rPr>
                          <w:t>LED</w:t>
                        </w:r>
                        <w:r>
                          <w:rPr>
                            <w:rFonts w:ascii="宋体" w:hAnsi="宋体" w:cs="宋体" w:eastAsia="宋体" w:hint="default"/>
                            <w:spacing w:val="-42"/>
                            <w:sz w:val="16"/>
                            <w:szCs w:val="16"/>
                          </w:rPr>
                          <w:t> </w:t>
                        </w:r>
                        <w:r>
                          <w:rPr>
                            <w:rFonts w:ascii="宋体" w:hAnsi="宋体" w:cs="宋体" w:eastAsia="宋体" w:hint="default"/>
                            <w:sz w:val="16"/>
                            <w:szCs w:val="16"/>
                          </w:rPr>
                          <w:t>厂房建设</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88,673,167.33</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88,673,167.33</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w w:val="95"/>
                            <w:sz w:val="16"/>
                          </w:rPr>
                          <w:t>0.00</w:t>
                        </w:r>
                        <w:r>
                          <w:rPr>
                            <w:rFonts w:ascii="宋体"/>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车载通信指挥系统改造项目</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80,830,240.69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80,830,240.69</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spacing w:val="-1"/>
                            <w:sz w:val="16"/>
                          </w:rPr>
                          <w:t>70,400,218.56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spacing w:val="-1"/>
                            <w:sz w:val="16"/>
                          </w:rPr>
                          <w:t>70,400,218.56</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南通半导体设备</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55,481,590.54</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55,481,590.54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w w:val="95"/>
                            <w:sz w:val="16"/>
                          </w:rPr>
                          <w:t>0.00</w:t>
                        </w:r>
                        <w:r>
                          <w:rPr>
                            <w:rFonts w:ascii="宋体"/>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顺义天竺项目</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35,477,167.98</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35,477,167.98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5"/>
                          <w:jc w:val="right"/>
                          <w:rPr>
                            <w:rFonts w:ascii="宋体" w:hAnsi="宋体" w:cs="宋体" w:eastAsia="宋体" w:hint="default"/>
                            <w:sz w:val="16"/>
                            <w:szCs w:val="16"/>
                          </w:rPr>
                        </w:pPr>
                        <w:r>
                          <w:rPr>
                            <w:rFonts w:ascii="宋体"/>
                            <w:spacing w:val="-1"/>
                            <w:sz w:val="16"/>
                          </w:rPr>
                          <w:t>212,002,633.12</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212,002,633.12</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宋体" w:hAnsi="宋体" w:cs="宋体" w:eastAsia="宋体" w:hint="default"/>
                            <w:sz w:val="16"/>
                            <w:szCs w:val="16"/>
                          </w:rPr>
                          <w:t>厂研发大楼</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24,957,109.85</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24,957,109.85</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13,921,512.00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13,921,512.00</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泰豪家用静音电源项目</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5"/>
                          <w:jc w:val="right"/>
                          <w:rPr>
                            <w:rFonts w:ascii="宋体" w:hAnsi="宋体" w:cs="宋体" w:eastAsia="宋体" w:hint="default"/>
                            <w:sz w:val="16"/>
                            <w:szCs w:val="16"/>
                          </w:rPr>
                        </w:pPr>
                        <w:r>
                          <w:rPr>
                            <w:rFonts w:ascii="宋体"/>
                            <w:spacing w:val="-1"/>
                            <w:sz w:val="16"/>
                          </w:rPr>
                          <w:t>20,324,934.59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20,324,934.59</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spacing w:val="-1"/>
                            <w:sz w:val="16"/>
                          </w:rPr>
                          <w:t>80,801,987.07</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80,801,987.07</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同方炭素一期项目工程</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5"/>
                          <w:jc w:val="right"/>
                          <w:rPr>
                            <w:rFonts w:ascii="宋体" w:hAnsi="宋体" w:cs="宋体" w:eastAsia="宋体" w:hint="default"/>
                            <w:sz w:val="16"/>
                            <w:szCs w:val="16"/>
                          </w:rPr>
                        </w:pPr>
                        <w:r>
                          <w:rPr>
                            <w:rFonts w:ascii="宋体"/>
                            <w:spacing w:val="-1"/>
                            <w:sz w:val="16"/>
                          </w:rPr>
                          <w:t>16,120,106.77</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4" w:right="0"/>
                          <w:jc w:val="left"/>
                          <w:rPr>
                            <w:rFonts w:ascii="宋体" w:hAnsi="宋体" w:cs="宋体" w:eastAsia="宋体" w:hint="default"/>
                            <w:sz w:val="16"/>
                            <w:szCs w:val="16"/>
                          </w:rPr>
                        </w:pPr>
                        <w:r>
                          <w:rPr>
                            <w:rFonts w:ascii="宋体"/>
                            <w:sz w:val="16"/>
                          </w:rPr>
                          <w:t>835,406.07</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宋体" w:hAnsi="宋体" w:cs="宋体" w:eastAsia="宋体" w:hint="default"/>
                            <w:sz w:val="16"/>
                            <w:szCs w:val="16"/>
                          </w:rPr>
                        </w:pPr>
                        <w:r>
                          <w:rPr>
                            <w:rFonts w:ascii="宋体"/>
                            <w:spacing w:val="-1"/>
                            <w:sz w:val="16"/>
                          </w:rPr>
                          <w:t>15,284,700.70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spacing w:val="-1"/>
                            <w:sz w:val="16"/>
                          </w:rPr>
                          <w:t>15,444,398.47</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15,444,398.47</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山东鲁颖新生产楼</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9,717,598.00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宋体" w:hAnsi="宋体" w:cs="宋体" w:eastAsia="宋体" w:hint="default"/>
                            <w:sz w:val="16"/>
                            <w:szCs w:val="16"/>
                          </w:rPr>
                        </w:pPr>
                        <w:r>
                          <w:rPr>
                            <w:rFonts w:ascii="宋体"/>
                            <w:spacing w:val="-1"/>
                            <w:sz w:val="16"/>
                          </w:rPr>
                          <w:t>9,717,598.00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w w:val="95"/>
                            <w:sz w:val="16"/>
                          </w:rPr>
                          <w:t>0.00</w:t>
                        </w:r>
                        <w:r>
                          <w:rPr>
                            <w:rFonts w:ascii="宋体"/>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宋体" w:hAnsi="宋体" w:cs="宋体" w:eastAsia="宋体" w:hint="default"/>
                            <w:sz w:val="16"/>
                            <w:szCs w:val="16"/>
                          </w:rPr>
                          <w:t>厂技改厂房</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9,220,762.88</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9,220,762.88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8,744,236.84</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8,744,236.84</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同方鞍山科技园一期</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5"/>
                          <w:jc w:val="right"/>
                          <w:rPr>
                            <w:rFonts w:ascii="宋体" w:hAnsi="宋体" w:cs="宋体" w:eastAsia="宋体" w:hint="default"/>
                            <w:sz w:val="16"/>
                            <w:szCs w:val="16"/>
                          </w:rPr>
                        </w:pPr>
                        <w:r>
                          <w:rPr>
                            <w:rFonts w:ascii="宋体"/>
                            <w:spacing w:val="-1"/>
                            <w:sz w:val="16"/>
                          </w:rPr>
                          <w:t>4,954,796.19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4,954,796.19</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4,954,796.19</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4,954,796.19</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福建炭素厂房工程</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4,616,483.72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4" w:right="0"/>
                          <w:jc w:val="left"/>
                          <w:rPr>
                            <w:rFonts w:ascii="宋体" w:hAnsi="宋体" w:cs="宋体" w:eastAsia="宋体" w:hint="default"/>
                            <w:sz w:val="16"/>
                            <w:szCs w:val="16"/>
                          </w:rPr>
                        </w:pPr>
                        <w:r>
                          <w:rPr>
                            <w:rFonts w:ascii="宋体"/>
                            <w:sz w:val="16"/>
                          </w:rPr>
                          <w:t>575,455.94</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4,041,027.78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4,209,838.49</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4,209,838.49</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桂林炭素厂房工程</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3,305,741.80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4" w:right="0"/>
                          <w:jc w:val="left"/>
                          <w:rPr>
                            <w:rFonts w:ascii="宋体" w:hAnsi="宋体" w:cs="宋体" w:eastAsia="宋体" w:hint="default"/>
                            <w:sz w:val="16"/>
                            <w:szCs w:val="16"/>
                          </w:rPr>
                        </w:pPr>
                        <w:r>
                          <w:rPr>
                            <w:rFonts w:ascii="宋体"/>
                            <w:sz w:val="16"/>
                          </w:rPr>
                          <w:t>612,260.48</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2,693,481.32</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2,366,726.11</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2,366,726.11</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晶源电子器件设备</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2,463,140.64</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宋体" w:hAnsi="宋体" w:cs="宋体" w:eastAsia="宋体" w:hint="default"/>
                            <w:sz w:val="16"/>
                            <w:szCs w:val="16"/>
                          </w:rPr>
                        </w:pPr>
                        <w:r>
                          <w:rPr>
                            <w:rFonts w:ascii="宋体"/>
                            <w:spacing w:val="-1"/>
                            <w:sz w:val="16"/>
                          </w:rPr>
                          <w:t>2,463,140.64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w w:val="95"/>
                            <w:sz w:val="16"/>
                          </w:rPr>
                          <w:t>0.00</w:t>
                        </w:r>
                        <w:r>
                          <w:rPr>
                            <w:rFonts w:ascii="宋体"/>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南京工业园</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7"/>
                          <w:jc w:val="right"/>
                          <w:rPr>
                            <w:rFonts w:ascii="宋体" w:hAnsi="宋体" w:cs="宋体" w:eastAsia="宋体" w:hint="default"/>
                            <w:sz w:val="16"/>
                            <w:szCs w:val="16"/>
                          </w:rPr>
                        </w:pPr>
                        <w:r>
                          <w:rPr>
                            <w:rFonts w:ascii="宋体"/>
                            <w:spacing w:val="-1"/>
                            <w:sz w:val="16"/>
                          </w:rPr>
                          <w:t>1,350,295.00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宋体" w:hAnsi="宋体" w:cs="宋体" w:eastAsia="宋体" w:hint="default"/>
                            <w:sz w:val="16"/>
                            <w:szCs w:val="16"/>
                          </w:rPr>
                        </w:pPr>
                        <w:r>
                          <w:rPr>
                            <w:rFonts w:ascii="宋体"/>
                            <w:spacing w:val="-1"/>
                            <w:sz w:val="16"/>
                          </w:rPr>
                          <w:t>1,350,295.00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w w:val="95"/>
                            <w:sz w:val="16"/>
                          </w:rPr>
                          <w:t>0.00</w:t>
                        </w:r>
                        <w:r>
                          <w:rPr>
                            <w:rFonts w:ascii="宋体"/>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同方沈阳科技园区建设</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5"/>
                          <w:jc w:val="right"/>
                          <w:rPr>
                            <w:rFonts w:ascii="宋体" w:hAnsi="宋体" w:cs="宋体" w:eastAsia="宋体" w:hint="default"/>
                            <w:sz w:val="16"/>
                            <w:szCs w:val="16"/>
                          </w:rPr>
                        </w:pPr>
                        <w:r>
                          <w:rPr>
                            <w:rFonts w:ascii="宋体"/>
                            <w:spacing w:val="-1"/>
                            <w:sz w:val="16"/>
                          </w:rPr>
                          <w:t>1,213,687.30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1,213,687.30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1,213,687.30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1,213,687.30</w:t>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北斗卫星导航系统项目</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spacing w:val="-1"/>
                            <w:sz w:val="16"/>
                          </w:rPr>
                          <w:t>1,206,951.90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spacing w:val="-1"/>
                            <w:sz w:val="16"/>
                          </w:rPr>
                          <w:t>1,206,951.90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w w:val="95"/>
                            <w:sz w:val="16"/>
                          </w:rPr>
                          <w:t>0.00</w:t>
                        </w:r>
                        <w:r>
                          <w:rPr>
                            <w:rFonts w:ascii="宋体"/>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天秀花园</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6"/>
                          <w:jc w:val="right"/>
                          <w:rPr>
                            <w:rFonts w:ascii="宋体" w:hAnsi="宋体" w:cs="宋体" w:eastAsia="宋体" w:hint="default"/>
                            <w:sz w:val="16"/>
                            <w:szCs w:val="16"/>
                          </w:rPr>
                        </w:pPr>
                        <w:r>
                          <w:rPr>
                            <w:rFonts w:ascii="宋体"/>
                            <w:w w:val="95"/>
                            <w:sz w:val="16"/>
                          </w:rPr>
                          <w:t>0.00</w:t>
                        </w:r>
                        <w:r>
                          <w:rPr>
                            <w:rFonts w:ascii="宋体"/>
                            <w:sz w:val="16"/>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14,516,538.44</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14,516,538.44</w:t>
                        </w:r>
                      </w:p>
                    </w:tc>
                  </w:tr>
                  <w:tr>
                    <w:trPr>
                      <w:trHeight w:val="295" w:hRule="exact"/>
                    </w:trPr>
                    <w:tc>
                      <w:tcPr>
                        <w:tcW w:w="204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特种电机制造技改项目</w:t>
                        </w:r>
                      </w:p>
                    </w:tc>
                    <w:tc>
                      <w:tcPr>
                        <w:tcW w:w="1435"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85"/>
                          <w:jc w:val="right"/>
                          <w:rPr>
                            <w:rFonts w:ascii="宋体" w:hAnsi="宋体" w:cs="宋体" w:eastAsia="宋体" w:hint="default"/>
                            <w:sz w:val="16"/>
                            <w:szCs w:val="16"/>
                          </w:rPr>
                        </w:pPr>
                        <w:r>
                          <w:rPr>
                            <w:rFonts w:ascii="宋体"/>
                            <w:w w:val="95"/>
                            <w:sz w:val="16"/>
                          </w:rPr>
                          <w:t>0.00</w:t>
                        </w:r>
                        <w:r>
                          <w:rPr>
                            <w:rFonts w:ascii="宋体"/>
                            <w:sz w:val="16"/>
                          </w:rPr>
                        </w:r>
                      </w:p>
                    </w:tc>
                    <w:tc>
                      <w:tcPr>
                        <w:tcW w:w="110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60"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26"/>
                          <w:jc w:val="right"/>
                          <w:rPr>
                            <w:rFonts w:ascii="宋体" w:hAnsi="宋体" w:cs="宋体" w:eastAsia="宋体" w:hint="default"/>
                            <w:sz w:val="16"/>
                            <w:szCs w:val="16"/>
                          </w:rPr>
                        </w:pPr>
                        <w:r>
                          <w:rPr>
                            <w:rFonts w:ascii="宋体"/>
                            <w:spacing w:val="-1"/>
                            <w:sz w:val="16"/>
                          </w:rPr>
                          <w:t>4,197,673.15</w:t>
                        </w:r>
                      </w:p>
                    </w:tc>
                    <w:tc>
                      <w:tcPr>
                        <w:tcW w:w="92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w w:val="95"/>
                            <w:sz w:val="16"/>
                          </w:rPr>
                          <w:t>0.00</w:t>
                        </w:r>
                        <w:r>
                          <w:rPr>
                            <w:rFonts w:ascii="宋体"/>
                            <w:sz w:val="16"/>
                          </w:rPr>
                        </w:r>
                      </w:p>
                    </w:tc>
                    <w:tc>
                      <w:tcPr>
                        <w:tcW w:w="1333"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spacing w:val="-1"/>
                            <w:sz w:val="16"/>
                          </w:rPr>
                          <w:t>4,197,673.15</w:t>
                        </w:r>
                      </w:p>
                    </w:tc>
                  </w:tr>
                </w:tbl>
                <w:p>
                  <w:pPr/>
                </w:p>
              </w:txbxContent>
            </v:textbox>
            <w10:wrap type="none"/>
          </v:shape>
        </w:pict>
      </w:r>
      <w:r>
        <w:rPr>
          <w:rFonts w:ascii="宋体" w:hAnsi="宋体" w:cs="宋体" w:eastAsia="宋体" w:hint="default"/>
          <w:b/>
          <w:bCs/>
          <w:sz w:val="16"/>
          <w:szCs w:val="16"/>
        </w:rPr>
        <w:t>项目</w:t>
      </w:r>
      <w:r>
        <w:rPr>
          <w:rFonts w:ascii="宋体" w:hAnsi="宋体" w:cs="宋体" w:eastAsia="宋体" w:hint="default"/>
          <w:sz w:val="16"/>
          <w:szCs w:val="16"/>
        </w:rPr>
      </w:r>
    </w:p>
    <w:p>
      <w:pPr>
        <w:spacing w:after="0" w:line="170" w:lineRule="exact"/>
        <w:jc w:val="left"/>
        <w:rPr>
          <w:rFonts w:ascii="宋体" w:hAnsi="宋体" w:cs="宋体" w:eastAsia="宋体" w:hint="default"/>
          <w:sz w:val="16"/>
          <w:szCs w:val="16"/>
        </w:rPr>
        <w:sectPr>
          <w:pgSz w:w="11910" w:h="16840"/>
          <w:pgMar w:header="610" w:footer="784" w:top="1080" w:bottom="980" w:left="1120" w:right="9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0" w:lineRule="exact"/>
        <w:ind w:left="23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8.8pt;height:1.5pt;mso-position-horizontal-relative:char;mso-position-vertical-relative:line" coordorigin="0,0" coordsize="9576,30">
            <v:group style="position:absolute;left:15;top:15;width:9546;height:2" coordorigin="15,15" coordsize="9546,2">
              <v:shape style="position:absolute;left:15;top:15;width:9546;height:2" coordorigin="15,15" coordsize="9546,0" path="m15,15l9561,15e" filled="false" stroked="true" strokeweight="1.5pt" strokecolor="#000000">
                <v:path arrowok="t"/>
              </v:shape>
            </v:group>
          </v:group>
        </w:pict>
      </w:r>
      <w:r>
        <w:rPr>
          <w:rFonts w:ascii="宋体" w:hAnsi="宋体" w:cs="宋体" w:eastAsia="宋体" w:hint="default"/>
          <w:position w:val="0"/>
          <w:sz w:val="3"/>
          <w:szCs w:val="3"/>
        </w:rPr>
      </w:r>
    </w:p>
    <w:p>
      <w:pPr>
        <w:tabs>
          <w:tab w:pos="7660" w:val="left" w:leader="none"/>
        </w:tabs>
        <w:spacing w:before="13"/>
        <w:ind w:left="3908" w:right="0" w:firstLine="0"/>
        <w:jc w:val="left"/>
        <w:rPr>
          <w:rFonts w:ascii="宋体" w:hAnsi="宋体" w:cs="宋体" w:eastAsia="宋体" w:hint="default"/>
          <w:sz w:val="16"/>
          <w:szCs w:val="16"/>
        </w:rPr>
      </w:pPr>
      <w:r>
        <w:rPr/>
        <w:pict>
          <v:shape style="position:absolute;margin-left:62.279999pt;margin-top:9.675967pt;width:477.3pt;height:50.4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8"/>
                    <w:gridCol w:w="1945"/>
                    <w:gridCol w:w="1184"/>
                    <w:gridCol w:w="1345"/>
                    <w:gridCol w:w="1345"/>
                    <w:gridCol w:w="942"/>
                    <w:gridCol w:w="1337"/>
                  </w:tblGrid>
                  <w:tr>
                    <w:trPr>
                      <w:trHeight w:val="384" w:hRule="exact"/>
                    </w:trPr>
                    <w:tc>
                      <w:tcPr>
                        <w:tcW w:w="1448" w:type="dxa"/>
                        <w:tcBorders>
                          <w:top w:val="nil" w:sz="6" w:space="0" w:color="auto"/>
                          <w:left w:val="nil" w:sz="6" w:space="0" w:color="auto"/>
                          <w:bottom w:val="single" w:sz="4" w:space="0" w:color="000000"/>
                          <w:right w:val="nil" w:sz="6" w:space="0" w:color="auto"/>
                        </w:tcBorders>
                      </w:tcPr>
                      <w:p>
                        <w:pPr>
                          <w:pStyle w:val="TableParagraph"/>
                          <w:spacing w:line="160"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949"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269"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49"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49"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942"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0"/>
                          <w:jc w:val="center"/>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49"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r>
                  <w:tr>
                    <w:trPr>
                      <w:trHeight w:val="292" w:hRule="exact"/>
                    </w:trPr>
                    <w:tc>
                      <w:tcPr>
                        <w:tcW w:w="144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00" w:right="0"/>
                          <w:jc w:val="left"/>
                          <w:rPr>
                            <w:rFonts w:ascii="宋体" w:hAnsi="宋体" w:cs="宋体" w:eastAsia="宋体" w:hint="default"/>
                            <w:sz w:val="16"/>
                            <w:szCs w:val="16"/>
                          </w:rPr>
                        </w:pPr>
                        <w:r>
                          <w:rPr>
                            <w:rFonts w:ascii="宋体" w:hAnsi="宋体" w:cs="宋体" w:eastAsia="宋体" w:hint="default"/>
                            <w:sz w:val="16"/>
                            <w:szCs w:val="16"/>
                          </w:rPr>
                          <w:t>零星工程</w:t>
                        </w:r>
                      </w:p>
                    </w:tc>
                    <w:tc>
                      <w:tcPr>
                        <w:tcW w:w="19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3,668,062.27</w:t>
                        </w: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37,595.23</w:t>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3,630,467.04</w:t>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1"/>
                            <w:sz w:val="16"/>
                          </w:rPr>
                          <w:t>13,864,807.17</w:t>
                        </w:r>
                      </w:p>
                    </w:tc>
                    <w:tc>
                      <w:tcPr>
                        <w:tcW w:w="94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6" w:right="0"/>
                          <w:jc w:val="center"/>
                          <w:rPr>
                            <w:rFonts w:ascii="宋体" w:hAnsi="宋体" w:cs="宋体" w:eastAsia="宋体" w:hint="default"/>
                            <w:sz w:val="16"/>
                            <w:szCs w:val="16"/>
                          </w:rPr>
                        </w:pPr>
                        <w:r>
                          <w:rPr>
                            <w:rFonts w:ascii="宋体"/>
                            <w:sz w:val="16"/>
                          </w:rPr>
                          <w:t>37,595.23</w:t>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99"/>
                          <w:jc w:val="right"/>
                          <w:rPr>
                            <w:rFonts w:ascii="宋体" w:hAnsi="宋体" w:cs="宋体" w:eastAsia="宋体" w:hint="default"/>
                            <w:sz w:val="16"/>
                            <w:szCs w:val="16"/>
                          </w:rPr>
                        </w:pPr>
                        <w:r>
                          <w:rPr>
                            <w:rFonts w:ascii="宋体"/>
                            <w:spacing w:val="-1"/>
                            <w:sz w:val="16"/>
                          </w:rPr>
                          <w:t>13,827,211.94</w:t>
                        </w:r>
                      </w:p>
                    </w:tc>
                  </w:tr>
                  <w:tr>
                    <w:trPr>
                      <w:trHeight w:val="303" w:hRule="exact"/>
                    </w:trPr>
                    <w:tc>
                      <w:tcPr>
                        <w:tcW w:w="1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00"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9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8"/>
                          <w:jc w:val="right"/>
                          <w:rPr>
                            <w:rFonts w:ascii="宋体" w:hAnsi="宋体" w:cs="宋体" w:eastAsia="宋体" w:hint="default"/>
                            <w:sz w:val="16"/>
                            <w:szCs w:val="16"/>
                          </w:rPr>
                        </w:pPr>
                        <w:r>
                          <w:rPr>
                            <w:rFonts w:ascii="宋体"/>
                            <w:b/>
                            <w:w w:val="95"/>
                            <w:sz w:val="16"/>
                          </w:rPr>
                          <w:t>955,837,032.94</w:t>
                        </w:r>
                        <w:r>
                          <w:rPr>
                            <w:rFonts w:ascii="宋体"/>
                            <w:sz w:val="16"/>
                          </w:rPr>
                        </w: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7"/>
                          <w:jc w:val="right"/>
                          <w:rPr>
                            <w:rFonts w:ascii="宋体" w:hAnsi="宋体" w:cs="宋体" w:eastAsia="宋体" w:hint="default"/>
                            <w:sz w:val="16"/>
                            <w:szCs w:val="16"/>
                          </w:rPr>
                        </w:pPr>
                        <w:r>
                          <w:rPr>
                            <w:rFonts w:ascii="宋体"/>
                            <w:b/>
                            <w:w w:val="95"/>
                            <w:sz w:val="16"/>
                          </w:rPr>
                          <w:t>2,060,717.72</w:t>
                        </w:r>
                        <w:r>
                          <w:rPr>
                            <w:rFonts w:ascii="宋体"/>
                            <w:sz w:val="16"/>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7"/>
                          <w:jc w:val="right"/>
                          <w:rPr>
                            <w:rFonts w:ascii="宋体" w:hAnsi="宋体" w:cs="宋体" w:eastAsia="宋体" w:hint="default"/>
                            <w:sz w:val="16"/>
                            <w:szCs w:val="16"/>
                          </w:rPr>
                        </w:pPr>
                        <w:r>
                          <w:rPr>
                            <w:rFonts w:ascii="宋体"/>
                            <w:b/>
                            <w:w w:val="95"/>
                            <w:sz w:val="16"/>
                          </w:rPr>
                          <w:t>953,776,315.22</w:t>
                        </w:r>
                        <w:r>
                          <w:rPr>
                            <w:rFonts w:ascii="宋体"/>
                            <w:sz w:val="16"/>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7"/>
                          <w:jc w:val="right"/>
                          <w:rPr>
                            <w:rFonts w:ascii="宋体" w:hAnsi="宋体" w:cs="宋体" w:eastAsia="宋体" w:hint="default"/>
                            <w:sz w:val="16"/>
                            <w:szCs w:val="16"/>
                          </w:rPr>
                        </w:pPr>
                        <w:r>
                          <w:rPr>
                            <w:rFonts w:ascii="宋体"/>
                            <w:b/>
                            <w:w w:val="95"/>
                            <w:sz w:val="16"/>
                          </w:rPr>
                          <w:t>728,555,245.91</w:t>
                        </w:r>
                        <w:r>
                          <w:rPr>
                            <w:rFonts w:ascii="宋体"/>
                            <w:sz w:val="16"/>
                          </w:rPr>
                        </w:r>
                      </w:p>
                    </w:tc>
                    <w:tc>
                      <w:tcPr>
                        <w:tcW w:w="9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
                          <w:jc w:val="center"/>
                          <w:rPr>
                            <w:rFonts w:ascii="宋体" w:hAnsi="宋体" w:cs="宋体" w:eastAsia="宋体" w:hint="default"/>
                            <w:sz w:val="16"/>
                            <w:szCs w:val="16"/>
                          </w:rPr>
                        </w:pPr>
                        <w:r>
                          <w:rPr>
                            <w:rFonts w:ascii="宋体"/>
                            <w:b/>
                            <w:sz w:val="16"/>
                          </w:rPr>
                          <w:t>37,595.23</w:t>
                        </w:r>
                        <w:r>
                          <w:rPr>
                            <w:rFonts w:ascii="宋体"/>
                            <w:sz w:val="16"/>
                          </w:rPr>
                        </w: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99"/>
                          <w:jc w:val="right"/>
                          <w:rPr>
                            <w:rFonts w:ascii="宋体" w:hAnsi="宋体" w:cs="宋体" w:eastAsia="宋体" w:hint="default"/>
                            <w:sz w:val="16"/>
                            <w:szCs w:val="16"/>
                          </w:rPr>
                        </w:pPr>
                        <w:r>
                          <w:rPr>
                            <w:rFonts w:ascii="宋体"/>
                            <w:b/>
                            <w:w w:val="95"/>
                            <w:sz w:val="16"/>
                          </w:rPr>
                          <w:t>728,517,650.68</w:t>
                        </w:r>
                        <w:r>
                          <w:rPr>
                            <w:rFonts w:ascii="宋体"/>
                            <w:sz w:val="16"/>
                          </w:rPr>
                        </w:r>
                      </w:p>
                    </w:tc>
                  </w:tr>
                </w:tbl>
                <w:p>
                  <w:pPr/>
                </w:p>
              </w:txbxContent>
            </v:textbox>
            <w10:wrap type="none"/>
          </v:shape>
        </w:pict>
      </w: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spacing w:line="240" w:lineRule="auto" w:before="7"/>
        <w:rPr>
          <w:rFonts w:ascii="宋体" w:hAnsi="宋体" w:cs="宋体" w:eastAsia="宋体" w:hint="default"/>
          <w:b/>
          <w:bCs/>
          <w:sz w:val="4"/>
          <w:szCs w:val="4"/>
        </w:rPr>
      </w:pPr>
    </w:p>
    <w:p>
      <w:pPr>
        <w:spacing w:line="20" w:lineRule="exact"/>
        <w:ind w:left="2280" w:right="0" w:firstLine="0"/>
        <w:rPr>
          <w:rFonts w:ascii="宋体" w:hAnsi="宋体" w:cs="宋体" w:eastAsia="宋体" w:hint="default"/>
          <w:sz w:val="2"/>
          <w:szCs w:val="2"/>
        </w:rPr>
      </w:pPr>
      <w:r>
        <w:rPr>
          <w:rFonts w:ascii="宋体" w:hAnsi="宋体" w:cs="宋体" w:eastAsia="宋体" w:hint="default"/>
          <w:sz w:val="2"/>
          <w:szCs w:val="2"/>
        </w:rPr>
        <w:pict>
          <v:group style="width:375.8pt;height:.5pt;mso-position-horizontal-relative:char;mso-position-vertical-relative:line" coordorigin="0,0" coordsize="7516,10">
            <v:group style="position:absolute;left:5;top:5;width:3884;height:2" coordorigin="5,5" coordsize="3884,2">
              <v:shape style="position:absolute;left:5;top:5;width:3884;height:2" coordorigin="5,5" coordsize="3884,0" path="m5,5l3888,5e" filled="false" stroked="true" strokeweight=".48pt" strokecolor="#000000">
                <v:path arrowok="t"/>
              </v:shape>
            </v:group>
            <v:group style="position:absolute;left:3888;top:5;width:1336;height:2" coordorigin="3888,5" coordsize="1336,2">
              <v:shape style="position:absolute;left:3888;top:5;width:1336;height:2" coordorigin="3888,5" coordsize="1336,0" path="m3888,5l5224,5e" filled="false" stroked="true" strokeweight=".48pt" strokecolor="#000000">
                <v:path arrowok="t"/>
              </v:shape>
            </v:group>
            <v:group style="position:absolute;left:5224;top:5;width:2288;height:2" coordorigin="5224,5" coordsize="2288,2">
              <v:shape style="position:absolute;left:5224;top:5;width:2288;height:2" coordorigin="5224,5" coordsize="2288,0" path="m5224,5l7511,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95"/>
        <w:ind w:left="87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在建工程项目变动情况</w:t>
      </w:r>
    </w:p>
    <w:p>
      <w:pPr>
        <w:spacing w:line="240" w:lineRule="auto" w:before="6"/>
        <w:rPr>
          <w:rFonts w:ascii="宋体" w:hAnsi="宋体" w:cs="宋体" w:eastAsia="宋体" w:hint="default"/>
          <w:sz w:val="12"/>
          <w:szCs w:val="12"/>
        </w:rPr>
      </w:pPr>
    </w:p>
    <w:p>
      <w:pPr>
        <w:spacing w:line="30" w:lineRule="exact"/>
        <w:ind w:left="11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0.2pt;height:1.5pt;mso-position-horizontal-relative:char;mso-position-vertical-relative:line" coordorigin="0,0" coordsize="9804,30">
            <v:group style="position:absolute;left:15;top:15;width:9774;height:2" coordorigin="15,15" coordsize="9774,2">
              <v:shape style="position:absolute;left:15;top:15;width:9774;height:2" coordorigin="15,15" coordsize="9774,0" path="m15,15l9789,15e" filled="false" stroked="true" strokeweight="1.5pt" strokecolor="#000000">
                <v:path arrowok="t"/>
              </v:shape>
            </v:group>
          </v:group>
        </w:pict>
      </w:r>
      <w:r>
        <w:rPr>
          <w:rFonts w:ascii="宋体" w:hAnsi="宋体" w:cs="宋体" w:eastAsia="宋体" w:hint="default"/>
          <w:position w:val="0"/>
          <w:sz w:val="3"/>
          <w:szCs w:val="3"/>
        </w:rPr>
      </w:r>
    </w:p>
    <w:p>
      <w:pPr>
        <w:spacing w:line="261" w:lineRule="auto" w:before="0"/>
        <w:ind w:left="8988" w:right="255" w:firstLine="0"/>
        <w:jc w:val="right"/>
        <w:rPr>
          <w:rFonts w:ascii="宋体" w:hAnsi="宋体" w:cs="宋体" w:eastAsia="宋体" w:hint="default"/>
          <w:sz w:val="14"/>
          <w:szCs w:val="14"/>
        </w:rPr>
      </w:pPr>
      <w:r>
        <w:rPr/>
        <w:pict>
          <v:shape style="position:absolute;margin-left:55.68pt;margin-top:7.064014pt;width:489.8pt;height:377.1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2"/>
                    <w:gridCol w:w="850"/>
                    <w:gridCol w:w="1205"/>
                    <w:gridCol w:w="1203"/>
                    <w:gridCol w:w="778"/>
                    <w:gridCol w:w="426"/>
                    <w:gridCol w:w="778"/>
                    <w:gridCol w:w="426"/>
                    <w:gridCol w:w="1131"/>
                    <w:gridCol w:w="1436"/>
                  </w:tblGrid>
                  <w:tr>
                    <w:trPr>
                      <w:trHeight w:val="341" w:hRule="exact"/>
                    </w:trPr>
                    <w:tc>
                      <w:tcPr>
                        <w:tcW w:w="2413" w:type="dxa"/>
                        <w:gridSpan w:val="2"/>
                        <w:tcBorders>
                          <w:top w:val="nil" w:sz="6" w:space="0" w:color="auto"/>
                          <w:left w:val="nil" w:sz="6" w:space="0" w:color="auto"/>
                          <w:bottom w:val="nil" w:sz="6" w:space="0" w:color="auto"/>
                          <w:right w:val="nil" w:sz="6" w:space="0" w:color="auto"/>
                        </w:tcBorders>
                      </w:tcPr>
                      <w:p>
                        <w:pPr>
                          <w:pStyle w:val="TableParagraph"/>
                          <w:spacing w:line="99" w:lineRule="exact"/>
                          <w:ind w:right="176"/>
                          <w:jc w:val="right"/>
                          <w:rPr>
                            <w:rFonts w:ascii="宋体" w:hAnsi="宋体" w:cs="宋体" w:eastAsia="宋体" w:hint="default"/>
                            <w:sz w:val="14"/>
                            <w:szCs w:val="14"/>
                          </w:rPr>
                        </w:pPr>
                        <w:r>
                          <w:rPr>
                            <w:rFonts w:ascii="宋体" w:hAnsi="宋体" w:cs="宋体" w:eastAsia="宋体" w:hint="default"/>
                            <w:b/>
                            <w:bCs/>
                            <w:w w:val="95"/>
                            <w:sz w:val="14"/>
                            <w:szCs w:val="14"/>
                          </w:rPr>
                          <w:t>工程预算</w:t>
                        </w:r>
                        <w:r>
                          <w:rPr>
                            <w:rFonts w:ascii="宋体" w:hAnsi="宋体" w:cs="宋体" w:eastAsia="宋体" w:hint="default"/>
                            <w:sz w:val="14"/>
                            <w:szCs w:val="14"/>
                          </w:rPr>
                        </w:r>
                      </w:p>
                      <w:p>
                        <w:pPr>
                          <w:pStyle w:val="TableParagraph"/>
                          <w:spacing w:line="100" w:lineRule="exact"/>
                          <w:ind w:left="122" w:right="0"/>
                          <w:jc w:val="left"/>
                          <w:rPr>
                            <w:rFonts w:ascii="宋体" w:hAnsi="宋体" w:cs="宋体" w:eastAsia="宋体" w:hint="default"/>
                            <w:sz w:val="14"/>
                            <w:szCs w:val="14"/>
                          </w:rPr>
                        </w:pPr>
                        <w:r>
                          <w:rPr>
                            <w:rFonts w:ascii="宋体" w:hAnsi="宋体" w:cs="宋体" w:eastAsia="宋体" w:hint="default"/>
                            <w:b/>
                            <w:bCs/>
                            <w:sz w:val="14"/>
                            <w:szCs w:val="14"/>
                          </w:rPr>
                          <w:t>工程名称</w:t>
                        </w:r>
                        <w:r>
                          <w:rPr>
                            <w:rFonts w:ascii="宋体" w:hAnsi="宋体" w:cs="宋体" w:eastAsia="宋体" w:hint="default"/>
                            <w:sz w:val="14"/>
                            <w:szCs w:val="14"/>
                          </w:rPr>
                        </w:r>
                      </w:p>
                      <w:p>
                        <w:pPr>
                          <w:pStyle w:val="TableParagraph"/>
                          <w:spacing w:line="142" w:lineRule="exact"/>
                          <w:ind w:right="246"/>
                          <w:jc w:val="right"/>
                          <w:rPr>
                            <w:rFonts w:ascii="宋体" w:hAnsi="宋体" w:cs="宋体" w:eastAsia="宋体" w:hint="default"/>
                            <w:sz w:val="14"/>
                            <w:szCs w:val="14"/>
                          </w:rPr>
                        </w:pPr>
                        <w:r>
                          <w:rPr>
                            <w:rFonts w:ascii="宋体" w:hAnsi="宋体" w:cs="宋体" w:eastAsia="宋体" w:hint="default"/>
                            <w:b/>
                            <w:bCs/>
                            <w:w w:val="95"/>
                            <w:sz w:val="14"/>
                            <w:szCs w:val="14"/>
                          </w:rPr>
                          <w:t>(万元)</w:t>
                        </w:r>
                        <w:r>
                          <w:rPr>
                            <w:rFonts w:ascii="宋体" w:hAnsi="宋体" w:cs="宋体" w:eastAsia="宋体" w:hint="default"/>
                            <w:sz w:val="14"/>
                            <w:szCs w:val="14"/>
                          </w:rPr>
                        </w:r>
                      </w:p>
                    </w:tc>
                    <w:tc>
                      <w:tcPr>
                        <w:tcW w:w="1205" w:type="dxa"/>
                        <w:tcBorders>
                          <w:top w:val="nil" w:sz="6" w:space="0" w:color="auto"/>
                          <w:left w:val="nil" w:sz="6" w:space="0" w:color="auto"/>
                          <w:bottom w:val="nil" w:sz="6" w:space="0" w:color="auto"/>
                          <w:right w:val="nil" w:sz="6" w:space="0" w:color="auto"/>
                        </w:tcBorders>
                      </w:tcPr>
                      <w:p>
                        <w:pPr>
                          <w:pStyle w:val="TableParagraph"/>
                          <w:spacing w:line="140" w:lineRule="exact"/>
                          <w:ind w:right="1"/>
                          <w:jc w:val="center"/>
                          <w:rPr>
                            <w:rFonts w:ascii="宋体" w:hAnsi="宋体" w:cs="宋体" w:eastAsia="宋体" w:hint="default"/>
                            <w:sz w:val="14"/>
                            <w:szCs w:val="14"/>
                          </w:rPr>
                        </w:pPr>
                        <w:r>
                          <w:rPr>
                            <w:rFonts w:ascii="宋体" w:hAnsi="宋体" w:cs="宋体" w:eastAsia="宋体" w:hint="default"/>
                            <w:b/>
                            <w:bCs/>
                            <w:sz w:val="14"/>
                            <w:szCs w:val="14"/>
                          </w:rPr>
                          <w:t>年初</w:t>
                        </w:r>
                        <w:r>
                          <w:rPr>
                            <w:rFonts w:ascii="宋体" w:hAnsi="宋体" w:cs="宋体" w:eastAsia="宋体" w:hint="default"/>
                            <w:sz w:val="14"/>
                            <w:szCs w:val="14"/>
                          </w:rPr>
                        </w:r>
                      </w:p>
                      <w:p>
                        <w:pPr>
                          <w:pStyle w:val="TableParagraph"/>
                          <w:spacing w:line="240" w:lineRule="auto" w:before="17"/>
                          <w:ind w:right="1"/>
                          <w:jc w:val="center"/>
                          <w:rPr>
                            <w:rFonts w:ascii="宋体" w:hAnsi="宋体" w:cs="宋体" w:eastAsia="宋体" w:hint="default"/>
                            <w:sz w:val="14"/>
                            <w:szCs w:val="14"/>
                          </w:rPr>
                        </w:pPr>
                        <w:r>
                          <w:rPr>
                            <w:rFonts w:ascii="宋体" w:hAnsi="宋体" w:cs="宋体" w:eastAsia="宋体" w:hint="default"/>
                            <w:b/>
                            <w:bCs/>
                            <w:sz w:val="14"/>
                            <w:szCs w:val="14"/>
                          </w:rPr>
                          <w:t>金额</w:t>
                        </w:r>
                        <w:r>
                          <w:rPr>
                            <w:rFonts w:ascii="宋体" w:hAnsi="宋体" w:cs="宋体" w:eastAsia="宋体" w:hint="default"/>
                            <w:sz w:val="14"/>
                            <w:szCs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140" w:lineRule="exact"/>
                          <w:ind w:right="0"/>
                          <w:jc w:val="center"/>
                          <w:rPr>
                            <w:rFonts w:ascii="宋体" w:hAnsi="宋体" w:cs="宋体" w:eastAsia="宋体" w:hint="default"/>
                            <w:sz w:val="14"/>
                            <w:szCs w:val="14"/>
                          </w:rPr>
                        </w:pPr>
                        <w:r>
                          <w:rPr>
                            <w:rFonts w:ascii="宋体" w:hAnsi="宋体" w:cs="宋体" w:eastAsia="宋体" w:hint="default"/>
                            <w:b/>
                            <w:bCs/>
                            <w:sz w:val="14"/>
                            <w:szCs w:val="14"/>
                          </w:rPr>
                          <w:t>本年</w:t>
                        </w:r>
                        <w:r>
                          <w:rPr>
                            <w:rFonts w:ascii="宋体" w:hAnsi="宋体" w:cs="宋体" w:eastAsia="宋体" w:hint="default"/>
                            <w:sz w:val="14"/>
                            <w:szCs w:val="14"/>
                          </w:rPr>
                        </w:r>
                      </w:p>
                      <w:p>
                        <w:pPr>
                          <w:pStyle w:val="TableParagraph"/>
                          <w:spacing w:line="240" w:lineRule="auto" w:before="17"/>
                          <w:ind w:right="0"/>
                          <w:jc w:val="center"/>
                          <w:rPr>
                            <w:rFonts w:ascii="宋体" w:hAnsi="宋体" w:cs="宋体" w:eastAsia="宋体" w:hint="default"/>
                            <w:sz w:val="14"/>
                            <w:szCs w:val="14"/>
                          </w:rPr>
                        </w:pPr>
                        <w:r>
                          <w:rPr>
                            <w:rFonts w:ascii="宋体" w:hAnsi="宋体" w:cs="宋体" w:eastAsia="宋体" w:hint="default"/>
                            <w:b/>
                            <w:bCs/>
                            <w:sz w:val="14"/>
                            <w:szCs w:val="14"/>
                          </w:rPr>
                          <w:t>增加</w:t>
                        </w:r>
                        <w:r>
                          <w:rPr>
                            <w:rFonts w:ascii="宋体" w:hAnsi="宋体" w:cs="宋体" w:eastAsia="宋体" w:hint="default"/>
                            <w:sz w:val="14"/>
                            <w:szCs w:val="14"/>
                          </w:rPr>
                        </w:r>
                      </w:p>
                    </w:tc>
                    <w:tc>
                      <w:tcPr>
                        <w:tcW w:w="778" w:type="dxa"/>
                        <w:tcBorders>
                          <w:top w:val="nil" w:sz="6" w:space="0" w:color="auto"/>
                          <w:left w:val="nil" w:sz="6" w:space="0" w:color="auto"/>
                          <w:bottom w:val="nil" w:sz="6" w:space="0" w:color="auto"/>
                          <w:right w:val="nil" w:sz="6" w:space="0" w:color="auto"/>
                        </w:tcBorders>
                      </w:tcPr>
                      <w:p>
                        <w:pPr>
                          <w:pStyle w:val="TableParagraph"/>
                          <w:spacing w:line="140" w:lineRule="exact"/>
                          <w:ind w:left="460" w:right="0"/>
                          <w:jc w:val="left"/>
                          <w:rPr>
                            <w:rFonts w:ascii="宋体" w:hAnsi="宋体" w:cs="宋体" w:eastAsia="宋体" w:hint="default"/>
                            <w:sz w:val="14"/>
                            <w:szCs w:val="14"/>
                          </w:rPr>
                        </w:pPr>
                        <w:r>
                          <w:rPr>
                            <w:rFonts w:ascii="宋体" w:hAnsi="宋体" w:cs="宋体" w:eastAsia="宋体" w:hint="default"/>
                            <w:b/>
                            <w:bCs/>
                            <w:sz w:val="14"/>
                            <w:szCs w:val="14"/>
                          </w:rPr>
                          <w:t>本年</w:t>
                        </w:r>
                        <w:r>
                          <w:rPr>
                            <w:rFonts w:ascii="宋体" w:hAnsi="宋体" w:cs="宋体" w:eastAsia="宋体" w:hint="default"/>
                            <w:sz w:val="14"/>
                            <w:szCs w:val="14"/>
                          </w:rPr>
                        </w:r>
                      </w:p>
                      <w:p>
                        <w:pPr>
                          <w:pStyle w:val="TableParagraph"/>
                          <w:spacing w:line="240" w:lineRule="auto" w:before="17"/>
                          <w:ind w:left="460" w:right="0"/>
                          <w:jc w:val="left"/>
                          <w:rPr>
                            <w:rFonts w:ascii="宋体" w:hAnsi="宋体" w:cs="宋体" w:eastAsia="宋体" w:hint="default"/>
                            <w:sz w:val="14"/>
                            <w:szCs w:val="14"/>
                          </w:rPr>
                        </w:pPr>
                        <w:r>
                          <w:rPr>
                            <w:rFonts w:ascii="宋体" w:hAnsi="宋体" w:cs="宋体" w:eastAsia="宋体" w:hint="default"/>
                            <w:b/>
                            <w:bCs/>
                            <w:sz w:val="14"/>
                            <w:szCs w:val="14"/>
                          </w:rPr>
                          <w:t>转固</w:t>
                        </w:r>
                        <w:r>
                          <w:rPr>
                            <w:rFonts w:ascii="宋体" w:hAnsi="宋体" w:cs="宋体" w:eastAsia="宋体" w:hint="default"/>
                            <w:sz w:val="14"/>
                            <w:szCs w:val="14"/>
                          </w:rPr>
                        </w:r>
                      </w:p>
                    </w:tc>
                    <w:tc>
                      <w:tcPr>
                        <w:tcW w:w="1205"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right="34"/>
                          <w:jc w:val="right"/>
                          <w:rPr>
                            <w:rFonts w:ascii="宋体" w:hAnsi="宋体" w:cs="宋体" w:eastAsia="宋体" w:hint="default"/>
                            <w:sz w:val="14"/>
                            <w:szCs w:val="14"/>
                          </w:rPr>
                        </w:pPr>
                        <w:r>
                          <w:rPr>
                            <w:rFonts w:ascii="宋体" w:hAnsi="宋体" w:cs="宋体" w:eastAsia="宋体" w:hint="default"/>
                            <w:b/>
                            <w:bCs/>
                            <w:w w:val="95"/>
                            <w:sz w:val="14"/>
                            <w:szCs w:val="14"/>
                          </w:rPr>
                          <w:t>其他</w:t>
                        </w:r>
                        <w:r>
                          <w:rPr>
                            <w:rFonts w:ascii="宋体" w:hAnsi="宋体" w:cs="宋体" w:eastAsia="宋体" w:hint="default"/>
                            <w:sz w:val="14"/>
                            <w:szCs w:val="14"/>
                          </w:rPr>
                        </w:r>
                      </w:p>
                      <w:p>
                        <w:pPr>
                          <w:pStyle w:val="TableParagraph"/>
                          <w:spacing w:line="240" w:lineRule="auto" w:before="17"/>
                          <w:ind w:right="34"/>
                          <w:jc w:val="right"/>
                          <w:rPr>
                            <w:rFonts w:ascii="宋体" w:hAnsi="宋体" w:cs="宋体" w:eastAsia="宋体" w:hint="default"/>
                            <w:sz w:val="14"/>
                            <w:szCs w:val="14"/>
                          </w:rPr>
                        </w:pPr>
                        <w:r>
                          <w:rPr>
                            <w:rFonts w:ascii="宋体" w:hAnsi="宋体" w:cs="宋体" w:eastAsia="宋体" w:hint="default"/>
                            <w:b/>
                            <w:bCs/>
                            <w:w w:val="95"/>
                            <w:sz w:val="14"/>
                            <w:szCs w:val="14"/>
                          </w:rPr>
                          <w:t>减少</w:t>
                        </w:r>
                        <w:r>
                          <w:rPr>
                            <w:rFonts w:ascii="宋体" w:hAnsi="宋体" w:cs="宋体" w:eastAsia="宋体" w:hint="default"/>
                            <w:sz w:val="14"/>
                            <w:szCs w:val="14"/>
                          </w:rPr>
                        </w:r>
                      </w:p>
                    </w:tc>
                    <w:tc>
                      <w:tcPr>
                        <w:tcW w:w="1556"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left="886" w:right="0"/>
                          <w:jc w:val="left"/>
                          <w:rPr>
                            <w:rFonts w:ascii="宋体" w:hAnsi="宋体" w:cs="宋体" w:eastAsia="宋体" w:hint="default"/>
                            <w:sz w:val="14"/>
                            <w:szCs w:val="14"/>
                          </w:rPr>
                        </w:pPr>
                        <w:r>
                          <w:rPr>
                            <w:rFonts w:ascii="宋体" w:hAnsi="宋体" w:cs="宋体" w:eastAsia="宋体" w:hint="default"/>
                            <w:b/>
                            <w:bCs/>
                            <w:sz w:val="14"/>
                            <w:szCs w:val="14"/>
                          </w:rPr>
                          <w:t>年末</w:t>
                        </w:r>
                        <w:r>
                          <w:rPr>
                            <w:rFonts w:ascii="宋体" w:hAnsi="宋体" w:cs="宋体" w:eastAsia="宋体" w:hint="default"/>
                            <w:sz w:val="14"/>
                            <w:szCs w:val="14"/>
                          </w:rPr>
                        </w:r>
                      </w:p>
                      <w:p>
                        <w:pPr>
                          <w:pStyle w:val="TableParagraph"/>
                          <w:spacing w:line="240" w:lineRule="auto" w:before="17"/>
                          <w:ind w:left="886" w:right="0"/>
                          <w:jc w:val="left"/>
                          <w:rPr>
                            <w:rFonts w:ascii="宋体" w:hAnsi="宋体" w:cs="宋体" w:eastAsia="宋体" w:hint="default"/>
                            <w:sz w:val="14"/>
                            <w:szCs w:val="14"/>
                          </w:rPr>
                        </w:pPr>
                        <w:r>
                          <w:rPr>
                            <w:rFonts w:ascii="宋体" w:hAnsi="宋体" w:cs="宋体" w:eastAsia="宋体" w:hint="default"/>
                            <w:b/>
                            <w:bCs/>
                            <w:sz w:val="14"/>
                            <w:szCs w:val="14"/>
                          </w:rPr>
                          <w:t>金额</w:t>
                        </w:r>
                        <w:r>
                          <w:rPr>
                            <w:rFonts w:ascii="宋体" w:hAnsi="宋体" w:cs="宋体" w:eastAsia="宋体" w:hint="default"/>
                            <w:sz w:val="14"/>
                            <w:szCs w:val="14"/>
                          </w:rPr>
                        </w:r>
                      </w:p>
                    </w:tc>
                    <w:tc>
                      <w:tcPr>
                        <w:tcW w:w="1436" w:type="dxa"/>
                        <w:tcBorders>
                          <w:top w:val="nil" w:sz="6" w:space="0" w:color="auto"/>
                          <w:left w:val="nil" w:sz="6" w:space="0" w:color="auto"/>
                          <w:bottom w:val="nil" w:sz="6" w:space="0" w:color="auto"/>
                          <w:right w:val="nil" w:sz="6" w:space="0" w:color="auto"/>
                        </w:tcBorders>
                      </w:tcPr>
                      <w:p>
                        <w:pPr>
                          <w:pStyle w:val="TableParagraph"/>
                          <w:spacing w:line="140" w:lineRule="exact"/>
                          <w:ind w:left="260" w:right="0"/>
                          <w:jc w:val="left"/>
                          <w:rPr>
                            <w:rFonts w:ascii="宋体" w:hAnsi="宋体" w:cs="宋体" w:eastAsia="宋体" w:hint="default"/>
                            <w:sz w:val="14"/>
                            <w:szCs w:val="14"/>
                          </w:rPr>
                        </w:pPr>
                        <w:r>
                          <w:rPr>
                            <w:rFonts w:ascii="宋体" w:hAnsi="宋体" w:cs="宋体" w:eastAsia="宋体" w:hint="default"/>
                            <w:b/>
                            <w:bCs/>
                            <w:sz w:val="14"/>
                            <w:szCs w:val="14"/>
                          </w:rPr>
                          <w:t>资金</w:t>
                        </w:r>
                        <w:r>
                          <w:rPr>
                            <w:rFonts w:ascii="宋体" w:hAnsi="宋体" w:cs="宋体" w:eastAsia="宋体" w:hint="default"/>
                            <w:sz w:val="14"/>
                            <w:szCs w:val="14"/>
                          </w:rPr>
                        </w:r>
                      </w:p>
                      <w:p>
                        <w:pPr>
                          <w:pStyle w:val="TableParagraph"/>
                          <w:spacing w:line="240" w:lineRule="auto" w:before="17"/>
                          <w:ind w:left="260" w:right="0"/>
                          <w:jc w:val="left"/>
                          <w:rPr>
                            <w:rFonts w:ascii="宋体" w:hAnsi="宋体" w:cs="宋体" w:eastAsia="宋体" w:hint="default"/>
                            <w:sz w:val="14"/>
                            <w:szCs w:val="14"/>
                          </w:rPr>
                        </w:pPr>
                        <w:r>
                          <w:rPr>
                            <w:rFonts w:ascii="宋体" w:hAnsi="宋体" w:cs="宋体" w:eastAsia="宋体" w:hint="default"/>
                            <w:b/>
                            <w:bCs/>
                            <w:sz w:val="14"/>
                            <w:szCs w:val="14"/>
                          </w:rPr>
                          <w:t>来源</w:t>
                        </w:r>
                        <w:r>
                          <w:rPr>
                            <w:rFonts w:ascii="宋体" w:hAnsi="宋体" w:cs="宋体" w:eastAsia="宋体" w:hint="default"/>
                            <w:sz w:val="14"/>
                            <w:szCs w:val="14"/>
                          </w:rPr>
                        </w:r>
                      </w:p>
                    </w:tc>
                  </w:tr>
                  <w:tr>
                    <w:trPr>
                      <w:trHeight w:val="289" w:hRule="exact"/>
                    </w:trPr>
                    <w:tc>
                      <w:tcPr>
                        <w:tcW w:w="2413" w:type="dxa"/>
                        <w:gridSpan w:val="2"/>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1205" w:type="dxa"/>
                        <w:gridSpan w:val="2"/>
                        <w:tcBorders>
                          <w:top w:val="nil" w:sz="6" w:space="0" w:color="auto"/>
                          <w:left w:val="nil" w:sz="6" w:space="0" w:color="auto"/>
                          <w:bottom w:val="nil" w:sz="6" w:space="0" w:color="auto"/>
                          <w:right w:val="nil" w:sz="6" w:space="0" w:color="auto"/>
                        </w:tcBorders>
                      </w:tcPr>
                      <w:p>
                        <w:pPr/>
                      </w:p>
                    </w:tc>
                    <w:tc>
                      <w:tcPr>
                        <w:tcW w:w="1556" w:type="dxa"/>
                        <w:gridSpan w:val="2"/>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101" w:lineRule="exact"/>
                          <w:ind w:left="1012" w:right="0"/>
                          <w:jc w:val="left"/>
                          <w:rPr>
                            <w:rFonts w:ascii="宋体" w:hAnsi="宋体" w:cs="宋体" w:eastAsia="宋体" w:hint="default"/>
                            <w:sz w:val="14"/>
                            <w:szCs w:val="14"/>
                          </w:rPr>
                        </w:pPr>
                        <w:r>
                          <w:rPr>
                            <w:rFonts w:ascii="宋体" w:hAnsi="宋体" w:cs="宋体" w:eastAsia="宋体" w:hint="default"/>
                            <w:b/>
                            <w:bCs/>
                            <w:w w:val="99"/>
                            <w:sz w:val="14"/>
                            <w:szCs w:val="14"/>
                          </w:rPr>
                          <w:t>例</w:t>
                        </w:r>
                        <w:r>
                          <w:rPr>
                            <w:rFonts w:ascii="宋体" w:hAnsi="宋体" w:cs="宋体" w:eastAsia="宋体" w:hint="default"/>
                            <w:sz w:val="14"/>
                            <w:szCs w:val="14"/>
                          </w:rPr>
                        </w:r>
                      </w:p>
                      <w:p>
                        <w:pPr>
                          <w:pStyle w:val="TableParagraph"/>
                          <w:spacing w:line="240" w:lineRule="auto" w:before="25"/>
                          <w:ind w:left="191" w:right="0"/>
                          <w:jc w:val="left"/>
                          <w:rPr>
                            <w:rFonts w:ascii="宋体" w:hAnsi="宋体" w:cs="宋体" w:eastAsia="宋体" w:hint="default"/>
                            <w:sz w:val="14"/>
                            <w:szCs w:val="14"/>
                          </w:rPr>
                        </w:pPr>
                        <w:r>
                          <w:rPr>
                            <w:rFonts w:ascii="宋体" w:hAnsi="宋体" w:cs="宋体" w:eastAsia="宋体" w:hint="default"/>
                            <w:sz w:val="14"/>
                            <w:szCs w:val="14"/>
                          </w:rPr>
                          <w:t>自筹、</w:t>
                        </w:r>
                      </w:p>
                    </w:tc>
                  </w:tr>
                  <w:tr>
                    <w:trPr>
                      <w:trHeight w:val="250" w:hRule="exact"/>
                    </w:trPr>
                    <w:tc>
                      <w:tcPr>
                        <w:tcW w:w="2413"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left="122" w:right="0"/>
                          <w:jc w:val="left"/>
                          <w:rPr>
                            <w:rFonts w:ascii="宋体" w:hAnsi="宋体" w:cs="宋体" w:eastAsia="宋体" w:hint="default"/>
                            <w:sz w:val="14"/>
                            <w:szCs w:val="14"/>
                          </w:rPr>
                        </w:pPr>
                        <w:r>
                          <w:rPr>
                            <w:rFonts w:ascii="宋体" w:hAnsi="宋体" w:cs="宋体" w:eastAsia="宋体" w:hint="default"/>
                            <w:sz w:val="14"/>
                            <w:szCs w:val="14"/>
                          </w:rPr>
                          <w:t>清华同方科技广场二期</w:t>
                        </w:r>
                      </w:p>
                    </w:tc>
                    <w:tc>
                      <w:tcPr>
                        <w:tcW w:w="1205" w:type="dxa"/>
                        <w:tcBorders>
                          <w:top w:val="nil" w:sz="6" w:space="0" w:color="auto"/>
                          <w:left w:val="nil" w:sz="6" w:space="0" w:color="auto"/>
                          <w:bottom w:val="nil" w:sz="6" w:space="0" w:color="auto"/>
                          <w:right w:val="nil" w:sz="6" w:space="0" w:color="auto"/>
                        </w:tcBorders>
                      </w:tcPr>
                      <w:p>
                        <w:pPr>
                          <w:pStyle w:val="TableParagraph"/>
                          <w:spacing w:line="120" w:lineRule="exact"/>
                          <w:ind w:right="107"/>
                          <w:jc w:val="right"/>
                          <w:rPr>
                            <w:rFonts w:ascii="宋体" w:hAnsi="宋体" w:cs="宋体" w:eastAsia="宋体" w:hint="default"/>
                            <w:sz w:val="14"/>
                            <w:szCs w:val="14"/>
                          </w:rPr>
                        </w:pPr>
                        <w:r>
                          <w:rPr>
                            <w:rFonts w:ascii="宋体"/>
                            <w:spacing w:val="-1"/>
                            <w:sz w:val="14"/>
                          </w:rPr>
                          <w:t>259,986,805.94</w:t>
                        </w:r>
                      </w:p>
                    </w:tc>
                    <w:tc>
                      <w:tcPr>
                        <w:tcW w:w="1203" w:type="dxa"/>
                        <w:tcBorders>
                          <w:top w:val="nil" w:sz="6" w:space="0" w:color="auto"/>
                          <w:left w:val="nil" w:sz="6" w:space="0" w:color="auto"/>
                          <w:bottom w:val="nil" w:sz="6" w:space="0" w:color="auto"/>
                          <w:right w:val="nil" w:sz="6" w:space="0" w:color="auto"/>
                        </w:tcBorders>
                      </w:tcPr>
                      <w:p>
                        <w:pPr>
                          <w:pStyle w:val="TableParagraph"/>
                          <w:spacing w:line="120" w:lineRule="exact"/>
                          <w:ind w:right="106"/>
                          <w:jc w:val="right"/>
                          <w:rPr>
                            <w:rFonts w:ascii="宋体" w:hAnsi="宋体" w:cs="宋体" w:eastAsia="宋体" w:hint="default"/>
                            <w:sz w:val="14"/>
                            <w:szCs w:val="14"/>
                          </w:rPr>
                        </w:pPr>
                        <w:r>
                          <w:rPr>
                            <w:rFonts w:ascii="宋体"/>
                            <w:spacing w:val="-1"/>
                            <w:sz w:val="14"/>
                          </w:rPr>
                          <w:t>236,749,417.52</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left="114" w:right="0"/>
                          <w:jc w:val="left"/>
                          <w:rPr>
                            <w:rFonts w:ascii="宋体" w:hAnsi="宋体" w:cs="宋体" w:eastAsia="宋体" w:hint="default"/>
                            <w:sz w:val="14"/>
                            <w:szCs w:val="14"/>
                          </w:rPr>
                        </w:pPr>
                        <w:r>
                          <w:rPr>
                            <w:rFonts w:ascii="宋体"/>
                            <w:sz w:val="14"/>
                          </w:rPr>
                          <w:t>496,736,223.46</w:t>
                        </w:r>
                      </w:p>
                    </w:tc>
                  </w:tr>
                  <w:tr>
                    <w:trPr>
                      <w:trHeight w:val="364" w:hRule="exact"/>
                    </w:trPr>
                    <w:tc>
                      <w:tcPr>
                        <w:tcW w:w="2413" w:type="dxa"/>
                        <w:gridSpan w:val="2"/>
                        <w:tcBorders>
                          <w:top w:val="nil" w:sz="6" w:space="0" w:color="auto"/>
                          <w:left w:val="nil" w:sz="6" w:space="0" w:color="auto"/>
                          <w:bottom w:val="nil" w:sz="6" w:space="0" w:color="auto"/>
                          <w:right w:val="nil" w:sz="6" w:space="0" w:color="auto"/>
                        </w:tcBorders>
                      </w:tcPr>
                      <w:p>
                        <w:pPr>
                          <w:pStyle w:val="TableParagraph"/>
                          <w:spacing w:line="131" w:lineRule="exact"/>
                          <w:ind w:left="122" w:right="0"/>
                          <w:jc w:val="left"/>
                          <w:rPr>
                            <w:rFonts w:ascii="宋体" w:hAnsi="宋体" w:cs="宋体" w:eastAsia="宋体" w:hint="default"/>
                            <w:sz w:val="16"/>
                            <w:szCs w:val="16"/>
                          </w:rPr>
                        </w:pPr>
                        <w:r>
                          <w:rPr>
                            <w:rFonts w:ascii="宋体" w:hAnsi="宋体" w:cs="宋体" w:eastAsia="宋体" w:hint="default"/>
                            <w:spacing w:val="10"/>
                            <w:sz w:val="14"/>
                            <w:szCs w:val="14"/>
                          </w:rPr>
                          <w:t>亦庄研发基地</w:t>
                        </w:r>
                        <w:r>
                          <w:rPr>
                            <w:rFonts w:ascii="宋体" w:hAnsi="宋体" w:cs="宋体" w:eastAsia="宋体" w:hint="default"/>
                            <w:spacing w:val="10"/>
                            <w:sz w:val="16"/>
                            <w:szCs w:val="16"/>
                          </w:rPr>
                          <w:t>（泰豪</w:t>
                        </w:r>
                      </w:p>
                      <w:p>
                        <w:pPr>
                          <w:pStyle w:val="TableParagraph"/>
                          <w:tabs>
                            <w:tab w:pos="1672" w:val="left" w:leader="none"/>
                          </w:tabs>
                          <w:spacing w:line="243" w:lineRule="exact"/>
                          <w:ind w:left="122" w:right="0"/>
                          <w:jc w:val="left"/>
                          <w:rPr>
                            <w:rFonts w:ascii="宋体" w:hAnsi="宋体" w:cs="宋体" w:eastAsia="宋体" w:hint="default"/>
                            <w:sz w:val="14"/>
                            <w:szCs w:val="14"/>
                          </w:rPr>
                        </w:pPr>
                        <w:r>
                          <w:rPr>
                            <w:rFonts w:ascii="宋体" w:hAnsi="宋体" w:cs="宋体" w:eastAsia="宋体" w:hint="default"/>
                            <w:w w:val="95"/>
                            <w:position w:val="-9"/>
                            <w:sz w:val="16"/>
                            <w:szCs w:val="16"/>
                          </w:rPr>
                          <w:t>入）</w:t>
                          <w:tab/>
                        </w:r>
                        <w:r>
                          <w:rPr>
                            <w:rFonts w:ascii="宋体" w:hAnsi="宋体" w:cs="宋体" w:eastAsia="宋体" w:hint="default"/>
                            <w:sz w:val="14"/>
                            <w:szCs w:val="14"/>
                          </w:rPr>
                          <w:t>16,209.69</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宋体" w:hAnsi="宋体" w:cs="宋体" w:eastAsia="宋体" w:hint="default"/>
                            <w:sz w:val="14"/>
                            <w:szCs w:val="14"/>
                          </w:rPr>
                        </w:pPr>
                        <w:r>
                          <w:rPr>
                            <w:rFonts w:ascii="宋体"/>
                            <w:spacing w:val="-1"/>
                            <w:sz w:val="14"/>
                          </w:rPr>
                          <w:t>21,929,387.06</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4"/>
                            <w:szCs w:val="14"/>
                          </w:rPr>
                        </w:pPr>
                        <w:r>
                          <w:rPr>
                            <w:rFonts w:ascii="宋体"/>
                            <w:spacing w:val="-1"/>
                            <w:sz w:val="14"/>
                          </w:rPr>
                          <w:t>73,589,584.97</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1" w:val="left" w:leader="none"/>
                            <w:tab w:pos="2001" w:val="left" w:leader="none"/>
                          </w:tabs>
                          <w:spacing w:line="240" w:lineRule="auto" w:before="87"/>
                          <w:ind w:left="184" w:right="0"/>
                          <w:jc w:val="left"/>
                          <w:rPr>
                            <w:rFonts w:ascii="宋体" w:hAnsi="宋体" w:cs="宋体" w:eastAsia="宋体" w:hint="default"/>
                            <w:sz w:val="14"/>
                            <w:szCs w:val="14"/>
                          </w:rPr>
                        </w:pPr>
                        <w:r>
                          <w:rPr>
                            <w:rFonts w:ascii="宋体" w:hAnsi="宋体" w:cs="宋体" w:eastAsia="宋体" w:hint="default"/>
                            <w:spacing w:val="-1"/>
                            <w:sz w:val="14"/>
                            <w:szCs w:val="14"/>
                          </w:rPr>
                          <w:t>95,518,972.03</w:t>
                          <w:tab/>
                          <w:t>自筹</w:t>
                          <w:tab/>
                          <w:t>58.92%</w:t>
                        </w:r>
                        <w:r>
                          <w:rPr>
                            <w:rFonts w:ascii="宋体" w:hAnsi="宋体" w:cs="宋体" w:eastAsia="宋体" w:hint="default"/>
                            <w:sz w:val="14"/>
                            <w:szCs w:val="14"/>
                          </w:rPr>
                        </w:r>
                      </w:p>
                    </w:tc>
                  </w:tr>
                  <w:tr>
                    <w:trPr>
                      <w:trHeight w:val="234" w:hRule="exact"/>
                    </w:trPr>
                    <w:tc>
                      <w:tcPr>
                        <w:tcW w:w="2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南通科技园</w:t>
                        </w:r>
                        <w:r>
                          <w:rPr>
                            <w:rFonts w:ascii="宋体" w:hAnsi="宋体" w:cs="宋体" w:eastAsia="宋体" w:hint="default"/>
                            <w:spacing w:val="-37"/>
                            <w:sz w:val="14"/>
                            <w:szCs w:val="14"/>
                          </w:rPr>
                          <w:t> </w:t>
                        </w:r>
                        <w:r>
                          <w:rPr>
                            <w:rFonts w:ascii="宋体" w:hAnsi="宋体" w:cs="宋体" w:eastAsia="宋体" w:hint="default"/>
                            <w:sz w:val="14"/>
                            <w:szCs w:val="14"/>
                          </w:rPr>
                          <w:t>LED</w:t>
                        </w:r>
                        <w:r>
                          <w:rPr>
                            <w:rFonts w:ascii="宋体" w:hAnsi="宋体" w:cs="宋体" w:eastAsia="宋体" w:hint="default"/>
                            <w:spacing w:val="-37"/>
                            <w:sz w:val="14"/>
                            <w:szCs w:val="14"/>
                          </w:rPr>
                          <w:t> </w:t>
                        </w:r>
                        <w:r>
                          <w:rPr>
                            <w:rFonts w:ascii="宋体" w:hAnsi="宋体" w:cs="宋体" w:eastAsia="宋体" w:hint="default"/>
                            <w:sz w:val="14"/>
                            <w:szCs w:val="14"/>
                          </w:rPr>
                          <w:t>厂房建</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88,673,167.33</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2" w:val="left" w:leader="none"/>
                          </w:tabs>
                          <w:spacing w:line="240" w:lineRule="auto" w:before="50"/>
                          <w:ind w:left="185" w:right="0"/>
                          <w:jc w:val="left"/>
                          <w:rPr>
                            <w:rFonts w:ascii="宋体" w:hAnsi="宋体" w:cs="宋体" w:eastAsia="宋体" w:hint="default"/>
                            <w:sz w:val="14"/>
                            <w:szCs w:val="14"/>
                          </w:rPr>
                        </w:pPr>
                        <w:r>
                          <w:rPr>
                            <w:rFonts w:ascii="宋体" w:hAnsi="宋体" w:cs="宋体" w:eastAsia="宋体" w:hint="default"/>
                            <w:spacing w:val="-1"/>
                            <w:sz w:val="14"/>
                            <w:szCs w:val="14"/>
                          </w:rPr>
                          <w:t>88,673,167.33</w:t>
                          <w:tab/>
                          <w:t>自筹</w:t>
                        </w:r>
                        <w:r>
                          <w:rPr>
                            <w:rFonts w:ascii="宋体" w:hAnsi="宋体" w:cs="宋体" w:eastAsia="宋体" w:hint="default"/>
                            <w:sz w:val="14"/>
                            <w:szCs w:val="14"/>
                          </w:rPr>
                        </w:r>
                      </w:p>
                    </w:tc>
                  </w:tr>
                  <w:tr>
                    <w:trPr>
                      <w:trHeight w:val="308" w:hRule="exact"/>
                    </w:trPr>
                    <w:tc>
                      <w:tcPr>
                        <w:tcW w:w="9796" w:type="dxa"/>
                        <w:gridSpan w:val="10"/>
                        <w:tcBorders>
                          <w:top w:val="nil" w:sz="6" w:space="0" w:color="auto"/>
                          <w:left w:val="nil" w:sz="6" w:space="0" w:color="auto"/>
                          <w:bottom w:val="nil" w:sz="6" w:space="0" w:color="auto"/>
                          <w:right w:val="nil" w:sz="6" w:space="0" w:color="auto"/>
                        </w:tcBorders>
                      </w:tcPr>
                      <w:p>
                        <w:pPr>
                          <w:pStyle w:val="TableParagraph"/>
                          <w:tabs>
                            <w:tab w:pos="8551" w:val="left" w:leader="none"/>
                          </w:tabs>
                          <w:spacing w:line="240" w:lineRule="auto" w:before="44"/>
                          <w:ind w:left="122" w:right="0"/>
                          <w:jc w:val="left"/>
                          <w:rPr>
                            <w:rFonts w:ascii="宋体" w:hAnsi="宋体" w:cs="宋体" w:eastAsia="宋体" w:hint="default"/>
                            <w:sz w:val="14"/>
                            <w:szCs w:val="14"/>
                          </w:rPr>
                        </w:pPr>
                        <w:r>
                          <w:rPr>
                            <w:rFonts w:ascii="宋体" w:hAnsi="宋体" w:cs="宋体" w:eastAsia="宋体" w:hint="default"/>
                            <w:spacing w:val="4"/>
                            <w:sz w:val="14"/>
                            <w:szCs w:val="14"/>
                          </w:rPr>
                          <w:t>车载通信指挥系统改</w:t>
                          <w:tab/>
                        </w:r>
                        <w:r>
                          <w:rPr>
                            <w:rFonts w:ascii="宋体" w:hAnsi="宋体" w:cs="宋体" w:eastAsia="宋体" w:hint="default"/>
                            <w:sz w:val="14"/>
                            <w:szCs w:val="14"/>
                          </w:rPr>
                          <w:t>募集资</w:t>
                        </w:r>
                      </w:p>
                    </w:tc>
                  </w:tr>
                  <w:tr>
                    <w:trPr>
                      <w:trHeight w:val="164"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140" w:lineRule="exact"/>
                          <w:ind w:left="122" w:right="0"/>
                          <w:jc w:val="left"/>
                          <w:rPr>
                            <w:rFonts w:ascii="宋体" w:hAnsi="宋体" w:cs="宋体" w:eastAsia="宋体" w:hint="default"/>
                            <w:sz w:val="14"/>
                            <w:szCs w:val="14"/>
                          </w:rPr>
                        </w:pPr>
                        <w:r>
                          <w:rPr>
                            <w:rFonts w:ascii="宋体" w:hAnsi="宋体" w:cs="宋体" w:eastAsia="宋体" w:hint="default"/>
                            <w:w w:val="100"/>
                            <w:sz w:val="14"/>
                            <w:szCs w:val="14"/>
                          </w:rPr>
                          <w:t>目</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
                    </w:tc>
                    <w:tc>
                      <w:tcPr>
                        <w:tcW w:w="1204" w:type="dxa"/>
                        <w:gridSpan w:val="2"/>
                        <w:tcBorders>
                          <w:top w:val="nil" w:sz="6" w:space="0" w:color="auto"/>
                          <w:left w:val="nil" w:sz="6" w:space="0" w:color="auto"/>
                          <w:bottom w:val="nil" w:sz="6" w:space="0" w:color="auto"/>
                          <w:right w:val="nil" w:sz="6" w:space="0" w:color="auto"/>
                        </w:tcBorders>
                      </w:tcPr>
                      <w:p>
                        <w:pPr/>
                      </w:p>
                    </w:tc>
                    <w:tc>
                      <w:tcPr>
                        <w:tcW w:w="1204" w:type="dxa"/>
                        <w:gridSpan w:val="2"/>
                        <w:tcBorders>
                          <w:top w:val="nil" w:sz="6" w:space="0" w:color="auto"/>
                          <w:left w:val="nil" w:sz="6" w:space="0" w:color="auto"/>
                          <w:bottom w:val="nil" w:sz="6" w:space="0" w:color="auto"/>
                          <w:right w:val="nil" w:sz="6" w:space="0" w:color="auto"/>
                        </w:tcBorders>
                      </w:tcPr>
                      <w:p>
                        <w:pP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left="496" w:right="0"/>
                          <w:jc w:val="center"/>
                          <w:rPr>
                            <w:rFonts w:ascii="宋体" w:hAnsi="宋体" w:cs="宋体" w:eastAsia="宋体" w:hint="default"/>
                            <w:sz w:val="14"/>
                            <w:szCs w:val="14"/>
                          </w:rPr>
                        </w:pPr>
                        <w:r>
                          <w:rPr>
                            <w:rFonts w:ascii="宋体" w:hAnsi="宋体" w:cs="宋体" w:eastAsia="宋体" w:hint="default"/>
                            <w:w w:val="100"/>
                            <w:sz w:val="14"/>
                            <w:szCs w:val="14"/>
                          </w:rPr>
                          <w:t>金</w:t>
                        </w:r>
                      </w:p>
                    </w:tc>
                  </w:tr>
                  <w:tr>
                    <w:trPr>
                      <w:trHeight w:val="277"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z w:val="14"/>
                            <w:szCs w:val="14"/>
                          </w:rPr>
                          <w:t>南通半导体设备</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14"/>
                            <w:szCs w:val="14"/>
                          </w:rPr>
                        </w:pPr>
                        <w:r>
                          <w:rPr>
                            <w:rFonts w:ascii="宋体"/>
                            <w:spacing w:val="-1"/>
                            <w:sz w:val="14"/>
                          </w:rPr>
                          <w:t>55,481,590.54</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1" w:val="left" w:leader="none"/>
                          </w:tabs>
                          <w:spacing w:line="240" w:lineRule="auto"/>
                          <w:ind w:left="184" w:right="0"/>
                          <w:jc w:val="left"/>
                          <w:rPr>
                            <w:rFonts w:ascii="宋体" w:hAnsi="宋体" w:cs="宋体" w:eastAsia="宋体" w:hint="default"/>
                            <w:sz w:val="14"/>
                            <w:szCs w:val="14"/>
                          </w:rPr>
                        </w:pPr>
                        <w:r>
                          <w:rPr>
                            <w:rFonts w:ascii="宋体" w:hAnsi="宋体" w:cs="宋体" w:eastAsia="宋体" w:hint="default"/>
                            <w:spacing w:val="-1"/>
                            <w:sz w:val="14"/>
                            <w:szCs w:val="14"/>
                          </w:rPr>
                          <w:t>55,481,590.54</w:t>
                          <w:tab/>
                        </w:r>
                        <w:r>
                          <w:rPr>
                            <w:rFonts w:ascii="宋体" w:hAnsi="宋体" w:cs="宋体" w:eastAsia="宋体" w:hint="default"/>
                            <w:sz w:val="14"/>
                            <w:szCs w:val="14"/>
                          </w:rPr>
                          <w:t>自筹</w:t>
                        </w:r>
                      </w:p>
                    </w:tc>
                  </w:tr>
                  <w:tr>
                    <w:trPr>
                      <w:trHeight w:val="328"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顺义天竺项目</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160,506.00</w:t>
                        </w:r>
                        <w:r>
                          <w:rPr>
                            <w:rFonts w:ascii="宋体"/>
                            <w:sz w:val="14"/>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212,002,633.12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148,302,124.81</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12" w:right="0"/>
                          <w:jc w:val="left"/>
                          <w:rPr>
                            <w:rFonts w:ascii="宋体" w:hAnsi="宋体" w:cs="宋体" w:eastAsia="宋体" w:hint="default"/>
                            <w:sz w:val="14"/>
                            <w:szCs w:val="14"/>
                          </w:rPr>
                        </w:pPr>
                        <w:r>
                          <w:rPr>
                            <w:rFonts w:ascii="宋体"/>
                            <w:sz w:val="14"/>
                          </w:rPr>
                          <w:t>267,804,098.17</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85" w:right="0"/>
                          <w:jc w:val="left"/>
                          <w:rPr>
                            <w:rFonts w:ascii="宋体" w:hAnsi="宋体" w:cs="宋体" w:eastAsia="宋体" w:hint="default"/>
                            <w:sz w:val="14"/>
                            <w:szCs w:val="14"/>
                          </w:rPr>
                        </w:pPr>
                        <w:r>
                          <w:rPr>
                            <w:rFonts w:ascii="宋体"/>
                            <w:sz w:val="14"/>
                          </w:rPr>
                          <w:t>57,023,491.78</w:t>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134" w:lineRule="exact"/>
                          <w:ind w:left="499" w:right="0"/>
                          <w:jc w:val="center"/>
                          <w:rPr>
                            <w:rFonts w:ascii="宋体" w:hAnsi="宋体" w:cs="宋体" w:eastAsia="宋体" w:hint="default"/>
                            <w:sz w:val="14"/>
                            <w:szCs w:val="14"/>
                          </w:rPr>
                        </w:pPr>
                        <w:r>
                          <w:rPr>
                            <w:rFonts w:ascii="宋体" w:hAnsi="宋体" w:cs="宋体" w:eastAsia="宋体" w:hint="default"/>
                            <w:sz w:val="14"/>
                            <w:szCs w:val="14"/>
                          </w:rPr>
                          <w:t>自筹、</w:t>
                        </w:r>
                      </w:p>
                      <w:p>
                        <w:pPr>
                          <w:pStyle w:val="TableParagraph"/>
                          <w:spacing w:line="240" w:lineRule="auto" w:before="17"/>
                          <w:ind w:left="498" w:right="0"/>
                          <w:jc w:val="center"/>
                          <w:rPr>
                            <w:rFonts w:ascii="宋体" w:hAnsi="宋体" w:cs="宋体" w:eastAsia="宋体" w:hint="default"/>
                            <w:sz w:val="14"/>
                            <w:szCs w:val="14"/>
                          </w:rPr>
                        </w:pPr>
                        <w:r>
                          <w:rPr>
                            <w:rFonts w:ascii="宋体" w:hAnsi="宋体" w:cs="宋体" w:eastAsia="宋体" w:hint="default"/>
                            <w:sz w:val="14"/>
                            <w:szCs w:val="14"/>
                          </w:rPr>
                          <w:t>贷款</w:t>
                        </w:r>
                      </w:p>
                    </w:tc>
                  </w:tr>
                  <w:tr>
                    <w:trPr>
                      <w:trHeight w:val="328"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713</w:t>
                        </w:r>
                        <w:r>
                          <w:rPr>
                            <w:rFonts w:ascii="宋体" w:hAnsi="宋体" w:cs="宋体" w:eastAsia="宋体" w:hint="default"/>
                            <w:spacing w:val="-40"/>
                            <w:sz w:val="14"/>
                            <w:szCs w:val="14"/>
                          </w:rPr>
                          <w:t> </w:t>
                        </w:r>
                        <w:r>
                          <w:rPr>
                            <w:rFonts w:ascii="宋体" w:hAnsi="宋体" w:cs="宋体" w:eastAsia="宋体" w:hint="default"/>
                            <w:sz w:val="14"/>
                            <w:szCs w:val="14"/>
                          </w:rPr>
                          <w:t>厂研发大楼</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4,720.00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0"/>
                          <w:jc w:val="right"/>
                          <w:rPr>
                            <w:rFonts w:ascii="宋体" w:hAnsi="宋体" w:cs="宋体" w:eastAsia="宋体" w:hint="default"/>
                            <w:sz w:val="14"/>
                            <w:szCs w:val="14"/>
                          </w:rPr>
                        </w:pPr>
                        <w:r>
                          <w:rPr>
                            <w:rFonts w:ascii="宋体"/>
                            <w:spacing w:val="-1"/>
                            <w:sz w:val="14"/>
                          </w:rPr>
                          <w:t>13,921,512.00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11,035,597.85</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2" w:val="left" w:leader="none"/>
                            <w:tab w:pos="2001" w:val="left" w:leader="none"/>
                          </w:tabs>
                          <w:spacing w:line="240" w:lineRule="auto" w:before="50"/>
                          <w:ind w:left="183" w:right="0"/>
                          <w:jc w:val="left"/>
                          <w:rPr>
                            <w:rFonts w:ascii="宋体" w:hAnsi="宋体" w:cs="宋体" w:eastAsia="宋体" w:hint="default"/>
                            <w:sz w:val="14"/>
                            <w:szCs w:val="14"/>
                          </w:rPr>
                        </w:pPr>
                        <w:r>
                          <w:rPr>
                            <w:rFonts w:ascii="宋体" w:hAnsi="宋体" w:cs="宋体" w:eastAsia="宋体" w:hint="default"/>
                            <w:spacing w:val="-1"/>
                            <w:sz w:val="14"/>
                            <w:szCs w:val="14"/>
                          </w:rPr>
                          <w:t>24,957,109.85</w:t>
                          <w:tab/>
                          <w:t>自筹</w:t>
                          <w:tab/>
                          <w:t>52.87%</w:t>
                        </w:r>
                        <w:r>
                          <w:rPr>
                            <w:rFonts w:ascii="宋体" w:hAnsi="宋体" w:cs="宋体" w:eastAsia="宋体" w:hint="default"/>
                            <w:sz w:val="14"/>
                            <w:szCs w:val="14"/>
                          </w:rPr>
                        </w:r>
                      </w:p>
                    </w:tc>
                  </w:tr>
                  <w:tr>
                    <w:trPr>
                      <w:trHeight w:val="328"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泰豪家用静音电源项目</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4"/>
                            <w:szCs w:val="14"/>
                          </w:rPr>
                        </w:pPr>
                        <w:r>
                          <w:rPr>
                            <w:rFonts w:ascii="宋体"/>
                            <w:spacing w:val="-1"/>
                            <w:sz w:val="14"/>
                          </w:rPr>
                          <w:t>50,178.00</w:t>
                        </w:r>
                        <w:r>
                          <w:rPr>
                            <w:rFonts w:ascii="宋体"/>
                            <w:sz w:val="14"/>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4"/>
                            <w:szCs w:val="14"/>
                          </w:rPr>
                        </w:pPr>
                        <w:r>
                          <w:rPr>
                            <w:rFonts w:ascii="宋体"/>
                            <w:spacing w:val="-1"/>
                            <w:sz w:val="14"/>
                          </w:rPr>
                          <w:t>80,801,987.07</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4"/>
                            <w:szCs w:val="14"/>
                          </w:rPr>
                        </w:pPr>
                        <w:r>
                          <w:rPr>
                            <w:rFonts w:ascii="宋体"/>
                            <w:spacing w:val="-1"/>
                            <w:sz w:val="14"/>
                          </w:rPr>
                          <w:t>61,625,060.87</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14" w:right="0"/>
                          <w:jc w:val="left"/>
                          <w:rPr>
                            <w:rFonts w:ascii="宋体" w:hAnsi="宋体" w:cs="宋体" w:eastAsia="宋体" w:hint="default"/>
                            <w:sz w:val="14"/>
                            <w:szCs w:val="14"/>
                          </w:rPr>
                        </w:pPr>
                        <w:r>
                          <w:rPr>
                            <w:rFonts w:ascii="宋体"/>
                            <w:sz w:val="14"/>
                          </w:rPr>
                          <w:t>112,526,051.35</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255" w:right="0"/>
                          <w:jc w:val="left"/>
                          <w:rPr>
                            <w:rFonts w:ascii="宋体" w:hAnsi="宋体" w:cs="宋体" w:eastAsia="宋体" w:hint="default"/>
                            <w:sz w:val="14"/>
                            <w:szCs w:val="14"/>
                          </w:rPr>
                        </w:pPr>
                        <w:r>
                          <w:rPr>
                            <w:rFonts w:ascii="宋体"/>
                            <w:sz w:val="14"/>
                          </w:rPr>
                          <w:t>9,576,062.00</w:t>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135" w:lineRule="exact"/>
                          <w:ind w:left="499" w:right="0"/>
                          <w:jc w:val="center"/>
                          <w:rPr>
                            <w:rFonts w:ascii="宋体" w:hAnsi="宋体" w:cs="宋体" w:eastAsia="宋体" w:hint="default"/>
                            <w:sz w:val="14"/>
                            <w:szCs w:val="14"/>
                          </w:rPr>
                        </w:pPr>
                        <w:r>
                          <w:rPr>
                            <w:rFonts w:ascii="宋体" w:hAnsi="宋体" w:cs="宋体" w:eastAsia="宋体" w:hint="default"/>
                            <w:sz w:val="14"/>
                            <w:szCs w:val="14"/>
                          </w:rPr>
                          <w:t>募集资</w:t>
                        </w:r>
                      </w:p>
                      <w:p>
                        <w:pPr>
                          <w:pStyle w:val="TableParagraph"/>
                          <w:spacing w:line="240" w:lineRule="auto" w:before="16"/>
                          <w:ind w:left="496" w:right="0"/>
                          <w:jc w:val="center"/>
                          <w:rPr>
                            <w:rFonts w:ascii="宋体" w:hAnsi="宋体" w:cs="宋体" w:eastAsia="宋体" w:hint="default"/>
                            <w:sz w:val="14"/>
                            <w:szCs w:val="14"/>
                          </w:rPr>
                        </w:pPr>
                        <w:r>
                          <w:rPr>
                            <w:rFonts w:ascii="宋体" w:hAnsi="宋体" w:cs="宋体" w:eastAsia="宋体" w:hint="default"/>
                            <w:w w:val="100"/>
                            <w:sz w:val="14"/>
                            <w:szCs w:val="14"/>
                          </w:rPr>
                          <w:t>金</w:t>
                        </w:r>
                      </w:p>
                    </w:tc>
                  </w:tr>
                  <w:tr>
                    <w:trPr>
                      <w:trHeight w:val="291"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4"/>
                            <w:szCs w:val="14"/>
                          </w:rPr>
                        </w:pPr>
                        <w:r>
                          <w:rPr>
                            <w:rFonts w:ascii="宋体" w:hAnsi="宋体" w:cs="宋体" w:eastAsia="宋体" w:hint="default"/>
                            <w:sz w:val="14"/>
                            <w:szCs w:val="14"/>
                          </w:rPr>
                          <w:t>同方炭素一期项目工程</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1,308.00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15,444,398.47</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763,229.66</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463" w:right="0"/>
                          <w:jc w:val="left"/>
                          <w:rPr>
                            <w:rFonts w:ascii="宋体" w:hAnsi="宋体" w:cs="宋体" w:eastAsia="宋体" w:hint="default"/>
                            <w:sz w:val="14"/>
                            <w:szCs w:val="14"/>
                          </w:rPr>
                        </w:pPr>
                        <w:r>
                          <w:rPr>
                            <w:rFonts w:ascii="宋体"/>
                            <w:sz w:val="14"/>
                          </w:rPr>
                          <w:t>87,521.36</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1" w:val="left" w:leader="none"/>
                            <w:tab w:pos="1968" w:val="left" w:leader="none"/>
                          </w:tabs>
                          <w:spacing w:line="240" w:lineRule="auto" w:before="50"/>
                          <w:ind w:left="184" w:right="0"/>
                          <w:jc w:val="left"/>
                          <w:rPr>
                            <w:rFonts w:ascii="宋体" w:hAnsi="宋体" w:cs="宋体" w:eastAsia="宋体" w:hint="default"/>
                            <w:sz w:val="14"/>
                            <w:szCs w:val="14"/>
                          </w:rPr>
                        </w:pPr>
                        <w:r>
                          <w:rPr>
                            <w:rFonts w:ascii="宋体" w:hAnsi="宋体" w:cs="宋体" w:eastAsia="宋体" w:hint="default"/>
                            <w:spacing w:val="-1"/>
                            <w:sz w:val="14"/>
                            <w:szCs w:val="14"/>
                          </w:rPr>
                          <w:t>16,120,106.77</w:t>
                          <w:tab/>
                          <w:t>自筹</w:t>
                          <w:tab/>
                          <w:t>148.71%</w:t>
                        </w:r>
                        <w:r>
                          <w:rPr>
                            <w:rFonts w:ascii="宋体" w:hAnsi="宋体" w:cs="宋体" w:eastAsia="宋体" w:hint="default"/>
                            <w:sz w:val="14"/>
                            <w:szCs w:val="14"/>
                          </w:rPr>
                        </w:r>
                      </w:p>
                    </w:tc>
                  </w:tr>
                  <w:tr>
                    <w:trPr>
                      <w:trHeight w:val="255"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sz w:val="14"/>
                            <w:szCs w:val="14"/>
                          </w:rPr>
                          <w:t>山东鲁颖新生产楼</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1,200.00</w:t>
                        </w:r>
                        <w:r>
                          <w:rPr>
                            <w:rFonts w:ascii="宋体"/>
                            <w:sz w:val="14"/>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9,726,151.00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535" w:right="0"/>
                          <w:jc w:val="left"/>
                          <w:rPr>
                            <w:rFonts w:ascii="宋体" w:hAnsi="宋体" w:cs="宋体" w:eastAsia="宋体" w:hint="default"/>
                            <w:sz w:val="14"/>
                            <w:szCs w:val="14"/>
                          </w:rPr>
                        </w:pPr>
                        <w:r>
                          <w:rPr>
                            <w:rFonts w:ascii="宋体"/>
                            <w:sz w:val="14"/>
                          </w:rPr>
                          <w:t>8,553.00</w:t>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2" w:val="left" w:leader="none"/>
                            <w:tab w:pos="2002" w:val="left" w:leader="none"/>
                          </w:tabs>
                          <w:spacing w:line="240" w:lineRule="auto" w:before="14"/>
                          <w:ind w:left="253" w:right="0"/>
                          <w:jc w:val="left"/>
                          <w:rPr>
                            <w:rFonts w:ascii="宋体" w:hAnsi="宋体" w:cs="宋体" w:eastAsia="宋体" w:hint="default"/>
                            <w:sz w:val="14"/>
                            <w:szCs w:val="14"/>
                          </w:rPr>
                        </w:pPr>
                        <w:r>
                          <w:rPr>
                            <w:rFonts w:ascii="宋体" w:hAnsi="宋体" w:cs="宋体" w:eastAsia="宋体" w:hint="default"/>
                            <w:spacing w:val="-1"/>
                            <w:sz w:val="14"/>
                            <w:szCs w:val="14"/>
                          </w:rPr>
                          <w:t>9,717,598.00</w:t>
                          <w:tab/>
                          <w:t>贷款</w:t>
                          <w:tab/>
                          <w:t>81.05%</w:t>
                        </w:r>
                        <w:r>
                          <w:rPr>
                            <w:rFonts w:ascii="宋体" w:hAnsi="宋体" w:cs="宋体" w:eastAsia="宋体" w:hint="default"/>
                            <w:sz w:val="14"/>
                            <w:szCs w:val="14"/>
                          </w:rPr>
                        </w:r>
                      </w:p>
                    </w:tc>
                  </w:tr>
                  <w:tr>
                    <w:trPr>
                      <w:trHeight w:val="291"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sz w:val="14"/>
                            <w:szCs w:val="14"/>
                          </w:rPr>
                          <w:t>713</w:t>
                        </w:r>
                        <w:r>
                          <w:rPr>
                            <w:rFonts w:ascii="宋体" w:hAnsi="宋体" w:cs="宋体" w:eastAsia="宋体" w:hint="default"/>
                            <w:spacing w:val="-40"/>
                            <w:sz w:val="14"/>
                            <w:szCs w:val="14"/>
                          </w:rPr>
                          <w:t> </w:t>
                        </w:r>
                        <w:r>
                          <w:rPr>
                            <w:rFonts w:ascii="宋体" w:hAnsi="宋体" w:cs="宋体" w:eastAsia="宋体" w:hint="default"/>
                            <w:sz w:val="14"/>
                            <w:szCs w:val="14"/>
                          </w:rPr>
                          <w:t>厂技改厂房</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4"/>
                            <w:szCs w:val="14"/>
                          </w:rPr>
                        </w:pPr>
                        <w:r>
                          <w:rPr>
                            <w:rFonts w:ascii="宋体"/>
                            <w:spacing w:val="-1"/>
                            <w:sz w:val="14"/>
                          </w:rPr>
                          <w:t>1,300.00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4"/>
                            <w:szCs w:val="14"/>
                          </w:rPr>
                        </w:pPr>
                        <w:r>
                          <w:rPr>
                            <w:rFonts w:ascii="宋体"/>
                            <w:spacing w:val="-1"/>
                            <w:sz w:val="14"/>
                          </w:rPr>
                          <w:t>8,744,236.84</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4"/>
                            <w:szCs w:val="14"/>
                          </w:rPr>
                        </w:pPr>
                        <w:r>
                          <w:rPr>
                            <w:rFonts w:ascii="宋体"/>
                            <w:spacing w:val="-1"/>
                            <w:sz w:val="14"/>
                          </w:rPr>
                          <w:t>476,526.04</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0" w:val="left" w:leader="none"/>
                            <w:tab w:pos="1968" w:val="left" w:leader="none"/>
                          </w:tabs>
                          <w:spacing w:line="240" w:lineRule="auto" w:before="14"/>
                          <w:ind w:left="253" w:right="0"/>
                          <w:jc w:val="left"/>
                          <w:rPr>
                            <w:rFonts w:ascii="宋体" w:hAnsi="宋体" w:cs="宋体" w:eastAsia="宋体" w:hint="default"/>
                            <w:sz w:val="14"/>
                            <w:szCs w:val="14"/>
                          </w:rPr>
                        </w:pPr>
                        <w:r>
                          <w:rPr>
                            <w:rFonts w:ascii="宋体" w:hAnsi="宋体" w:cs="宋体" w:eastAsia="宋体" w:hint="default"/>
                            <w:spacing w:val="-1"/>
                            <w:sz w:val="14"/>
                            <w:szCs w:val="14"/>
                          </w:rPr>
                          <w:t>9,220,762.88</w:t>
                          <w:tab/>
                        </w:r>
                        <w:r>
                          <w:rPr>
                            <w:rFonts w:ascii="宋体" w:hAnsi="宋体" w:cs="宋体" w:eastAsia="宋体" w:hint="default"/>
                            <w:sz w:val="14"/>
                            <w:szCs w:val="14"/>
                          </w:rPr>
                          <w:t>自筹</w:t>
                          <w:tab/>
                        </w:r>
                        <w:r>
                          <w:rPr>
                            <w:rFonts w:ascii="宋体" w:hAnsi="宋体" w:cs="宋体" w:eastAsia="宋体" w:hint="default"/>
                            <w:spacing w:val="-1"/>
                            <w:sz w:val="14"/>
                            <w:szCs w:val="14"/>
                          </w:rPr>
                          <w:t>108.95%</w:t>
                        </w:r>
                        <w:r>
                          <w:rPr>
                            <w:rFonts w:ascii="宋体" w:hAnsi="宋体" w:cs="宋体" w:eastAsia="宋体" w:hint="default"/>
                            <w:sz w:val="14"/>
                            <w:szCs w:val="14"/>
                          </w:rPr>
                        </w:r>
                      </w:p>
                    </w:tc>
                  </w:tr>
                  <w:tr>
                    <w:trPr>
                      <w:trHeight w:val="328"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同方鞍山科技园一期</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1,273.34</w:t>
                        </w:r>
                        <w:r>
                          <w:rPr>
                            <w:rFonts w:ascii="宋体"/>
                            <w:sz w:val="14"/>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4,954,796.19</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291,632.00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95" w:right="0"/>
                          <w:jc w:val="left"/>
                          <w:rPr>
                            <w:rFonts w:ascii="宋体" w:hAnsi="宋体" w:cs="宋体" w:eastAsia="宋体" w:hint="default"/>
                            <w:sz w:val="14"/>
                            <w:szCs w:val="14"/>
                          </w:rPr>
                        </w:pPr>
                        <w:r>
                          <w:rPr>
                            <w:rFonts w:ascii="宋体"/>
                            <w:sz w:val="14"/>
                          </w:rPr>
                          <w:t>291,632.00</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135" w:lineRule="exact"/>
                          <w:ind w:left="499" w:right="0"/>
                          <w:jc w:val="center"/>
                          <w:rPr>
                            <w:rFonts w:ascii="宋体" w:hAnsi="宋体" w:cs="宋体" w:eastAsia="宋体" w:hint="default"/>
                            <w:sz w:val="14"/>
                            <w:szCs w:val="14"/>
                          </w:rPr>
                        </w:pPr>
                        <w:r>
                          <w:rPr>
                            <w:rFonts w:ascii="宋体" w:hAnsi="宋体" w:cs="宋体" w:eastAsia="宋体" w:hint="default"/>
                            <w:sz w:val="14"/>
                            <w:szCs w:val="14"/>
                          </w:rPr>
                          <w:t>自筹、</w:t>
                        </w:r>
                      </w:p>
                      <w:p>
                        <w:pPr>
                          <w:pStyle w:val="TableParagraph"/>
                          <w:spacing w:line="240" w:lineRule="auto" w:before="16"/>
                          <w:ind w:left="498" w:right="0"/>
                          <w:jc w:val="center"/>
                          <w:rPr>
                            <w:rFonts w:ascii="宋体" w:hAnsi="宋体" w:cs="宋体" w:eastAsia="宋体" w:hint="default"/>
                            <w:sz w:val="14"/>
                            <w:szCs w:val="14"/>
                          </w:rPr>
                        </w:pPr>
                        <w:r>
                          <w:rPr>
                            <w:rFonts w:ascii="宋体" w:hAnsi="宋体" w:cs="宋体" w:eastAsia="宋体" w:hint="default"/>
                            <w:sz w:val="14"/>
                            <w:szCs w:val="14"/>
                          </w:rPr>
                          <w:t>贷款</w:t>
                        </w:r>
                      </w:p>
                    </w:tc>
                  </w:tr>
                  <w:tr>
                    <w:trPr>
                      <w:trHeight w:val="292"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4"/>
                            <w:szCs w:val="14"/>
                          </w:rPr>
                        </w:pPr>
                        <w:r>
                          <w:rPr>
                            <w:rFonts w:ascii="宋体" w:hAnsi="宋体" w:cs="宋体" w:eastAsia="宋体" w:hint="default"/>
                            <w:sz w:val="14"/>
                            <w:szCs w:val="14"/>
                          </w:rPr>
                          <w:t>福建炭素厂房工程</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4"/>
                            <w:szCs w:val="14"/>
                          </w:rPr>
                        </w:pPr>
                        <w:r>
                          <w:rPr>
                            <w:rFonts w:ascii="宋体"/>
                            <w:spacing w:val="-1"/>
                            <w:sz w:val="14"/>
                          </w:rPr>
                          <w:t>4,209,838.49</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4"/>
                            <w:szCs w:val="14"/>
                          </w:rPr>
                        </w:pPr>
                        <w:r>
                          <w:rPr>
                            <w:rFonts w:ascii="宋体"/>
                            <w:spacing w:val="-1"/>
                            <w:sz w:val="14"/>
                          </w:rPr>
                          <w:t>406,645.23</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254" w:right="0"/>
                          <w:jc w:val="left"/>
                          <w:rPr>
                            <w:rFonts w:ascii="宋体" w:hAnsi="宋体" w:cs="宋体" w:eastAsia="宋体" w:hint="default"/>
                            <w:sz w:val="14"/>
                            <w:szCs w:val="14"/>
                          </w:rPr>
                        </w:pPr>
                        <w:r>
                          <w:rPr>
                            <w:rFonts w:ascii="宋体"/>
                            <w:sz w:val="14"/>
                          </w:rPr>
                          <w:t>4,616,483.72</w:t>
                        </w:r>
                      </w:p>
                    </w:tc>
                  </w:tr>
                  <w:tr>
                    <w:trPr>
                      <w:trHeight w:val="255"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sz w:val="14"/>
                            <w:szCs w:val="14"/>
                          </w:rPr>
                          <w:t>桂林炭素厂房工程</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2,366,726.11</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1,467,434.65</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4"/>
                            <w:szCs w:val="14"/>
                          </w:rPr>
                        </w:pPr>
                        <w:r>
                          <w:rPr>
                            <w:rFonts w:ascii="宋体"/>
                            <w:sz w:val="14"/>
                          </w:rPr>
                          <w:t>528,418.96</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54" w:right="0"/>
                          <w:jc w:val="left"/>
                          <w:rPr>
                            <w:rFonts w:ascii="宋体" w:hAnsi="宋体" w:cs="宋体" w:eastAsia="宋体" w:hint="default"/>
                            <w:sz w:val="14"/>
                            <w:szCs w:val="14"/>
                          </w:rPr>
                        </w:pPr>
                        <w:r>
                          <w:rPr>
                            <w:rFonts w:ascii="宋体"/>
                            <w:sz w:val="14"/>
                          </w:rPr>
                          <w:t>3,305,741.80</w:t>
                        </w:r>
                      </w:p>
                    </w:tc>
                  </w:tr>
                  <w:tr>
                    <w:trPr>
                      <w:trHeight w:val="255"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sz w:val="14"/>
                            <w:szCs w:val="14"/>
                          </w:rPr>
                          <w:t>晶源电子器件设备</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13,935,032.14</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84" w:right="0"/>
                          <w:jc w:val="left"/>
                          <w:rPr>
                            <w:rFonts w:ascii="宋体" w:hAnsi="宋体" w:cs="宋体" w:eastAsia="宋体" w:hint="default"/>
                            <w:sz w:val="14"/>
                            <w:szCs w:val="14"/>
                          </w:rPr>
                        </w:pPr>
                        <w:r>
                          <w:rPr>
                            <w:rFonts w:ascii="宋体"/>
                            <w:sz w:val="14"/>
                          </w:rPr>
                          <w:t>11,471,891.50</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54" w:right="0"/>
                          <w:jc w:val="left"/>
                          <w:rPr>
                            <w:rFonts w:ascii="宋体" w:hAnsi="宋体" w:cs="宋体" w:eastAsia="宋体" w:hint="default"/>
                            <w:sz w:val="14"/>
                            <w:szCs w:val="14"/>
                          </w:rPr>
                        </w:pPr>
                        <w:r>
                          <w:rPr>
                            <w:rFonts w:ascii="宋体"/>
                            <w:sz w:val="14"/>
                          </w:rPr>
                          <w:t>2,463,140.64</w:t>
                        </w:r>
                      </w:p>
                    </w:tc>
                  </w:tr>
                  <w:tr>
                    <w:trPr>
                      <w:trHeight w:val="291"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sz w:val="14"/>
                            <w:szCs w:val="14"/>
                          </w:rPr>
                          <w:t>南京工业园</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1,350,295.00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54" w:right="0"/>
                          <w:jc w:val="left"/>
                          <w:rPr>
                            <w:rFonts w:ascii="宋体" w:hAnsi="宋体" w:cs="宋体" w:eastAsia="宋体" w:hint="default"/>
                            <w:sz w:val="14"/>
                            <w:szCs w:val="14"/>
                          </w:rPr>
                        </w:pPr>
                        <w:r>
                          <w:rPr>
                            <w:rFonts w:ascii="宋体"/>
                            <w:sz w:val="14"/>
                          </w:rPr>
                          <w:t>1,350,295.00</w:t>
                        </w:r>
                      </w:p>
                    </w:tc>
                  </w:tr>
                  <w:tr>
                    <w:trPr>
                      <w:trHeight w:val="328"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同方沈阳科技园区建设</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30,000.00</w:t>
                        </w:r>
                        <w:r>
                          <w:rPr>
                            <w:rFonts w:ascii="宋体"/>
                            <w:sz w:val="14"/>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1,213,687.30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13,461,157.92</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85" w:right="0"/>
                          <w:jc w:val="left"/>
                          <w:rPr>
                            <w:rFonts w:ascii="宋体" w:hAnsi="宋体" w:cs="宋体" w:eastAsia="宋体" w:hint="default"/>
                            <w:sz w:val="14"/>
                            <w:szCs w:val="14"/>
                          </w:rPr>
                        </w:pPr>
                        <w:r>
                          <w:rPr>
                            <w:rFonts w:ascii="宋体"/>
                            <w:sz w:val="14"/>
                          </w:rPr>
                          <w:t>13,461,157.92</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134" w:lineRule="exact"/>
                          <w:ind w:left="498" w:right="0"/>
                          <w:jc w:val="center"/>
                          <w:rPr>
                            <w:rFonts w:ascii="宋体" w:hAnsi="宋体" w:cs="宋体" w:eastAsia="宋体" w:hint="default"/>
                            <w:sz w:val="14"/>
                            <w:szCs w:val="14"/>
                          </w:rPr>
                        </w:pPr>
                        <w:r>
                          <w:rPr>
                            <w:rFonts w:ascii="宋体" w:hAnsi="宋体" w:cs="宋体" w:eastAsia="宋体" w:hint="default"/>
                            <w:sz w:val="14"/>
                            <w:szCs w:val="14"/>
                          </w:rPr>
                          <w:t>自筹、</w:t>
                        </w:r>
                      </w:p>
                      <w:p>
                        <w:pPr>
                          <w:pStyle w:val="TableParagraph"/>
                          <w:spacing w:line="240" w:lineRule="auto" w:before="17"/>
                          <w:ind w:left="497" w:right="0"/>
                          <w:jc w:val="center"/>
                          <w:rPr>
                            <w:rFonts w:ascii="宋体" w:hAnsi="宋体" w:cs="宋体" w:eastAsia="宋体" w:hint="default"/>
                            <w:sz w:val="14"/>
                            <w:szCs w:val="14"/>
                          </w:rPr>
                        </w:pPr>
                        <w:r>
                          <w:rPr>
                            <w:rFonts w:ascii="宋体" w:hAnsi="宋体" w:cs="宋体" w:eastAsia="宋体" w:hint="default"/>
                            <w:sz w:val="14"/>
                            <w:szCs w:val="14"/>
                          </w:rPr>
                          <w:t>贷款</w:t>
                        </w:r>
                      </w:p>
                    </w:tc>
                  </w:tr>
                  <w:tr>
                    <w:trPr>
                      <w:trHeight w:val="292"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北斗卫星导航系统项目</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1,206,951.90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54" w:right="0"/>
                          <w:jc w:val="left"/>
                          <w:rPr>
                            <w:rFonts w:ascii="宋体" w:hAnsi="宋体" w:cs="宋体" w:eastAsia="宋体" w:hint="default"/>
                            <w:sz w:val="14"/>
                            <w:szCs w:val="14"/>
                          </w:rPr>
                        </w:pPr>
                        <w:r>
                          <w:rPr>
                            <w:rFonts w:ascii="宋体"/>
                            <w:sz w:val="14"/>
                          </w:rPr>
                          <w:t>1,206,951.90</w:t>
                        </w:r>
                      </w:p>
                    </w:tc>
                  </w:tr>
                  <w:tr>
                    <w:trPr>
                      <w:trHeight w:val="291"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sz w:val="14"/>
                            <w:szCs w:val="14"/>
                          </w:rPr>
                          <w:t>天秀花园</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spacing w:val="-1"/>
                            <w:sz w:val="14"/>
                          </w:rPr>
                          <w:t>14,516,538.44</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85" w:right="0"/>
                          <w:jc w:val="left"/>
                          <w:rPr>
                            <w:rFonts w:ascii="宋体" w:hAnsi="宋体" w:cs="宋体" w:eastAsia="宋体" w:hint="default"/>
                            <w:sz w:val="14"/>
                            <w:szCs w:val="14"/>
                          </w:rPr>
                        </w:pPr>
                        <w:r>
                          <w:rPr>
                            <w:rFonts w:ascii="宋体"/>
                            <w:sz w:val="14"/>
                          </w:rPr>
                          <w:t>14,516,538.44</w:t>
                        </w:r>
                      </w:p>
                    </w:tc>
                    <w:tc>
                      <w:tcPr>
                        <w:tcW w:w="2567" w:type="dxa"/>
                        <w:gridSpan w:val="2"/>
                        <w:tcBorders>
                          <w:top w:val="nil" w:sz="6" w:space="0" w:color="auto"/>
                          <w:left w:val="nil" w:sz="6" w:space="0" w:color="auto"/>
                          <w:bottom w:val="nil" w:sz="6" w:space="0" w:color="auto"/>
                          <w:right w:val="nil" w:sz="6" w:space="0" w:color="auto"/>
                        </w:tcBorders>
                      </w:tcPr>
                      <w:p>
                        <w:pPr>
                          <w:pStyle w:val="TableParagraph"/>
                          <w:tabs>
                            <w:tab w:pos="1391" w:val="left" w:leader="none"/>
                          </w:tabs>
                          <w:spacing w:line="240" w:lineRule="auto" w:before="14"/>
                          <w:ind w:left="815" w:right="0"/>
                          <w:jc w:val="left"/>
                          <w:rPr>
                            <w:rFonts w:ascii="宋体" w:hAnsi="宋体" w:cs="宋体" w:eastAsia="宋体" w:hint="default"/>
                            <w:sz w:val="14"/>
                            <w:szCs w:val="14"/>
                          </w:rPr>
                        </w:pPr>
                        <w:r>
                          <w:rPr>
                            <w:rFonts w:ascii="宋体" w:hAnsi="宋体" w:cs="宋体" w:eastAsia="宋体" w:hint="default"/>
                            <w:spacing w:val="-1"/>
                            <w:sz w:val="14"/>
                            <w:szCs w:val="14"/>
                          </w:rPr>
                          <w:t>0.00</w:t>
                          <w:tab/>
                          <w:t>自筹</w:t>
                        </w:r>
                        <w:r>
                          <w:rPr>
                            <w:rFonts w:ascii="宋体" w:hAnsi="宋体" w:cs="宋体" w:eastAsia="宋体" w:hint="default"/>
                            <w:sz w:val="14"/>
                            <w:szCs w:val="14"/>
                          </w:rPr>
                        </w:r>
                      </w:p>
                    </w:tc>
                  </w:tr>
                  <w:tr>
                    <w:trPr>
                      <w:trHeight w:val="327"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特种电机制造技改项目</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2,388.97</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4,197,673.15</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54" w:right="0"/>
                          <w:jc w:val="left"/>
                          <w:rPr>
                            <w:rFonts w:ascii="宋体" w:hAnsi="宋体" w:cs="宋体" w:eastAsia="宋体" w:hint="default"/>
                            <w:sz w:val="14"/>
                            <w:szCs w:val="14"/>
                          </w:rPr>
                        </w:pPr>
                        <w:r>
                          <w:rPr>
                            <w:rFonts w:ascii="宋体"/>
                            <w:sz w:val="14"/>
                          </w:rPr>
                          <w:t>4,197,673.15</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134" w:lineRule="exact"/>
                          <w:ind w:left="499" w:right="0"/>
                          <w:jc w:val="center"/>
                          <w:rPr>
                            <w:rFonts w:ascii="宋体" w:hAnsi="宋体" w:cs="宋体" w:eastAsia="宋体" w:hint="default"/>
                            <w:sz w:val="14"/>
                            <w:szCs w:val="14"/>
                          </w:rPr>
                        </w:pPr>
                        <w:r>
                          <w:rPr>
                            <w:rFonts w:ascii="宋体" w:hAnsi="宋体" w:cs="宋体" w:eastAsia="宋体" w:hint="default"/>
                            <w:sz w:val="14"/>
                            <w:szCs w:val="14"/>
                          </w:rPr>
                          <w:t>自筹、</w:t>
                        </w:r>
                      </w:p>
                      <w:p>
                        <w:pPr>
                          <w:pStyle w:val="TableParagraph"/>
                          <w:spacing w:line="240" w:lineRule="auto" w:before="17"/>
                          <w:ind w:left="497" w:right="0"/>
                          <w:jc w:val="center"/>
                          <w:rPr>
                            <w:rFonts w:ascii="宋体" w:hAnsi="宋体" w:cs="宋体" w:eastAsia="宋体" w:hint="default"/>
                            <w:sz w:val="14"/>
                            <w:szCs w:val="14"/>
                          </w:rPr>
                        </w:pPr>
                        <w:r>
                          <w:rPr>
                            <w:rFonts w:ascii="宋体" w:hAnsi="宋体" w:cs="宋体" w:eastAsia="宋体" w:hint="default"/>
                            <w:sz w:val="14"/>
                            <w:szCs w:val="14"/>
                          </w:rPr>
                          <w:t>贷款</w:t>
                        </w:r>
                      </w:p>
                    </w:tc>
                  </w:tr>
                  <w:tr>
                    <w:trPr>
                      <w:trHeight w:val="292"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4"/>
                            <w:szCs w:val="14"/>
                          </w:rPr>
                        </w:pPr>
                        <w:r>
                          <w:rPr>
                            <w:rFonts w:ascii="宋体" w:hAnsi="宋体" w:cs="宋体" w:eastAsia="宋体" w:hint="default"/>
                            <w:sz w:val="14"/>
                            <w:szCs w:val="14"/>
                          </w:rPr>
                          <w:t>零星工程</w:t>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4"/>
                            <w:szCs w:val="14"/>
                          </w:rPr>
                        </w:pPr>
                        <w:r>
                          <w:rPr>
                            <w:rFonts w:ascii="宋体"/>
                            <w:spacing w:val="-1"/>
                            <w:sz w:val="14"/>
                          </w:rPr>
                          <w:t>13,864,807.17</w:t>
                        </w:r>
                        <w:r>
                          <w:rPr>
                            <w:rFonts w:ascii="宋体"/>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4"/>
                            <w:szCs w:val="14"/>
                          </w:rPr>
                        </w:pPr>
                        <w:r>
                          <w:rPr>
                            <w:rFonts w:ascii="宋体"/>
                            <w:spacing w:val="-1"/>
                            <w:sz w:val="14"/>
                          </w:rPr>
                          <w:t>15,923,835.02</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84" w:right="0"/>
                          <w:jc w:val="left"/>
                          <w:rPr>
                            <w:rFonts w:ascii="宋体" w:hAnsi="宋体" w:cs="宋体" w:eastAsia="宋体" w:hint="default"/>
                            <w:sz w:val="14"/>
                            <w:szCs w:val="14"/>
                          </w:rPr>
                        </w:pPr>
                        <w:r>
                          <w:rPr>
                            <w:rFonts w:ascii="宋体"/>
                            <w:sz w:val="14"/>
                          </w:rPr>
                          <w:t>23,660,912.61</w:t>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55" w:right="0"/>
                          <w:jc w:val="left"/>
                          <w:rPr>
                            <w:rFonts w:ascii="宋体" w:hAnsi="宋体" w:cs="宋体" w:eastAsia="宋体" w:hint="default"/>
                            <w:sz w:val="14"/>
                            <w:szCs w:val="14"/>
                          </w:rPr>
                        </w:pPr>
                        <w:r>
                          <w:rPr>
                            <w:rFonts w:ascii="宋体"/>
                            <w:sz w:val="14"/>
                          </w:rPr>
                          <w:t>2,459,667.31</w:t>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55" w:right="0"/>
                          <w:jc w:val="left"/>
                          <w:rPr>
                            <w:rFonts w:ascii="宋体" w:hAnsi="宋体" w:cs="宋体" w:eastAsia="宋体" w:hint="default"/>
                            <w:sz w:val="14"/>
                            <w:szCs w:val="14"/>
                          </w:rPr>
                        </w:pPr>
                        <w:r>
                          <w:rPr>
                            <w:rFonts w:ascii="宋体"/>
                            <w:sz w:val="14"/>
                          </w:rPr>
                          <w:t>3,668,062.27</w:t>
                        </w:r>
                      </w:p>
                    </w:tc>
                  </w:tr>
                  <w:tr>
                    <w:trPr>
                      <w:trHeight w:val="255"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b/>
                            <w:bCs/>
                            <w:sz w:val="14"/>
                            <w:szCs w:val="14"/>
                          </w:rPr>
                          <w:t>合计</w:t>
                        </w:r>
                        <w:r>
                          <w:rPr>
                            <w:rFonts w:ascii="宋体" w:hAnsi="宋体" w:cs="宋体" w:eastAsia="宋体" w:hint="default"/>
                            <w:sz w:val="14"/>
                            <w:szCs w:val="14"/>
                          </w:rPr>
                        </w:r>
                      </w:p>
                    </w:tc>
                    <w:tc>
                      <w:tcPr>
                        <w:tcW w:w="85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4"/>
                            <w:szCs w:val="14"/>
                          </w:rPr>
                        </w:pPr>
                        <w:r>
                          <w:rPr>
                            <w:rFonts w:ascii="宋体"/>
                            <w:b/>
                            <w:spacing w:val="-1"/>
                            <w:sz w:val="14"/>
                          </w:rPr>
                          <w:t>728,555,245.91</w:t>
                        </w:r>
                        <w:r>
                          <w:rPr>
                            <w:rFonts w:ascii="宋体"/>
                            <w:spacing w:val="-1"/>
                            <w:sz w:val="1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4"/>
                            <w:szCs w:val="14"/>
                          </w:rPr>
                        </w:pPr>
                        <w:r>
                          <w:rPr>
                            <w:rFonts w:ascii="宋体"/>
                            <w:b/>
                            <w:spacing w:val="-1"/>
                            <w:sz w:val="14"/>
                          </w:rPr>
                          <w:t>766,355,032.46</w:t>
                        </w:r>
                        <w:r>
                          <w:rPr>
                            <w:rFonts w:ascii="宋体"/>
                            <w:spacing w:val="-1"/>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4"/>
                            <w:szCs w:val="14"/>
                          </w:rPr>
                        </w:pPr>
                        <w:r>
                          <w:rPr>
                            <w:rFonts w:ascii="宋体"/>
                            <w:b/>
                            <w:sz w:val="14"/>
                          </w:rPr>
                          <w:t>434,029,357.02</w:t>
                        </w:r>
                        <w:r>
                          <w:rPr>
                            <w:rFonts w:ascii="宋体"/>
                            <w:sz w:val="14"/>
                          </w:rPr>
                        </w:r>
                      </w:p>
                    </w:tc>
                    <w:tc>
                      <w:tcPr>
                        <w:tcW w:w="12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4"/>
                            <w:szCs w:val="14"/>
                          </w:rPr>
                        </w:pPr>
                        <w:r>
                          <w:rPr>
                            <w:rFonts w:ascii="宋体"/>
                            <w:b/>
                            <w:sz w:val="14"/>
                          </w:rPr>
                          <w:t>105,043,888.41</w:t>
                        </w:r>
                        <w:r>
                          <w:rPr>
                            <w:rFonts w:ascii="宋体"/>
                            <w:sz w:val="14"/>
                          </w:rPr>
                        </w:r>
                      </w:p>
                    </w:tc>
                    <w:tc>
                      <w:tcPr>
                        <w:tcW w:w="2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4"/>
                            <w:szCs w:val="14"/>
                          </w:rPr>
                        </w:pPr>
                        <w:r>
                          <w:rPr>
                            <w:rFonts w:ascii="宋体"/>
                            <w:b/>
                            <w:sz w:val="14"/>
                          </w:rPr>
                          <w:t>955,837,032.94</w:t>
                        </w:r>
                        <w:r>
                          <w:rPr>
                            <w:rFonts w:ascii="宋体"/>
                            <w:sz w:val="14"/>
                          </w:rPr>
                        </w:r>
                      </w:p>
                    </w:tc>
                  </w:tr>
                  <w:tr>
                    <w:trPr>
                      <w:trHeight w:val="261" w:hRule="exact"/>
                    </w:trPr>
                    <w:tc>
                      <w:tcPr>
                        <w:tcW w:w="1562"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left="122" w:right="0"/>
                          <w:jc w:val="left"/>
                          <w:rPr>
                            <w:rFonts w:ascii="宋体" w:hAnsi="宋体" w:cs="宋体" w:eastAsia="宋体" w:hint="default"/>
                            <w:sz w:val="14"/>
                            <w:szCs w:val="14"/>
                          </w:rPr>
                        </w:pPr>
                        <w:r>
                          <w:rPr>
                            <w:rFonts w:ascii="宋体" w:hAnsi="宋体" w:cs="宋体" w:eastAsia="宋体" w:hint="default"/>
                            <w:sz w:val="14"/>
                            <w:szCs w:val="14"/>
                          </w:rPr>
                          <w:t>其中利息资本化金额</w:t>
                        </w:r>
                      </w:p>
                    </w:tc>
                    <w:tc>
                      <w:tcPr>
                        <w:tcW w:w="850" w:type="dxa"/>
                        <w:tcBorders>
                          <w:top w:val="nil" w:sz="6" w:space="0" w:color="auto"/>
                          <w:left w:val="nil" w:sz="6" w:space="0" w:color="auto"/>
                          <w:bottom w:val="single" w:sz="12" w:space="0" w:color="000000"/>
                          <w:right w:val="nil" w:sz="6" w:space="0" w:color="auto"/>
                        </w:tcBorders>
                      </w:tcPr>
                      <w:p>
                        <w:pP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b/>
                            <w:spacing w:val="-1"/>
                            <w:sz w:val="14"/>
                          </w:rPr>
                          <w:t>27,984,565.20</w:t>
                        </w:r>
                        <w:r>
                          <w:rPr>
                            <w:rFonts w:ascii="宋体"/>
                            <w:spacing w:val="-1"/>
                            <w:sz w:val="14"/>
                          </w:rPr>
                        </w:r>
                      </w:p>
                    </w:tc>
                    <w:tc>
                      <w:tcPr>
                        <w:tcW w:w="1203"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4"/>
                            <w:szCs w:val="14"/>
                          </w:rPr>
                        </w:pPr>
                        <w:r>
                          <w:rPr>
                            <w:rFonts w:ascii="宋体"/>
                            <w:b/>
                            <w:spacing w:val="-1"/>
                            <w:sz w:val="14"/>
                          </w:rPr>
                          <w:t>6,008,394.88</w:t>
                        </w:r>
                        <w:r>
                          <w:rPr>
                            <w:rFonts w:ascii="宋体"/>
                            <w:spacing w:val="-1"/>
                            <w:sz w:val="14"/>
                          </w:rPr>
                        </w:r>
                      </w:p>
                    </w:tc>
                    <w:tc>
                      <w:tcPr>
                        <w:tcW w:w="120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4"/>
                          <w:ind w:left="247" w:right="0"/>
                          <w:jc w:val="left"/>
                          <w:rPr>
                            <w:rFonts w:ascii="宋体" w:hAnsi="宋体" w:cs="宋体" w:eastAsia="宋体" w:hint="default"/>
                            <w:sz w:val="14"/>
                            <w:szCs w:val="14"/>
                          </w:rPr>
                        </w:pPr>
                        <w:r>
                          <w:rPr>
                            <w:rFonts w:ascii="宋体"/>
                            <w:b/>
                            <w:sz w:val="14"/>
                          </w:rPr>
                          <w:t>8,236,126.83</w:t>
                        </w:r>
                        <w:r>
                          <w:rPr>
                            <w:rFonts w:ascii="宋体"/>
                            <w:sz w:val="14"/>
                          </w:rPr>
                        </w:r>
                      </w:p>
                    </w:tc>
                    <w:tc>
                      <w:tcPr>
                        <w:tcW w:w="120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4"/>
                          <w:ind w:right="106"/>
                          <w:jc w:val="right"/>
                          <w:rPr>
                            <w:rFonts w:ascii="宋体" w:hAnsi="宋体" w:cs="宋体" w:eastAsia="宋体" w:hint="default"/>
                            <w:sz w:val="14"/>
                            <w:szCs w:val="14"/>
                          </w:rPr>
                        </w:pPr>
                        <w:r>
                          <w:rPr>
                            <w:rFonts w:ascii="宋体"/>
                            <w:b/>
                            <w:w w:val="95"/>
                            <w:sz w:val="14"/>
                          </w:rPr>
                          <w:t>0.00</w:t>
                        </w:r>
                        <w:r>
                          <w:rPr>
                            <w:rFonts w:ascii="宋体"/>
                            <w:sz w:val="14"/>
                          </w:rPr>
                        </w:r>
                      </w:p>
                    </w:tc>
                    <w:tc>
                      <w:tcPr>
                        <w:tcW w:w="256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4"/>
                          <w:ind w:left="176" w:right="0"/>
                          <w:jc w:val="left"/>
                          <w:rPr>
                            <w:rFonts w:ascii="宋体" w:hAnsi="宋体" w:cs="宋体" w:eastAsia="宋体" w:hint="default"/>
                            <w:sz w:val="14"/>
                            <w:szCs w:val="14"/>
                          </w:rPr>
                        </w:pPr>
                        <w:r>
                          <w:rPr>
                            <w:rFonts w:ascii="宋体"/>
                            <w:b/>
                            <w:sz w:val="14"/>
                          </w:rPr>
                          <w:t>25,756,833.25</w:t>
                        </w:r>
                        <w:r>
                          <w:rPr>
                            <w:rFonts w:ascii="宋体"/>
                            <w:sz w:val="14"/>
                          </w:rPr>
                        </w:r>
                      </w:p>
                    </w:tc>
                  </w:tr>
                </w:tbl>
                <w:p>
                  <w:pPr/>
                </w:p>
              </w:txbxContent>
            </v:textbox>
            <w10:wrap type="none"/>
          </v:shape>
        </w:pict>
      </w:r>
      <w:r>
        <w:rPr>
          <w:rFonts w:ascii="宋体" w:hAnsi="宋体" w:cs="宋体" w:eastAsia="宋体" w:hint="default"/>
          <w:b/>
          <w:bCs/>
          <w:w w:val="95"/>
          <w:sz w:val="14"/>
          <w:szCs w:val="14"/>
        </w:rPr>
        <w:t>投入占</w:t>
      </w:r>
      <w:r>
        <w:rPr>
          <w:rFonts w:ascii="宋体" w:hAnsi="宋体" w:cs="宋体" w:eastAsia="宋体" w:hint="default"/>
          <w:b/>
          <w:bCs/>
          <w:spacing w:val="-56"/>
          <w:w w:val="95"/>
          <w:sz w:val="14"/>
          <w:szCs w:val="14"/>
        </w:rPr>
        <w:t> </w:t>
      </w:r>
      <w:r>
        <w:rPr>
          <w:rFonts w:ascii="宋体" w:hAnsi="宋体" w:cs="宋体" w:eastAsia="宋体" w:hint="default"/>
          <w:b/>
          <w:bCs/>
          <w:w w:val="95"/>
          <w:sz w:val="14"/>
          <w:szCs w:val="14"/>
        </w:rPr>
        <w:t>预算比</w:t>
      </w:r>
      <w:r>
        <w:rPr>
          <w:rFonts w:ascii="宋体" w:hAnsi="宋体" w:cs="宋体" w:eastAsia="宋体" w:hint="default"/>
          <w:sz w:val="14"/>
          <w:szCs w:val="14"/>
        </w:rPr>
      </w:r>
    </w:p>
    <w:p>
      <w:pPr>
        <w:spacing w:line="240" w:lineRule="auto" w:before="13"/>
        <w:rPr>
          <w:rFonts w:ascii="宋体" w:hAnsi="宋体" w:cs="宋体" w:eastAsia="宋体" w:hint="default"/>
          <w:b/>
          <w:bCs/>
          <w:sz w:val="15"/>
          <w:szCs w:val="15"/>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89.2pt;height:.5pt;mso-position-horizontal-relative:char;mso-position-vertical-relative:line" coordorigin="0,0" coordsize="9784,10">
            <v:group style="position:absolute;left:5;top:5;width:6014;height:2" coordorigin="5,5" coordsize="6014,2">
              <v:shape style="position:absolute;left:5;top:5;width:6014;height:2" coordorigin="5,5" coordsize="6014,0" path="m5,5l6018,5e" filled="false" stroked="true" strokeweight=".48pt" strokecolor="#000000">
                <v:path arrowok="t"/>
              </v:shape>
            </v:group>
            <v:group style="position:absolute;left:6018;top:5;width:1194;height:2" coordorigin="6018,5" coordsize="1194,2">
              <v:shape style="position:absolute;left:6018;top:5;width:1194;height:2" coordorigin="6018,5" coordsize="1194,0" path="m6018,5l7212,5e" filled="false" stroked="true" strokeweight=".48pt" strokecolor="#000000">
                <v:path arrowok="t"/>
              </v:shape>
            </v:group>
            <v:group style="position:absolute;left:7212;top:5;width:2567;height:2" coordorigin="7212,5" coordsize="2567,2">
              <v:shape style="position:absolute;left:7212;top:5;width:2567;height:2" coordorigin="7212,5" coordsize="2567,0" path="m7212,5l9779,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9"/>
          <w:szCs w:val="9"/>
        </w:rPr>
      </w:pPr>
    </w:p>
    <w:p>
      <w:pPr>
        <w:spacing w:before="57"/>
        <w:ind w:left="0" w:right="1007" w:firstLine="0"/>
        <w:jc w:val="right"/>
        <w:rPr>
          <w:rFonts w:ascii="宋体" w:hAnsi="宋体" w:cs="宋体" w:eastAsia="宋体" w:hint="default"/>
          <w:sz w:val="14"/>
          <w:szCs w:val="14"/>
        </w:rPr>
      </w:pPr>
      <w:r>
        <w:rPr>
          <w:rFonts w:ascii="宋体" w:hAnsi="宋体" w:cs="宋体" w:eastAsia="宋体" w:hint="default"/>
          <w:sz w:val="14"/>
          <w:szCs w:val="14"/>
        </w:rPr>
        <w:t>贷款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tabs>
          <w:tab w:pos="2711" w:val="left" w:leader="none"/>
          <w:tab w:pos="3915" w:val="left" w:leader="none"/>
          <w:tab w:pos="5749" w:val="left" w:leader="none"/>
          <w:tab w:pos="6324" w:val="left" w:leader="none"/>
          <w:tab w:pos="7528" w:val="left" w:leader="none"/>
          <w:tab w:pos="9345" w:val="left" w:leader="none"/>
        </w:tabs>
        <w:spacing w:before="57"/>
        <w:ind w:left="1786" w:right="0" w:firstLine="0"/>
        <w:jc w:val="left"/>
        <w:rPr>
          <w:rFonts w:ascii="宋体" w:hAnsi="宋体" w:cs="宋体" w:eastAsia="宋体" w:hint="default"/>
          <w:sz w:val="14"/>
          <w:szCs w:val="14"/>
        </w:rPr>
      </w:pPr>
      <w:r>
        <w:rPr>
          <w:rFonts w:ascii="宋体"/>
          <w:spacing w:val="-1"/>
          <w:sz w:val="14"/>
        </w:rPr>
        <w:t>15,157.00</w:t>
        <w:tab/>
        <w:t>70,400,218.56</w:t>
        <w:tab/>
        <w:t>31,889,598.01</w:t>
        <w:tab/>
        <w:t>0.00</w:t>
        <w:tab/>
        <w:t>21,459,575.88</w:t>
        <w:tab/>
        <w:t>80,830,240.69</w:t>
        <w:tab/>
        <w:t>67.48%</w:t>
      </w:r>
      <w:r>
        <w:rPr>
          <w:rFonts w:ascii="宋体"/>
          <w:sz w:val="14"/>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1817" w:val="left" w:leader="none"/>
        </w:tabs>
        <w:spacing w:before="0"/>
        <w:ind w:left="0" w:right="257" w:firstLine="0"/>
        <w:jc w:val="right"/>
        <w:rPr>
          <w:rFonts w:ascii="宋体" w:hAnsi="宋体" w:cs="宋体" w:eastAsia="宋体" w:hint="default"/>
          <w:sz w:val="14"/>
          <w:szCs w:val="14"/>
        </w:rPr>
      </w:pPr>
      <w:r>
        <w:rPr>
          <w:rFonts w:ascii="宋体"/>
          <w:spacing w:val="-1"/>
          <w:sz w:val="14"/>
        </w:rPr>
        <w:t>35,477,167.98</w:t>
        <w:tab/>
        <w:t>22.45%</w:t>
      </w:r>
      <w:r>
        <w:rPr>
          <w:rFonts w:ascii="宋体"/>
          <w:sz w:val="14"/>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1818" w:val="left" w:leader="none"/>
        </w:tabs>
        <w:spacing w:before="0"/>
        <w:ind w:left="0" w:right="256" w:firstLine="0"/>
        <w:jc w:val="right"/>
        <w:rPr>
          <w:rFonts w:ascii="宋体" w:hAnsi="宋体" w:cs="宋体" w:eastAsia="宋体" w:hint="default"/>
          <w:sz w:val="14"/>
          <w:szCs w:val="14"/>
        </w:rPr>
      </w:pPr>
      <w:r>
        <w:rPr>
          <w:rFonts w:ascii="宋体"/>
          <w:spacing w:val="-1"/>
          <w:sz w:val="14"/>
        </w:rPr>
        <w:t>20,324,934.59</w:t>
        <w:tab/>
        <w:t>45.75%</w:t>
      </w:r>
      <w:r>
        <w:rPr>
          <w:rFonts w:ascii="宋体"/>
          <w:sz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747" w:val="left" w:leader="none"/>
        </w:tabs>
        <w:spacing w:before="0"/>
        <w:ind w:left="0" w:right="256" w:firstLine="0"/>
        <w:jc w:val="right"/>
        <w:rPr>
          <w:rFonts w:ascii="宋体" w:hAnsi="宋体" w:cs="宋体" w:eastAsia="宋体" w:hint="default"/>
          <w:sz w:val="14"/>
          <w:szCs w:val="14"/>
        </w:rPr>
      </w:pPr>
      <w:r>
        <w:rPr>
          <w:rFonts w:ascii="宋体"/>
          <w:spacing w:val="-1"/>
          <w:sz w:val="14"/>
        </w:rPr>
        <w:t>4,954,796.19</w:t>
        <w:tab/>
        <w:t>81.18%</w:t>
      </w:r>
      <w:r>
        <w:rPr>
          <w:rFonts w:ascii="宋体"/>
          <w:sz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747" w:val="left" w:leader="none"/>
        </w:tabs>
        <w:spacing w:before="0"/>
        <w:ind w:left="0" w:right="257" w:firstLine="0"/>
        <w:jc w:val="right"/>
        <w:rPr>
          <w:rFonts w:ascii="宋体" w:hAnsi="宋体" w:cs="宋体" w:eastAsia="宋体" w:hint="default"/>
          <w:sz w:val="14"/>
          <w:szCs w:val="14"/>
        </w:rPr>
      </w:pPr>
      <w:r>
        <w:rPr>
          <w:rFonts w:ascii="宋体"/>
          <w:spacing w:val="-1"/>
          <w:sz w:val="14"/>
        </w:rPr>
        <w:t>1,213,687.30</w:t>
        <w:tab/>
        <w:t>66.84%</w:t>
      </w:r>
      <w:r>
        <w:rPr>
          <w:rFonts w:ascii="宋体"/>
          <w:sz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1153" w:val="left" w:leader="none"/>
        </w:tabs>
        <w:spacing w:before="0"/>
        <w:ind w:left="0" w:right="221" w:firstLine="0"/>
        <w:jc w:val="right"/>
        <w:rPr>
          <w:rFonts w:ascii="宋体" w:hAnsi="宋体" w:cs="宋体" w:eastAsia="宋体" w:hint="default"/>
          <w:sz w:val="14"/>
          <w:szCs w:val="14"/>
        </w:rPr>
      </w:pPr>
      <w:r>
        <w:rPr>
          <w:rFonts w:ascii="宋体"/>
          <w:spacing w:val="-1"/>
          <w:sz w:val="14"/>
        </w:rPr>
        <w:t>0.00</w:t>
        <w:tab/>
        <w:t>115.37%</w:t>
      </w:r>
      <w:r>
        <w:rPr>
          <w:rFonts w:ascii="宋体"/>
          <w:sz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1"/>
        <w:ind w:left="87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在建工程减值准备</w:t>
      </w:r>
    </w:p>
    <w:p>
      <w:pPr>
        <w:spacing w:line="240" w:lineRule="auto" w:before="6"/>
        <w:rPr>
          <w:rFonts w:ascii="宋体" w:hAnsi="宋体" w:cs="宋体" w:eastAsia="宋体" w:hint="default"/>
          <w:sz w:val="12"/>
          <w:szCs w:val="12"/>
        </w:rPr>
      </w:pPr>
    </w:p>
    <w:p>
      <w:pPr>
        <w:spacing w:line="30" w:lineRule="exact"/>
        <w:ind w:left="6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4926;height:2" coordorigin="15,15" coordsize="4926,2">
              <v:shape style="position:absolute;left:15;top:15;width:4926;height:2" coordorigin="15,15" coordsize="4926,0" path="m15,15l4941,15e" filled="false" stroked="true" strokeweight="1.5pt" strokecolor="#000000">
                <v:path arrowok="t"/>
              </v:shape>
            </v:group>
            <v:group style="position:absolute;left:4941;top:15;width:2151;height:2" coordorigin="4941,15" coordsize="2151,2">
              <v:shape style="position:absolute;left:4941;top:15;width:2151;height:2" coordorigin="4941,15" coordsize="2151,0" path="m4941,15l7091,15e" filled="false" stroked="true" strokeweight="1.5pt" strokecolor="#000000">
                <v:path arrowok="t"/>
              </v:shape>
            </v:group>
            <v:group style="position:absolute;left:7091;top:15;width:1557;height:2" coordorigin="7091,15" coordsize="1557,2">
              <v:shape style="position:absolute;left:7091;top:15;width:1557;height:2" coordorigin="7091,15" coordsize="1557,0" path="m7091,15l8648,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000" w:right="880"/>
        </w:sectPr>
      </w:pPr>
    </w:p>
    <w:p>
      <w:pPr>
        <w:tabs>
          <w:tab w:pos="3132" w:val="left" w:leader="none"/>
          <w:tab w:pos="4507" w:val="left" w:leader="none"/>
        </w:tabs>
        <w:spacing w:before="122"/>
        <w:ind w:left="803"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年初金额</w:t>
        <w:tab/>
      </w:r>
      <w:r>
        <w:rPr>
          <w:rFonts w:ascii="宋体" w:hAnsi="宋体" w:cs="宋体" w:eastAsia="宋体" w:hint="default"/>
          <w:b/>
          <w:bCs/>
          <w:sz w:val="18"/>
          <w:szCs w:val="18"/>
        </w:rPr>
        <w:t>本年增加</w:t>
      </w:r>
      <w:r>
        <w:rPr>
          <w:rFonts w:ascii="宋体" w:hAnsi="宋体" w:cs="宋体" w:eastAsia="宋体" w:hint="default"/>
          <w:sz w:val="18"/>
          <w:szCs w:val="18"/>
        </w:rPr>
      </w:r>
    </w:p>
    <w:p>
      <w:pPr>
        <w:spacing w:line="226" w:lineRule="exact" w:before="0"/>
        <w:ind w:left="604"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本年减少</w:t>
      </w:r>
      <w:r>
        <w:rPr>
          <w:rFonts w:ascii="宋体" w:hAnsi="宋体" w:cs="宋体" w:eastAsia="宋体" w:hint="default"/>
          <w:sz w:val="18"/>
          <w:szCs w:val="18"/>
        </w:rPr>
      </w:r>
    </w:p>
    <w:p>
      <w:pPr>
        <w:tabs>
          <w:tab w:pos="1523" w:val="left" w:leader="none"/>
        </w:tabs>
        <w:spacing w:before="57"/>
        <w:ind w:left="614" w:right="0" w:firstLine="0"/>
        <w:jc w:val="center"/>
        <w:rPr>
          <w:rFonts w:ascii="宋体" w:hAnsi="宋体" w:cs="宋体" w:eastAsia="宋体" w:hint="default"/>
          <w:sz w:val="18"/>
          <w:szCs w:val="18"/>
        </w:rPr>
      </w:pPr>
      <w:r>
        <w:rPr/>
        <w:pict>
          <v:group style="position:absolute;margin-left:329.700012pt;margin-top:2.865023pt;width:109.5pt;height:.5pt;mso-position-horizontal-relative:page;mso-position-vertical-relative:paragraph;z-index:-1046680" coordorigin="6594,57" coordsize="2190,10">
            <v:group style="position:absolute;left:6599;top:62;width:929;height:2" coordorigin="6599,62" coordsize="929,2">
              <v:shape style="position:absolute;left:6599;top:62;width:929;height:2" coordorigin="6599,62" coordsize="929,0" path="m6599,62l7528,62e" filled="false" stroked="true" strokeweight=".48pt" strokecolor="#000000">
                <v:path arrowok="t"/>
              </v:shape>
            </v:group>
            <v:group style="position:absolute;left:7528;top:62;width:1252;height:2" coordorigin="7528,62" coordsize="1252,2">
              <v:shape style="position:absolute;left:7528;top:62;width:1252;height:2" coordorigin="7528,62" coordsize="1252,0" path="m7528,62l8779,62e" filled="false" stroked="true" strokeweight=".48pt" strokecolor="#000000">
                <v:path arrowok="t"/>
              </v:shape>
            </v:group>
            <w10:wrap type="none"/>
          </v:group>
        </w:pict>
      </w:r>
      <w:r>
        <w:rPr>
          <w:rFonts w:ascii="宋体" w:hAnsi="宋体" w:cs="宋体" w:eastAsia="宋体" w:hint="default"/>
          <w:b/>
          <w:bCs/>
          <w:w w:val="95"/>
          <w:sz w:val="18"/>
          <w:szCs w:val="18"/>
        </w:rPr>
        <w:t>转回</w:t>
        <w:tab/>
        <w:t>其他转出</w:t>
      </w:r>
      <w:r>
        <w:rPr>
          <w:rFonts w:ascii="宋体" w:hAnsi="宋体" w:cs="宋体" w:eastAsia="宋体" w:hint="default"/>
          <w:sz w:val="18"/>
          <w:szCs w:val="18"/>
        </w:rPr>
      </w:r>
    </w:p>
    <w:p>
      <w:pPr>
        <w:spacing w:before="122"/>
        <w:ind w:left="59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000" w:right="880"/>
          <w:cols w:num="3" w:equalWidth="0">
            <w:col w:w="5231" w:space="40"/>
            <w:col w:w="2247" w:space="40"/>
            <w:col w:w="2472"/>
          </w:cols>
        </w:sectPr>
      </w:pPr>
    </w:p>
    <w:p>
      <w:pPr>
        <w:spacing w:line="240" w:lineRule="auto" w:before="10"/>
        <w:rPr>
          <w:rFonts w:ascii="宋体" w:hAnsi="宋体" w:cs="宋体" w:eastAsia="宋体" w:hint="default"/>
          <w:b/>
          <w:bCs/>
          <w:sz w:val="4"/>
          <w:szCs w:val="4"/>
        </w:rPr>
      </w:pPr>
    </w:p>
    <w:tbl>
      <w:tblPr>
        <w:tblW w:w="0" w:type="auto"/>
        <w:jc w:val="left"/>
        <w:tblInd w:w="702" w:type="dxa"/>
        <w:tblLayout w:type="fixed"/>
        <w:tblCellMar>
          <w:top w:w="0" w:type="dxa"/>
          <w:left w:w="0" w:type="dxa"/>
          <w:bottom w:w="0" w:type="dxa"/>
          <w:right w:w="0" w:type="dxa"/>
        </w:tblCellMar>
        <w:tblLook w:val="01E0"/>
      </w:tblPr>
      <w:tblGrid>
        <w:gridCol w:w="2203"/>
        <w:gridCol w:w="1312"/>
        <w:gridCol w:w="1560"/>
        <w:gridCol w:w="1090"/>
        <w:gridCol w:w="1046"/>
        <w:gridCol w:w="1423"/>
      </w:tblGrid>
      <w:tr>
        <w:trPr>
          <w:trHeight w:val="282" w:hRule="exact"/>
        </w:trPr>
        <w:tc>
          <w:tcPr>
            <w:tcW w:w="2203" w:type="dxa"/>
            <w:tcBorders>
              <w:top w:val="single" w:sz="4" w:space="0" w:color="000000"/>
              <w:left w:val="nil" w:sz="6" w:space="0" w:color="auto"/>
              <w:bottom w:val="nil" w:sz="6" w:space="0" w:color="auto"/>
              <w:right w:val="nil" w:sz="6" w:space="0" w:color="auto"/>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同方炭素一期项目工程</w:t>
            </w:r>
          </w:p>
        </w:tc>
        <w:tc>
          <w:tcPr>
            <w:tcW w:w="1312" w:type="dxa"/>
            <w:tcBorders>
              <w:top w:val="single" w:sz="4" w:space="0" w:color="000000"/>
              <w:left w:val="nil" w:sz="6" w:space="0" w:color="auto"/>
              <w:bottom w:val="nil" w:sz="6" w:space="0" w:color="auto"/>
              <w:right w:val="nil" w:sz="6" w:space="0" w:color="auto"/>
            </w:tcBorders>
          </w:tcPr>
          <w:p>
            <w:pPr>
              <w:pStyle w:val="TableParagraph"/>
              <w:spacing w:line="226" w:lineRule="exact"/>
              <w:ind w:right="19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26" w:lineRule="exact"/>
              <w:ind w:right="276"/>
              <w:jc w:val="right"/>
              <w:rPr>
                <w:rFonts w:ascii="宋体" w:hAnsi="宋体" w:cs="宋体" w:eastAsia="宋体" w:hint="default"/>
                <w:sz w:val="18"/>
                <w:szCs w:val="18"/>
              </w:rPr>
            </w:pPr>
            <w:r>
              <w:rPr>
                <w:rFonts w:ascii="宋体"/>
                <w:sz w:val="18"/>
              </w:rPr>
              <w:t>835,406.07</w:t>
            </w:r>
          </w:p>
        </w:tc>
        <w:tc>
          <w:tcPr>
            <w:tcW w:w="1090" w:type="dxa"/>
            <w:tcBorders>
              <w:top w:val="single" w:sz="4" w:space="0" w:color="000000"/>
              <w:left w:val="nil" w:sz="6" w:space="0" w:color="auto"/>
              <w:bottom w:val="nil" w:sz="6" w:space="0" w:color="auto"/>
              <w:right w:val="nil" w:sz="6" w:space="0" w:color="auto"/>
            </w:tcBorders>
          </w:tcPr>
          <w:p>
            <w:pPr>
              <w:pStyle w:val="TableParagraph"/>
              <w:spacing w:line="226" w:lineRule="exact"/>
              <w:ind w:left="281" w:right="0"/>
              <w:jc w:val="left"/>
              <w:rPr>
                <w:rFonts w:ascii="宋体" w:hAnsi="宋体" w:cs="宋体" w:eastAsia="宋体" w:hint="default"/>
                <w:sz w:val="18"/>
                <w:szCs w:val="18"/>
              </w:rPr>
            </w:pPr>
            <w:r>
              <w:rPr>
                <w:rFonts w:ascii="宋体"/>
                <w:sz w:val="18"/>
              </w:rPr>
              <w:t>0.00</w:t>
            </w:r>
          </w:p>
        </w:tc>
        <w:tc>
          <w:tcPr>
            <w:tcW w:w="1046" w:type="dxa"/>
            <w:tcBorders>
              <w:top w:val="single" w:sz="4" w:space="0" w:color="000000"/>
              <w:left w:val="nil" w:sz="6" w:space="0" w:color="auto"/>
              <w:bottom w:val="nil" w:sz="6" w:space="0" w:color="auto"/>
              <w:right w:val="nil" w:sz="6" w:space="0" w:color="auto"/>
            </w:tcBorders>
          </w:tcPr>
          <w:p>
            <w:pPr>
              <w:pStyle w:val="TableParagraph"/>
              <w:spacing w:line="226" w:lineRule="exact"/>
              <w:ind w:right="231"/>
              <w:jc w:val="right"/>
              <w:rPr>
                <w:rFonts w:ascii="宋体" w:hAnsi="宋体" w:cs="宋体" w:eastAsia="宋体" w:hint="default"/>
                <w:sz w:val="18"/>
                <w:szCs w:val="18"/>
              </w:rPr>
            </w:pPr>
            <w:r>
              <w:rPr>
                <w:rFonts w:ascii="宋体"/>
                <w:sz w:val="18"/>
              </w:rPr>
              <w:t>0.00</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835,406.07</w:t>
            </w:r>
          </w:p>
        </w:tc>
      </w:tr>
      <w:tr>
        <w:trPr>
          <w:trHeight w:val="283"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福建炭素厂房工程</w:t>
            </w:r>
          </w:p>
        </w:tc>
        <w:tc>
          <w:tcPr>
            <w:tcW w:w="1312" w:type="dxa"/>
            <w:tcBorders>
              <w:top w:val="nil" w:sz="6" w:space="0" w:color="auto"/>
              <w:left w:val="nil" w:sz="6" w:space="0" w:color="auto"/>
              <w:bottom w:val="nil" w:sz="6" w:space="0" w:color="auto"/>
              <w:right w:val="nil" w:sz="6" w:space="0" w:color="auto"/>
            </w:tcBorders>
          </w:tcPr>
          <w:p>
            <w:pPr>
              <w:pStyle w:val="TableParagraph"/>
              <w:spacing w:line="232" w:lineRule="exact"/>
              <w:ind w:right="190"/>
              <w:jc w:val="right"/>
              <w:rPr>
                <w:rFonts w:ascii="宋体" w:hAnsi="宋体" w:cs="宋体" w:eastAsia="宋体" w:hint="default"/>
                <w:sz w:val="18"/>
                <w:szCs w:val="18"/>
              </w:rPr>
            </w:pPr>
            <w:r>
              <w:rPr>
                <w:rFonts w:ascii="宋体"/>
                <w:sz w:val="18"/>
              </w:rPr>
              <w:t>0.00</w:t>
            </w: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76"/>
              <w:jc w:val="right"/>
              <w:rPr>
                <w:rFonts w:ascii="宋体" w:hAnsi="宋体" w:cs="宋体" w:eastAsia="宋体" w:hint="default"/>
                <w:sz w:val="18"/>
                <w:szCs w:val="18"/>
              </w:rPr>
            </w:pPr>
            <w:r>
              <w:rPr>
                <w:rFonts w:ascii="宋体"/>
                <w:sz w:val="18"/>
              </w:rPr>
              <w:t>575,455.94</w:t>
            </w:r>
          </w:p>
        </w:tc>
        <w:tc>
          <w:tcPr>
            <w:tcW w:w="1090" w:type="dxa"/>
            <w:tcBorders>
              <w:top w:val="nil" w:sz="6" w:space="0" w:color="auto"/>
              <w:left w:val="nil" w:sz="6" w:space="0" w:color="auto"/>
              <w:bottom w:val="nil" w:sz="6" w:space="0" w:color="auto"/>
              <w:right w:val="nil" w:sz="6" w:space="0" w:color="auto"/>
            </w:tcBorders>
          </w:tcPr>
          <w:p>
            <w:pPr>
              <w:pStyle w:val="TableParagraph"/>
              <w:spacing w:line="232" w:lineRule="exact"/>
              <w:ind w:left="281" w:right="0"/>
              <w:jc w:val="left"/>
              <w:rPr>
                <w:rFonts w:ascii="宋体" w:hAnsi="宋体" w:cs="宋体" w:eastAsia="宋体" w:hint="default"/>
                <w:sz w:val="18"/>
                <w:szCs w:val="18"/>
              </w:rPr>
            </w:pPr>
            <w:r>
              <w:rPr>
                <w:rFonts w:ascii="宋体"/>
                <w:sz w:val="18"/>
              </w:rPr>
              <w:t>0.00</w:t>
            </w:r>
          </w:p>
        </w:tc>
        <w:tc>
          <w:tcPr>
            <w:tcW w:w="1046" w:type="dxa"/>
            <w:tcBorders>
              <w:top w:val="nil" w:sz="6" w:space="0" w:color="auto"/>
              <w:left w:val="nil" w:sz="6" w:space="0" w:color="auto"/>
              <w:bottom w:val="nil" w:sz="6" w:space="0" w:color="auto"/>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z w:val="18"/>
              </w:rPr>
              <w:t>0.00</w:t>
            </w:r>
          </w:p>
        </w:tc>
        <w:tc>
          <w:tcPr>
            <w:tcW w:w="142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575,455.94</w:t>
            </w:r>
          </w:p>
        </w:tc>
      </w:tr>
      <w:tr>
        <w:trPr>
          <w:trHeight w:val="283"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桂林炭素厂房工程</w:t>
            </w:r>
          </w:p>
        </w:tc>
        <w:tc>
          <w:tcPr>
            <w:tcW w:w="1312" w:type="dxa"/>
            <w:tcBorders>
              <w:top w:val="nil" w:sz="6" w:space="0" w:color="auto"/>
              <w:left w:val="nil" w:sz="6" w:space="0" w:color="auto"/>
              <w:bottom w:val="nil" w:sz="6" w:space="0" w:color="auto"/>
              <w:right w:val="nil" w:sz="6" w:space="0" w:color="auto"/>
            </w:tcBorders>
          </w:tcPr>
          <w:p>
            <w:pPr>
              <w:pStyle w:val="TableParagraph"/>
              <w:spacing w:line="232" w:lineRule="exact"/>
              <w:ind w:right="190"/>
              <w:jc w:val="right"/>
              <w:rPr>
                <w:rFonts w:ascii="宋体" w:hAnsi="宋体" w:cs="宋体" w:eastAsia="宋体" w:hint="default"/>
                <w:sz w:val="18"/>
                <w:szCs w:val="18"/>
              </w:rPr>
            </w:pPr>
            <w:r>
              <w:rPr>
                <w:rFonts w:ascii="宋体"/>
                <w:sz w:val="18"/>
              </w:rPr>
              <w:t>0.00</w:t>
            </w: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76"/>
              <w:jc w:val="right"/>
              <w:rPr>
                <w:rFonts w:ascii="宋体" w:hAnsi="宋体" w:cs="宋体" w:eastAsia="宋体" w:hint="default"/>
                <w:sz w:val="18"/>
                <w:szCs w:val="18"/>
              </w:rPr>
            </w:pPr>
            <w:r>
              <w:rPr>
                <w:rFonts w:ascii="宋体"/>
                <w:sz w:val="18"/>
              </w:rPr>
              <w:t>612,260.48</w:t>
            </w:r>
          </w:p>
        </w:tc>
        <w:tc>
          <w:tcPr>
            <w:tcW w:w="1090" w:type="dxa"/>
            <w:tcBorders>
              <w:top w:val="nil" w:sz="6" w:space="0" w:color="auto"/>
              <w:left w:val="nil" w:sz="6" w:space="0" w:color="auto"/>
              <w:bottom w:val="nil" w:sz="6" w:space="0" w:color="auto"/>
              <w:right w:val="nil" w:sz="6" w:space="0" w:color="auto"/>
            </w:tcBorders>
          </w:tcPr>
          <w:p>
            <w:pPr>
              <w:pStyle w:val="TableParagraph"/>
              <w:spacing w:line="232" w:lineRule="exact"/>
              <w:ind w:left="281" w:right="0"/>
              <w:jc w:val="left"/>
              <w:rPr>
                <w:rFonts w:ascii="宋体" w:hAnsi="宋体" w:cs="宋体" w:eastAsia="宋体" w:hint="default"/>
                <w:sz w:val="18"/>
                <w:szCs w:val="18"/>
              </w:rPr>
            </w:pPr>
            <w:r>
              <w:rPr>
                <w:rFonts w:ascii="宋体"/>
                <w:sz w:val="18"/>
              </w:rPr>
              <w:t>0.00</w:t>
            </w:r>
          </w:p>
        </w:tc>
        <w:tc>
          <w:tcPr>
            <w:tcW w:w="1046" w:type="dxa"/>
            <w:tcBorders>
              <w:top w:val="nil" w:sz="6" w:space="0" w:color="auto"/>
              <w:left w:val="nil" w:sz="6" w:space="0" w:color="auto"/>
              <w:bottom w:val="nil" w:sz="6" w:space="0" w:color="auto"/>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z w:val="18"/>
              </w:rPr>
              <w:t>0.00</w:t>
            </w:r>
          </w:p>
        </w:tc>
        <w:tc>
          <w:tcPr>
            <w:tcW w:w="142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612,260.48</w:t>
            </w:r>
          </w:p>
        </w:tc>
      </w:tr>
      <w:tr>
        <w:trPr>
          <w:trHeight w:val="294" w:hRule="exact"/>
        </w:trPr>
        <w:tc>
          <w:tcPr>
            <w:tcW w:w="2203" w:type="dxa"/>
            <w:tcBorders>
              <w:top w:val="nil" w:sz="6" w:space="0" w:color="auto"/>
              <w:left w:val="nil" w:sz="6" w:space="0" w:color="auto"/>
              <w:bottom w:val="single" w:sz="4" w:space="0" w:color="000000"/>
              <w:right w:val="nil" w:sz="6" w:space="0" w:color="auto"/>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12" w:type="dxa"/>
            <w:tcBorders>
              <w:top w:val="nil" w:sz="6" w:space="0" w:color="auto"/>
              <w:left w:val="nil" w:sz="6" w:space="0" w:color="auto"/>
              <w:bottom w:val="single" w:sz="4" w:space="0" w:color="000000"/>
              <w:right w:val="nil" w:sz="6" w:space="0" w:color="auto"/>
            </w:tcBorders>
          </w:tcPr>
          <w:p>
            <w:pPr>
              <w:pStyle w:val="TableParagraph"/>
              <w:spacing w:line="232" w:lineRule="exact"/>
              <w:ind w:right="190"/>
              <w:jc w:val="right"/>
              <w:rPr>
                <w:rFonts w:ascii="宋体" w:hAnsi="宋体" w:cs="宋体" w:eastAsia="宋体" w:hint="default"/>
                <w:sz w:val="18"/>
                <w:szCs w:val="18"/>
              </w:rPr>
            </w:pPr>
            <w:r>
              <w:rPr>
                <w:rFonts w:ascii="宋体"/>
                <w:sz w:val="18"/>
              </w:rPr>
              <w:t>37,595.23</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32" w:lineRule="exact"/>
              <w:ind w:right="276"/>
              <w:jc w:val="right"/>
              <w:rPr>
                <w:rFonts w:ascii="宋体" w:hAnsi="宋体" w:cs="宋体" w:eastAsia="宋体" w:hint="default"/>
                <w:sz w:val="18"/>
                <w:szCs w:val="18"/>
              </w:rPr>
            </w:pPr>
            <w:r>
              <w:rPr>
                <w:rFonts w:ascii="宋体"/>
                <w:sz w:val="18"/>
              </w:rPr>
              <w:t>0.00</w:t>
            </w:r>
          </w:p>
        </w:tc>
        <w:tc>
          <w:tcPr>
            <w:tcW w:w="1090" w:type="dxa"/>
            <w:tcBorders>
              <w:top w:val="nil" w:sz="6" w:space="0" w:color="auto"/>
              <w:left w:val="nil" w:sz="6" w:space="0" w:color="auto"/>
              <w:bottom w:val="single" w:sz="4" w:space="0" w:color="000000"/>
              <w:right w:val="nil" w:sz="6" w:space="0" w:color="auto"/>
            </w:tcBorders>
          </w:tcPr>
          <w:p>
            <w:pPr>
              <w:pStyle w:val="TableParagraph"/>
              <w:spacing w:line="232" w:lineRule="exact"/>
              <w:ind w:left="281" w:right="0"/>
              <w:jc w:val="left"/>
              <w:rPr>
                <w:rFonts w:ascii="宋体" w:hAnsi="宋体" w:cs="宋体" w:eastAsia="宋体" w:hint="default"/>
                <w:sz w:val="18"/>
                <w:szCs w:val="18"/>
              </w:rPr>
            </w:pPr>
            <w:r>
              <w:rPr>
                <w:rFonts w:ascii="宋体"/>
                <w:sz w:val="18"/>
              </w:rPr>
              <w:t>0.00</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z w:val="18"/>
              </w:rPr>
              <w:t>0.00</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37,595.23</w:t>
            </w:r>
          </w:p>
        </w:tc>
      </w:tr>
      <w:tr>
        <w:trPr>
          <w:trHeight w:val="303" w:hRule="exact"/>
        </w:trPr>
        <w:tc>
          <w:tcPr>
            <w:tcW w:w="220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91"/>
              <w:jc w:val="right"/>
              <w:rPr>
                <w:rFonts w:ascii="宋体" w:hAnsi="宋体" w:cs="宋体" w:eastAsia="宋体" w:hint="default"/>
                <w:sz w:val="18"/>
                <w:szCs w:val="18"/>
              </w:rPr>
            </w:pPr>
            <w:r>
              <w:rPr>
                <w:rFonts w:ascii="宋体"/>
                <w:b/>
                <w:w w:val="95"/>
                <w:sz w:val="18"/>
              </w:rPr>
              <w:t>37,595.23</w:t>
            </w:r>
            <w:r>
              <w:rPr>
                <w:rFonts w:ascii="宋体"/>
                <w:sz w:val="18"/>
              </w:rPr>
            </w: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75"/>
              <w:jc w:val="right"/>
              <w:rPr>
                <w:rFonts w:ascii="宋体" w:hAnsi="宋体" w:cs="宋体" w:eastAsia="宋体" w:hint="default"/>
                <w:sz w:val="18"/>
                <w:szCs w:val="18"/>
              </w:rPr>
            </w:pPr>
            <w:r>
              <w:rPr>
                <w:rFonts w:ascii="宋体"/>
                <w:b/>
                <w:w w:val="95"/>
                <w:sz w:val="18"/>
              </w:rPr>
              <w:t>2,023,122.49</w:t>
            </w:r>
            <w:r>
              <w:rPr>
                <w:rFonts w:ascii="宋体"/>
                <w:sz w:val="18"/>
              </w:rPr>
            </w:r>
          </w:p>
        </w:tc>
        <w:tc>
          <w:tcPr>
            <w:tcW w:w="109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77" w:right="0"/>
              <w:jc w:val="left"/>
              <w:rPr>
                <w:rFonts w:ascii="宋体" w:hAnsi="宋体" w:cs="宋体" w:eastAsia="宋体" w:hint="default"/>
                <w:sz w:val="18"/>
                <w:szCs w:val="18"/>
              </w:rPr>
            </w:pPr>
            <w:r>
              <w:rPr>
                <w:rFonts w:ascii="宋体"/>
                <w:b/>
                <w:sz w:val="18"/>
              </w:rPr>
              <w:t>0.00</w:t>
            </w:r>
            <w:r>
              <w:rPr>
                <w:rFonts w:ascii="宋体"/>
                <w:sz w:val="18"/>
              </w:rPr>
            </w:r>
          </w:p>
        </w:tc>
        <w:tc>
          <w:tcPr>
            <w:tcW w:w="104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33"/>
              <w:jc w:val="right"/>
              <w:rPr>
                <w:rFonts w:ascii="宋体" w:hAnsi="宋体" w:cs="宋体" w:eastAsia="宋体" w:hint="default"/>
                <w:sz w:val="18"/>
                <w:szCs w:val="18"/>
              </w:rPr>
            </w:pPr>
            <w:r>
              <w:rPr>
                <w:rFonts w:ascii="宋体"/>
                <w:b/>
                <w:w w:val="95"/>
                <w:sz w:val="18"/>
              </w:rPr>
              <w:t>0.00</w:t>
            </w:r>
            <w:r>
              <w:rPr>
                <w:rFonts w:ascii="宋体"/>
                <w:sz w:val="18"/>
              </w:rPr>
            </w: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2,060,717.72</w:t>
            </w:r>
            <w:r>
              <w:rPr>
                <w:rFonts w:ascii="宋体"/>
                <w:sz w:val="18"/>
              </w:rPr>
            </w:r>
          </w:p>
        </w:tc>
      </w:tr>
    </w:tbl>
    <w:p>
      <w:pPr>
        <w:spacing w:after="0" w:line="226" w:lineRule="exact"/>
        <w:jc w:val="right"/>
        <w:rPr>
          <w:rFonts w:ascii="宋体" w:hAnsi="宋体" w:cs="宋体" w:eastAsia="宋体" w:hint="default"/>
          <w:sz w:val="18"/>
          <w:szCs w:val="18"/>
        </w:rPr>
        <w:sectPr>
          <w:type w:val="continuous"/>
          <w:pgSz w:w="11910" w:h="16840"/>
          <w:pgMar w:top="1600" w:bottom="280" w:left="1000" w:right="8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1"/>
        <w:ind w:left="67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无形资产及开发支出</w:t>
      </w:r>
    </w:p>
    <w:p>
      <w:pPr>
        <w:spacing w:before="162"/>
        <w:ind w:left="67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无形资产</w:t>
      </w:r>
    </w:p>
    <w:p>
      <w:pPr>
        <w:spacing w:line="240" w:lineRule="auto" w:before="8"/>
        <w:rPr>
          <w:rFonts w:ascii="宋体" w:hAnsi="宋体" w:cs="宋体" w:eastAsia="宋体" w:hint="default"/>
          <w:sz w:val="13"/>
          <w:szCs w:val="13"/>
        </w:rPr>
      </w:pPr>
    </w:p>
    <w:tbl>
      <w:tblPr>
        <w:tblW w:w="0" w:type="auto"/>
        <w:jc w:val="left"/>
        <w:tblInd w:w="496" w:type="dxa"/>
        <w:tblLayout w:type="fixed"/>
        <w:tblCellMar>
          <w:top w:w="0" w:type="dxa"/>
          <w:left w:w="0" w:type="dxa"/>
          <w:bottom w:w="0" w:type="dxa"/>
          <w:right w:w="0" w:type="dxa"/>
        </w:tblCellMar>
        <w:tblLook w:val="01E0"/>
      </w:tblPr>
      <w:tblGrid>
        <w:gridCol w:w="1666"/>
        <w:gridCol w:w="2115"/>
        <w:gridCol w:w="1680"/>
        <w:gridCol w:w="1515"/>
        <w:gridCol w:w="1661"/>
      </w:tblGrid>
      <w:tr>
        <w:trPr>
          <w:trHeight w:val="303" w:hRule="exact"/>
        </w:trPr>
        <w:tc>
          <w:tcPr>
            <w:tcW w:w="166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4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8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6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2" w:hRule="exact"/>
        </w:trPr>
        <w:tc>
          <w:tcPr>
            <w:tcW w:w="166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2115" w:type="dxa"/>
            <w:tcBorders>
              <w:top w:val="single" w:sz="4" w:space="0" w:color="000000"/>
              <w:left w:val="nil" w:sz="6" w:space="0" w:color="auto"/>
              <w:bottom w:val="nil" w:sz="6" w:space="0" w:color="auto"/>
              <w:right w:val="nil" w:sz="6" w:space="0" w:color="auto"/>
            </w:tcBorders>
          </w:tcPr>
          <w:p>
            <w:pPr>
              <w:pStyle w:val="TableParagraph"/>
              <w:spacing w:line="226" w:lineRule="exact"/>
              <w:ind w:right="179"/>
              <w:jc w:val="right"/>
              <w:rPr>
                <w:rFonts w:ascii="宋体" w:hAnsi="宋体" w:cs="宋体" w:eastAsia="宋体" w:hint="default"/>
                <w:sz w:val="18"/>
                <w:szCs w:val="18"/>
              </w:rPr>
            </w:pPr>
            <w:r>
              <w:rPr>
                <w:rFonts w:ascii="宋体"/>
                <w:b/>
                <w:w w:val="95"/>
                <w:sz w:val="18"/>
              </w:rPr>
              <w:t>1,065,795,091.74</w:t>
            </w:r>
            <w:r>
              <w:rPr>
                <w:rFonts w:ascii="宋体"/>
                <w:sz w:val="18"/>
              </w:rPr>
            </w:r>
          </w:p>
        </w:tc>
        <w:tc>
          <w:tcPr>
            <w:tcW w:w="1680" w:type="dxa"/>
            <w:tcBorders>
              <w:top w:val="single" w:sz="4" w:space="0" w:color="000000"/>
              <w:left w:val="nil" w:sz="6" w:space="0" w:color="auto"/>
              <w:bottom w:val="nil" w:sz="6" w:space="0" w:color="auto"/>
              <w:right w:val="nil" w:sz="6" w:space="0" w:color="auto"/>
            </w:tcBorders>
          </w:tcPr>
          <w:p>
            <w:pPr>
              <w:pStyle w:val="TableParagraph"/>
              <w:spacing w:line="226" w:lineRule="exact"/>
              <w:ind w:right="227"/>
              <w:jc w:val="right"/>
              <w:rPr>
                <w:rFonts w:ascii="宋体" w:hAnsi="宋体" w:cs="宋体" w:eastAsia="宋体" w:hint="default"/>
                <w:sz w:val="18"/>
                <w:szCs w:val="18"/>
              </w:rPr>
            </w:pPr>
            <w:r>
              <w:rPr>
                <w:rFonts w:ascii="宋体"/>
                <w:b/>
                <w:w w:val="95"/>
                <w:sz w:val="18"/>
              </w:rPr>
              <w:t>277,866,826.29</w:t>
            </w:r>
            <w:r>
              <w:rPr>
                <w:rFonts w:ascii="宋体"/>
                <w:sz w:val="18"/>
              </w:rPr>
            </w:r>
          </w:p>
        </w:tc>
        <w:tc>
          <w:tcPr>
            <w:tcW w:w="1515"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72,931,929.34</w:t>
            </w:r>
            <w:r>
              <w:rPr>
                <w:rFonts w:ascii="宋体"/>
                <w:sz w:val="18"/>
              </w:rPr>
            </w:r>
          </w:p>
        </w:tc>
        <w:tc>
          <w:tcPr>
            <w:tcW w:w="166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1,270,729,988.69</w:t>
            </w:r>
            <w:r>
              <w:rPr>
                <w:rFonts w:ascii="宋体"/>
                <w:sz w:val="18"/>
              </w:rPr>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424,346,008.23</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103,587,572.24</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46,784,314.22</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481,149,266.25</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1,321,428.54</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1,321,428.54</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62,999,419.77</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32,261,708.68</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952,900.00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94,308,228.45</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396,595,441.29</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127,502,444.86</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16,756,739.72</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507,341,146.43</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165,660,851.53</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13,749,761.51</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7,841,001.40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171,569,611.64</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14,871,942.38</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765,339.00</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596,974.00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15,040,307.38</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31" w:lineRule="exact"/>
              <w:ind w:right="181"/>
              <w:jc w:val="right"/>
              <w:rPr>
                <w:rFonts w:ascii="宋体" w:hAnsi="宋体" w:cs="宋体" w:eastAsia="宋体" w:hint="default"/>
                <w:sz w:val="18"/>
                <w:szCs w:val="18"/>
              </w:rPr>
            </w:pPr>
            <w:r>
              <w:rPr>
                <w:rFonts w:ascii="宋体"/>
                <w:b/>
                <w:w w:val="95"/>
                <w:sz w:val="18"/>
              </w:rPr>
              <w:t>267,092,979.69</w:t>
            </w:r>
            <w:r>
              <w:rPr>
                <w:rFonts w:ascii="宋体"/>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31" w:lineRule="exact"/>
              <w:ind w:right="224"/>
              <w:jc w:val="right"/>
              <w:rPr>
                <w:rFonts w:ascii="宋体" w:hAnsi="宋体" w:cs="宋体" w:eastAsia="宋体" w:hint="default"/>
                <w:sz w:val="18"/>
                <w:szCs w:val="18"/>
              </w:rPr>
            </w:pPr>
            <w:r>
              <w:rPr>
                <w:rFonts w:ascii="宋体"/>
                <w:b/>
                <w:w w:val="95"/>
                <w:sz w:val="18"/>
              </w:rPr>
              <w:t>98,994,240.69</w:t>
            </w:r>
            <w:r>
              <w:rPr>
                <w:rFonts w:ascii="宋体"/>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b/>
                <w:w w:val="95"/>
                <w:sz w:val="18"/>
              </w:rPr>
              <w:t>15,552,042.97</w:t>
            </w:r>
            <w:r>
              <w:rPr>
                <w:rFonts w:ascii="宋体"/>
                <w:sz w:val="18"/>
              </w:rPr>
            </w:r>
          </w:p>
        </w:tc>
        <w:tc>
          <w:tcPr>
            <w:tcW w:w="1661"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350,535,177.41</w:t>
            </w:r>
            <w:r>
              <w:rPr>
                <w:rFonts w:ascii="宋体"/>
                <w:sz w:val="18"/>
              </w:rPr>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37,378,463.58</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10,049,306.11</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6,983,174.86</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40,444,594.83</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91,483.62</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30,494.38</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121,978.00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11,007,659.34</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24,857,399.48</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191,981.12</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35,673,077.70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152,746,621.06</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60,347,959.34</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6,469,903.11</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206,624,677.29</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60,305,744.72</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387,934.91</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1,656,828.32</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59,036,851.31</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1"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5" w:type="dxa"/>
            <w:tcBorders>
              <w:top w:val="nil" w:sz="6" w:space="0" w:color="auto"/>
              <w:left w:val="nil" w:sz="6" w:space="0" w:color="auto"/>
              <w:bottom w:val="nil" w:sz="6" w:space="0" w:color="auto"/>
              <w:right w:val="nil" w:sz="6" w:space="0" w:color="auto"/>
            </w:tcBorders>
          </w:tcPr>
          <w:p>
            <w:pPr>
              <w:pStyle w:val="TableParagraph"/>
              <w:spacing w:line="231" w:lineRule="exact"/>
              <w:ind w:right="180"/>
              <w:jc w:val="right"/>
              <w:rPr>
                <w:rFonts w:ascii="宋体" w:hAnsi="宋体" w:cs="宋体" w:eastAsia="宋体" w:hint="default"/>
                <w:sz w:val="18"/>
                <w:szCs w:val="18"/>
              </w:rPr>
            </w:pPr>
            <w:r>
              <w:rPr>
                <w:rFonts w:ascii="宋体"/>
                <w:sz w:val="18"/>
              </w:rPr>
              <w:t>5,563,007.37</w:t>
            </w:r>
          </w:p>
        </w:tc>
        <w:tc>
          <w:tcPr>
            <w:tcW w:w="1680" w:type="dxa"/>
            <w:tcBorders>
              <w:top w:val="nil" w:sz="6" w:space="0" w:color="auto"/>
              <w:left w:val="nil" w:sz="6" w:space="0" w:color="auto"/>
              <w:bottom w:val="nil" w:sz="6" w:space="0" w:color="auto"/>
              <w:right w:val="nil" w:sz="6" w:space="0" w:color="auto"/>
            </w:tcBorders>
          </w:tcPr>
          <w:p>
            <w:pPr>
              <w:pStyle w:val="TableParagraph"/>
              <w:spacing w:line="231" w:lineRule="exact"/>
              <w:ind w:right="225"/>
              <w:jc w:val="right"/>
              <w:rPr>
                <w:rFonts w:ascii="宋体" w:hAnsi="宋体" w:cs="宋体" w:eastAsia="宋体" w:hint="default"/>
                <w:sz w:val="18"/>
                <w:szCs w:val="18"/>
              </w:rPr>
            </w:pPr>
            <w:r>
              <w:rPr>
                <w:rFonts w:ascii="宋体"/>
                <w:sz w:val="18"/>
              </w:rPr>
              <w:t>3,321,146.47</w:t>
            </w:r>
          </w:p>
        </w:tc>
        <w:tc>
          <w:tcPr>
            <w:tcW w:w="1515"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250,155.56</w:t>
            </w:r>
          </w:p>
        </w:tc>
        <w:tc>
          <w:tcPr>
            <w:tcW w:w="166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8,633,998.28</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b/>
                <w:w w:val="95"/>
                <w:sz w:val="18"/>
              </w:rPr>
              <w:t>4,624,298.70</w:t>
            </w:r>
            <w:r>
              <w:rPr>
                <w:rFonts w:ascii="宋体"/>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4"/>
              <w:jc w:val="right"/>
              <w:rPr>
                <w:rFonts w:ascii="宋体" w:hAnsi="宋体" w:cs="宋体" w:eastAsia="宋体" w:hint="default"/>
                <w:sz w:val="18"/>
                <w:szCs w:val="18"/>
              </w:rPr>
            </w:pPr>
            <w:r>
              <w:rPr>
                <w:rFonts w:ascii="宋体"/>
                <w:b/>
                <w:w w:val="95"/>
                <w:sz w:val="18"/>
              </w:rPr>
              <w:t>1,750,000.00</w:t>
            </w:r>
            <w:r>
              <w:rPr>
                <w:rFonts w:ascii="宋体"/>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w w:val="95"/>
                <w:sz w:val="18"/>
              </w:rPr>
              <w:t>4,624,298.70</w:t>
            </w:r>
            <w:r>
              <w:rPr>
                <w:rFonts w:ascii="宋体"/>
                <w:sz w:val="18"/>
              </w:rPr>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b/>
                <w:w w:val="95"/>
                <w:sz w:val="18"/>
              </w:rPr>
              <w:t>1,750,000.00</w:t>
            </w:r>
            <w:r>
              <w:rPr>
                <w:rFonts w:ascii="宋体"/>
                <w:sz w:val="18"/>
              </w:rPr>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4,624,298.70</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4,624,298.70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1,750,000.00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1,750,000.00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1"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115" w:type="dxa"/>
            <w:tcBorders>
              <w:top w:val="nil" w:sz="6" w:space="0" w:color="auto"/>
              <w:left w:val="nil" w:sz="6" w:space="0" w:color="auto"/>
              <w:bottom w:val="nil" w:sz="6" w:space="0" w:color="auto"/>
              <w:right w:val="nil" w:sz="6" w:space="0" w:color="auto"/>
            </w:tcBorders>
          </w:tcPr>
          <w:p>
            <w:pPr>
              <w:pStyle w:val="TableParagraph"/>
              <w:spacing w:line="231" w:lineRule="exact"/>
              <w:ind w:right="180"/>
              <w:jc w:val="right"/>
              <w:rPr>
                <w:rFonts w:ascii="宋体" w:hAnsi="宋体" w:cs="宋体" w:eastAsia="宋体" w:hint="default"/>
                <w:sz w:val="18"/>
                <w:szCs w:val="18"/>
              </w:rPr>
            </w:pPr>
            <w:r>
              <w:rPr>
                <w:rFonts w:ascii="宋体"/>
                <w:sz w:val="18"/>
              </w:rPr>
              <w:t>0.00</w:t>
            </w:r>
          </w:p>
        </w:tc>
        <w:tc>
          <w:tcPr>
            <w:tcW w:w="1680" w:type="dxa"/>
            <w:tcBorders>
              <w:top w:val="nil" w:sz="6" w:space="0" w:color="auto"/>
              <w:left w:val="nil" w:sz="6" w:space="0" w:color="auto"/>
              <w:bottom w:val="nil" w:sz="6" w:space="0" w:color="auto"/>
              <w:right w:val="nil" w:sz="6" w:space="0" w:color="auto"/>
            </w:tcBorders>
          </w:tcPr>
          <w:p>
            <w:pPr>
              <w:pStyle w:val="TableParagraph"/>
              <w:spacing w:line="231" w:lineRule="exact"/>
              <w:ind w:right="225"/>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80"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b/>
                <w:w w:val="95"/>
                <w:sz w:val="18"/>
              </w:rPr>
              <w:t>794,077,813.35</w:t>
            </w:r>
            <w:r>
              <w:rPr>
                <w:rFonts w:ascii="宋体"/>
                <w:sz w:val="18"/>
              </w:rPr>
            </w:r>
          </w:p>
        </w:tc>
        <w:tc>
          <w:tcPr>
            <w:tcW w:w="168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b/>
                <w:w w:val="95"/>
                <w:sz w:val="18"/>
              </w:rPr>
              <w:t>918,444,811.28</w:t>
            </w:r>
            <w:r>
              <w:rPr>
                <w:rFonts w:ascii="宋体"/>
                <w:sz w:val="18"/>
              </w:rPr>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382,343,245.95</w:t>
            </w:r>
          </w:p>
        </w:tc>
        <w:tc>
          <w:tcPr>
            <w:tcW w:w="168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440,704,671.42</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1,229,944.92</w:t>
            </w:r>
          </w:p>
        </w:tc>
        <w:tc>
          <w:tcPr>
            <w:tcW w:w="168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1,199,450.54</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51,991,760.43</w:t>
            </w:r>
          </w:p>
        </w:tc>
        <w:tc>
          <w:tcPr>
            <w:tcW w:w="168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56,885,150.75</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1" w:lineRule="exact"/>
              <w:ind w:right="47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115" w:type="dxa"/>
            <w:tcBorders>
              <w:top w:val="nil" w:sz="6" w:space="0" w:color="auto"/>
              <w:left w:val="nil" w:sz="6" w:space="0" w:color="auto"/>
              <w:bottom w:val="nil" w:sz="6" w:space="0" w:color="auto"/>
              <w:right w:val="nil" w:sz="6" w:space="0" w:color="auto"/>
            </w:tcBorders>
          </w:tcPr>
          <w:p>
            <w:pPr>
              <w:pStyle w:val="TableParagraph"/>
              <w:spacing w:line="231" w:lineRule="exact"/>
              <w:ind w:right="180"/>
              <w:jc w:val="right"/>
              <w:rPr>
                <w:rFonts w:ascii="宋体" w:hAnsi="宋体" w:cs="宋体" w:eastAsia="宋体" w:hint="default"/>
                <w:sz w:val="18"/>
                <w:szCs w:val="18"/>
              </w:rPr>
            </w:pPr>
            <w:r>
              <w:rPr>
                <w:rFonts w:ascii="宋体"/>
                <w:sz w:val="18"/>
              </w:rPr>
              <w:t>243,848,820.23</w:t>
            </w:r>
          </w:p>
        </w:tc>
        <w:tc>
          <w:tcPr>
            <w:tcW w:w="168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300,716,469.14</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105,355,106.81</w:t>
            </w:r>
          </w:p>
        </w:tc>
        <w:tc>
          <w:tcPr>
            <w:tcW w:w="168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112,532,760.33</w:t>
            </w:r>
          </w:p>
        </w:tc>
      </w:tr>
      <w:tr>
        <w:trPr>
          <w:trHeight w:val="305" w:hRule="exact"/>
        </w:trPr>
        <w:tc>
          <w:tcPr>
            <w:tcW w:w="1666" w:type="dxa"/>
            <w:tcBorders>
              <w:top w:val="nil" w:sz="6" w:space="0" w:color="auto"/>
              <w:left w:val="nil" w:sz="6" w:space="0" w:color="auto"/>
              <w:bottom w:val="single" w:sz="12" w:space="0" w:color="000000"/>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5" w:type="dxa"/>
            <w:tcBorders>
              <w:top w:val="nil" w:sz="6" w:space="0" w:color="auto"/>
              <w:left w:val="nil" w:sz="6" w:space="0" w:color="auto"/>
              <w:bottom w:val="single" w:sz="12" w:space="0" w:color="000000"/>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9,308,935.01</w:t>
            </w:r>
          </w:p>
        </w:tc>
        <w:tc>
          <w:tcPr>
            <w:tcW w:w="1680" w:type="dxa"/>
            <w:tcBorders>
              <w:top w:val="nil" w:sz="6" w:space="0" w:color="auto"/>
              <w:left w:val="nil" w:sz="6" w:space="0" w:color="auto"/>
              <w:bottom w:val="single" w:sz="12" w:space="0" w:color="000000"/>
              <w:right w:val="nil" w:sz="6" w:space="0" w:color="auto"/>
            </w:tcBorders>
          </w:tcPr>
          <w:p>
            <w:pPr/>
          </w:p>
        </w:tc>
        <w:tc>
          <w:tcPr>
            <w:tcW w:w="1515" w:type="dxa"/>
            <w:tcBorders>
              <w:top w:val="nil" w:sz="6" w:space="0" w:color="auto"/>
              <w:left w:val="nil" w:sz="6" w:space="0" w:color="auto"/>
              <w:bottom w:val="single" w:sz="12" w:space="0" w:color="000000"/>
              <w:right w:val="nil" w:sz="6" w:space="0" w:color="auto"/>
            </w:tcBorders>
          </w:tcPr>
          <w:p>
            <w:pPr/>
          </w:p>
        </w:tc>
        <w:tc>
          <w:tcPr>
            <w:tcW w:w="1661"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6,406,309.10</w:t>
            </w:r>
          </w:p>
        </w:tc>
      </w:tr>
    </w:tbl>
    <w:p>
      <w:pPr>
        <w:spacing w:before="79"/>
        <w:ind w:left="671" w:right="0"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截至 2010 年 12 月 31</w:t>
      </w:r>
      <w:r>
        <w:rPr>
          <w:rFonts w:ascii="宋体" w:hAnsi="宋体" w:cs="宋体" w:eastAsia="宋体" w:hint="default"/>
          <w:spacing w:val="30"/>
          <w:sz w:val="22"/>
          <w:szCs w:val="22"/>
        </w:rPr>
        <w:t> </w:t>
      </w:r>
      <w:r>
        <w:rPr>
          <w:rFonts w:ascii="宋体" w:hAnsi="宋体" w:cs="宋体" w:eastAsia="宋体" w:hint="default"/>
          <w:spacing w:val="4"/>
          <w:sz w:val="22"/>
          <w:szCs w:val="22"/>
        </w:rPr>
        <w:t>日，本公司之控股子公司泰豪科技股份有限公司以账面价值</w:t>
      </w:r>
    </w:p>
    <w:p>
      <w:pPr>
        <w:spacing w:before="102"/>
        <w:ind w:left="218" w:right="0" w:firstLine="0"/>
        <w:jc w:val="left"/>
        <w:rPr>
          <w:rFonts w:ascii="宋体" w:hAnsi="宋体" w:cs="宋体" w:eastAsia="宋体" w:hint="default"/>
          <w:sz w:val="22"/>
          <w:szCs w:val="22"/>
        </w:rPr>
      </w:pPr>
      <w:r>
        <w:rPr>
          <w:rFonts w:ascii="宋体" w:hAnsi="宋体" w:cs="宋体" w:eastAsia="宋体" w:hint="default"/>
          <w:sz w:val="22"/>
          <w:szCs w:val="22"/>
        </w:rPr>
        <w:t>25,485,748.29</w:t>
      </w:r>
      <w:r>
        <w:rPr>
          <w:rFonts w:ascii="宋体" w:hAnsi="宋体" w:cs="宋体" w:eastAsia="宋体" w:hint="default"/>
          <w:spacing w:val="-59"/>
          <w:sz w:val="22"/>
          <w:szCs w:val="22"/>
        </w:rPr>
        <w:t> </w:t>
      </w:r>
      <w:r>
        <w:rPr>
          <w:rFonts w:ascii="宋体" w:hAnsi="宋体" w:cs="宋体" w:eastAsia="宋体" w:hint="default"/>
          <w:sz w:val="22"/>
          <w:szCs w:val="22"/>
        </w:rPr>
        <w:t>元的土地使用权抵押取得长期借款</w:t>
      </w:r>
      <w:r>
        <w:rPr>
          <w:rFonts w:ascii="宋体" w:hAnsi="宋体" w:cs="宋体" w:eastAsia="宋体" w:hint="default"/>
          <w:spacing w:val="-59"/>
          <w:sz w:val="22"/>
          <w:szCs w:val="22"/>
        </w:rPr>
        <w:t> </w:t>
      </w:r>
      <w:r>
        <w:rPr>
          <w:rFonts w:ascii="宋体" w:hAnsi="宋体" w:cs="宋体" w:eastAsia="宋体" w:hint="default"/>
          <w:sz w:val="22"/>
          <w:szCs w:val="22"/>
        </w:rPr>
        <w:t>20,000,000.00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before="180"/>
        <w:ind w:left="67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研究开发支出</w:t>
      </w:r>
    </w:p>
    <w:p>
      <w:pPr>
        <w:spacing w:line="240" w:lineRule="auto" w:before="8"/>
        <w:rPr>
          <w:rFonts w:ascii="宋体" w:hAnsi="宋体" w:cs="宋体" w:eastAsia="宋体" w:hint="default"/>
          <w:sz w:val="13"/>
          <w:szCs w:val="13"/>
        </w:rPr>
      </w:pPr>
    </w:p>
    <w:tbl>
      <w:tblPr>
        <w:tblW w:w="0" w:type="auto"/>
        <w:jc w:val="left"/>
        <w:tblInd w:w="496" w:type="dxa"/>
        <w:tblLayout w:type="fixed"/>
        <w:tblCellMar>
          <w:top w:w="0" w:type="dxa"/>
          <w:left w:w="0" w:type="dxa"/>
          <w:bottom w:w="0" w:type="dxa"/>
          <w:right w:w="0" w:type="dxa"/>
        </w:tblCellMar>
        <w:tblLook w:val="01E0"/>
      </w:tblPr>
      <w:tblGrid>
        <w:gridCol w:w="1120"/>
        <w:gridCol w:w="1670"/>
        <w:gridCol w:w="1486"/>
        <w:gridCol w:w="1396"/>
        <w:gridCol w:w="1486"/>
        <w:gridCol w:w="1480"/>
      </w:tblGrid>
      <w:tr>
        <w:trPr>
          <w:trHeight w:val="303" w:hRule="exact"/>
        </w:trPr>
        <w:tc>
          <w:tcPr>
            <w:tcW w:w="112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9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b/>
                <w:bCs/>
                <w:sz w:val="18"/>
                <w:szCs w:val="18"/>
              </w:rPr>
              <w:t>转入损益</w:t>
            </w:r>
            <w:r>
              <w:rPr>
                <w:rFonts w:ascii="宋体" w:hAnsi="宋体" w:cs="宋体" w:eastAsia="宋体" w:hint="default"/>
                <w:sz w:val="18"/>
                <w:szCs w:val="18"/>
              </w:rPr>
            </w:r>
          </w:p>
        </w:tc>
        <w:tc>
          <w:tcPr>
            <w:tcW w:w="14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转入无形资产</w:t>
            </w:r>
            <w:r>
              <w:rPr>
                <w:rFonts w:ascii="宋体" w:hAnsi="宋体" w:cs="宋体" w:eastAsia="宋体" w:hint="default"/>
                <w:sz w:val="18"/>
                <w:szCs w:val="18"/>
              </w:rPr>
            </w:r>
          </w:p>
        </w:tc>
        <w:tc>
          <w:tcPr>
            <w:tcW w:w="148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2" w:hRule="exact"/>
        </w:trPr>
        <w:tc>
          <w:tcPr>
            <w:tcW w:w="112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0.00</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z w:val="18"/>
              </w:rPr>
              <w:t>17,661,637.90</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26" w:lineRule="exact"/>
              <w:ind w:left="9" w:right="0"/>
              <w:jc w:val="center"/>
              <w:rPr>
                <w:rFonts w:ascii="宋体" w:hAnsi="宋体" w:cs="宋体" w:eastAsia="宋体" w:hint="default"/>
                <w:sz w:val="18"/>
                <w:szCs w:val="18"/>
              </w:rPr>
            </w:pPr>
            <w:r>
              <w:rPr>
                <w:rFonts w:ascii="宋体"/>
                <w:sz w:val="18"/>
              </w:rPr>
              <w:t>17,661,637.90</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0.00</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1120"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153,183,399.30</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270,419,114.01</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32" w:lineRule="exact"/>
              <w:ind w:left="9" w:right="0"/>
              <w:jc w:val="center"/>
              <w:rPr>
                <w:rFonts w:ascii="宋体" w:hAnsi="宋体" w:cs="宋体" w:eastAsia="宋体" w:hint="default"/>
                <w:sz w:val="18"/>
                <w:szCs w:val="18"/>
              </w:rPr>
            </w:pPr>
            <w:r>
              <w:rPr>
                <w:rFonts w:ascii="宋体"/>
                <w:sz w:val="18"/>
              </w:rPr>
              <w:t>21,160,363.22</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109,003,761.65</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293,438,388.44</w:t>
            </w:r>
          </w:p>
        </w:tc>
      </w:tr>
      <w:tr>
        <w:trPr>
          <w:trHeight w:val="303" w:hRule="exact"/>
        </w:trPr>
        <w:tc>
          <w:tcPr>
            <w:tcW w:w="112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153,183,399.30</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288,080,751.91</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b/>
                <w:sz w:val="18"/>
              </w:rPr>
              <w:t>38,822,001.12</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109,003,761.65</w:t>
            </w:r>
            <w:r>
              <w:rPr>
                <w:rFonts w:ascii="宋体"/>
                <w:sz w:val="18"/>
              </w:rPr>
            </w:r>
          </w:p>
        </w:tc>
        <w:tc>
          <w:tcPr>
            <w:tcW w:w="148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293,438,388.44</w:t>
            </w:r>
            <w:r>
              <w:rPr>
                <w:rFonts w:ascii="宋体"/>
                <w:sz w:val="18"/>
              </w:rPr>
            </w:r>
          </w:p>
        </w:tc>
      </w:tr>
    </w:tbl>
    <w:p>
      <w:pPr>
        <w:spacing w:before="79"/>
        <w:ind w:left="658" w:right="0" w:firstLine="0"/>
        <w:jc w:val="left"/>
        <w:rPr>
          <w:rFonts w:ascii="宋体" w:hAnsi="宋体" w:cs="宋体" w:eastAsia="宋体" w:hint="default"/>
          <w:sz w:val="22"/>
          <w:szCs w:val="22"/>
        </w:rPr>
      </w:pPr>
      <w:r>
        <w:rPr>
          <w:rFonts w:ascii="宋体" w:hAnsi="宋体" w:cs="宋体" w:eastAsia="宋体" w:hint="default"/>
          <w:sz w:val="22"/>
          <w:szCs w:val="22"/>
        </w:rPr>
        <w:t>本期开发支出占本期研究开发项目支出总额的</w:t>
      </w:r>
      <w:r>
        <w:rPr>
          <w:rFonts w:ascii="宋体" w:hAnsi="宋体" w:cs="宋体" w:eastAsia="宋体" w:hint="default"/>
          <w:spacing w:val="-64"/>
          <w:sz w:val="22"/>
          <w:szCs w:val="22"/>
        </w:rPr>
        <w:t> </w:t>
      </w:r>
      <w:r>
        <w:rPr>
          <w:rFonts w:ascii="宋体" w:hAnsi="宋体" w:cs="宋体" w:eastAsia="宋体" w:hint="default"/>
          <w:sz w:val="22"/>
          <w:szCs w:val="22"/>
        </w:rPr>
        <w:t>93.87%。</w:t>
      </w:r>
    </w:p>
    <w:p>
      <w:pPr>
        <w:spacing w:before="180"/>
        <w:ind w:left="67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商誉</w:t>
      </w:r>
    </w:p>
    <w:p>
      <w:pPr>
        <w:spacing w:line="240" w:lineRule="auto" w:before="5"/>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195"/>
        <w:gridCol w:w="1964"/>
        <w:gridCol w:w="1377"/>
        <w:gridCol w:w="1454"/>
        <w:gridCol w:w="1421"/>
      </w:tblGrid>
      <w:tr>
        <w:trPr>
          <w:trHeight w:val="274" w:hRule="exact"/>
        </w:trPr>
        <w:tc>
          <w:tcPr>
            <w:tcW w:w="3195"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964"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203"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77"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54"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21"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92"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55"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13" w:lineRule="exact"/>
              <w:ind w:left="249" w:right="0"/>
              <w:jc w:val="center"/>
              <w:rPr>
                <w:rFonts w:ascii="宋体" w:hAnsi="宋体" w:cs="宋体" w:eastAsia="宋体" w:hint="default"/>
                <w:sz w:val="18"/>
                <w:szCs w:val="18"/>
              </w:rPr>
            </w:pPr>
            <w:r>
              <w:rPr>
                <w:rFonts w:ascii="宋体"/>
                <w:sz w:val="18"/>
              </w:rPr>
              <w:t>6,615,303.96</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13" w:lineRule="exact"/>
              <w:ind w:right="133"/>
              <w:jc w:val="right"/>
              <w:rPr>
                <w:rFonts w:ascii="宋体" w:hAnsi="宋体" w:cs="宋体" w:eastAsia="宋体" w:hint="default"/>
                <w:sz w:val="18"/>
                <w:szCs w:val="18"/>
              </w:rPr>
            </w:pPr>
            <w:r>
              <w:rPr>
                <w:rFonts w:ascii="宋体"/>
                <w:sz w:val="18"/>
              </w:rPr>
              <w:t>0.00</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13" w:lineRule="exact"/>
              <w:ind w:right="236"/>
              <w:jc w:val="right"/>
              <w:rPr>
                <w:rFonts w:ascii="宋体" w:hAnsi="宋体" w:cs="宋体" w:eastAsia="宋体" w:hint="default"/>
                <w:sz w:val="18"/>
                <w:szCs w:val="18"/>
              </w:rPr>
            </w:pPr>
            <w:r>
              <w:rPr>
                <w:rFonts w:ascii="宋体"/>
                <w:sz w:val="18"/>
              </w:rPr>
              <w:t>1,809,313.91</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13" w:lineRule="exact"/>
              <w:ind w:left="136" w:right="0"/>
              <w:jc w:val="center"/>
              <w:rPr>
                <w:rFonts w:ascii="宋体" w:hAnsi="宋体" w:cs="宋体" w:eastAsia="宋体" w:hint="default"/>
                <w:sz w:val="18"/>
                <w:szCs w:val="18"/>
              </w:rPr>
            </w:pPr>
            <w:r>
              <w:rPr>
                <w:rFonts w:ascii="宋体"/>
                <w:sz w:val="18"/>
              </w:rPr>
              <w:t>4,805,990.05</w:t>
            </w:r>
          </w:p>
        </w:tc>
      </w:tr>
      <w:tr>
        <w:trPr>
          <w:trHeight w:val="276" w:hRule="exact"/>
        </w:trPr>
        <w:tc>
          <w:tcPr>
            <w:tcW w:w="3195" w:type="dxa"/>
            <w:tcBorders>
              <w:top w:val="nil" w:sz="6" w:space="0" w:color="auto"/>
              <w:left w:val="nil" w:sz="6" w:space="0" w:color="auto"/>
              <w:bottom w:val="single" w:sz="12" w:space="0" w:color="000000"/>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1964" w:type="dxa"/>
            <w:tcBorders>
              <w:top w:val="nil" w:sz="6" w:space="0" w:color="auto"/>
              <w:left w:val="nil" w:sz="6" w:space="0" w:color="auto"/>
              <w:bottom w:val="single" w:sz="12" w:space="0" w:color="000000"/>
              <w:right w:val="nil" w:sz="6" w:space="0" w:color="auto"/>
            </w:tcBorders>
          </w:tcPr>
          <w:p>
            <w:pPr>
              <w:pStyle w:val="TableParagraph"/>
              <w:spacing w:line="218" w:lineRule="exact"/>
              <w:ind w:left="249" w:right="0"/>
              <w:jc w:val="center"/>
              <w:rPr>
                <w:rFonts w:ascii="宋体" w:hAnsi="宋体" w:cs="宋体" w:eastAsia="宋体" w:hint="default"/>
                <w:sz w:val="18"/>
                <w:szCs w:val="18"/>
              </w:rPr>
            </w:pPr>
            <w:r>
              <w:rPr>
                <w:rFonts w:ascii="宋体"/>
                <w:sz w:val="18"/>
              </w:rPr>
              <w:t>2,325,679.43</w:t>
            </w:r>
          </w:p>
        </w:tc>
        <w:tc>
          <w:tcPr>
            <w:tcW w:w="1377" w:type="dxa"/>
            <w:tcBorders>
              <w:top w:val="nil" w:sz="6" w:space="0" w:color="auto"/>
              <w:left w:val="nil" w:sz="6" w:space="0" w:color="auto"/>
              <w:bottom w:val="single" w:sz="12" w:space="0" w:color="000000"/>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sz w:val="18"/>
              </w:rPr>
              <w:t>0.00</w:t>
            </w:r>
          </w:p>
        </w:tc>
        <w:tc>
          <w:tcPr>
            <w:tcW w:w="1454" w:type="dxa"/>
            <w:tcBorders>
              <w:top w:val="nil" w:sz="6" w:space="0" w:color="auto"/>
              <w:left w:val="nil" w:sz="6" w:space="0" w:color="auto"/>
              <w:bottom w:val="single" w:sz="12" w:space="0" w:color="000000"/>
              <w:right w:val="nil" w:sz="6" w:space="0" w:color="auto"/>
            </w:tcBorders>
          </w:tcPr>
          <w:p>
            <w:pPr>
              <w:pStyle w:val="TableParagraph"/>
              <w:spacing w:line="218" w:lineRule="exact"/>
              <w:ind w:right="236"/>
              <w:jc w:val="right"/>
              <w:rPr>
                <w:rFonts w:ascii="宋体" w:hAnsi="宋体" w:cs="宋体" w:eastAsia="宋体" w:hint="default"/>
                <w:sz w:val="18"/>
                <w:szCs w:val="18"/>
              </w:rPr>
            </w:pPr>
            <w:r>
              <w:rPr>
                <w:rFonts w:ascii="宋体"/>
                <w:sz w:val="18"/>
              </w:rPr>
              <w:t>0.00</w:t>
            </w:r>
          </w:p>
        </w:tc>
        <w:tc>
          <w:tcPr>
            <w:tcW w:w="1421" w:type="dxa"/>
            <w:tcBorders>
              <w:top w:val="nil" w:sz="6" w:space="0" w:color="auto"/>
              <w:left w:val="nil" w:sz="6" w:space="0" w:color="auto"/>
              <w:bottom w:val="single" w:sz="12" w:space="0" w:color="000000"/>
              <w:right w:val="nil" w:sz="6" w:space="0" w:color="auto"/>
            </w:tcBorders>
          </w:tcPr>
          <w:p>
            <w:pPr>
              <w:pStyle w:val="TableParagraph"/>
              <w:spacing w:line="218" w:lineRule="exact"/>
              <w:ind w:left="136" w:right="0"/>
              <w:jc w:val="center"/>
              <w:rPr>
                <w:rFonts w:ascii="宋体" w:hAnsi="宋体" w:cs="宋体" w:eastAsia="宋体" w:hint="default"/>
                <w:sz w:val="18"/>
                <w:szCs w:val="18"/>
              </w:rPr>
            </w:pPr>
            <w:r>
              <w:rPr>
                <w:rFonts w:ascii="宋体"/>
                <w:sz w:val="18"/>
              </w:rPr>
              <w:t>2,325,679.43</w:t>
            </w:r>
          </w:p>
        </w:tc>
      </w:tr>
    </w:tbl>
    <w:p>
      <w:pPr>
        <w:spacing w:after="0" w:line="218" w:lineRule="exact"/>
        <w:jc w:val="center"/>
        <w:rPr>
          <w:rFonts w:ascii="宋体" w:hAnsi="宋体" w:cs="宋体" w:eastAsia="宋体" w:hint="default"/>
          <w:sz w:val="18"/>
          <w:szCs w:val="18"/>
        </w:rPr>
        <w:sectPr>
          <w:pgSz w:w="11910" w:h="16840"/>
          <w:pgMar w:header="610" w:footer="784" w:top="1080" w:bottom="980" w:left="120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379"/>
        <w:gridCol w:w="1571"/>
        <w:gridCol w:w="1559"/>
        <w:gridCol w:w="1350"/>
        <w:gridCol w:w="1552"/>
      </w:tblGrid>
      <w:tr>
        <w:trPr>
          <w:trHeight w:val="274" w:hRule="exact"/>
        </w:trPr>
        <w:tc>
          <w:tcPr>
            <w:tcW w:w="3379"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71"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59"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52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50"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52"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52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55" w:hRule="exact"/>
        </w:trPr>
        <w:tc>
          <w:tcPr>
            <w:tcW w:w="3379"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571" w:type="dxa"/>
            <w:tcBorders>
              <w:top w:val="single" w:sz="4" w:space="0" w:color="000000"/>
              <w:left w:val="nil" w:sz="6" w:space="0" w:color="auto"/>
              <w:bottom w:val="nil" w:sz="6" w:space="0" w:color="auto"/>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sz w:val="18"/>
              </w:rPr>
              <w:t>3,173,180.06</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sz w:val="18"/>
              </w:rPr>
              <w:t>0.00</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sz w:val="18"/>
              </w:rPr>
              <w:t>0.00</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13" w:lineRule="exact"/>
              <w:ind w:right="100"/>
              <w:jc w:val="right"/>
              <w:rPr>
                <w:rFonts w:ascii="宋体" w:hAnsi="宋体" w:cs="宋体" w:eastAsia="宋体" w:hint="default"/>
                <w:sz w:val="18"/>
                <w:szCs w:val="18"/>
              </w:rPr>
            </w:pPr>
            <w:r>
              <w:rPr>
                <w:rFonts w:ascii="宋体"/>
                <w:sz w:val="18"/>
              </w:rPr>
              <w:t>3,173,180.06</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324,580.94</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324,580.94</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北京泰豪太阳能电源技术有限公司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354,671.64</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354,671.64</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江西同方昌明消防车辆有限公司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52,740.49</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52,740.49</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鞍山同方奥科电子有限公司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825,006.55</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825,006.55</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sz w:val="18"/>
              </w:rPr>
              <w:t>Distech Controls Inc.</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71,347,861.80</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71,347,861.80</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Distech France Holding S.A.S.</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43,736,428.07</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43,736,428.07</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上海畅想文化发展有限公司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333,522.58</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333,522.58</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0.00</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Tinggi Technologies Private Limited</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756,109.66</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756,109.66</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197,863,279.07</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197,863,279.07</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1,286,280.05</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1,286,280.05</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110,441.27</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110,441.27</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1,993,272.21</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1,993,272.21</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8,621,695.31</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8,621,695.31</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5,040,000.00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5,040,000.00</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同方健康科技（北京）有限公司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1,891,614.86</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1,891,614.86</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Technovator Int. Private Ltd.</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663,112.00</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663,112.00</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4,041,174.42</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4,041,174.42</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375,077.30</w:t>
            </w:r>
          </w:p>
        </w:tc>
        <w:tc>
          <w:tcPr>
            <w:tcW w:w="1559"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375,077.30</w:t>
            </w:r>
          </w:p>
        </w:tc>
      </w:tr>
      <w:tr>
        <w:trPr>
          <w:trHeight w:val="25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18,158,296.64</w:t>
            </w:r>
          </w:p>
        </w:tc>
        <w:tc>
          <w:tcPr>
            <w:tcW w:w="155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18,158,296.64</w:t>
            </w:r>
          </w:p>
        </w:tc>
      </w:tr>
      <w:tr>
        <w:trPr>
          <w:trHeight w:val="266" w:hRule="exact"/>
        </w:trPr>
        <w:tc>
          <w:tcPr>
            <w:tcW w:w="3379" w:type="dxa"/>
            <w:tcBorders>
              <w:top w:val="nil" w:sz="6" w:space="0" w:color="auto"/>
              <w:left w:val="nil" w:sz="6" w:space="0" w:color="auto"/>
              <w:bottom w:val="single" w:sz="4"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4,854,778.31</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0.00</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4,854,778.31</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0.00</w:t>
            </w:r>
          </w:p>
        </w:tc>
      </w:tr>
      <w:tr>
        <w:trPr>
          <w:trHeight w:val="275" w:hRule="exact"/>
        </w:trPr>
        <w:tc>
          <w:tcPr>
            <w:tcW w:w="3379"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120" w:right="0"/>
              <w:jc w:val="left"/>
              <w:rPr>
                <w:rFonts w:ascii="宋体" w:hAnsi="宋体" w:cs="宋体" w:eastAsia="宋体" w:hint="default"/>
                <w:sz w:val="18"/>
                <w:szCs w:val="18"/>
              </w:rPr>
            </w:pPr>
            <w:r>
              <w:rPr>
                <w:rFonts w:ascii="宋体"/>
                <w:b/>
                <w:sz w:val="18"/>
              </w:rPr>
              <w:t>133,144,399.48</w:t>
            </w:r>
            <w:r>
              <w:rPr>
                <w:rFonts w:ascii="宋体"/>
                <w:sz w:val="18"/>
              </w:rPr>
            </w: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107" w:right="0"/>
              <w:jc w:val="left"/>
              <w:rPr>
                <w:rFonts w:ascii="宋体" w:hAnsi="宋体" w:cs="宋体" w:eastAsia="宋体" w:hint="default"/>
                <w:sz w:val="18"/>
                <w:szCs w:val="18"/>
              </w:rPr>
            </w:pPr>
            <w:r>
              <w:rPr>
                <w:rFonts w:ascii="宋体"/>
                <w:b/>
                <w:sz w:val="18"/>
              </w:rPr>
              <w:t>241,599,707.14</w:t>
            </w:r>
            <w:r>
              <w:rPr>
                <w:rFonts w:ascii="宋体"/>
                <w:sz w:val="18"/>
              </w:rPr>
            </w:r>
          </w:p>
        </w:tc>
        <w:tc>
          <w:tcPr>
            <w:tcW w:w="1350" w:type="dxa"/>
            <w:tcBorders>
              <w:top w:val="single" w:sz="4" w:space="0" w:color="000000"/>
              <w:left w:val="nil" w:sz="6" w:space="0" w:color="auto"/>
              <w:bottom w:val="single" w:sz="12" w:space="0" w:color="000000"/>
              <w:right w:val="nil" w:sz="6" w:space="0" w:color="auto"/>
            </w:tcBorders>
          </w:tcPr>
          <w:p>
            <w:pPr>
              <w:pStyle w:val="TableParagraph"/>
              <w:spacing w:line="212" w:lineRule="exact"/>
              <w:ind w:right="150"/>
              <w:jc w:val="right"/>
              <w:rPr>
                <w:rFonts w:ascii="宋体" w:hAnsi="宋体" w:cs="宋体" w:eastAsia="宋体" w:hint="default"/>
                <w:sz w:val="18"/>
                <w:szCs w:val="18"/>
              </w:rPr>
            </w:pPr>
            <w:r>
              <w:rPr>
                <w:rFonts w:ascii="宋体"/>
                <w:b/>
                <w:w w:val="95"/>
                <w:sz w:val="18"/>
              </w:rPr>
              <w:t>6,997,614.80</w:t>
            </w:r>
            <w:r>
              <w:rPr>
                <w:rFonts w:ascii="宋体"/>
                <w:sz w:val="18"/>
              </w:rPr>
            </w:r>
          </w:p>
        </w:tc>
        <w:tc>
          <w:tcPr>
            <w:tcW w:w="1552"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107" w:right="0"/>
              <w:jc w:val="left"/>
              <w:rPr>
                <w:rFonts w:ascii="宋体" w:hAnsi="宋体" w:cs="宋体" w:eastAsia="宋体" w:hint="default"/>
                <w:sz w:val="18"/>
                <w:szCs w:val="18"/>
              </w:rPr>
            </w:pPr>
            <w:r>
              <w:rPr>
                <w:rFonts w:ascii="宋体"/>
                <w:b/>
                <w:sz w:val="18"/>
              </w:rPr>
              <w:t>367,746,491.82</w:t>
            </w:r>
            <w:r>
              <w:rPr>
                <w:rFonts w:ascii="宋体"/>
                <w:sz w:val="18"/>
              </w:rPr>
            </w:r>
          </w:p>
        </w:tc>
      </w:tr>
    </w:tbl>
    <w:p>
      <w:pPr>
        <w:spacing w:after="0" w:line="212" w:lineRule="exact"/>
        <w:jc w:val="left"/>
        <w:rPr>
          <w:rFonts w:ascii="宋体" w:hAnsi="宋体" w:cs="宋体" w:eastAsia="宋体" w:hint="default"/>
          <w:sz w:val="18"/>
          <w:szCs w:val="18"/>
        </w:rPr>
        <w:sectPr>
          <w:pgSz w:w="11910" w:h="16840"/>
          <w:pgMar w:header="610" w:footer="784" w:top="1080" w:bottom="980" w:left="1200" w:right="1080"/>
        </w:sectPr>
      </w:pPr>
    </w:p>
    <w:p>
      <w:pPr>
        <w:spacing w:before="79"/>
        <w:ind w:left="67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长期待摊费用</w:t>
      </w:r>
    </w:p>
    <w:p>
      <w:pPr>
        <w:spacing w:line="240" w:lineRule="auto" w:before="1"/>
        <w:rPr>
          <w:rFonts w:ascii="宋体" w:hAnsi="宋体" w:cs="宋体" w:eastAsia="宋体" w:hint="default"/>
          <w:sz w:val="19"/>
          <w:szCs w:val="19"/>
        </w:rPr>
      </w:pPr>
    </w:p>
    <w:p>
      <w:pPr>
        <w:tabs>
          <w:tab w:pos="2876" w:val="left" w:leader="none"/>
          <w:tab w:pos="4271" w:val="left" w:leader="none"/>
          <w:tab w:pos="5668" w:val="left" w:leader="none"/>
          <w:tab w:pos="6920" w:val="left" w:leader="none"/>
        </w:tabs>
        <w:spacing w:line="144" w:lineRule="auto" w:before="0"/>
        <w:ind w:left="7010" w:right="0" w:hanging="6406"/>
        <w:jc w:val="left"/>
        <w:rPr>
          <w:rFonts w:ascii="宋体" w:hAnsi="宋体" w:cs="宋体" w:eastAsia="宋体" w:hint="default"/>
          <w:sz w:val="18"/>
          <w:szCs w:val="18"/>
        </w:rPr>
      </w:pPr>
      <w:r>
        <w:rPr/>
        <w:pict>
          <v:group style="position:absolute;margin-left:84.839996pt;margin-top:-4.402681pt;width:431.9pt;height:.1pt;mso-position-horizontal-relative:page;mso-position-vertical-relative:paragraph;z-index:4456" coordorigin="1697,-88" coordsize="8638,2">
            <v:shape style="position:absolute;left:1697;top:-88;width:8638;height:2" coordorigin="1697,-88" coordsize="8638,0" path="m1697,-88l10334,-88e" filled="false" stroked="true" strokeweight="1.5pt" strokecolor="#000000">
              <v:path arrowok="t"/>
            </v:shape>
            <w10:wrap type="none"/>
          </v:group>
        </w:pict>
      </w:r>
      <w:r>
        <w:rPr>
          <w:rFonts w:ascii="宋体" w:hAnsi="宋体" w:cs="宋体" w:eastAsia="宋体" w:hint="default"/>
          <w:b/>
          <w:bCs/>
          <w:w w:val="95"/>
          <w:sz w:val="18"/>
          <w:szCs w:val="18"/>
        </w:rPr>
        <w:t>项目</w:t>
        <w:tab/>
        <w:t>年初金额</w:t>
        <w:tab/>
        <w:t>本期增加</w:t>
        <w:tab/>
        <w:t>本期摊销</w:t>
        <w:tab/>
      </w:r>
      <w:r>
        <w:rPr>
          <w:rFonts w:ascii="宋体" w:hAnsi="宋体" w:cs="宋体" w:eastAsia="宋体" w:hint="default"/>
          <w:b/>
          <w:bCs/>
          <w:position w:val="10"/>
          <w:sz w:val="18"/>
          <w:szCs w:val="18"/>
        </w:rPr>
        <w:t>其他减</w:t>
      </w:r>
      <w:r>
        <w:rPr>
          <w:rFonts w:ascii="宋体" w:hAnsi="宋体" w:cs="宋体" w:eastAsia="宋体" w:hint="default"/>
          <w:b/>
          <w:bCs/>
          <w:spacing w:val="1"/>
          <w:w w:val="99"/>
          <w:position w:val="10"/>
          <w:sz w:val="18"/>
          <w:szCs w:val="18"/>
        </w:rPr>
        <w:t> </w:t>
      </w:r>
      <w:r>
        <w:rPr>
          <w:rFonts w:ascii="宋体" w:hAnsi="宋体" w:cs="宋体" w:eastAsia="宋体" w:hint="default"/>
          <w:b/>
          <w:bCs/>
          <w:sz w:val="18"/>
          <w:szCs w:val="18"/>
        </w:rPr>
        <w:t>少额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before="139"/>
        <w:ind w:left="532" w:right="0" w:firstLine="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00" w:right="1080"/>
          <w:cols w:num="2" w:equalWidth="0">
            <w:col w:w="7465" w:space="40"/>
            <w:col w:w="2125"/>
          </w:cols>
        </w:sectPr>
      </w:pPr>
    </w:p>
    <w:p>
      <w:pPr>
        <w:tabs>
          <w:tab w:pos="2927" w:val="left" w:leader="none"/>
          <w:tab w:pos="4143" w:val="left" w:leader="none"/>
          <w:tab w:pos="5720" w:val="left" w:leader="none"/>
          <w:tab w:pos="7067" w:val="left" w:leader="none"/>
          <w:tab w:pos="7953" w:val="left" w:leader="none"/>
        </w:tabs>
        <w:spacing w:line="227" w:lineRule="exact" w:before="0"/>
        <w:ind w:left="604" w:right="0" w:firstLine="0"/>
        <w:jc w:val="left"/>
        <w:rPr>
          <w:rFonts w:ascii="宋体" w:hAnsi="宋体" w:cs="宋体" w:eastAsia="宋体" w:hint="default"/>
          <w:sz w:val="18"/>
          <w:szCs w:val="18"/>
        </w:rPr>
      </w:pPr>
      <w:r>
        <w:rPr/>
        <w:pict>
          <v:group style="position:absolute;margin-left:84.839996pt;margin-top:1.514921pt;width:431.9pt;height:.1pt;mso-position-horizontal-relative:page;mso-position-vertical-relative:paragraph;z-index:-1046560" coordorigin="1697,30" coordsize="8638,2">
            <v:shape style="position:absolute;left:1697;top:30;width:8638;height:2" coordorigin="1697,30" coordsize="8638,0" path="m1697,30l10334,30e" filled="false" stroked="true" strokeweight=".48pt" strokecolor="#000000">
              <v:path arrowok="t"/>
            </v:shape>
            <w10:wrap type="none"/>
          </v:group>
        </w:pict>
      </w:r>
      <w:r>
        <w:rPr>
          <w:rFonts w:ascii="宋体" w:hAnsi="宋体" w:cs="宋体" w:eastAsia="宋体" w:hint="default"/>
          <w:sz w:val="18"/>
          <w:szCs w:val="18"/>
        </w:rPr>
        <w:t>设计改造费</w:t>
        <w:tab/>
        <w:t>233,320.65</w:t>
        <w:tab/>
        <w:t>1,002,867.05</w:t>
        <w:tab/>
        <w:t>234,662.11</w:t>
        <w:tab/>
      </w:r>
      <w:r>
        <w:rPr>
          <w:rFonts w:ascii="宋体" w:hAnsi="宋体" w:cs="宋体" w:eastAsia="宋体" w:hint="default"/>
          <w:sz w:val="24"/>
          <w:szCs w:val="24"/>
        </w:rPr>
        <w:t>0.00</w:t>
        <w:tab/>
      </w:r>
      <w:r>
        <w:rPr>
          <w:rFonts w:ascii="宋体" w:hAnsi="宋体" w:cs="宋体" w:eastAsia="宋体" w:hint="default"/>
          <w:sz w:val="18"/>
          <w:szCs w:val="18"/>
        </w:rPr>
        <w:t>1,001,525.59</w:t>
      </w:r>
    </w:p>
    <w:p>
      <w:pPr>
        <w:tabs>
          <w:tab w:pos="2657" w:val="left" w:leader="none"/>
          <w:tab w:pos="4743" w:val="left" w:leader="none"/>
          <w:tab w:pos="5720" w:val="left" w:leader="none"/>
          <w:tab w:pos="7067" w:val="left" w:leader="none"/>
          <w:tab w:pos="7863" w:val="left" w:leader="none"/>
        </w:tabs>
        <w:spacing w:line="255" w:lineRule="exact"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清华大学土地租金</w:t>
        <w:tab/>
        <w:t>12,256,995.80</w:t>
        <w:tab/>
      </w:r>
      <w:r>
        <w:rPr>
          <w:rFonts w:ascii="宋体" w:hAnsi="宋体" w:cs="宋体" w:eastAsia="宋体" w:hint="default"/>
          <w:sz w:val="24"/>
          <w:szCs w:val="24"/>
        </w:rPr>
        <w:t>0.00</w:t>
        <w:tab/>
      </w:r>
      <w:r>
        <w:rPr>
          <w:rFonts w:ascii="宋体" w:hAnsi="宋体" w:cs="宋体" w:eastAsia="宋体" w:hint="default"/>
          <w:sz w:val="18"/>
          <w:szCs w:val="18"/>
        </w:rPr>
        <w:t>366,873.90</w:t>
        <w:tab/>
      </w:r>
      <w:r>
        <w:rPr>
          <w:rFonts w:ascii="宋体" w:hAnsi="宋体" w:cs="宋体" w:eastAsia="宋体" w:hint="default"/>
          <w:sz w:val="24"/>
          <w:szCs w:val="24"/>
        </w:rPr>
        <w:t>0.00</w:t>
        <w:tab/>
      </w:r>
      <w:r>
        <w:rPr>
          <w:rFonts w:ascii="宋体" w:hAnsi="宋体" w:cs="宋体" w:eastAsia="宋体" w:hint="default"/>
          <w:sz w:val="18"/>
          <w:szCs w:val="18"/>
        </w:rPr>
        <w:t>11,890,121.90</w:t>
      </w:r>
    </w:p>
    <w:p>
      <w:pPr>
        <w:tabs>
          <w:tab w:pos="2748" w:val="left" w:leader="none"/>
          <w:tab w:pos="4743" w:val="left" w:leader="none"/>
          <w:tab w:pos="5720" w:val="left" w:leader="none"/>
          <w:tab w:pos="7067" w:val="left" w:leader="none"/>
          <w:tab w:pos="7953" w:val="left" w:leader="none"/>
        </w:tabs>
        <w:spacing w:line="255" w:lineRule="exact"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清华大学房屋租金</w:t>
        <w:tab/>
        <w:t>2,083,397.80</w:t>
        <w:tab/>
      </w:r>
      <w:r>
        <w:rPr>
          <w:rFonts w:ascii="宋体" w:hAnsi="宋体" w:cs="宋体" w:eastAsia="宋体" w:hint="default"/>
          <w:sz w:val="24"/>
          <w:szCs w:val="24"/>
        </w:rPr>
        <w:t>0.00</w:t>
        <w:tab/>
      </w:r>
      <w:r>
        <w:rPr>
          <w:rFonts w:ascii="宋体" w:hAnsi="宋体" w:cs="宋体" w:eastAsia="宋体" w:hint="default"/>
          <w:sz w:val="18"/>
          <w:szCs w:val="18"/>
        </w:rPr>
        <w:t>675,696.69</w:t>
        <w:tab/>
      </w:r>
      <w:r>
        <w:rPr>
          <w:rFonts w:ascii="宋体" w:hAnsi="宋体" w:cs="宋体" w:eastAsia="宋体" w:hint="default"/>
          <w:sz w:val="24"/>
          <w:szCs w:val="24"/>
        </w:rPr>
        <w:t>0.00</w:t>
        <w:tab/>
      </w:r>
      <w:r>
        <w:rPr>
          <w:rFonts w:ascii="宋体" w:hAnsi="宋体" w:cs="宋体" w:eastAsia="宋体" w:hint="default"/>
          <w:sz w:val="18"/>
          <w:szCs w:val="18"/>
        </w:rPr>
        <w:t>1,407,701.11</w:t>
      </w:r>
    </w:p>
    <w:p>
      <w:pPr>
        <w:tabs>
          <w:tab w:pos="2658" w:val="left" w:leader="none"/>
          <w:tab w:pos="4143" w:val="left" w:leader="none"/>
          <w:tab w:pos="5540" w:val="left" w:leader="none"/>
          <w:tab w:pos="7067" w:val="left" w:leader="none"/>
          <w:tab w:pos="7863" w:val="left" w:leader="none"/>
        </w:tabs>
        <w:spacing w:line="255" w:lineRule="exact"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办公楼装修改造费</w:t>
        <w:tab/>
        <w:t>19,256,099.71</w:t>
        <w:tab/>
        <w:t>9,577,566.32</w:t>
        <w:tab/>
        <w:t>4,433,727.70</w:t>
        <w:tab/>
      </w:r>
      <w:r>
        <w:rPr>
          <w:rFonts w:ascii="宋体" w:hAnsi="宋体" w:cs="宋体" w:eastAsia="宋体" w:hint="default"/>
          <w:sz w:val="24"/>
          <w:szCs w:val="24"/>
        </w:rPr>
        <w:t>0.00</w:t>
        <w:tab/>
      </w:r>
      <w:r>
        <w:rPr>
          <w:rFonts w:ascii="宋体" w:hAnsi="宋体" w:cs="宋体" w:eastAsia="宋体" w:hint="default"/>
          <w:sz w:val="18"/>
          <w:szCs w:val="18"/>
        </w:rPr>
        <w:t>24,399,938.33</w:t>
      </w:r>
    </w:p>
    <w:p>
      <w:pPr>
        <w:tabs>
          <w:tab w:pos="2747" w:val="left" w:leader="none"/>
          <w:tab w:pos="4743" w:val="left" w:leader="none"/>
          <w:tab w:pos="5540" w:val="left" w:leader="none"/>
          <w:tab w:pos="7067" w:val="left" w:leader="none"/>
          <w:tab w:pos="7953" w:val="left" w:leader="none"/>
        </w:tabs>
        <w:spacing w:line="284" w:lineRule="exact"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超低能耗示范楼使用权</w:t>
        <w:tab/>
        <w:t>4,080,000.00</w:t>
        <w:tab/>
      </w:r>
      <w:r>
        <w:rPr>
          <w:rFonts w:ascii="宋体" w:hAnsi="宋体" w:cs="宋体" w:eastAsia="宋体" w:hint="default"/>
          <w:sz w:val="24"/>
          <w:szCs w:val="24"/>
        </w:rPr>
        <w:t>0.00</w:t>
        <w:tab/>
      </w:r>
      <w:r>
        <w:rPr>
          <w:rFonts w:ascii="宋体" w:hAnsi="宋体" w:cs="宋体" w:eastAsia="宋体" w:hint="default"/>
          <w:sz w:val="18"/>
          <w:szCs w:val="18"/>
        </w:rPr>
        <w:t>1,020,000.00</w:t>
        <w:tab/>
      </w:r>
      <w:r>
        <w:rPr>
          <w:rFonts w:ascii="宋体" w:hAnsi="宋体" w:cs="宋体" w:eastAsia="宋体" w:hint="default"/>
          <w:sz w:val="24"/>
          <w:szCs w:val="24"/>
        </w:rPr>
        <w:t>0.00</w:t>
        <w:tab/>
      </w:r>
      <w:r>
        <w:rPr>
          <w:rFonts w:ascii="宋体" w:hAnsi="宋体" w:cs="宋体" w:eastAsia="宋体" w:hint="default"/>
          <w:sz w:val="18"/>
          <w:szCs w:val="18"/>
        </w:rPr>
        <w:t>3,060,000.00</w:t>
      </w:r>
    </w:p>
    <w:p>
      <w:pPr>
        <w:spacing w:after="0" w:line="284" w:lineRule="exact"/>
        <w:jc w:val="left"/>
        <w:rPr>
          <w:rFonts w:ascii="宋体" w:hAnsi="宋体" w:cs="宋体" w:eastAsia="宋体" w:hint="default"/>
          <w:sz w:val="18"/>
          <w:szCs w:val="18"/>
        </w:rPr>
        <w:sectPr>
          <w:type w:val="continuous"/>
          <w:pgSz w:w="11910" w:h="16840"/>
          <w:pgMar w:top="1600" w:bottom="280" w:left="1200" w:right="1080"/>
        </w:sectPr>
      </w:pPr>
    </w:p>
    <w:p>
      <w:pPr>
        <w:spacing w:line="200" w:lineRule="exact" w:before="34"/>
        <w:ind w:left="604" w:right="-6" w:firstLine="0"/>
        <w:jc w:val="left"/>
        <w:rPr>
          <w:rFonts w:ascii="宋体" w:hAnsi="宋体" w:cs="宋体" w:eastAsia="宋体" w:hint="default"/>
          <w:sz w:val="18"/>
          <w:szCs w:val="18"/>
        </w:rPr>
      </w:pPr>
      <w:r>
        <w:rPr>
          <w:rFonts w:ascii="宋体" w:hAnsi="宋体" w:cs="宋体" w:eastAsia="宋体" w:hint="default"/>
          <w:spacing w:val="2"/>
          <w:sz w:val="18"/>
          <w:szCs w:val="18"/>
        </w:rPr>
        <w:t>租入固定资产的改良支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出</w:t>
      </w:r>
    </w:p>
    <w:p>
      <w:pPr>
        <w:tabs>
          <w:tab w:pos="1310" w:val="left" w:leader="none"/>
          <w:tab w:pos="2977" w:val="left" w:leader="none"/>
          <w:tab w:pos="4324" w:val="left" w:leader="none"/>
          <w:tab w:pos="5120" w:val="left" w:leader="none"/>
        </w:tabs>
        <w:spacing w:before="13"/>
        <w:ind w:left="604" w:right="0" w:firstLine="0"/>
        <w:jc w:val="left"/>
        <w:rPr>
          <w:rFonts w:ascii="宋体" w:hAnsi="宋体" w:cs="宋体" w:eastAsia="宋体" w:hint="default"/>
          <w:sz w:val="18"/>
          <w:szCs w:val="18"/>
        </w:rPr>
      </w:pPr>
      <w:r>
        <w:rPr/>
        <w:br w:type="column"/>
      </w:r>
      <w:r>
        <w:rPr>
          <w:rFonts w:ascii="宋体"/>
          <w:sz w:val="24"/>
        </w:rPr>
        <w:t>0.00</w:t>
        <w:tab/>
      </w:r>
      <w:r>
        <w:rPr>
          <w:rFonts w:ascii="宋体"/>
          <w:sz w:val="18"/>
        </w:rPr>
        <w:t>45,492,892.38</w:t>
        <w:tab/>
        <w:t>379,107.44</w:t>
        <w:tab/>
      </w:r>
      <w:r>
        <w:rPr>
          <w:rFonts w:ascii="宋体"/>
          <w:sz w:val="24"/>
        </w:rPr>
        <w:t>0.00</w:t>
        <w:tab/>
      </w:r>
      <w:r>
        <w:rPr>
          <w:rFonts w:ascii="宋体"/>
          <w:sz w:val="18"/>
        </w:rPr>
        <w:t>45,113,784.94</w:t>
      </w:r>
    </w:p>
    <w:p>
      <w:pPr>
        <w:spacing w:after="0"/>
        <w:jc w:val="left"/>
        <w:rPr>
          <w:rFonts w:ascii="宋体" w:hAnsi="宋体" w:cs="宋体" w:eastAsia="宋体" w:hint="default"/>
          <w:sz w:val="18"/>
          <w:szCs w:val="18"/>
        </w:rPr>
        <w:sectPr>
          <w:type w:val="continuous"/>
          <w:pgSz w:w="11910" w:h="16840"/>
          <w:pgMar w:top="1600" w:bottom="280" w:left="1200" w:right="1080"/>
          <w:cols w:num="2" w:equalWidth="0">
            <w:col w:w="2439" w:space="304"/>
            <w:col w:w="6887"/>
          </w:cols>
        </w:sectPr>
      </w:pPr>
    </w:p>
    <w:p>
      <w:pPr>
        <w:tabs>
          <w:tab w:pos="3347" w:val="left" w:leader="none"/>
          <w:tab w:pos="4053" w:val="left" w:leader="none"/>
          <w:tab w:pos="5540" w:val="left" w:leader="none"/>
          <w:tab w:pos="7067" w:val="left" w:leader="none"/>
          <w:tab w:pos="7863" w:val="left" w:leader="none"/>
        </w:tabs>
        <w:spacing w:line="192" w:lineRule="exact"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版权费</w:t>
        <w:tab/>
      </w:r>
      <w:r>
        <w:rPr>
          <w:rFonts w:ascii="宋体" w:hAnsi="宋体" w:cs="宋体" w:eastAsia="宋体" w:hint="default"/>
          <w:sz w:val="24"/>
          <w:szCs w:val="24"/>
        </w:rPr>
        <w:t>0.00</w:t>
        <w:tab/>
      </w:r>
      <w:r>
        <w:rPr>
          <w:rFonts w:ascii="宋体" w:hAnsi="宋体" w:cs="宋体" w:eastAsia="宋体" w:hint="default"/>
          <w:sz w:val="18"/>
          <w:szCs w:val="18"/>
        </w:rPr>
        <w:t>20,266,707.86</w:t>
        <w:tab/>
        <w:t>4,046,001.05</w:t>
        <w:tab/>
      </w:r>
      <w:r>
        <w:rPr>
          <w:rFonts w:ascii="宋体" w:hAnsi="宋体" w:cs="宋体" w:eastAsia="宋体" w:hint="default"/>
          <w:sz w:val="24"/>
          <w:szCs w:val="24"/>
        </w:rPr>
        <w:t>0.00</w:t>
        <w:tab/>
      </w:r>
      <w:r>
        <w:rPr>
          <w:rFonts w:ascii="宋体" w:hAnsi="宋体" w:cs="宋体" w:eastAsia="宋体" w:hint="default"/>
          <w:sz w:val="18"/>
          <w:szCs w:val="18"/>
        </w:rPr>
        <w:t>16,220,706.81</w:t>
      </w:r>
    </w:p>
    <w:p>
      <w:pPr>
        <w:tabs>
          <w:tab w:pos="2748" w:val="left" w:leader="none"/>
          <w:tab w:pos="4143" w:val="left" w:leader="none"/>
          <w:tab w:pos="5540" w:val="left" w:leader="none"/>
          <w:tab w:pos="7067" w:val="left" w:leader="none"/>
          <w:tab w:pos="7953" w:val="left" w:leader="none"/>
        </w:tabs>
        <w:spacing w:line="285" w:lineRule="exact"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其他</w:t>
        <w:tab/>
        <w:t>2,244,298.53</w:t>
        <w:tab/>
        <w:t>2,409,499.10</w:t>
        <w:tab/>
        <w:t>1,892,983.21</w:t>
        <w:tab/>
      </w:r>
      <w:r>
        <w:rPr>
          <w:rFonts w:ascii="宋体" w:hAnsi="宋体" w:cs="宋体" w:eastAsia="宋体" w:hint="default"/>
          <w:sz w:val="24"/>
          <w:szCs w:val="24"/>
        </w:rPr>
        <w:t>0.00</w:t>
        <w:tab/>
      </w:r>
      <w:r>
        <w:rPr>
          <w:rFonts w:ascii="宋体" w:hAnsi="宋体" w:cs="宋体" w:eastAsia="宋体" w:hint="default"/>
          <w:sz w:val="18"/>
          <w:szCs w:val="18"/>
        </w:rPr>
        <w:t>2,760,814.42</w:t>
      </w:r>
    </w:p>
    <w:p>
      <w:pPr>
        <w:tabs>
          <w:tab w:pos="2648" w:val="left" w:leader="none"/>
          <w:tab w:pos="4043" w:val="left" w:leader="none"/>
          <w:tab w:pos="5440" w:val="left" w:leader="none"/>
          <w:tab w:pos="7183" w:val="left" w:leader="none"/>
          <w:tab w:pos="7763" w:val="left" w:leader="none"/>
        </w:tabs>
        <w:spacing w:before="20"/>
        <w:ind w:left="604" w:right="0" w:firstLine="0"/>
        <w:jc w:val="left"/>
        <w:rPr>
          <w:rFonts w:ascii="宋体" w:hAnsi="宋体" w:cs="宋体" w:eastAsia="宋体" w:hint="default"/>
          <w:sz w:val="18"/>
          <w:szCs w:val="18"/>
        </w:rPr>
      </w:pPr>
      <w:r>
        <w:rPr/>
        <w:pict>
          <v:group style="position:absolute;margin-left:84.839996pt;margin-top:1.909132pt;width:431.9pt;height:.1pt;mso-position-horizontal-relative:page;mso-position-vertical-relative:paragraph;z-index:-1046536" coordorigin="1697,38" coordsize="8638,2">
            <v:shape style="position:absolute;left:1697;top:38;width:8638;height:2" coordorigin="1697,38" coordsize="8638,0" path="m1697,38l10334,38e" filled="false" stroked="true" strokeweight=".48pt" strokecolor="#000000">
              <v:path arrowok="t"/>
            </v:shape>
            <w10:wrap type="none"/>
          </v:group>
        </w:pict>
      </w:r>
      <w:r>
        <w:rPr>
          <w:rFonts w:ascii="宋体" w:hAnsi="宋体" w:cs="宋体" w:eastAsia="宋体" w:hint="default"/>
          <w:b/>
          <w:bCs/>
          <w:w w:val="95"/>
          <w:sz w:val="18"/>
          <w:szCs w:val="18"/>
        </w:rPr>
        <w:t>合计</w:t>
        <w:tab/>
        <w:t>40,154,112.49</w:t>
        <w:tab/>
        <w:t>78,749,532.71</w:t>
        <w:tab/>
        <w:t>13,049,052.10</w:t>
        <w:tab/>
        <w:t>0.00</w:t>
        <w:tab/>
      </w:r>
      <w:r>
        <w:rPr>
          <w:rFonts w:ascii="宋体" w:hAnsi="宋体" w:cs="宋体" w:eastAsia="宋体" w:hint="default"/>
          <w:b/>
          <w:bCs/>
          <w:sz w:val="18"/>
          <w:szCs w:val="18"/>
        </w:rPr>
        <w:t>105,854,593.10</w:t>
      </w:r>
      <w:r>
        <w:rPr>
          <w:rFonts w:ascii="宋体" w:hAnsi="宋体" w:cs="宋体" w:eastAsia="宋体" w:hint="default"/>
          <w:sz w:val="18"/>
          <w:szCs w:val="18"/>
        </w:rPr>
      </w:r>
    </w:p>
    <w:p>
      <w:pPr>
        <w:spacing w:line="240" w:lineRule="auto" w:before="4"/>
        <w:rPr>
          <w:rFonts w:ascii="宋体" w:hAnsi="宋体" w:cs="宋体" w:eastAsia="宋体" w:hint="default"/>
          <w:b/>
          <w:bCs/>
          <w:sz w:val="3"/>
          <w:szCs w:val="3"/>
        </w:rPr>
      </w:pPr>
    </w:p>
    <w:p>
      <w:pPr>
        <w:spacing w:line="30" w:lineRule="exact"/>
        <w:ind w:left="46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058;height:2" coordorigin="15,15" coordsize="2058,2">
              <v:shape style="position:absolute;left:15;top:15;width:2058;height:2" coordorigin="15,15" coordsize="2058,0" path="m15,15l2073,15e" filled="false" stroked="true" strokeweight="1.5pt" strokecolor="#000000">
                <v:path arrowok="t"/>
              </v:shape>
            </v:group>
            <v:group style="position:absolute;left:2059;top:15;width:1410;height:2" coordorigin="2059,15" coordsize="1410,2">
              <v:shape style="position:absolute;left:2059;top:15;width:1410;height:2" coordorigin="2059,15" coordsize="1410,0" path="m2059,15l3469,15e" filled="false" stroked="true" strokeweight="1.5pt" strokecolor="#000000">
                <v:path arrowok="t"/>
              </v:shape>
            </v:group>
            <v:group style="position:absolute;left:3454;top:15;width:1412;height:2" coordorigin="3454,15" coordsize="1412,2">
              <v:shape style="position:absolute;left:3454;top:15;width:1412;height:2" coordorigin="3454,15" coordsize="1412,0" path="m3454,15l4865,15e" filled="false" stroked="true" strokeweight="1.5pt" strokecolor="#000000">
                <v:path arrowok="t"/>
              </v:shape>
            </v:group>
            <v:group style="position:absolute;left:4851;top:15;width:1410;height:2" coordorigin="4851,15" coordsize="1410,2">
              <v:shape style="position:absolute;left:4851;top:15;width:1410;height:2" coordorigin="4851,15" coordsize="1410,0" path="m4851,15l6261,15e" filled="false" stroked="true" strokeweight="1.5pt" strokecolor="#000000">
                <v:path arrowok="t"/>
              </v:shape>
            </v:group>
            <v:group style="position:absolute;left:6247;top:15;width:942;height:2" coordorigin="6247,15" coordsize="942,2">
              <v:shape style="position:absolute;left:6247;top:15;width:942;height:2" coordorigin="6247,15" coordsize="942,0" path="m6247,15l7189,15e" filled="false" stroked="true" strokeweight="1.5pt" strokecolor="#000000">
                <v:path arrowok="t"/>
              </v:shape>
            </v:group>
            <v:group style="position:absolute;left:7174;top:15;width:1500;height:2" coordorigin="7174,15" coordsize="1500,2">
              <v:shape style="position:absolute;left:7174;top:15;width:1500;height:2" coordorigin="7174,15" coordsize="1500,0" path="m7174,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24" w:lineRule="auto" w:before="31"/>
        <w:ind w:left="218" w:right="0" w:firstLine="440"/>
        <w:jc w:val="left"/>
        <w:rPr>
          <w:rFonts w:ascii="宋体" w:hAnsi="宋体" w:cs="宋体" w:eastAsia="宋体" w:hint="default"/>
          <w:sz w:val="22"/>
          <w:szCs w:val="22"/>
        </w:rPr>
      </w:pPr>
      <w:r>
        <w:rPr>
          <w:rFonts w:ascii="宋体" w:hAnsi="宋体" w:cs="宋体" w:eastAsia="宋体" w:hint="default"/>
          <w:sz w:val="22"/>
          <w:szCs w:val="22"/>
        </w:rPr>
        <w:t>年末余额较年初余额增加</w:t>
      </w:r>
      <w:r>
        <w:rPr>
          <w:rFonts w:ascii="宋体" w:hAnsi="宋体" w:cs="宋体" w:eastAsia="宋体" w:hint="default"/>
          <w:spacing w:val="-57"/>
          <w:sz w:val="22"/>
          <w:szCs w:val="22"/>
        </w:rPr>
        <w:t> </w:t>
      </w:r>
      <w:r>
        <w:rPr>
          <w:rFonts w:ascii="宋体" w:hAnsi="宋体" w:cs="宋体" w:eastAsia="宋体" w:hint="default"/>
          <w:sz w:val="22"/>
          <w:szCs w:val="22"/>
        </w:rPr>
        <w:t>65,700,480.61</w:t>
      </w:r>
      <w:r>
        <w:rPr>
          <w:rFonts w:ascii="宋体" w:hAnsi="宋体" w:cs="宋体" w:eastAsia="宋体" w:hint="default"/>
          <w:spacing w:val="-56"/>
          <w:sz w:val="22"/>
          <w:szCs w:val="22"/>
        </w:rPr>
        <w:t> </w:t>
      </w:r>
      <w:r>
        <w:rPr>
          <w:rFonts w:ascii="宋体" w:hAnsi="宋体" w:cs="宋体" w:eastAsia="宋体" w:hint="default"/>
          <w:sz w:val="22"/>
          <w:szCs w:val="22"/>
        </w:rPr>
        <w:t>元，增幅</w:t>
      </w:r>
      <w:r>
        <w:rPr>
          <w:rFonts w:ascii="宋体" w:hAnsi="宋体" w:cs="宋体" w:eastAsia="宋体" w:hint="default"/>
          <w:spacing w:val="-57"/>
          <w:sz w:val="22"/>
          <w:szCs w:val="22"/>
        </w:rPr>
        <w:t> </w:t>
      </w:r>
      <w:r>
        <w:rPr>
          <w:rFonts w:ascii="宋体" w:hAnsi="宋体" w:cs="宋体" w:eastAsia="宋体" w:hint="default"/>
          <w:sz w:val="22"/>
          <w:szCs w:val="22"/>
        </w:rPr>
        <w:t>163.62%，主要系本公司经营租赁固定资</w:t>
      </w:r>
      <w:r>
        <w:rPr>
          <w:rFonts w:ascii="宋体" w:hAnsi="宋体" w:cs="宋体" w:eastAsia="宋体" w:hint="default"/>
          <w:w w:val="99"/>
          <w:sz w:val="22"/>
          <w:szCs w:val="22"/>
        </w:rPr>
        <w:t> </w:t>
      </w:r>
      <w:r>
        <w:rPr>
          <w:rFonts w:ascii="宋体" w:hAnsi="宋体" w:cs="宋体" w:eastAsia="宋体" w:hint="default"/>
          <w:sz w:val="22"/>
          <w:szCs w:val="22"/>
        </w:rPr>
        <w:t>产的改良支出和外购的版权使用费增加所致。</w:t>
      </w:r>
    </w:p>
    <w:p>
      <w:pPr>
        <w:spacing w:line="240" w:lineRule="auto" w:before="6"/>
        <w:rPr>
          <w:rFonts w:ascii="宋体" w:hAnsi="宋体" w:cs="宋体" w:eastAsia="宋体" w:hint="default"/>
          <w:sz w:val="5"/>
          <w:szCs w:val="5"/>
        </w:rPr>
      </w:pPr>
    </w:p>
    <w:tbl>
      <w:tblPr>
        <w:tblW w:w="0" w:type="auto"/>
        <w:jc w:val="left"/>
        <w:tblInd w:w="218" w:type="dxa"/>
        <w:tblLayout w:type="fixed"/>
        <w:tblCellMar>
          <w:top w:w="0" w:type="dxa"/>
          <w:left w:w="0" w:type="dxa"/>
          <w:bottom w:w="0" w:type="dxa"/>
          <w:right w:w="0" w:type="dxa"/>
        </w:tblCellMar>
        <w:tblLook w:val="01E0"/>
      </w:tblPr>
      <w:tblGrid>
        <w:gridCol w:w="6477"/>
        <w:gridCol w:w="2155"/>
      </w:tblGrid>
      <w:tr>
        <w:trPr>
          <w:trHeight w:val="966" w:hRule="exact"/>
        </w:trPr>
        <w:tc>
          <w:tcPr>
            <w:tcW w:w="6477"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递延所得税资产和递延所得税负债</w:t>
            </w:r>
          </w:p>
          <w:p>
            <w:pPr>
              <w:pStyle w:val="TableParagraph"/>
              <w:spacing w:line="240" w:lineRule="auto" w:before="163"/>
              <w:ind w:left="45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已确认递延所得税资产和递延所得税负债</w:t>
            </w:r>
          </w:p>
        </w:tc>
        <w:tc>
          <w:tcPr>
            <w:tcW w:w="2155"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6477" w:type="dxa"/>
            <w:tcBorders>
              <w:top w:val="single" w:sz="12" w:space="0" w:color="000000"/>
              <w:left w:val="nil" w:sz="6" w:space="0" w:color="auto"/>
              <w:bottom w:val="single" w:sz="4" w:space="0" w:color="000000"/>
              <w:right w:val="nil" w:sz="6" w:space="0" w:color="auto"/>
            </w:tcBorders>
          </w:tcPr>
          <w:p>
            <w:pPr>
              <w:pStyle w:val="TableParagraph"/>
              <w:tabs>
                <w:tab w:pos="4768"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年末金额</w:t>
            </w:r>
            <w:r>
              <w:rPr>
                <w:rFonts w:ascii="宋体" w:hAnsi="宋体" w:cs="宋体" w:eastAsia="宋体" w:hint="default"/>
                <w:sz w:val="18"/>
                <w:szCs w:val="18"/>
              </w:rPr>
            </w:r>
          </w:p>
        </w:tc>
        <w:tc>
          <w:tcPr>
            <w:tcW w:w="21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3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565" w:hRule="exact"/>
        </w:trPr>
        <w:tc>
          <w:tcPr>
            <w:tcW w:w="647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一、递延所得税资产</w:t>
            </w:r>
            <w:r>
              <w:rPr>
                <w:rFonts w:ascii="宋体" w:hAnsi="宋体" w:cs="宋体" w:eastAsia="宋体" w:hint="default"/>
                <w:sz w:val="18"/>
                <w:szCs w:val="18"/>
              </w:rPr>
            </w:r>
          </w:p>
          <w:p>
            <w:pPr>
              <w:pStyle w:val="TableParagraph"/>
              <w:tabs>
                <w:tab w:pos="4432" w:val="left" w:leader="none"/>
              </w:tabs>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非特殊项目暂时性差异之所得税资产</w:t>
              <w:tab/>
              <w:t>136,353,973.77</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129,585,002.04</w:t>
            </w:r>
          </w:p>
        </w:tc>
      </w:tr>
      <w:tr>
        <w:trPr>
          <w:trHeight w:val="283" w:hRule="exact"/>
        </w:trPr>
        <w:tc>
          <w:tcPr>
            <w:tcW w:w="6477" w:type="dxa"/>
            <w:tcBorders>
              <w:top w:val="nil" w:sz="6" w:space="0" w:color="auto"/>
              <w:left w:val="nil" w:sz="6" w:space="0" w:color="auto"/>
              <w:bottom w:val="nil" w:sz="6" w:space="0" w:color="auto"/>
              <w:right w:val="nil" w:sz="6" w:space="0" w:color="auto"/>
            </w:tcBorders>
          </w:tcPr>
          <w:p>
            <w:pPr>
              <w:pStyle w:val="TableParagraph"/>
              <w:tabs>
                <w:tab w:pos="4612"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特殊项目暂时性差异之所得税资产</w:t>
              <w:tab/>
              <w:t>3,798,714.37</w:t>
            </w:r>
          </w:p>
        </w:tc>
        <w:tc>
          <w:tcPr>
            <w:tcW w:w="215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6,649,668.87</w:t>
            </w:r>
          </w:p>
        </w:tc>
      </w:tr>
      <w:tr>
        <w:trPr>
          <w:trHeight w:val="293" w:hRule="exact"/>
        </w:trPr>
        <w:tc>
          <w:tcPr>
            <w:tcW w:w="6477" w:type="dxa"/>
            <w:tcBorders>
              <w:top w:val="nil" w:sz="6" w:space="0" w:color="auto"/>
              <w:left w:val="nil" w:sz="6" w:space="0" w:color="auto"/>
              <w:bottom w:val="single" w:sz="4" w:space="0" w:color="000000"/>
              <w:right w:val="nil" w:sz="6" w:space="0" w:color="auto"/>
            </w:tcBorders>
          </w:tcPr>
          <w:p>
            <w:pPr>
              <w:pStyle w:val="TableParagraph"/>
              <w:tabs>
                <w:tab w:pos="4421"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140,152,688.14</w:t>
            </w:r>
            <w:r>
              <w:rPr>
                <w:rFonts w:ascii="宋体" w:hAnsi="宋体" w:cs="宋体" w:eastAsia="宋体" w:hint="default"/>
                <w:sz w:val="18"/>
                <w:szCs w:val="18"/>
              </w:rPr>
            </w:r>
          </w:p>
        </w:tc>
        <w:tc>
          <w:tcPr>
            <w:tcW w:w="2155"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b/>
                <w:w w:val="95"/>
                <w:sz w:val="18"/>
              </w:rPr>
              <w:t>136,234,670.91</w:t>
            </w:r>
            <w:r>
              <w:rPr>
                <w:rFonts w:ascii="宋体"/>
                <w:sz w:val="18"/>
              </w:rPr>
            </w:r>
          </w:p>
        </w:tc>
      </w:tr>
      <w:tr>
        <w:trPr>
          <w:trHeight w:val="576" w:hRule="exact"/>
        </w:trPr>
        <w:tc>
          <w:tcPr>
            <w:tcW w:w="647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二、递延所得税负债</w:t>
            </w:r>
            <w:r>
              <w:rPr>
                <w:rFonts w:ascii="宋体" w:hAnsi="宋体" w:cs="宋体" w:eastAsia="宋体" w:hint="default"/>
                <w:sz w:val="18"/>
                <w:szCs w:val="18"/>
              </w:rPr>
            </w:r>
          </w:p>
          <w:p>
            <w:pPr>
              <w:pStyle w:val="TableParagraph"/>
              <w:tabs>
                <w:tab w:pos="4522" w:val="left" w:leader="none"/>
              </w:tabs>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w:t>
              <w:tab/>
              <w:t>28,034,035.30</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23,171,935.44</w:t>
            </w:r>
          </w:p>
        </w:tc>
      </w:tr>
      <w:tr>
        <w:trPr>
          <w:trHeight w:val="304" w:hRule="exact"/>
        </w:trPr>
        <w:tc>
          <w:tcPr>
            <w:tcW w:w="6477" w:type="dxa"/>
            <w:tcBorders>
              <w:top w:val="single" w:sz="4" w:space="0" w:color="000000"/>
              <w:left w:val="nil" w:sz="6" w:space="0" w:color="auto"/>
              <w:bottom w:val="single" w:sz="12" w:space="0" w:color="000000"/>
              <w:right w:val="nil" w:sz="6" w:space="0" w:color="auto"/>
            </w:tcBorders>
          </w:tcPr>
          <w:p>
            <w:pPr>
              <w:pStyle w:val="TableParagraph"/>
              <w:tabs>
                <w:tab w:pos="4513"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28,034,035.30</w:t>
            </w:r>
            <w:r>
              <w:rPr>
                <w:rFonts w:ascii="宋体" w:hAnsi="宋体" w:cs="宋体" w:eastAsia="宋体" w:hint="default"/>
                <w:sz w:val="18"/>
                <w:szCs w:val="18"/>
              </w:rPr>
            </w:r>
          </w:p>
        </w:tc>
        <w:tc>
          <w:tcPr>
            <w:tcW w:w="215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23,171,935.44</w:t>
            </w:r>
            <w:r>
              <w:rPr>
                <w:rFonts w:ascii="宋体"/>
                <w:sz w:val="18"/>
              </w:rPr>
            </w:r>
          </w:p>
        </w:tc>
      </w:tr>
    </w:tbl>
    <w:p>
      <w:pPr>
        <w:spacing w:after="0" w:line="226" w:lineRule="exact"/>
        <w:jc w:val="right"/>
        <w:rPr>
          <w:rFonts w:ascii="宋体" w:hAnsi="宋体" w:cs="宋体" w:eastAsia="宋体" w:hint="default"/>
          <w:sz w:val="18"/>
          <w:szCs w:val="18"/>
        </w:rPr>
        <w:sectPr>
          <w:type w:val="continuous"/>
          <w:pgSz w:w="11910" w:h="16840"/>
          <w:pgMar w:top="1600" w:bottom="280" w:left="1200" w:right="10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暂时性差异</w:t>
      </w:r>
    </w:p>
    <w:p>
      <w:pPr>
        <w:spacing w:line="240" w:lineRule="auto" w:before="7"/>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354"/>
        <w:gridCol w:w="3219"/>
        <w:gridCol w:w="2060"/>
        <w:gridCol w:w="284"/>
      </w:tblGrid>
      <w:tr>
        <w:trPr>
          <w:trHeight w:val="303" w:hRule="exact"/>
        </w:trPr>
        <w:tc>
          <w:tcPr>
            <w:tcW w:w="33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3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6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3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84" w:type="dxa"/>
            <w:tcBorders>
              <w:top w:val="nil" w:sz="6" w:space="0" w:color="auto"/>
              <w:left w:val="nil" w:sz="6" w:space="0" w:color="auto"/>
              <w:bottom w:val="nil" w:sz="6" w:space="0" w:color="auto"/>
              <w:right w:val="nil" w:sz="6" w:space="0" w:color="auto"/>
            </w:tcBorders>
          </w:tcPr>
          <w:p>
            <w:pPr/>
          </w:p>
        </w:tc>
      </w:tr>
      <w:tr>
        <w:trPr>
          <w:trHeight w:val="282" w:hRule="exact"/>
        </w:trPr>
        <w:tc>
          <w:tcPr>
            <w:tcW w:w="33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一、可抵扣暂时性差异项目</w:t>
            </w:r>
            <w:r>
              <w:rPr>
                <w:rFonts w:ascii="宋体" w:hAnsi="宋体" w:cs="宋体" w:eastAsia="宋体" w:hint="default"/>
                <w:sz w:val="18"/>
                <w:szCs w:val="18"/>
              </w:rPr>
            </w:r>
          </w:p>
        </w:tc>
        <w:tc>
          <w:tcPr>
            <w:tcW w:w="3219" w:type="dxa"/>
            <w:tcBorders>
              <w:top w:val="single" w:sz="4" w:space="0" w:color="000000"/>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00" w:right="0"/>
              <w:jc w:val="left"/>
              <w:rPr>
                <w:rFonts w:ascii="宋体" w:hAnsi="宋体" w:cs="宋体" w:eastAsia="宋体" w:hint="default"/>
                <w:sz w:val="18"/>
                <w:szCs w:val="18"/>
              </w:rPr>
            </w:pPr>
            <w:r>
              <w:rPr>
                <w:rFonts w:ascii="宋体"/>
                <w:sz w:val="18"/>
              </w:rPr>
              <w:t>577,527,368.87</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465,599,491.06</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00" w:right="0"/>
              <w:jc w:val="left"/>
              <w:rPr>
                <w:rFonts w:ascii="宋体" w:hAnsi="宋体" w:cs="宋体" w:eastAsia="宋体" w:hint="default"/>
                <w:sz w:val="18"/>
                <w:szCs w:val="18"/>
              </w:rPr>
            </w:pPr>
            <w:r>
              <w:rPr>
                <w:rFonts w:ascii="宋体"/>
                <w:sz w:val="18"/>
              </w:rPr>
              <w:t>205,293,823.52</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165,822,122.97</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48,835,113.00</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2,771,550.00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已核销的长期投资</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2000" w:right="0"/>
              <w:jc w:val="left"/>
              <w:rPr>
                <w:rFonts w:ascii="宋体" w:hAnsi="宋体" w:cs="宋体" w:eastAsia="宋体" w:hint="default"/>
                <w:sz w:val="18"/>
                <w:szCs w:val="18"/>
              </w:rPr>
            </w:pPr>
            <w:r>
              <w:rPr>
                <w:rFonts w:ascii="宋体"/>
                <w:sz w:val="18"/>
              </w:rPr>
              <w:t>0.00</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1,506,670.44</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280" w:right="0"/>
              <w:jc w:val="left"/>
              <w:rPr>
                <w:rFonts w:ascii="宋体" w:hAnsi="宋体" w:cs="宋体" w:eastAsia="宋体" w:hint="default"/>
                <w:sz w:val="18"/>
                <w:szCs w:val="18"/>
              </w:rPr>
            </w:pPr>
            <w:r>
              <w:rPr>
                <w:rFonts w:ascii="宋体"/>
                <w:sz w:val="18"/>
              </w:rPr>
              <w:t>3,298,150.32</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280" w:right="0"/>
              <w:jc w:val="left"/>
              <w:rPr>
                <w:rFonts w:ascii="宋体" w:hAnsi="宋体" w:cs="宋体" w:eastAsia="宋体" w:hint="default"/>
                <w:sz w:val="18"/>
                <w:szCs w:val="18"/>
              </w:rPr>
            </w:pPr>
            <w:r>
              <w:rPr>
                <w:rFonts w:ascii="宋体"/>
                <w:sz w:val="18"/>
              </w:rPr>
              <w:t>3,763,761.83</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4,813,776.83</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3219" w:type="dxa"/>
            <w:tcBorders>
              <w:top w:val="nil" w:sz="6" w:space="0" w:color="auto"/>
              <w:left w:val="nil" w:sz="6" w:space="0" w:color="auto"/>
              <w:bottom w:val="nil" w:sz="6" w:space="0" w:color="auto"/>
              <w:right w:val="nil" w:sz="6" w:space="0" w:color="auto"/>
            </w:tcBorders>
          </w:tcPr>
          <w:p>
            <w:pPr>
              <w:pStyle w:val="TableParagraph"/>
              <w:spacing w:line="231" w:lineRule="exact"/>
              <w:ind w:left="2000" w:right="0"/>
              <w:jc w:val="left"/>
              <w:rPr>
                <w:rFonts w:ascii="宋体" w:hAnsi="宋体" w:cs="宋体" w:eastAsia="宋体" w:hint="default"/>
                <w:sz w:val="18"/>
                <w:szCs w:val="18"/>
              </w:rPr>
            </w:pPr>
            <w:r>
              <w:rPr>
                <w:rFonts w:ascii="宋体"/>
                <w:sz w:val="18"/>
              </w:rPr>
              <w:t>0.00</w:t>
            </w:r>
          </w:p>
        </w:tc>
        <w:tc>
          <w:tcPr>
            <w:tcW w:w="2060"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37,595.23</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2000" w:right="0"/>
              <w:jc w:val="left"/>
              <w:rPr>
                <w:rFonts w:ascii="宋体" w:hAnsi="宋体" w:cs="宋体" w:eastAsia="宋体" w:hint="default"/>
                <w:sz w:val="18"/>
                <w:szCs w:val="18"/>
              </w:rPr>
            </w:pPr>
            <w:r>
              <w:rPr>
                <w:rFonts w:ascii="宋体"/>
                <w:sz w:val="18"/>
              </w:rPr>
              <w:t>0.00</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4,624,298.70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39,728,214.94</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2,039,515.67</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65,482,063.69</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64,156,535.21</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16,090,744.04</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拨付的专项应付款</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16,826,000.00</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23,950,000.00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未实现销售损益</w:t>
            </w:r>
          </w:p>
        </w:tc>
        <w:tc>
          <w:tcPr>
            <w:tcW w:w="3219" w:type="dxa"/>
            <w:tcBorders>
              <w:top w:val="nil" w:sz="6" w:space="0" w:color="auto"/>
              <w:left w:val="nil" w:sz="6" w:space="0" w:color="auto"/>
              <w:bottom w:val="nil" w:sz="6" w:space="0" w:color="auto"/>
              <w:right w:val="nil" w:sz="6" w:space="0" w:color="auto"/>
            </w:tcBorders>
          </w:tcPr>
          <w:p>
            <w:pPr>
              <w:pStyle w:val="TableParagraph"/>
              <w:spacing w:line="231" w:lineRule="exact"/>
              <w:ind w:left="2000" w:right="0"/>
              <w:jc w:val="left"/>
              <w:rPr>
                <w:rFonts w:ascii="宋体" w:hAnsi="宋体" w:cs="宋体" w:eastAsia="宋体" w:hint="default"/>
                <w:sz w:val="18"/>
                <w:szCs w:val="18"/>
              </w:rPr>
            </w:pPr>
            <w:r>
              <w:rPr>
                <w:rFonts w:ascii="宋体"/>
                <w:sz w:val="18"/>
              </w:rPr>
              <w:t>0.00</w:t>
            </w:r>
          </w:p>
        </w:tc>
        <w:tc>
          <w:tcPr>
            <w:tcW w:w="2060"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339,543.75</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460" w:right="0"/>
              <w:jc w:val="left"/>
              <w:rPr>
                <w:rFonts w:ascii="宋体" w:hAnsi="宋体" w:cs="宋体" w:eastAsia="宋体" w:hint="default"/>
                <w:sz w:val="18"/>
                <w:szCs w:val="18"/>
              </w:rPr>
            </w:pPr>
            <w:r>
              <w:rPr>
                <w:rFonts w:ascii="宋体"/>
                <w:sz w:val="18"/>
              </w:rPr>
              <w:t>219,583.06</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642,283.39</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26,480,000.00</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1,773,417.00</w:t>
            </w:r>
          </w:p>
        </w:tc>
        <w:tc>
          <w:tcPr>
            <w:tcW w:w="284" w:type="dxa"/>
            <w:tcBorders>
              <w:top w:val="nil" w:sz="6" w:space="0" w:color="auto"/>
              <w:left w:val="nil" w:sz="6" w:space="0" w:color="auto"/>
              <w:bottom w:val="nil" w:sz="6" w:space="0" w:color="auto"/>
              <w:right w:val="nil" w:sz="6" w:space="0" w:color="auto"/>
            </w:tcBorders>
          </w:tcPr>
          <w:p>
            <w:pPr/>
          </w:p>
        </w:tc>
      </w:tr>
      <w:tr>
        <w:trPr>
          <w:trHeight w:val="295" w:hRule="exact"/>
        </w:trPr>
        <w:tc>
          <w:tcPr>
            <w:tcW w:w="335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预提版权费</w:t>
            </w:r>
          </w:p>
        </w:tc>
        <w:tc>
          <w:tcPr>
            <w:tcW w:w="3219" w:type="dxa"/>
            <w:tcBorders>
              <w:top w:val="nil" w:sz="6" w:space="0" w:color="auto"/>
              <w:left w:val="nil" w:sz="6" w:space="0" w:color="auto"/>
              <w:bottom w:val="single" w:sz="4" w:space="0" w:color="000000"/>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28,165,992.98</w:t>
            </w:r>
          </w:p>
        </w:tc>
        <w:tc>
          <w:tcPr>
            <w:tcW w:w="206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53,337,653.58</w:t>
            </w:r>
          </w:p>
        </w:tc>
        <w:tc>
          <w:tcPr>
            <w:tcW w:w="284" w:type="dxa"/>
            <w:tcBorders>
              <w:top w:val="nil" w:sz="6" w:space="0" w:color="auto"/>
              <w:left w:val="nil" w:sz="6" w:space="0" w:color="auto"/>
              <w:bottom w:val="nil" w:sz="6" w:space="0" w:color="auto"/>
              <w:right w:val="nil" w:sz="6" w:space="0" w:color="auto"/>
            </w:tcBorders>
          </w:tcPr>
          <w:p>
            <w:pPr/>
          </w:p>
        </w:tc>
      </w:tr>
      <w:tr>
        <w:trPr>
          <w:trHeight w:val="293" w:hRule="exact"/>
        </w:trPr>
        <w:tc>
          <w:tcPr>
            <w:tcW w:w="3354"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9"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907" w:right="0"/>
              <w:jc w:val="left"/>
              <w:rPr>
                <w:rFonts w:ascii="宋体" w:hAnsi="宋体" w:cs="宋体" w:eastAsia="宋体" w:hint="default"/>
                <w:sz w:val="18"/>
                <w:szCs w:val="18"/>
              </w:rPr>
            </w:pPr>
            <w:r>
              <w:rPr>
                <w:rFonts w:ascii="宋体"/>
                <w:b/>
                <w:sz w:val="18"/>
              </w:rPr>
              <w:t>1,031,710,816.25</w:t>
            </w:r>
            <w:r>
              <w:rPr>
                <w:rFonts w:ascii="宋体"/>
                <w:sz w:val="18"/>
              </w:rPr>
            </w:r>
          </w:p>
        </w:tc>
        <w:tc>
          <w:tcPr>
            <w:tcW w:w="2060" w:type="dxa"/>
            <w:tcBorders>
              <w:top w:val="single" w:sz="4" w:space="0" w:color="000000"/>
              <w:left w:val="nil" w:sz="6" w:space="0" w:color="auto"/>
              <w:bottom w:val="single" w:sz="4" w:space="0" w:color="000000"/>
              <w:right w:val="nil" w:sz="6" w:space="0" w:color="auto"/>
            </w:tcBorders>
          </w:tcPr>
          <w:p>
            <w:pPr>
              <w:pStyle w:val="TableParagraph"/>
              <w:spacing w:line="225" w:lineRule="exact"/>
              <w:ind w:right="100"/>
              <w:jc w:val="right"/>
              <w:rPr>
                <w:rFonts w:ascii="宋体" w:hAnsi="宋体" w:cs="宋体" w:eastAsia="宋体" w:hint="default"/>
                <w:sz w:val="18"/>
                <w:szCs w:val="18"/>
              </w:rPr>
            </w:pPr>
            <w:r>
              <w:rPr>
                <w:rFonts w:ascii="宋体"/>
                <w:b/>
                <w:w w:val="95"/>
                <w:sz w:val="18"/>
              </w:rPr>
              <w:t>791,414,453.83</w:t>
            </w:r>
            <w:r>
              <w:rPr>
                <w:rFonts w:ascii="宋体"/>
                <w:sz w:val="18"/>
              </w:rPr>
            </w:r>
          </w:p>
        </w:tc>
        <w:tc>
          <w:tcPr>
            <w:tcW w:w="284" w:type="dxa"/>
            <w:tcBorders>
              <w:top w:val="nil" w:sz="6" w:space="0" w:color="auto"/>
              <w:left w:val="nil" w:sz="6" w:space="0" w:color="auto"/>
              <w:bottom w:val="nil" w:sz="6" w:space="0" w:color="auto"/>
              <w:right w:val="nil" w:sz="6" w:space="0" w:color="auto"/>
            </w:tcBorders>
          </w:tcPr>
          <w:p>
            <w:pPr/>
          </w:p>
        </w:tc>
      </w:tr>
      <w:tr>
        <w:trPr>
          <w:trHeight w:val="282" w:hRule="exact"/>
        </w:trPr>
        <w:tc>
          <w:tcPr>
            <w:tcW w:w="33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二、应纳税暂时性差异项目</w:t>
            </w:r>
            <w:r>
              <w:rPr>
                <w:rFonts w:ascii="宋体" w:hAnsi="宋体" w:cs="宋体" w:eastAsia="宋体" w:hint="default"/>
                <w:sz w:val="18"/>
                <w:szCs w:val="18"/>
              </w:rPr>
            </w:r>
          </w:p>
        </w:tc>
        <w:tc>
          <w:tcPr>
            <w:tcW w:w="3219" w:type="dxa"/>
            <w:tcBorders>
              <w:top w:val="single" w:sz="4" w:space="0" w:color="000000"/>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33,629,772.92</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44,516,897.85</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00" w:right="0"/>
              <w:jc w:val="left"/>
              <w:rPr>
                <w:rFonts w:ascii="宋体" w:hAnsi="宋体" w:cs="宋体" w:eastAsia="宋体" w:hint="default"/>
                <w:sz w:val="18"/>
                <w:szCs w:val="18"/>
              </w:rPr>
            </w:pPr>
            <w:r>
              <w:rPr>
                <w:rFonts w:ascii="宋体"/>
                <w:sz w:val="18"/>
              </w:rPr>
              <w:t>192,997,407.71</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59,728,627.75</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直接计入权益的利得和损失</w:t>
            </w:r>
          </w:p>
        </w:tc>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70,031,459.29</w:t>
            </w:r>
          </w:p>
        </w:tc>
        <w:tc>
          <w:tcPr>
            <w:tcW w:w="206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21,338,251.46</w:t>
            </w:r>
          </w:p>
        </w:tc>
        <w:tc>
          <w:tcPr>
            <w:tcW w:w="284" w:type="dxa"/>
            <w:tcBorders>
              <w:top w:val="nil" w:sz="6" w:space="0" w:color="auto"/>
              <w:left w:val="nil" w:sz="6" w:space="0" w:color="auto"/>
              <w:bottom w:val="nil" w:sz="6" w:space="0" w:color="auto"/>
              <w:right w:val="nil" w:sz="6" w:space="0" w:color="auto"/>
            </w:tcBorders>
          </w:tcPr>
          <w:p>
            <w:pPr/>
          </w:p>
        </w:tc>
      </w:tr>
      <w:tr>
        <w:trPr>
          <w:trHeight w:val="293" w:hRule="exact"/>
        </w:trPr>
        <w:tc>
          <w:tcPr>
            <w:tcW w:w="335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219" w:type="dxa"/>
            <w:tcBorders>
              <w:top w:val="nil" w:sz="6" w:space="0" w:color="auto"/>
              <w:left w:val="nil" w:sz="6" w:space="0" w:color="auto"/>
              <w:bottom w:val="single" w:sz="4" w:space="0" w:color="000000"/>
              <w:right w:val="nil" w:sz="6" w:space="0" w:color="auto"/>
            </w:tcBorders>
          </w:tcPr>
          <w:p>
            <w:pPr>
              <w:pStyle w:val="TableParagraph"/>
              <w:spacing w:line="232" w:lineRule="exact"/>
              <w:ind w:left="1280" w:right="0"/>
              <w:jc w:val="left"/>
              <w:rPr>
                <w:rFonts w:ascii="宋体" w:hAnsi="宋体" w:cs="宋体" w:eastAsia="宋体" w:hint="default"/>
                <w:sz w:val="18"/>
                <w:szCs w:val="18"/>
              </w:rPr>
            </w:pPr>
            <w:r>
              <w:rPr>
                <w:rFonts w:ascii="宋体"/>
                <w:sz w:val="18"/>
              </w:rPr>
              <w:t>1,247,085.04</w:t>
            </w:r>
          </w:p>
        </w:tc>
        <w:tc>
          <w:tcPr>
            <w:tcW w:w="206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10,586,986.80</w:t>
            </w:r>
          </w:p>
        </w:tc>
        <w:tc>
          <w:tcPr>
            <w:tcW w:w="284" w:type="dxa"/>
            <w:tcBorders>
              <w:top w:val="nil" w:sz="6" w:space="0" w:color="auto"/>
              <w:left w:val="nil" w:sz="6" w:space="0" w:color="auto"/>
              <w:bottom w:val="nil" w:sz="6" w:space="0" w:color="auto"/>
              <w:right w:val="nil" w:sz="6" w:space="0" w:color="auto"/>
            </w:tcBorders>
          </w:tcPr>
          <w:p>
            <w:pPr/>
          </w:p>
        </w:tc>
      </w:tr>
      <w:tr>
        <w:trPr>
          <w:trHeight w:val="294" w:hRule="exact"/>
        </w:trPr>
        <w:tc>
          <w:tcPr>
            <w:tcW w:w="335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89" w:right="0"/>
              <w:jc w:val="left"/>
              <w:rPr>
                <w:rFonts w:ascii="宋体" w:hAnsi="宋体" w:cs="宋体" w:eastAsia="宋体" w:hint="default"/>
                <w:sz w:val="18"/>
                <w:szCs w:val="18"/>
              </w:rPr>
            </w:pPr>
            <w:r>
              <w:rPr>
                <w:rFonts w:ascii="宋体"/>
                <w:b/>
                <w:sz w:val="18"/>
              </w:rPr>
              <w:t>297,905,724.96</w:t>
            </w:r>
            <w:r>
              <w:rPr>
                <w:rFonts w:ascii="宋体"/>
                <w:sz w:val="18"/>
              </w:rPr>
            </w:r>
          </w:p>
        </w:tc>
        <w:tc>
          <w:tcPr>
            <w:tcW w:w="2060"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136,170,763.86</w:t>
            </w:r>
            <w:r>
              <w:rPr>
                <w:rFonts w:ascii="宋体"/>
                <w:sz w:val="18"/>
              </w:rPr>
            </w:r>
          </w:p>
        </w:tc>
        <w:tc>
          <w:tcPr>
            <w:tcW w:w="284" w:type="dxa"/>
            <w:tcBorders>
              <w:top w:val="nil" w:sz="6" w:space="0" w:color="auto"/>
              <w:left w:val="nil" w:sz="6" w:space="0" w:color="auto"/>
              <w:bottom w:val="nil" w:sz="6" w:space="0" w:color="auto"/>
              <w:right w:val="nil" w:sz="6" w:space="0" w:color="auto"/>
            </w:tcBorders>
          </w:tcPr>
          <w:p>
            <w:pPr/>
          </w:p>
        </w:tc>
      </w:tr>
      <w:tr>
        <w:trPr>
          <w:trHeight w:val="282" w:hRule="exact"/>
        </w:trPr>
        <w:tc>
          <w:tcPr>
            <w:tcW w:w="33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三、特殊暂时性差异项目</w:t>
            </w:r>
            <w:r>
              <w:rPr>
                <w:rFonts w:ascii="宋体" w:hAnsi="宋体" w:cs="宋体" w:eastAsia="宋体" w:hint="default"/>
                <w:sz w:val="18"/>
                <w:szCs w:val="18"/>
              </w:rPr>
            </w:r>
          </w:p>
        </w:tc>
        <w:tc>
          <w:tcPr>
            <w:tcW w:w="3219" w:type="dxa"/>
            <w:tcBorders>
              <w:top w:val="single" w:sz="4" w:space="0" w:color="000000"/>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r>
      <w:tr>
        <w:trPr>
          <w:trHeight w:val="294" w:hRule="exact"/>
        </w:trPr>
        <w:tc>
          <w:tcPr>
            <w:tcW w:w="335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19" w:type="dxa"/>
            <w:tcBorders>
              <w:top w:val="nil" w:sz="6" w:space="0" w:color="auto"/>
              <w:left w:val="nil" w:sz="6" w:space="0" w:color="auto"/>
              <w:bottom w:val="single" w:sz="4" w:space="0" w:color="000000"/>
              <w:right w:val="nil" w:sz="6" w:space="0" w:color="auto"/>
            </w:tcBorders>
          </w:tcPr>
          <w:p>
            <w:pPr>
              <w:pStyle w:val="TableParagraph"/>
              <w:spacing w:line="232" w:lineRule="exact"/>
              <w:ind w:left="1190" w:right="0"/>
              <w:jc w:val="left"/>
              <w:rPr>
                <w:rFonts w:ascii="宋体" w:hAnsi="宋体" w:cs="宋体" w:eastAsia="宋体" w:hint="default"/>
                <w:sz w:val="18"/>
                <w:szCs w:val="18"/>
              </w:rPr>
            </w:pPr>
            <w:r>
              <w:rPr>
                <w:rFonts w:ascii="宋体"/>
                <w:sz w:val="18"/>
              </w:rPr>
              <w:t>24,879,442.08</w:t>
            </w:r>
          </w:p>
        </w:tc>
        <w:tc>
          <w:tcPr>
            <w:tcW w:w="206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41,404,810.87</w:t>
            </w:r>
          </w:p>
        </w:tc>
        <w:tc>
          <w:tcPr>
            <w:tcW w:w="284" w:type="dxa"/>
            <w:tcBorders>
              <w:top w:val="nil" w:sz="6" w:space="0" w:color="auto"/>
              <w:left w:val="nil" w:sz="6" w:space="0" w:color="auto"/>
              <w:bottom w:val="nil" w:sz="6" w:space="0" w:color="auto"/>
              <w:right w:val="nil" w:sz="6" w:space="0" w:color="auto"/>
            </w:tcBorders>
          </w:tcPr>
          <w:p>
            <w:pPr/>
          </w:p>
        </w:tc>
      </w:tr>
      <w:tr>
        <w:trPr>
          <w:trHeight w:val="303" w:hRule="exact"/>
        </w:trPr>
        <w:tc>
          <w:tcPr>
            <w:tcW w:w="33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180" w:right="0"/>
              <w:jc w:val="left"/>
              <w:rPr>
                <w:rFonts w:ascii="宋体" w:hAnsi="宋体" w:cs="宋体" w:eastAsia="宋体" w:hint="default"/>
                <w:sz w:val="18"/>
                <w:szCs w:val="18"/>
              </w:rPr>
            </w:pPr>
            <w:r>
              <w:rPr>
                <w:rFonts w:ascii="宋体"/>
                <w:b/>
                <w:sz w:val="18"/>
              </w:rPr>
              <w:t>24,879,442.08</w:t>
            </w:r>
            <w:r>
              <w:rPr>
                <w:rFonts w:ascii="宋体"/>
                <w:sz w:val="18"/>
              </w:rPr>
            </w:r>
          </w:p>
        </w:tc>
        <w:tc>
          <w:tcPr>
            <w:tcW w:w="206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41,404,810.87</w:t>
            </w:r>
            <w:r>
              <w:rPr>
                <w:rFonts w:ascii="宋体"/>
                <w:sz w:val="18"/>
              </w:rPr>
            </w:r>
          </w:p>
        </w:tc>
        <w:tc>
          <w:tcPr>
            <w:tcW w:w="284" w:type="dxa"/>
            <w:tcBorders>
              <w:top w:val="nil" w:sz="6" w:space="0" w:color="auto"/>
              <w:left w:val="nil" w:sz="6" w:space="0" w:color="auto"/>
              <w:bottom w:val="nil" w:sz="6" w:space="0" w:color="auto"/>
              <w:right w:val="nil" w:sz="6" w:space="0" w:color="auto"/>
            </w:tcBorders>
          </w:tcPr>
          <w:p>
            <w:pPr/>
          </w:p>
        </w:tc>
      </w:tr>
      <w:tr>
        <w:trPr>
          <w:trHeight w:val="576" w:hRule="exact"/>
        </w:trPr>
        <w:tc>
          <w:tcPr>
            <w:tcW w:w="3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其他非流动资产</w:t>
            </w:r>
          </w:p>
        </w:tc>
        <w:tc>
          <w:tcPr>
            <w:tcW w:w="3219" w:type="dxa"/>
            <w:tcBorders>
              <w:top w:val="single" w:sz="12" w:space="0" w:color="000000"/>
              <w:left w:val="nil" w:sz="6" w:space="0" w:color="auto"/>
              <w:bottom w:val="single" w:sz="12" w:space="0" w:color="000000"/>
              <w:right w:val="nil" w:sz="6" w:space="0" w:color="auto"/>
            </w:tcBorders>
          </w:tcPr>
          <w:p>
            <w:pPr/>
          </w:p>
        </w:tc>
        <w:tc>
          <w:tcPr>
            <w:tcW w:w="2060" w:type="dxa"/>
            <w:tcBorders>
              <w:top w:val="single" w:sz="12" w:space="0" w:color="000000"/>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3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80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6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4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84" w:type="dxa"/>
            <w:tcBorders>
              <w:top w:val="single" w:sz="12" w:space="0" w:color="000000"/>
              <w:left w:val="nil" w:sz="6" w:space="0" w:color="auto"/>
              <w:bottom w:val="single" w:sz="4" w:space="0" w:color="000000"/>
              <w:right w:val="nil" w:sz="6" w:space="0" w:color="auto"/>
            </w:tcBorders>
          </w:tcPr>
          <w:p>
            <w:pPr/>
          </w:p>
        </w:tc>
      </w:tr>
    </w:tbl>
    <w:p>
      <w:pPr>
        <w:spacing w:line="140" w:lineRule="exact" w:before="0"/>
        <w:ind w:left="523" w:right="0" w:firstLine="0"/>
        <w:jc w:val="left"/>
        <w:rPr>
          <w:rFonts w:ascii="宋体" w:hAnsi="宋体" w:cs="宋体" w:eastAsia="宋体" w:hint="default"/>
          <w:sz w:val="18"/>
          <w:szCs w:val="18"/>
        </w:rPr>
      </w:pPr>
      <w:r>
        <w:rPr>
          <w:rFonts w:ascii="宋体" w:hAnsi="宋体" w:cs="宋体" w:eastAsia="宋体" w:hint="default"/>
          <w:spacing w:val="6"/>
          <w:sz w:val="18"/>
          <w:szCs w:val="18"/>
        </w:rPr>
        <w:t>指定为以公允价值计量且其变动计入本期损益的</w:t>
      </w:r>
      <w:r>
        <w:rPr>
          <w:rFonts w:ascii="宋体" w:hAnsi="宋体" w:cs="宋体" w:eastAsia="宋体" w:hint="default"/>
          <w:sz w:val="18"/>
          <w:szCs w:val="18"/>
        </w:rPr>
      </w:r>
    </w:p>
    <w:p>
      <w:pPr>
        <w:tabs>
          <w:tab w:pos="5406" w:val="left" w:leader="none"/>
          <w:tab w:pos="8594" w:val="left" w:leader="none"/>
        </w:tabs>
        <w:spacing w:line="268" w:lineRule="exact" w:before="0"/>
        <w:ind w:left="523" w:right="0" w:firstLine="0"/>
        <w:jc w:val="left"/>
        <w:rPr>
          <w:rFonts w:ascii="宋体" w:hAnsi="宋体" w:cs="宋体" w:eastAsia="宋体" w:hint="default"/>
          <w:sz w:val="18"/>
          <w:szCs w:val="18"/>
        </w:rPr>
      </w:pPr>
      <w:r>
        <w:rPr>
          <w:rFonts w:ascii="宋体" w:hAnsi="宋体" w:cs="宋体" w:eastAsia="宋体" w:hint="default"/>
          <w:position w:val="-9"/>
          <w:sz w:val="18"/>
          <w:szCs w:val="18"/>
        </w:rPr>
        <w:t>金融资产</w:t>
        <w:tab/>
      </w:r>
      <w:r>
        <w:rPr>
          <w:rFonts w:ascii="宋体" w:hAnsi="宋体" w:cs="宋体" w:eastAsia="宋体" w:hint="default"/>
          <w:sz w:val="18"/>
          <w:szCs w:val="18"/>
        </w:rPr>
        <w:t>164,088,562.50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40" w:lineRule="auto" w:before="2"/>
        <w:rPr>
          <w:rFonts w:ascii="宋体" w:hAnsi="宋体" w:cs="宋体" w:eastAsia="宋体" w:hint="default"/>
          <w:sz w:val="3"/>
          <w:szCs w:val="3"/>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6362;height:2" coordorigin="5,5" coordsize="6362,2">
              <v:shape style="position:absolute;left:5;top:5;width:6362;height:2" coordorigin="5,5" coordsize="6362,0" path="m5,5l6366,5e" filled="false" stroked="true" strokeweight=".48pt" strokecolor="#000000">
                <v:path arrowok="t"/>
              </v:shape>
            </v:group>
            <v:group style="position:absolute;left:6366;top:5;width:2279;height:2" coordorigin="6366,5" coordsize="2279,2">
              <v:shape style="position:absolute;left:6366;top:5;width:2279;height:2" coordorigin="6366,5" coordsize="2279,0" path="m6366,5l8645,5e" filled="false" stroked="true" strokeweight=".48pt" strokecolor="#000000">
                <v:path arrowok="t"/>
              </v:shape>
            </v:group>
          </v:group>
        </w:pict>
      </w:r>
      <w:r>
        <w:rPr>
          <w:rFonts w:ascii="宋体" w:hAnsi="宋体" w:cs="宋体" w:eastAsia="宋体" w:hint="default"/>
          <w:sz w:val="2"/>
          <w:szCs w:val="2"/>
        </w:rPr>
      </w:r>
    </w:p>
    <w:p>
      <w:pPr>
        <w:tabs>
          <w:tab w:pos="5395" w:val="left" w:leader="none"/>
          <w:tab w:pos="8590"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164,088,562.50</w:t>
      </w:r>
      <w:r>
        <w:rPr>
          <w:rFonts w:ascii="Times New Roman" w:hAnsi="Times New Roman" w:cs="Times New Roman" w:eastAsia="Times New Roman" w:hint="default"/>
          <w:b/>
          <w:bCs/>
          <w:w w:val="95"/>
          <w:sz w:val="18"/>
          <w:szCs w:val="18"/>
        </w:rPr>
        <w:tab/>
      </w:r>
      <w:r>
        <w:rPr>
          <w:rFonts w:ascii="宋体" w:hAnsi="宋体" w:cs="宋体" w:eastAsia="宋体" w:hint="default"/>
          <w:b/>
          <w:bCs/>
          <w:sz w:val="18"/>
          <w:szCs w:val="18"/>
        </w:rPr>
        <w:t>0.00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150;height:2" coordorigin="15,15" coordsize="4150,2">
              <v:shape style="position:absolute;left:15;top:15;width:4150;height:2" coordorigin="15,15" coordsize="4150,0" path="m15,15l4165,15e" filled="false" stroked="true" strokeweight="1.5pt" strokecolor="#000000">
                <v:path arrowok="t"/>
              </v:shape>
            </v:group>
            <v:group style="position:absolute;left:4150;top:15;width:2238;height:2" coordorigin="4150,15" coordsize="2238,2">
              <v:shape style="position:absolute;left:4150;top:15;width:2238;height:2" coordorigin="4150,15" coordsize="2238,0" path="m4150,15l6388,15e" filled="false" stroked="true" strokeweight="1.5pt" strokecolor="#000000">
                <v:path arrowok="t"/>
              </v:shape>
            </v:group>
            <v:group style="position:absolute;left:6374;top:15;width:2303;height:2" coordorigin="6374,15" coordsize="2303,2">
              <v:shape style="position:absolute;left:6374;top:15;width:2303;height:2" coordorigin="6374,15" coordsize="2303,0" path="m6374,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24" w:lineRule="auto" w:before="31"/>
        <w:ind w:left="138" w:right="0" w:firstLine="440"/>
        <w:jc w:val="left"/>
        <w:rPr>
          <w:rFonts w:ascii="宋体" w:hAnsi="宋体" w:cs="宋体" w:eastAsia="宋体" w:hint="default"/>
          <w:sz w:val="22"/>
          <w:szCs w:val="22"/>
        </w:rPr>
      </w:pPr>
      <w:r>
        <w:rPr>
          <w:rFonts w:ascii="宋体" w:hAnsi="宋体" w:cs="宋体" w:eastAsia="宋体" w:hint="default"/>
          <w:spacing w:val="5"/>
          <w:w w:val="95"/>
          <w:sz w:val="22"/>
          <w:szCs w:val="22"/>
        </w:rPr>
        <w:t>年末金额系本公司之子公司北京同方创新投资有限公司所持深交所上市公司江苏润邦重工</w:t>
      </w:r>
      <w:r>
        <w:rPr>
          <w:rFonts w:ascii="宋体" w:hAnsi="宋体" w:cs="宋体" w:eastAsia="宋体" w:hint="default"/>
          <w:spacing w:val="5"/>
          <w:w w:val="99"/>
          <w:sz w:val="22"/>
          <w:szCs w:val="22"/>
        </w:rPr>
        <w:t> </w:t>
      </w:r>
      <w:r>
        <w:rPr>
          <w:rFonts w:ascii="宋体" w:hAnsi="宋体" w:cs="宋体" w:eastAsia="宋体" w:hint="default"/>
          <w:sz w:val="22"/>
          <w:szCs w:val="22"/>
        </w:rPr>
        <w:t>股份有限公司的限售股权（限售期</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年）公允价值。</w:t>
      </w:r>
    </w:p>
    <w:p>
      <w:pPr>
        <w:spacing w:after="0" w:line="324" w:lineRule="auto"/>
        <w:jc w:val="left"/>
        <w:rPr>
          <w:rFonts w:ascii="宋体" w:hAnsi="宋体" w:cs="宋体" w:eastAsia="宋体" w:hint="default"/>
          <w:sz w:val="22"/>
          <w:szCs w:val="22"/>
        </w:rPr>
        <w:sectPr>
          <w:pgSz w:w="11910" w:h="16840"/>
          <w:pgMar w:header="610" w:footer="784" w:top="1080" w:bottom="980" w:left="1280" w:right="1140"/>
        </w:sectPr>
      </w:pPr>
    </w:p>
    <w:p>
      <w:pPr>
        <w:spacing w:before="103"/>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资产减值准备明细表</w:t>
      </w:r>
    </w:p>
    <w:p>
      <w:pPr>
        <w:spacing w:line="240" w:lineRule="auto" w:before="8"/>
        <w:rPr>
          <w:rFonts w:ascii="宋体" w:hAnsi="宋体" w:cs="宋体" w:eastAsia="宋体" w:hint="default"/>
          <w:sz w:val="20"/>
          <w:szCs w:val="20"/>
        </w:rPr>
      </w:pPr>
    </w:p>
    <w:p>
      <w:pPr>
        <w:tabs>
          <w:tab w:pos="2192" w:val="left" w:leader="none"/>
          <w:tab w:pos="3678" w:val="left" w:leader="none"/>
        </w:tabs>
        <w:spacing w:before="0"/>
        <w:ind w:left="523" w:right="0" w:firstLine="0"/>
        <w:jc w:val="left"/>
        <w:rPr>
          <w:rFonts w:ascii="宋体" w:hAnsi="宋体" w:cs="宋体" w:eastAsia="宋体" w:hint="default"/>
          <w:sz w:val="18"/>
          <w:szCs w:val="18"/>
        </w:rPr>
      </w:pPr>
      <w:r>
        <w:rPr/>
        <w:pict>
          <v:group style="position:absolute;margin-left:85.139999pt;margin-top:-5.417979pt;width:431.65pt;height:.1pt;mso-position-horizontal-relative:page;mso-position-vertical-relative:paragraph;z-index:-1046464" coordorigin="1703,-108" coordsize="8633,2">
            <v:shape style="position:absolute;left:1703;top:-108;width:8633;height:2" coordorigin="1703,-108" coordsize="8633,0" path="m1703,-108l10336,-108e" filled="false" stroked="true" strokeweight="1.5pt" strokecolor="#000000">
              <v:path arrowok="t"/>
            </v:shape>
            <w10:wrap type="none"/>
          </v:group>
        </w:pict>
      </w:r>
      <w:r>
        <w:rPr/>
        <w:pict>
          <v:shape style="position:absolute;margin-left:84.779999pt;margin-top:8.352021pt;width:432pt;height:94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7"/>
                    <w:gridCol w:w="1475"/>
                    <w:gridCol w:w="1407"/>
                    <w:gridCol w:w="1384"/>
                    <w:gridCol w:w="1487"/>
                  </w:tblGrid>
                  <w:tr>
                    <w:trPr>
                      <w:trHeight w:val="265" w:hRule="exact"/>
                    </w:trPr>
                    <w:tc>
                      <w:tcPr>
                        <w:tcW w:w="4362" w:type="dxa"/>
                        <w:gridSpan w:val="2"/>
                        <w:tcBorders>
                          <w:top w:val="nil" w:sz="6" w:space="0" w:color="auto"/>
                          <w:left w:val="nil" w:sz="6" w:space="0" w:color="auto"/>
                          <w:bottom w:val="single" w:sz="4" w:space="0" w:color="000000"/>
                          <w:right w:val="nil" w:sz="6" w:space="0" w:color="auto"/>
                        </w:tcBorders>
                      </w:tcPr>
                      <w:p>
                        <w:pP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
                    </w:tc>
                  </w:tr>
                  <w:tr>
                    <w:trPr>
                      <w:trHeight w:val="255" w:hRule="exact"/>
                    </w:trPr>
                    <w:tc>
                      <w:tcPr>
                        <w:tcW w:w="2887" w:type="dxa"/>
                        <w:tcBorders>
                          <w:top w:val="single" w:sz="4" w:space="0" w:color="000000"/>
                          <w:left w:val="nil" w:sz="6" w:space="0" w:color="auto"/>
                          <w:bottom w:val="nil" w:sz="6" w:space="0" w:color="auto"/>
                          <w:right w:val="nil" w:sz="6" w:space="0" w:color="auto"/>
                        </w:tcBorders>
                      </w:tcPr>
                      <w:p>
                        <w:pPr>
                          <w:pStyle w:val="TableParagraph"/>
                          <w:tabs>
                            <w:tab w:pos="1406" w:val="left" w:leader="none"/>
                          </w:tabs>
                          <w:spacing w:line="213" w:lineRule="exact"/>
                          <w:ind w:right="110"/>
                          <w:jc w:val="right"/>
                          <w:rPr>
                            <w:rFonts w:ascii="宋体" w:hAnsi="宋体" w:cs="宋体" w:eastAsia="宋体" w:hint="default"/>
                            <w:sz w:val="18"/>
                            <w:szCs w:val="18"/>
                          </w:rPr>
                        </w:pPr>
                        <w:r>
                          <w:rPr>
                            <w:rFonts w:ascii="宋体" w:hAnsi="宋体" w:cs="宋体" w:eastAsia="宋体" w:hint="default"/>
                            <w:sz w:val="18"/>
                            <w:szCs w:val="18"/>
                          </w:rPr>
                          <w:t>坏账减值准备</w:t>
                          <w:tab/>
                        </w:r>
                        <w:r>
                          <w:rPr>
                            <w:rFonts w:ascii="宋体" w:hAnsi="宋体" w:cs="宋体" w:eastAsia="宋体" w:hint="default"/>
                            <w:w w:val="95"/>
                            <w:sz w:val="18"/>
                            <w:szCs w:val="18"/>
                          </w:rPr>
                          <w:t>564,190,875.79</w:t>
                        </w:r>
                      </w:p>
                    </w:tc>
                    <w:tc>
                      <w:tcPr>
                        <w:tcW w:w="1475" w:type="dxa"/>
                        <w:tcBorders>
                          <w:top w:val="single" w:sz="4" w:space="0" w:color="000000"/>
                          <w:left w:val="nil" w:sz="6" w:space="0" w:color="auto"/>
                          <w:bottom w:val="nil" w:sz="6" w:space="0" w:color="auto"/>
                          <w:right w:val="nil" w:sz="6" w:space="0" w:color="auto"/>
                        </w:tcBorders>
                      </w:tcPr>
                      <w:p>
                        <w:pPr>
                          <w:pStyle w:val="TableParagraph"/>
                          <w:spacing w:line="213" w:lineRule="exact"/>
                          <w:ind w:left="10" w:right="0"/>
                          <w:jc w:val="center"/>
                          <w:rPr>
                            <w:rFonts w:ascii="宋体" w:hAnsi="宋体" w:cs="宋体" w:eastAsia="宋体" w:hint="default"/>
                            <w:sz w:val="18"/>
                            <w:szCs w:val="18"/>
                          </w:rPr>
                        </w:pPr>
                        <w:r>
                          <w:rPr>
                            <w:rFonts w:ascii="宋体"/>
                            <w:sz w:val="18"/>
                          </w:rPr>
                          <w:t>108,145,503.80</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13" w:lineRule="exact"/>
                          <w:ind w:right="110"/>
                          <w:jc w:val="right"/>
                          <w:rPr>
                            <w:rFonts w:ascii="宋体" w:hAnsi="宋体" w:cs="宋体" w:eastAsia="宋体" w:hint="default"/>
                            <w:sz w:val="18"/>
                            <w:szCs w:val="18"/>
                          </w:rPr>
                        </w:pPr>
                        <w:r>
                          <w:rPr>
                            <w:rFonts w:ascii="宋体"/>
                            <w:sz w:val="18"/>
                          </w:rPr>
                          <w:t>12,569,409.03</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13" w:lineRule="exact"/>
                          <w:ind w:right="98"/>
                          <w:jc w:val="right"/>
                          <w:rPr>
                            <w:rFonts w:ascii="宋体" w:hAnsi="宋体" w:cs="宋体" w:eastAsia="宋体" w:hint="default"/>
                            <w:sz w:val="18"/>
                            <w:szCs w:val="18"/>
                          </w:rPr>
                        </w:pPr>
                        <w:r>
                          <w:rPr>
                            <w:rFonts w:ascii="宋体"/>
                            <w:sz w:val="18"/>
                          </w:rPr>
                          <w:t>24,192,969.17</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13" w:lineRule="exact"/>
                          <w:ind w:right="100"/>
                          <w:jc w:val="right"/>
                          <w:rPr>
                            <w:rFonts w:ascii="宋体" w:hAnsi="宋体" w:cs="宋体" w:eastAsia="宋体" w:hint="default"/>
                            <w:sz w:val="18"/>
                            <w:szCs w:val="18"/>
                          </w:rPr>
                        </w:pPr>
                        <w:r>
                          <w:rPr>
                            <w:rFonts w:ascii="宋体"/>
                            <w:sz w:val="18"/>
                          </w:rPr>
                          <w:t>635,574,001.39</w:t>
                        </w:r>
                      </w:p>
                    </w:tc>
                  </w:tr>
                  <w:tr>
                    <w:trPr>
                      <w:trHeight w:val="291" w:hRule="exact"/>
                    </w:trPr>
                    <w:tc>
                      <w:tcPr>
                        <w:tcW w:w="2887" w:type="dxa"/>
                        <w:tcBorders>
                          <w:top w:val="nil" w:sz="6" w:space="0" w:color="auto"/>
                          <w:left w:val="nil" w:sz="6" w:space="0" w:color="auto"/>
                          <w:bottom w:val="nil" w:sz="6" w:space="0" w:color="auto"/>
                          <w:right w:val="nil" w:sz="6" w:space="0" w:color="auto"/>
                        </w:tcBorders>
                      </w:tcPr>
                      <w:p>
                        <w:pPr>
                          <w:pStyle w:val="TableParagraph"/>
                          <w:tabs>
                            <w:tab w:pos="1406" w:val="left" w:leader="none"/>
                          </w:tabs>
                          <w:spacing w:line="218" w:lineRule="exact"/>
                          <w:ind w:right="110"/>
                          <w:jc w:val="right"/>
                          <w:rPr>
                            <w:rFonts w:ascii="宋体" w:hAnsi="宋体" w:cs="宋体" w:eastAsia="宋体" w:hint="default"/>
                            <w:sz w:val="18"/>
                            <w:szCs w:val="18"/>
                          </w:rPr>
                        </w:pPr>
                        <w:r>
                          <w:rPr>
                            <w:rFonts w:ascii="宋体" w:hAnsi="宋体" w:cs="宋体" w:eastAsia="宋体" w:hint="default"/>
                            <w:sz w:val="18"/>
                            <w:szCs w:val="18"/>
                          </w:rPr>
                          <w:t>存货跌价准备</w:t>
                          <w:tab/>
                        </w:r>
                        <w:r>
                          <w:rPr>
                            <w:rFonts w:ascii="宋体" w:hAnsi="宋体" w:cs="宋体" w:eastAsia="宋体" w:hint="default"/>
                            <w:w w:val="95"/>
                            <w:sz w:val="18"/>
                            <w:szCs w:val="18"/>
                          </w:rPr>
                          <w:t>182,535,079.70</w:t>
                        </w:r>
                      </w:p>
                    </w:tc>
                    <w:tc>
                      <w:tcPr>
                        <w:tcW w:w="1475" w:type="dxa"/>
                        <w:tcBorders>
                          <w:top w:val="nil" w:sz="6" w:space="0" w:color="auto"/>
                          <w:left w:val="nil" w:sz="6" w:space="0" w:color="auto"/>
                          <w:bottom w:val="nil" w:sz="6" w:space="0" w:color="auto"/>
                          <w:right w:val="nil" w:sz="6" w:space="0" w:color="auto"/>
                        </w:tcBorders>
                      </w:tcPr>
                      <w:p>
                        <w:pPr>
                          <w:pStyle w:val="TableParagraph"/>
                          <w:spacing w:line="218" w:lineRule="exact"/>
                          <w:ind w:left="10" w:right="0"/>
                          <w:jc w:val="center"/>
                          <w:rPr>
                            <w:rFonts w:ascii="宋体" w:hAnsi="宋体" w:cs="宋体" w:eastAsia="宋体" w:hint="default"/>
                            <w:sz w:val="18"/>
                            <w:szCs w:val="18"/>
                          </w:rPr>
                        </w:pPr>
                        <w:r>
                          <w:rPr>
                            <w:rFonts w:ascii="宋体"/>
                            <w:sz w:val="18"/>
                          </w:rPr>
                          <w:t>105,642,193.05</w:t>
                        </w:r>
                      </w:p>
                    </w:tc>
                    <w:tc>
                      <w:tcPr>
                        <w:tcW w:w="1407" w:type="dxa"/>
                        <w:tcBorders>
                          <w:top w:val="nil" w:sz="6" w:space="0" w:color="auto"/>
                          <w:left w:val="nil" w:sz="6" w:space="0" w:color="auto"/>
                          <w:bottom w:val="nil" w:sz="6" w:space="0" w:color="auto"/>
                          <w:right w:val="nil" w:sz="6" w:space="0" w:color="auto"/>
                        </w:tcBorders>
                      </w:tcPr>
                      <w:p>
                        <w:pPr>
                          <w:pStyle w:val="TableParagraph"/>
                          <w:spacing w:line="218" w:lineRule="exact"/>
                          <w:ind w:right="110"/>
                          <w:jc w:val="right"/>
                          <w:rPr>
                            <w:rFonts w:ascii="宋体" w:hAnsi="宋体" w:cs="宋体" w:eastAsia="宋体" w:hint="default"/>
                            <w:sz w:val="18"/>
                            <w:szCs w:val="18"/>
                          </w:rPr>
                        </w:pPr>
                        <w:r>
                          <w:rPr>
                            <w:rFonts w:ascii="宋体"/>
                            <w:sz w:val="18"/>
                          </w:rPr>
                          <w:t>16,383,784.72</w:t>
                        </w:r>
                      </w:p>
                    </w:tc>
                    <w:tc>
                      <w:tcPr>
                        <w:tcW w:w="1384" w:type="dxa"/>
                        <w:tcBorders>
                          <w:top w:val="nil" w:sz="6" w:space="0" w:color="auto"/>
                          <w:left w:val="nil" w:sz="6" w:space="0" w:color="auto"/>
                          <w:bottom w:val="nil" w:sz="6" w:space="0" w:color="auto"/>
                          <w:right w:val="nil" w:sz="6" w:space="0" w:color="auto"/>
                        </w:tcBorders>
                      </w:tcPr>
                      <w:p>
                        <w:pPr>
                          <w:pStyle w:val="TableParagraph"/>
                          <w:spacing w:line="218" w:lineRule="exact"/>
                          <w:ind w:right="98"/>
                          <w:jc w:val="right"/>
                          <w:rPr>
                            <w:rFonts w:ascii="宋体" w:hAnsi="宋体" w:cs="宋体" w:eastAsia="宋体" w:hint="default"/>
                            <w:sz w:val="18"/>
                            <w:szCs w:val="18"/>
                          </w:rPr>
                        </w:pPr>
                        <w:r>
                          <w:rPr>
                            <w:rFonts w:ascii="宋体"/>
                            <w:sz w:val="18"/>
                          </w:rPr>
                          <w:t>26,680,448.75</w:t>
                        </w:r>
                      </w:p>
                    </w:tc>
                    <w:tc>
                      <w:tcPr>
                        <w:tcW w:w="1487"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245,113,039.28</w:t>
                        </w:r>
                      </w:p>
                    </w:tc>
                  </w:tr>
                  <w:tr>
                    <w:trPr>
                      <w:trHeight w:val="363"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86" w:lineRule="exact"/>
                          <w:ind w:left="108" w:right="0"/>
                          <w:jc w:val="left"/>
                          <w:rPr>
                            <w:rFonts w:ascii="宋体" w:hAnsi="宋体" w:cs="宋体" w:eastAsia="宋体" w:hint="default"/>
                            <w:sz w:val="18"/>
                            <w:szCs w:val="18"/>
                          </w:rPr>
                        </w:pPr>
                        <w:r>
                          <w:rPr>
                            <w:rFonts w:ascii="宋体" w:hAnsi="宋体" w:cs="宋体" w:eastAsia="宋体" w:hint="default"/>
                            <w:spacing w:val="16"/>
                            <w:sz w:val="18"/>
                            <w:szCs w:val="18"/>
                          </w:rPr>
                          <w:t>长期股权投资</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tabs>
                            <w:tab w:pos="1694"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减值准备</w:t>
                          <w:tab/>
                        </w:r>
                        <w:r>
                          <w:rPr>
                            <w:rFonts w:ascii="宋体" w:hAnsi="宋体" w:cs="宋体" w:eastAsia="宋体" w:hint="default"/>
                            <w:sz w:val="18"/>
                            <w:szCs w:val="18"/>
                          </w:rPr>
                          <w:t>2,955,911.40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0" w:right="0"/>
                          <w:jc w:val="center"/>
                          <w:rPr>
                            <w:rFonts w:ascii="宋体" w:hAnsi="宋体" w:cs="宋体" w:eastAsia="宋体" w:hint="default"/>
                            <w:sz w:val="18"/>
                            <w:szCs w:val="18"/>
                          </w:rPr>
                        </w:pPr>
                        <w:r>
                          <w:rPr>
                            <w:rFonts w:ascii="宋体"/>
                            <w:sz w:val="18"/>
                          </w:rPr>
                          <w:t>46,063,563.00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宋体" w:hAnsi="宋体" w:cs="宋体" w:eastAsia="宋体" w:hint="default"/>
                            <w:sz w:val="18"/>
                            <w:szCs w:val="18"/>
                          </w:rPr>
                        </w:pPr>
                        <w:r>
                          <w:rPr>
                            <w:rFonts w:ascii="宋体"/>
                            <w:sz w:val="18"/>
                          </w:rPr>
                          <w:t>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49,019,474.40</w:t>
                        </w:r>
                      </w:p>
                    </w:tc>
                  </w:tr>
                  <w:tr>
                    <w:trPr>
                      <w:trHeight w:val="364"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122" w:lineRule="exact"/>
                          <w:ind w:left="108" w:right="0"/>
                          <w:jc w:val="left"/>
                          <w:rPr>
                            <w:rFonts w:ascii="宋体" w:hAnsi="宋体" w:cs="宋体" w:eastAsia="宋体" w:hint="default"/>
                            <w:sz w:val="18"/>
                            <w:szCs w:val="18"/>
                          </w:rPr>
                        </w:pPr>
                        <w:r>
                          <w:rPr>
                            <w:rFonts w:ascii="宋体" w:hAnsi="宋体" w:cs="宋体" w:eastAsia="宋体" w:hint="default"/>
                            <w:spacing w:val="16"/>
                            <w:sz w:val="18"/>
                            <w:szCs w:val="18"/>
                          </w:rPr>
                          <w:t>固定资产减值</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tabs>
                            <w:tab w:pos="1694"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准备</w:t>
                          <w:tab/>
                        </w:r>
                        <w:r>
                          <w:rPr>
                            <w:rFonts w:ascii="宋体" w:hAnsi="宋体" w:cs="宋体" w:eastAsia="宋体" w:hint="default"/>
                            <w:sz w:val="18"/>
                            <w:szCs w:val="18"/>
                          </w:rPr>
                          <w:t>6,054,226.38</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0" w:right="0"/>
                          <w:jc w:val="center"/>
                          <w:rPr>
                            <w:rFonts w:ascii="宋体" w:hAnsi="宋体" w:cs="宋体" w:eastAsia="宋体" w:hint="default"/>
                            <w:sz w:val="18"/>
                            <w:szCs w:val="18"/>
                          </w:rPr>
                        </w:pPr>
                        <w:r>
                          <w:rPr>
                            <w:rFonts w:ascii="宋体"/>
                            <w:sz w:val="18"/>
                          </w:rPr>
                          <w:t>21,860,418.72</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宋体" w:hAnsi="宋体" w:cs="宋体" w:eastAsia="宋体" w:hint="default"/>
                            <w:sz w:val="18"/>
                            <w:szCs w:val="18"/>
                          </w:rPr>
                        </w:pPr>
                        <w:r>
                          <w:rPr>
                            <w:rFonts w:ascii="宋体"/>
                            <w:sz w:val="18"/>
                          </w:rPr>
                          <w:t>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1,291,155.30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26,623,489.80</w:t>
                        </w:r>
                      </w:p>
                    </w:tc>
                  </w:tr>
                  <w:tr>
                    <w:trPr>
                      <w:trHeight w:val="311" w:hRule="exact"/>
                    </w:trPr>
                    <w:tc>
                      <w:tcPr>
                        <w:tcW w:w="2887" w:type="dxa"/>
                        <w:tcBorders>
                          <w:top w:val="nil" w:sz="6" w:space="0" w:color="auto"/>
                          <w:left w:val="nil" w:sz="6" w:space="0" w:color="auto"/>
                          <w:bottom w:val="single" w:sz="12" w:space="0" w:color="000000"/>
                          <w:right w:val="nil" w:sz="6" w:space="0" w:color="auto"/>
                        </w:tcBorders>
                      </w:tcPr>
                      <w:p>
                        <w:pPr>
                          <w:pStyle w:val="TableParagraph"/>
                          <w:tabs>
                            <w:tab w:pos="1856" w:val="left" w:leader="none"/>
                          </w:tabs>
                          <w:spacing w:line="240" w:lineRule="auto" w:before="19"/>
                          <w:ind w:right="110"/>
                          <w:jc w:val="right"/>
                          <w:rPr>
                            <w:rFonts w:ascii="宋体" w:hAnsi="宋体" w:cs="宋体" w:eastAsia="宋体" w:hint="default"/>
                            <w:sz w:val="18"/>
                            <w:szCs w:val="18"/>
                          </w:rPr>
                        </w:pPr>
                        <w:r>
                          <w:rPr>
                            <w:rFonts w:ascii="宋体" w:hAnsi="宋体" w:cs="宋体" w:eastAsia="宋体" w:hint="default"/>
                            <w:spacing w:val="16"/>
                            <w:sz w:val="18"/>
                            <w:szCs w:val="18"/>
                          </w:rPr>
                          <w:t>在建工程减值</w:t>
                          <w:tab/>
                        </w:r>
                        <w:r>
                          <w:rPr>
                            <w:rFonts w:ascii="宋体" w:hAnsi="宋体" w:cs="宋体" w:eastAsia="宋体" w:hint="default"/>
                            <w:w w:val="95"/>
                            <w:sz w:val="18"/>
                            <w:szCs w:val="18"/>
                          </w:rPr>
                          <w:t>37,595.23</w:t>
                        </w:r>
                      </w:p>
                    </w:tc>
                    <w:tc>
                      <w:tcPr>
                        <w:tcW w:w="1475"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190" w:right="0"/>
                          <w:jc w:val="center"/>
                          <w:rPr>
                            <w:rFonts w:ascii="宋体" w:hAnsi="宋体" w:cs="宋体" w:eastAsia="宋体" w:hint="default"/>
                            <w:sz w:val="18"/>
                            <w:szCs w:val="18"/>
                          </w:rPr>
                        </w:pPr>
                        <w:r>
                          <w:rPr>
                            <w:rFonts w:ascii="宋体"/>
                            <w:sz w:val="18"/>
                          </w:rPr>
                          <w:t>2,023,122.49</w:t>
                        </w:r>
                      </w:p>
                    </w:tc>
                    <w:tc>
                      <w:tcPr>
                        <w:tcW w:w="1407"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10"/>
                          <w:jc w:val="right"/>
                          <w:rPr>
                            <w:rFonts w:ascii="宋体" w:hAnsi="宋体" w:cs="宋体" w:eastAsia="宋体" w:hint="default"/>
                            <w:sz w:val="18"/>
                            <w:szCs w:val="18"/>
                          </w:rPr>
                        </w:pPr>
                        <w:r>
                          <w:rPr>
                            <w:rFonts w:ascii="宋体"/>
                            <w:sz w:val="18"/>
                          </w:rPr>
                          <w:t>0.00</w:t>
                        </w: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0"/>
                          <w:jc w:val="right"/>
                          <w:rPr>
                            <w:rFonts w:ascii="宋体" w:hAnsi="宋体" w:cs="宋体" w:eastAsia="宋体" w:hint="default"/>
                            <w:sz w:val="18"/>
                            <w:szCs w:val="18"/>
                          </w:rPr>
                        </w:pPr>
                        <w:r>
                          <w:rPr>
                            <w:rFonts w:ascii="宋体"/>
                            <w:sz w:val="18"/>
                          </w:rPr>
                          <w:t>2,060,717.72</w:t>
                        </w:r>
                      </w:p>
                    </w:tc>
                  </w:tr>
                </w:tbl>
                <w:p>
                  <w:pPr/>
                </w:p>
              </w:txbxContent>
            </v:textbox>
            <w10:wrap type="none"/>
          </v:shape>
        </w:pict>
      </w:r>
      <w:r>
        <w:rPr>
          <w:rFonts w:ascii="宋体" w:hAnsi="宋体" w:cs="宋体" w:eastAsia="宋体" w:hint="default"/>
          <w:b/>
          <w:bCs/>
          <w:w w:val="95"/>
          <w:sz w:val="18"/>
          <w:szCs w:val="18"/>
        </w:rPr>
        <w:t>项目</w:t>
        <w:tab/>
        <w:t>年初金额</w:t>
        <w:tab/>
        <w:t>本年增加</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4"/>
          <w:szCs w:val="24"/>
        </w:rPr>
      </w:pPr>
    </w:p>
    <w:p>
      <w:pPr>
        <w:spacing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5"/>
          <w:szCs w:val="15"/>
        </w:rPr>
      </w:pPr>
    </w:p>
    <w:p>
      <w:pPr>
        <w:spacing w:before="0"/>
        <w:ind w:left="523" w:right="0" w:firstLine="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40"/>
          <w:cols w:num="3" w:equalWidth="0">
            <w:col w:w="4401" w:space="894"/>
            <w:col w:w="1246" w:space="891"/>
            <w:col w:w="2058"/>
          </w:cols>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spacing w:line="185" w:lineRule="exact" w:before="0"/>
        <w:ind w:left="523" w:right="213" w:firstLine="0"/>
        <w:jc w:val="left"/>
        <w:rPr>
          <w:rFonts w:ascii="宋体" w:hAnsi="宋体" w:cs="宋体" w:eastAsia="宋体" w:hint="default"/>
          <w:sz w:val="18"/>
          <w:szCs w:val="18"/>
        </w:rPr>
      </w:pPr>
      <w:r>
        <w:rPr>
          <w:rFonts w:ascii="宋体" w:hAnsi="宋体" w:cs="宋体" w:eastAsia="宋体" w:hint="default"/>
          <w:sz w:val="18"/>
          <w:szCs w:val="18"/>
        </w:rPr>
        <w:t>准备</w:t>
      </w:r>
    </w:p>
    <w:p>
      <w:pPr>
        <w:spacing w:line="168" w:lineRule="exact" w:before="19"/>
        <w:ind w:left="523" w:right="213" w:firstLine="0"/>
        <w:jc w:val="left"/>
        <w:rPr>
          <w:rFonts w:ascii="宋体" w:hAnsi="宋体" w:cs="宋体" w:eastAsia="宋体" w:hint="default"/>
          <w:sz w:val="18"/>
          <w:szCs w:val="18"/>
        </w:rPr>
      </w:pPr>
      <w:r>
        <w:rPr>
          <w:rFonts w:ascii="宋体" w:hAnsi="宋体" w:cs="宋体" w:eastAsia="宋体" w:hint="default"/>
          <w:spacing w:val="16"/>
          <w:sz w:val="18"/>
          <w:szCs w:val="18"/>
        </w:rPr>
        <w:t>无形资产减值</w:t>
      </w:r>
      <w:r>
        <w:rPr>
          <w:rFonts w:ascii="宋体" w:hAnsi="宋体" w:cs="宋体" w:eastAsia="宋体" w:hint="default"/>
          <w:spacing w:val="-70"/>
          <w:sz w:val="18"/>
          <w:szCs w:val="18"/>
        </w:rPr>
        <w:t> </w:t>
      </w:r>
      <w:r>
        <w:rPr>
          <w:rFonts w:ascii="宋体" w:hAnsi="宋体" w:cs="宋体" w:eastAsia="宋体" w:hint="default"/>
          <w:sz w:val="18"/>
          <w:szCs w:val="18"/>
        </w:rPr>
      </w:r>
    </w:p>
    <w:p>
      <w:pPr>
        <w:tabs>
          <w:tab w:pos="2109" w:val="left" w:leader="none"/>
          <w:tab w:pos="3595" w:val="left" w:leader="none"/>
          <w:tab w:pos="5712" w:val="left" w:leader="none"/>
          <w:tab w:pos="6387" w:val="left" w:leader="none"/>
          <w:tab w:pos="7873" w:val="left" w:leader="none"/>
        </w:tabs>
        <w:spacing w:line="268" w:lineRule="exact" w:before="0"/>
        <w:ind w:left="523" w:right="213" w:firstLine="0"/>
        <w:jc w:val="left"/>
        <w:rPr>
          <w:rFonts w:ascii="宋体" w:hAnsi="宋体" w:cs="宋体" w:eastAsia="宋体" w:hint="default"/>
          <w:sz w:val="18"/>
          <w:szCs w:val="18"/>
        </w:rPr>
      </w:pPr>
      <w:r>
        <w:rPr>
          <w:rFonts w:ascii="宋体" w:hAnsi="宋体" w:cs="宋体" w:eastAsia="宋体" w:hint="default"/>
          <w:position w:val="-9"/>
          <w:sz w:val="18"/>
          <w:szCs w:val="18"/>
        </w:rPr>
        <w:t>准备</w:t>
        <w:tab/>
      </w:r>
      <w:r>
        <w:rPr>
          <w:rFonts w:ascii="宋体" w:hAnsi="宋体" w:cs="宋体" w:eastAsia="宋体" w:hint="default"/>
          <w:sz w:val="18"/>
          <w:szCs w:val="18"/>
        </w:rPr>
        <w:t>4,624,298.70</w:t>
        <w:tab/>
        <w:t>1,750,000.00</w:t>
        <w:tab/>
        <w:t>0.00</w:t>
        <w:tab/>
        <w:t>4,624,298.70</w:t>
        <w:tab/>
        <w:t>1,750,000.00</w:t>
      </w:r>
    </w:p>
    <w:p>
      <w:pPr>
        <w:tabs>
          <w:tab w:pos="1920" w:val="left" w:leader="none"/>
          <w:tab w:pos="3405" w:val="left" w:leader="none"/>
          <w:tab w:pos="4892" w:val="left" w:leader="none"/>
          <w:tab w:pos="6287" w:val="left" w:leader="none"/>
          <w:tab w:pos="7682" w:val="left" w:leader="none"/>
        </w:tabs>
        <w:spacing w:before="1"/>
        <w:ind w:left="523" w:right="213" w:firstLine="0"/>
        <w:jc w:val="left"/>
        <w:rPr>
          <w:rFonts w:ascii="宋体" w:hAnsi="宋体" w:cs="宋体" w:eastAsia="宋体" w:hint="default"/>
          <w:sz w:val="18"/>
          <w:szCs w:val="18"/>
        </w:rPr>
      </w:pPr>
      <w:r>
        <w:rPr/>
        <w:pict>
          <v:group style="position:absolute;margin-left:84.779999pt;margin-top:.96801pt;width:432pt;height:.1pt;mso-position-horizontal-relative:page;mso-position-vertical-relative:paragraph;z-index:-1046272" coordorigin="1696,19" coordsize="8640,2">
            <v:shape style="position:absolute;left:1696;top:19;width:8640;height:2" coordorigin="1696,19" coordsize="8640,0" path="m1696,19l10336,19e" filled="false" stroked="true" strokeweight=".48pt" strokecolor="#000000">
              <v:path arrowok="t"/>
            </v:shape>
            <w10:wrap type="none"/>
          </v:group>
        </w:pict>
      </w:r>
      <w:r>
        <w:rPr>
          <w:rFonts w:ascii="宋体" w:hAnsi="宋体" w:cs="宋体" w:eastAsia="宋体" w:hint="default"/>
          <w:b/>
          <w:bCs/>
          <w:w w:val="95"/>
          <w:sz w:val="18"/>
          <w:szCs w:val="18"/>
        </w:rPr>
        <w:t>合计</w:t>
        <w:tab/>
        <w:t>760,397,987.20</w:t>
        <w:tab/>
        <w:t>285,484,801.06</w:t>
        <w:tab/>
        <w:t>28,953,193.75</w:t>
        <w:tab/>
        <w:t>56,788,871.92</w:t>
        <w:tab/>
      </w:r>
      <w:r>
        <w:rPr>
          <w:rFonts w:ascii="宋体" w:hAnsi="宋体" w:cs="宋体" w:eastAsia="宋体" w:hint="default"/>
          <w:b/>
          <w:bCs/>
          <w:sz w:val="18"/>
          <w:szCs w:val="18"/>
        </w:rPr>
        <w:t>960,140,722.59</w:t>
      </w:r>
      <w:r>
        <w:rPr>
          <w:rFonts w:ascii="宋体" w:hAnsi="宋体" w:cs="宋体" w:eastAsia="宋体" w:hint="default"/>
          <w:sz w:val="18"/>
          <w:szCs w:val="18"/>
        </w:rPr>
      </w:r>
    </w:p>
    <w:p>
      <w:pPr>
        <w:spacing w:line="240" w:lineRule="auto" w:before="4"/>
        <w:rPr>
          <w:rFonts w:ascii="宋体" w:hAnsi="宋体" w:cs="宋体" w:eastAsia="宋体" w:hint="default"/>
          <w:b/>
          <w:bCs/>
          <w:sz w:val="3"/>
          <w:szCs w:val="3"/>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1412;height:2" coordorigin="15,15" coordsize="1412,2">
              <v:shape style="position:absolute;left:15;top:15;width:1412;height:2" coordorigin="15,15" coordsize="1412,0" path="m15,15l1426,15e" filled="false" stroked="true" strokeweight="1.5pt" strokecolor="#000000">
                <v:path arrowok="t"/>
              </v:shape>
            </v:group>
            <v:group style="position:absolute;left:1412;top:15;width:1500;height:2" coordorigin="1412,15" coordsize="1500,2">
              <v:shape style="position:absolute;left:1412;top:15;width:1500;height:2" coordorigin="1412,15" coordsize="1500,0" path="m1412,15l2912,15e" filled="false" stroked="true" strokeweight="1.5pt" strokecolor="#000000">
                <v:path arrowok="t"/>
              </v:shape>
            </v:group>
            <v:group style="position:absolute;left:2897;top:15;width:1502;height:2" coordorigin="2897,15" coordsize="1502,2">
              <v:shape style="position:absolute;left:2897;top:15;width:1502;height:2" coordorigin="2897,15" coordsize="1502,0" path="m2897,15l4399,15e" filled="false" stroked="true" strokeweight="1.5pt" strokecolor="#000000">
                <v:path arrowok="t"/>
              </v:shape>
            </v:group>
            <v:group style="position:absolute;left:4384;top:15;width:1410;height:2" coordorigin="4384,15" coordsize="1410,2">
              <v:shape style="position:absolute;left:4384;top:15;width:1410;height:2" coordorigin="4384,15" coordsize="1410,0" path="m4384,15l5794,15e" filled="false" stroked="true" strokeweight="1.5pt" strokecolor="#000000">
                <v:path arrowok="t"/>
              </v:shape>
            </v:group>
            <v:group style="position:absolute;left:5780;top:15;width:1410;height:2" coordorigin="5780,15" coordsize="1410,2">
              <v:shape style="position:absolute;left:5780;top:15;width:1410;height:2" coordorigin="5780,15" coordsize="1410,0" path="m5780,15l7190,15e" filled="false" stroked="true" strokeweight="1.5pt" strokecolor="#000000">
                <v:path arrowok="t"/>
              </v:shape>
            </v:group>
            <v:group style="position:absolute;left:7175;top:15;width:1502;height:2" coordorigin="7175,15" coordsize="1502,2">
              <v:shape style="position:absolute;left:7175;top:15;width:1502;height:2" coordorigin="7175,15" coordsize="1502,0" path="m7175,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591" w:right="21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短期借款</w:t>
      </w:r>
    </w:p>
    <w:p>
      <w:pPr>
        <w:spacing w:before="163"/>
        <w:ind w:left="591" w:right="21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按币种列示</w:t>
      </w:r>
    </w:p>
    <w:p>
      <w:pPr>
        <w:spacing w:line="240" w:lineRule="auto" w:before="6"/>
        <w:rPr>
          <w:rFonts w:ascii="宋体" w:hAnsi="宋体" w:cs="宋体" w:eastAsia="宋体" w:hint="default"/>
          <w:sz w:val="12"/>
          <w:szCs w:val="12"/>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4932" w:val="left" w:leader="none"/>
          <w:tab w:pos="7750" w:val="left" w:leader="none"/>
        </w:tabs>
        <w:spacing w:before="0"/>
        <w:ind w:left="524" w:right="213" w:firstLine="0"/>
        <w:jc w:val="left"/>
        <w:rPr>
          <w:rFonts w:ascii="宋体" w:hAnsi="宋体" w:cs="宋体" w:eastAsia="宋体" w:hint="default"/>
          <w:sz w:val="18"/>
          <w:szCs w:val="18"/>
        </w:rPr>
      </w:pPr>
      <w:r>
        <w:rPr>
          <w:rFonts w:ascii="宋体" w:hAnsi="宋体" w:cs="宋体" w:eastAsia="宋体" w:hint="default"/>
          <w:b/>
          <w:bCs/>
          <w:w w:val="95"/>
          <w:sz w:val="18"/>
          <w:szCs w:val="18"/>
        </w:rPr>
        <w:t>币种</w:t>
        <w:tab/>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4695" w:val="left" w:leader="none"/>
          <w:tab w:pos="7513" w:val="left" w:leader="none"/>
        </w:tabs>
        <w:spacing w:before="0"/>
        <w:ind w:left="524" w:right="213" w:firstLine="0"/>
        <w:jc w:val="left"/>
        <w:rPr>
          <w:rFonts w:ascii="宋体" w:hAnsi="宋体" w:cs="宋体" w:eastAsia="宋体" w:hint="default"/>
          <w:sz w:val="18"/>
          <w:szCs w:val="18"/>
        </w:rPr>
      </w:pPr>
      <w:r>
        <w:rPr>
          <w:rFonts w:ascii="宋体" w:hAnsi="宋体" w:cs="宋体" w:eastAsia="宋体" w:hint="default"/>
          <w:sz w:val="18"/>
          <w:szCs w:val="18"/>
        </w:rPr>
        <w:t>人民币</w:t>
        <w:tab/>
        <w:t>2,128,844,500.00</w:t>
        <w:tab/>
        <w:t>3,080,940,000.00</w:t>
      </w:r>
    </w:p>
    <w:p>
      <w:pPr>
        <w:tabs>
          <w:tab w:pos="4875" w:val="left" w:leader="none"/>
          <w:tab w:pos="7693" w:val="left" w:leader="none"/>
        </w:tabs>
        <w:spacing w:before="47"/>
        <w:ind w:left="524" w:right="213" w:firstLine="0"/>
        <w:jc w:val="left"/>
        <w:rPr>
          <w:rFonts w:ascii="宋体" w:hAnsi="宋体" w:cs="宋体" w:eastAsia="宋体" w:hint="default"/>
          <w:sz w:val="18"/>
          <w:szCs w:val="18"/>
        </w:rPr>
      </w:pPr>
      <w:r>
        <w:rPr>
          <w:rFonts w:ascii="宋体" w:hAnsi="宋体" w:cs="宋体" w:eastAsia="宋体" w:hint="default"/>
          <w:sz w:val="18"/>
          <w:szCs w:val="18"/>
        </w:rPr>
        <w:t>美元</w:t>
        <w:tab/>
        <w:t>693,252,459.55</w:t>
        <w:tab/>
        <w:t>383,523,619.36</w:t>
      </w:r>
    </w:p>
    <w:p>
      <w:pPr>
        <w:tabs>
          <w:tab w:pos="5775" w:val="left" w:leader="none"/>
          <w:tab w:pos="7783" w:val="left" w:leader="none"/>
        </w:tabs>
        <w:spacing w:before="47"/>
        <w:ind w:left="524" w:right="213" w:firstLine="0"/>
        <w:jc w:val="left"/>
        <w:rPr>
          <w:rFonts w:ascii="宋体" w:hAnsi="宋体" w:cs="宋体" w:eastAsia="宋体" w:hint="default"/>
          <w:sz w:val="18"/>
          <w:szCs w:val="18"/>
        </w:rPr>
      </w:pPr>
      <w:r>
        <w:rPr>
          <w:rFonts w:ascii="宋体" w:hAnsi="宋体" w:cs="宋体" w:eastAsia="宋体" w:hint="default"/>
          <w:sz w:val="18"/>
          <w:szCs w:val="18"/>
        </w:rPr>
        <w:t>港元</w:t>
        <w:tab/>
        <w:t>0.00</w:t>
        <w:tab/>
        <w:t>27,313,814.40</w:t>
      </w:r>
    </w:p>
    <w:p>
      <w:pPr>
        <w:spacing w:line="240" w:lineRule="auto" w:before="5"/>
        <w:rPr>
          <w:rFonts w:ascii="宋体" w:hAnsi="宋体" w:cs="宋体" w:eastAsia="宋体" w:hint="default"/>
          <w:sz w:val="4"/>
          <w:szCs w:val="4"/>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4682" w:val="left" w:leader="none"/>
          <w:tab w:pos="7500" w:val="left" w:leader="none"/>
        </w:tabs>
        <w:spacing w:before="0"/>
        <w:ind w:left="524" w:right="213"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2,822,096,959.55</w:t>
        <w:tab/>
      </w:r>
      <w:r>
        <w:rPr>
          <w:rFonts w:ascii="宋体" w:hAnsi="宋体" w:cs="宋体" w:eastAsia="宋体" w:hint="default"/>
          <w:b/>
          <w:bCs/>
          <w:sz w:val="18"/>
          <w:szCs w:val="18"/>
        </w:rPr>
        <w:t>3,491,777,433.76</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3077;height:2" coordorigin="15,15" coordsize="3077,2">
              <v:shape style="position:absolute;left:15;top:15;width:3077;height:2" coordorigin="15,15" coordsize="3077,0" path="m15,15l3092,15e" filled="false" stroked="true" strokeweight="1.5pt" strokecolor="#000000">
                <v:path arrowok="t"/>
              </v:shape>
            </v:group>
            <v:group style="position:absolute;left:3077;top:15;width:2780;height:2" coordorigin="3077,15" coordsize="2780,2">
              <v:shape style="position:absolute;left:3077;top:15;width:2780;height:2" coordorigin="3077,15" coordsize="2780,0" path="m3077,15l5857,15e" filled="false" stroked="true" strokeweight="1.5pt" strokecolor="#000000">
                <v:path arrowok="t"/>
              </v:shape>
            </v:group>
            <v:group style="position:absolute;left:5842;top:15;width:2832;height:2" coordorigin="5842,15" coordsize="2832,2">
              <v:shape style="position:absolute;left:5842;top:15;width:2832;height:2" coordorigin="5842,15" coordsize="2832,0" path="m5842,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578" w:right="86" w:firstLine="0"/>
        <w:jc w:val="left"/>
        <w:rPr>
          <w:rFonts w:ascii="宋体" w:hAnsi="宋体" w:cs="宋体" w:eastAsia="宋体" w:hint="default"/>
          <w:sz w:val="22"/>
          <w:szCs w:val="22"/>
        </w:rPr>
      </w:pPr>
      <w:r>
        <w:rPr>
          <w:rFonts w:ascii="宋体" w:hAnsi="宋体" w:cs="宋体" w:eastAsia="宋体" w:hint="default"/>
          <w:spacing w:val="6"/>
          <w:sz w:val="22"/>
          <w:szCs w:val="22"/>
        </w:rPr>
        <w:t>截至 </w:t>
      </w:r>
      <w:r>
        <w:rPr>
          <w:rFonts w:ascii="宋体" w:hAnsi="宋体" w:cs="宋体" w:eastAsia="宋体" w:hint="default"/>
          <w:sz w:val="22"/>
          <w:szCs w:val="22"/>
        </w:rPr>
        <w:t>2010 年 12 月 31</w:t>
      </w:r>
      <w:r>
        <w:rPr>
          <w:rFonts w:ascii="宋体" w:hAnsi="宋体" w:cs="宋体" w:eastAsia="宋体" w:hint="default"/>
          <w:spacing w:val="74"/>
          <w:sz w:val="22"/>
          <w:szCs w:val="22"/>
        </w:rPr>
        <w:t> </w:t>
      </w:r>
      <w:r>
        <w:rPr>
          <w:rFonts w:ascii="宋体" w:hAnsi="宋体" w:cs="宋体" w:eastAsia="宋体" w:hint="default"/>
          <w:spacing w:val="11"/>
          <w:sz w:val="22"/>
          <w:szCs w:val="22"/>
        </w:rPr>
        <w:t>日，本公司之子公司同方威视技术股份有限公司取得信用借款</w:t>
      </w:r>
    </w:p>
    <w:p>
      <w:pPr>
        <w:spacing w:line="324" w:lineRule="auto" w:before="102"/>
        <w:ind w:left="138" w:right="113" w:firstLine="0"/>
        <w:jc w:val="both"/>
        <w:rPr>
          <w:rFonts w:ascii="宋体" w:hAnsi="宋体" w:cs="宋体" w:eastAsia="宋体" w:hint="default"/>
          <w:sz w:val="22"/>
          <w:szCs w:val="22"/>
        </w:rPr>
      </w:pPr>
      <w:r>
        <w:rPr>
          <w:rFonts w:ascii="宋体" w:hAnsi="宋体" w:cs="宋体" w:eastAsia="宋体" w:hint="default"/>
          <w:sz w:val="22"/>
          <w:szCs w:val="22"/>
        </w:rPr>
        <w:t>4,000,000.00 美元、沈阳同方多媒体科技有限公司取得保证和质押借款 59,906,459.80</w:t>
      </w:r>
      <w:r>
        <w:rPr>
          <w:rFonts w:ascii="宋体" w:hAnsi="宋体" w:cs="宋体" w:eastAsia="宋体" w:hint="default"/>
          <w:spacing w:val="-50"/>
          <w:sz w:val="22"/>
          <w:szCs w:val="22"/>
        </w:rPr>
        <w:t> </w:t>
      </w:r>
      <w:r>
        <w:rPr>
          <w:rFonts w:ascii="宋体" w:hAnsi="宋体" w:cs="宋体" w:eastAsia="宋体" w:hint="default"/>
          <w:sz w:val="22"/>
          <w:szCs w:val="22"/>
        </w:rPr>
        <w:t>美元、</w:t>
      </w:r>
      <w:r>
        <w:rPr>
          <w:rFonts w:ascii="宋体" w:hAnsi="宋体" w:cs="宋体" w:eastAsia="宋体" w:hint="default"/>
          <w:w w:val="99"/>
          <w:sz w:val="22"/>
          <w:szCs w:val="22"/>
        </w:rPr>
        <w:t> </w:t>
      </w:r>
      <w:r>
        <w:rPr>
          <w:rFonts w:ascii="宋体" w:hAnsi="宋体" w:cs="宋体" w:eastAsia="宋体" w:hint="default"/>
          <w:spacing w:val="-1"/>
          <w:w w:val="99"/>
          <w:sz w:val="22"/>
          <w:szCs w:val="22"/>
        </w:rPr>
        <w:t>Resuccess</w:t>
      </w:r>
      <w:r>
        <w:rPr>
          <w:rFonts w:ascii="宋体" w:hAnsi="宋体" w:cs="宋体" w:eastAsia="宋体" w:hint="default"/>
          <w:spacing w:val="-54"/>
          <w:w w:val="99"/>
          <w:sz w:val="22"/>
          <w:szCs w:val="22"/>
        </w:rPr>
        <w:t> </w:t>
      </w:r>
      <w:r>
        <w:rPr>
          <w:rFonts w:ascii="宋体" w:hAnsi="宋体" w:cs="宋体" w:eastAsia="宋体" w:hint="default"/>
          <w:spacing w:val="-1"/>
          <w:w w:val="99"/>
          <w:sz w:val="22"/>
          <w:szCs w:val="22"/>
        </w:rPr>
        <w:t>Investments</w:t>
      </w:r>
      <w:r>
        <w:rPr>
          <w:rFonts w:ascii="宋体" w:hAnsi="宋体" w:cs="宋体" w:eastAsia="宋体" w:hint="default"/>
          <w:spacing w:val="-55"/>
          <w:w w:val="99"/>
          <w:sz w:val="22"/>
          <w:szCs w:val="22"/>
        </w:rPr>
        <w:t> </w:t>
      </w:r>
      <w:r>
        <w:rPr>
          <w:rFonts w:ascii="宋体" w:hAnsi="宋体" w:cs="宋体" w:eastAsia="宋体" w:hint="default"/>
          <w:w w:val="99"/>
          <w:sz w:val="22"/>
          <w:szCs w:val="22"/>
        </w:rPr>
        <w:t>Ltd.</w:t>
      </w:r>
      <w:r>
        <w:rPr>
          <w:rFonts w:ascii="宋体" w:hAnsi="宋体" w:cs="宋体" w:eastAsia="宋体" w:hint="default"/>
          <w:spacing w:val="4"/>
          <w:w w:val="99"/>
          <w:sz w:val="22"/>
          <w:szCs w:val="22"/>
        </w:rPr>
        <w:t> </w:t>
      </w:r>
      <w:r>
        <w:rPr>
          <w:rFonts w:ascii="宋体" w:hAnsi="宋体" w:cs="宋体" w:eastAsia="宋体" w:hint="default"/>
          <w:w w:val="99"/>
          <w:sz w:val="22"/>
          <w:szCs w:val="22"/>
        </w:rPr>
        <w:t>取得保证借款</w:t>
      </w:r>
      <w:r>
        <w:rPr>
          <w:rFonts w:ascii="宋体" w:hAnsi="宋体" w:cs="宋体" w:eastAsia="宋体" w:hint="default"/>
          <w:spacing w:val="-53"/>
          <w:w w:val="99"/>
          <w:sz w:val="22"/>
          <w:szCs w:val="22"/>
        </w:rPr>
        <w:t> </w:t>
      </w:r>
      <w:r>
        <w:rPr>
          <w:rFonts w:ascii="宋体" w:hAnsi="宋体" w:cs="宋体" w:eastAsia="宋体" w:hint="default"/>
          <w:w w:val="99"/>
          <w:sz w:val="22"/>
          <w:szCs w:val="22"/>
        </w:rPr>
        <w:t>29,725,806.00</w:t>
      </w:r>
      <w:r>
        <w:rPr>
          <w:rFonts w:ascii="宋体" w:hAnsi="宋体" w:cs="宋体" w:eastAsia="宋体" w:hint="default"/>
          <w:spacing w:val="-54"/>
          <w:w w:val="99"/>
          <w:sz w:val="22"/>
          <w:szCs w:val="22"/>
        </w:rPr>
        <w:t> </w:t>
      </w:r>
      <w:r>
        <w:rPr>
          <w:rFonts w:ascii="宋体" w:hAnsi="宋体" w:cs="宋体" w:eastAsia="宋体" w:hint="default"/>
          <w:spacing w:val="-7"/>
          <w:w w:val="99"/>
          <w:sz w:val="22"/>
          <w:szCs w:val="22"/>
        </w:rPr>
        <w:t>美元、Technovator</w:t>
      </w:r>
      <w:r>
        <w:rPr>
          <w:rFonts w:ascii="宋体" w:hAnsi="宋体" w:cs="宋体" w:eastAsia="宋体" w:hint="default"/>
          <w:spacing w:val="-53"/>
          <w:w w:val="99"/>
          <w:sz w:val="22"/>
          <w:szCs w:val="22"/>
        </w:rPr>
        <w:t> </w:t>
      </w:r>
      <w:r>
        <w:rPr>
          <w:rFonts w:ascii="宋体" w:hAnsi="宋体" w:cs="宋体" w:eastAsia="宋体" w:hint="default"/>
          <w:spacing w:val="-1"/>
          <w:w w:val="99"/>
          <w:sz w:val="22"/>
          <w:szCs w:val="22"/>
        </w:rPr>
        <w:t>Int</w:t>
      </w:r>
      <w:r>
        <w:rPr>
          <w:rFonts w:ascii="宋体" w:hAnsi="宋体" w:cs="宋体" w:eastAsia="宋体" w:hint="default"/>
          <w:spacing w:val="-53"/>
          <w:w w:val="99"/>
          <w:sz w:val="22"/>
          <w:szCs w:val="22"/>
        </w:rPr>
        <w:t> </w:t>
      </w:r>
      <w:r>
        <w:rPr>
          <w:rFonts w:ascii="宋体" w:hAnsi="宋体" w:cs="宋体" w:eastAsia="宋体" w:hint="default"/>
          <w:spacing w:val="-1"/>
          <w:w w:val="99"/>
          <w:sz w:val="22"/>
          <w:szCs w:val="22"/>
        </w:rPr>
        <w:t>Private</w:t>
      </w:r>
      <w:r>
        <w:rPr>
          <w:rFonts w:ascii="宋体" w:hAnsi="宋体" w:cs="宋体" w:eastAsia="宋体" w:hint="default"/>
          <w:spacing w:val="-53"/>
          <w:w w:val="99"/>
          <w:sz w:val="22"/>
          <w:szCs w:val="22"/>
        </w:rPr>
        <w:t> </w:t>
      </w:r>
      <w:r>
        <w:rPr>
          <w:rFonts w:ascii="宋体" w:hAnsi="宋体" w:cs="宋体" w:eastAsia="宋体" w:hint="default"/>
          <w:w w:val="99"/>
          <w:sz w:val="22"/>
          <w:szCs w:val="22"/>
        </w:rPr>
        <w:t>Ltd.</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z w:val="22"/>
          <w:szCs w:val="22"/>
        </w:rPr>
        <w:t>取得抵押借款</w:t>
      </w:r>
      <w:r>
        <w:rPr>
          <w:rFonts w:ascii="宋体" w:hAnsi="宋体" w:cs="宋体" w:eastAsia="宋体" w:hint="default"/>
          <w:spacing w:val="-56"/>
          <w:sz w:val="22"/>
          <w:szCs w:val="22"/>
        </w:rPr>
        <w:t> </w:t>
      </w:r>
      <w:r>
        <w:rPr>
          <w:rFonts w:ascii="宋体" w:hAnsi="宋体" w:cs="宋体" w:eastAsia="宋体" w:hint="default"/>
          <w:sz w:val="22"/>
          <w:szCs w:val="22"/>
        </w:rPr>
        <w:t>4,632,730.92</w:t>
      </w:r>
      <w:r>
        <w:rPr>
          <w:rFonts w:ascii="宋体" w:hAnsi="宋体" w:cs="宋体" w:eastAsia="宋体" w:hint="default"/>
          <w:spacing w:val="-56"/>
          <w:sz w:val="22"/>
          <w:szCs w:val="22"/>
        </w:rPr>
        <w:t> </w:t>
      </w:r>
      <w:r>
        <w:rPr>
          <w:rFonts w:ascii="宋体" w:hAnsi="宋体" w:cs="宋体" w:eastAsia="宋体" w:hint="default"/>
          <w:spacing w:val="-8"/>
          <w:sz w:val="22"/>
          <w:szCs w:val="22"/>
        </w:rPr>
        <w:t>美元、同方光电（香港）有限公司取得保证借款</w:t>
      </w:r>
      <w:r>
        <w:rPr>
          <w:rFonts w:ascii="宋体" w:hAnsi="宋体" w:cs="宋体" w:eastAsia="宋体" w:hint="default"/>
          <w:spacing w:val="-56"/>
          <w:sz w:val="22"/>
          <w:szCs w:val="22"/>
        </w:rPr>
        <w:t> </w:t>
      </w:r>
      <w:r>
        <w:rPr>
          <w:rFonts w:ascii="宋体" w:hAnsi="宋体" w:cs="宋体" w:eastAsia="宋体" w:hint="default"/>
          <w:sz w:val="22"/>
          <w:szCs w:val="22"/>
        </w:rPr>
        <w:t>3,171,992.00</w:t>
      </w:r>
      <w:r>
        <w:rPr>
          <w:rFonts w:ascii="宋体" w:hAnsi="宋体" w:cs="宋体" w:eastAsia="宋体" w:hint="default"/>
          <w:spacing w:val="-56"/>
          <w:sz w:val="22"/>
          <w:szCs w:val="22"/>
        </w:rPr>
        <w:t> </w:t>
      </w:r>
      <w:r>
        <w:rPr>
          <w:rFonts w:ascii="宋体" w:hAnsi="宋体" w:cs="宋体" w:eastAsia="宋体" w:hint="default"/>
          <w:sz w:val="22"/>
          <w:szCs w:val="22"/>
        </w:rPr>
        <w:t>美元、</w:t>
      </w:r>
    </w:p>
    <w:tbl>
      <w:tblPr>
        <w:tblW w:w="0" w:type="auto"/>
        <w:jc w:val="left"/>
        <w:tblInd w:w="103" w:type="dxa"/>
        <w:tblLayout w:type="fixed"/>
        <w:tblCellMar>
          <w:top w:w="0" w:type="dxa"/>
          <w:left w:w="0" w:type="dxa"/>
          <w:bottom w:w="0" w:type="dxa"/>
          <w:right w:w="0" w:type="dxa"/>
        </w:tblCellMar>
        <w:tblLook w:val="01E0"/>
      </w:tblPr>
      <w:tblGrid>
        <w:gridCol w:w="6478"/>
        <w:gridCol w:w="2823"/>
      </w:tblGrid>
      <w:tr>
        <w:trPr>
          <w:trHeight w:val="834" w:hRule="exact"/>
        </w:trPr>
        <w:tc>
          <w:tcPr>
            <w:tcW w:w="64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2"/>
                <w:szCs w:val="22"/>
              </w:rPr>
            </w:pPr>
            <w:r>
              <w:rPr>
                <w:rFonts w:ascii="宋体" w:hAnsi="宋体" w:cs="宋体" w:eastAsia="宋体" w:hint="default"/>
                <w:spacing w:val="25"/>
                <w:sz w:val="22"/>
                <w:szCs w:val="22"/>
              </w:rPr>
              <w:t>唐山晶源裕丰电子股份有限公司取得质押借款 </w:t>
            </w:r>
            <w:r>
              <w:rPr>
                <w:rFonts w:ascii="宋体" w:hAnsi="宋体" w:cs="宋体" w:eastAsia="宋体" w:hint="default"/>
                <w:sz w:val="22"/>
                <w:szCs w:val="22"/>
              </w:rPr>
              <w:t>3,246,089.00</w:t>
            </w:r>
          </w:p>
          <w:p>
            <w:pPr>
              <w:pStyle w:val="TableParagraph"/>
              <w:spacing w:line="240" w:lineRule="auto" w:before="102"/>
              <w:ind w:left="35" w:right="0"/>
              <w:jc w:val="left"/>
              <w:rPr>
                <w:rFonts w:ascii="宋体" w:hAnsi="宋体" w:cs="宋体" w:eastAsia="宋体" w:hint="default"/>
                <w:sz w:val="22"/>
                <w:szCs w:val="22"/>
              </w:rPr>
            </w:pPr>
            <w:r>
              <w:rPr>
                <w:rFonts w:ascii="宋体" w:hAnsi="宋体" w:cs="宋体" w:eastAsia="宋体" w:hint="default"/>
                <w:sz w:val="22"/>
                <w:szCs w:val="22"/>
              </w:rPr>
              <w:t>693,252,459.55</w:t>
            </w:r>
            <w:r>
              <w:rPr>
                <w:rFonts w:ascii="宋体" w:hAnsi="宋体" w:cs="宋体" w:eastAsia="宋体" w:hint="default"/>
                <w:spacing w:val="-63"/>
                <w:sz w:val="22"/>
                <w:szCs w:val="22"/>
              </w:rPr>
              <w:t> </w:t>
            </w:r>
            <w:r>
              <w:rPr>
                <w:rFonts w:ascii="宋体" w:hAnsi="宋体" w:cs="宋体" w:eastAsia="宋体" w:hint="default"/>
                <w:sz w:val="22"/>
                <w:szCs w:val="22"/>
              </w:rPr>
              <w:t>元。</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8" w:right="0"/>
              <w:jc w:val="left"/>
              <w:rPr>
                <w:rFonts w:ascii="宋体" w:hAnsi="宋体" w:cs="宋体" w:eastAsia="宋体" w:hint="default"/>
                <w:sz w:val="22"/>
                <w:szCs w:val="22"/>
              </w:rPr>
            </w:pPr>
            <w:r>
              <w:rPr>
                <w:rFonts w:ascii="宋体" w:hAnsi="宋体" w:cs="宋体" w:eastAsia="宋体" w:hint="default"/>
                <w:spacing w:val="24"/>
                <w:sz w:val="22"/>
                <w:szCs w:val="22"/>
              </w:rPr>
              <w:t>美元，共计折合人民币为</w:t>
            </w:r>
            <w:r>
              <w:rPr>
                <w:rFonts w:ascii="宋体" w:hAnsi="宋体" w:cs="宋体" w:eastAsia="宋体" w:hint="default"/>
                <w:spacing w:val="-83"/>
                <w:sz w:val="22"/>
                <w:szCs w:val="22"/>
              </w:rPr>
              <w:t> </w:t>
            </w:r>
            <w:r>
              <w:rPr>
                <w:rFonts w:ascii="宋体" w:hAnsi="宋体" w:cs="宋体" w:eastAsia="宋体" w:hint="default"/>
                <w:sz w:val="22"/>
                <w:szCs w:val="22"/>
              </w:rPr>
            </w:r>
          </w:p>
        </w:tc>
      </w:tr>
      <w:tr>
        <w:trPr>
          <w:trHeight w:val="522" w:hRule="exact"/>
        </w:trPr>
        <w:tc>
          <w:tcPr>
            <w:tcW w:w="6478"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488"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按借款条件列示</w:t>
            </w:r>
          </w:p>
        </w:tc>
        <w:tc>
          <w:tcPr>
            <w:tcW w:w="2823"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6478" w:type="dxa"/>
            <w:tcBorders>
              <w:top w:val="single" w:sz="12" w:space="0" w:color="000000"/>
              <w:left w:val="nil" w:sz="6" w:space="0" w:color="auto"/>
              <w:bottom w:val="single" w:sz="4" w:space="0" w:color="000000"/>
              <w:right w:val="nil" w:sz="6" w:space="0" w:color="auto"/>
            </w:tcBorders>
          </w:tcPr>
          <w:p>
            <w:pPr>
              <w:pStyle w:val="TableParagraph"/>
              <w:tabs>
                <w:tab w:pos="4845" w:val="left" w:leader="none"/>
              </w:tabs>
              <w:spacing w:line="219" w:lineRule="exact"/>
              <w:ind w:left="421" w:right="0"/>
              <w:jc w:val="left"/>
              <w:rPr>
                <w:rFonts w:ascii="宋体" w:hAnsi="宋体" w:cs="宋体" w:eastAsia="宋体" w:hint="default"/>
                <w:sz w:val="18"/>
                <w:szCs w:val="18"/>
              </w:rPr>
            </w:pPr>
            <w:r>
              <w:rPr>
                <w:rFonts w:ascii="宋体" w:hAnsi="宋体" w:cs="宋体" w:eastAsia="宋体" w:hint="default"/>
                <w:b/>
                <w:bCs/>
                <w:w w:val="95"/>
                <w:sz w:val="18"/>
                <w:szCs w:val="18"/>
              </w:rPr>
              <w:t>借款类别</w:t>
              <w:tab/>
            </w:r>
            <w:r>
              <w:rPr>
                <w:rFonts w:ascii="宋体" w:hAnsi="宋体" w:cs="宋体" w:eastAsia="宋体" w:hint="default"/>
                <w:b/>
                <w:bCs/>
                <w:sz w:val="18"/>
                <w:szCs w:val="18"/>
              </w:rPr>
              <w:t>年末金额</w:t>
            </w:r>
            <w:r>
              <w:rPr>
                <w:rFonts w:ascii="宋体" w:hAnsi="宋体" w:cs="宋体" w:eastAsia="宋体" w:hint="default"/>
                <w:sz w:val="18"/>
                <w:szCs w:val="18"/>
              </w:rPr>
            </w:r>
          </w:p>
        </w:tc>
        <w:tc>
          <w:tcPr>
            <w:tcW w:w="2823" w:type="dxa"/>
            <w:tcBorders>
              <w:top w:val="single" w:sz="12" w:space="0" w:color="000000"/>
              <w:left w:val="nil" w:sz="6" w:space="0" w:color="auto"/>
              <w:bottom w:val="single" w:sz="4" w:space="0" w:color="000000"/>
              <w:right w:val="nil" w:sz="6" w:space="0" w:color="auto"/>
            </w:tcBorders>
          </w:tcPr>
          <w:p>
            <w:pPr>
              <w:pStyle w:val="TableParagraph"/>
              <w:spacing w:line="219" w:lineRule="exact"/>
              <w:ind w:left="124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6478" w:type="dxa"/>
            <w:tcBorders>
              <w:top w:val="single" w:sz="4" w:space="0" w:color="000000"/>
              <w:left w:val="nil" w:sz="6" w:space="0" w:color="auto"/>
              <w:bottom w:val="nil" w:sz="6" w:space="0" w:color="auto"/>
              <w:right w:val="nil" w:sz="6" w:space="0" w:color="auto"/>
            </w:tcBorders>
          </w:tcPr>
          <w:p>
            <w:pPr>
              <w:pStyle w:val="TableParagraph"/>
              <w:tabs>
                <w:tab w:pos="4528" w:val="left" w:leader="none"/>
              </w:tabs>
              <w:spacing w:line="219" w:lineRule="exact"/>
              <w:ind w:left="421" w:right="0"/>
              <w:jc w:val="left"/>
              <w:rPr>
                <w:rFonts w:ascii="宋体" w:hAnsi="宋体" w:cs="宋体" w:eastAsia="宋体" w:hint="default"/>
                <w:sz w:val="18"/>
                <w:szCs w:val="18"/>
              </w:rPr>
            </w:pPr>
            <w:r>
              <w:rPr>
                <w:rFonts w:ascii="宋体" w:hAnsi="宋体" w:cs="宋体" w:eastAsia="宋体" w:hint="default"/>
                <w:sz w:val="18"/>
                <w:szCs w:val="18"/>
              </w:rPr>
              <w:t>信用借款</w:t>
              <w:tab/>
              <w:t>1,156,458,905.68</w:t>
            </w:r>
          </w:p>
        </w:tc>
        <w:tc>
          <w:tcPr>
            <w:tcW w:w="2823" w:type="dxa"/>
            <w:tcBorders>
              <w:top w:val="single" w:sz="4" w:space="0" w:color="000000"/>
              <w:left w:val="nil" w:sz="6" w:space="0" w:color="auto"/>
              <w:bottom w:val="nil" w:sz="6" w:space="0" w:color="auto"/>
              <w:right w:val="nil" w:sz="6" w:space="0" w:color="auto"/>
            </w:tcBorders>
          </w:tcPr>
          <w:p>
            <w:pPr>
              <w:pStyle w:val="TableParagraph"/>
              <w:spacing w:line="219" w:lineRule="exact"/>
              <w:ind w:left="932" w:right="0"/>
              <w:jc w:val="left"/>
              <w:rPr>
                <w:rFonts w:ascii="宋体" w:hAnsi="宋体" w:cs="宋体" w:eastAsia="宋体" w:hint="default"/>
                <w:sz w:val="18"/>
                <w:szCs w:val="18"/>
              </w:rPr>
            </w:pPr>
            <w:r>
              <w:rPr>
                <w:rFonts w:ascii="宋体"/>
                <w:sz w:val="18"/>
              </w:rPr>
              <w:t>2,145,776,724.80</w:t>
            </w:r>
          </w:p>
        </w:tc>
      </w:tr>
      <w:tr>
        <w:trPr>
          <w:trHeight w:val="283" w:hRule="exact"/>
        </w:trPr>
        <w:tc>
          <w:tcPr>
            <w:tcW w:w="6478" w:type="dxa"/>
            <w:tcBorders>
              <w:top w:val="nil" w:sz="6" w:space="0" w:color="auto"/>
              <w:left w:val="nil" w:sz="6" w:space="0" w:color="auto"/>
              <w:bottom w:val="nil" w:sz="6" w:space="0" w:color="auto"/>
              <w:right w:val="nil" w:sz="6" w:space="0" w:color="auto"/>
            </w:tcBorders>
          </w:tcPr>
          <w:p>
            <w:pPr>
              <w:pStyle w:val="TableParagraph"/>
              <w:tabs>
                <w:tab w:pos="4798" w:val="left" w:leader="none"/>
              </w:tabs>
              <w:spacing w:line="225" w:lineRule="exact"/>
              <w:ind w:left="421" w:right="0"/>
              <w:jc w:val="left"/>
              <w:rPr>
                <w:rFonts w:ascii="宋体" w:hAnsi="宋体" w:cs="宋体" w:eastAsia="宋体" w:hint="default"/>
                <w:sz w:val="18"/>
                <w:szCs w:val="18"/>
              </w:rPr>
            </w:pPr>
            <w:r>
              <w:rPr>
                <w:rFonts w:ascii="宋体" w:hAnsi="宋体" w:cs="宋体" w:eastAsia="宋体" w:hint="default"/>
                <w:sz w:val="18"/>
                <w:szCs w:val="18"/>
              </w:rPr>
              <w:t>抵押借款</w:t>
              <w:tab/>
              <w:t>32,481,187.04</w:t>
            </w:r>
          </w:p>
        </w:tc>
        <w:tc>
          <w:tcPr>
            <w:tcW w:w="2823" w:type="dxa"/>
            <w:tcBorders>
              <w:top w:val="nil" w:sz="6" w:space="0" w:color="auto"/>
              <w:left w:val="nil" w:sz="6" w:space="0" w:color="auto"/>
              <w:bottom w:val="nil" w:sz="6" w:space="0" w:color="auto"/>
              <w:right w:val="nil" w:sz="6" w:space="0" w:color="auto"/>
            </w:tcBorders>
          </w:tcPr>
          <w:p>
            <w:pPr>
              <w:pStyle w:val="TableParagraph"/>
              <w:spacing w:line="225" w:lineRule="exact"/>
              <w:ind w:left="1112" w:right="0"/>
              <w:jc w:val="left"/>
              <w:rPr>
                <w:rFonts w:ascii="宋体" w:hAnsi="宋体" w:cs="宋体" w:eastAsia="宋体" w:hint="default"/>
                <w:sz w:val="18"/>
                <w:szCs w:val="18"/>
              </w:rPr>
            </w:pPr>
            <w:r>
              <w:rPr>
                <w:rFonts w:ascii="宋体"/>
                <w:sz w:val="18"/>
              </w:rPr>
              <w:t>186,700,000.00</w:t>
            </w:r>
          </w:p>
        </w:tc>
      </w:tr>
      <w:tr>
        <w:trPr>
          <w:trHeight w:val="283" w:hRule="exact"/>
        </w:trPr>
        <w:tc>
          <w:tcPr>
            <w:tcW w:w="6478" w:type="dxa"/>
            <w:tcBorders>
              <w:top w:val="nil" w:sz="6" w:space="0" w:color="auto"/>
              <w:left w:val="nil" w:sz="6" w:space="0" w:color="auto"/>
              <w:bottom w:val="nil" w:sz="6" w:space="0" w:color="auto"/>
              <w:right w:val="nil" w:sz="6" w:space="0" w:color="auto"/>
            </w:tcBorders>
          </w:tcPr>
          <w:p>
            <w:pPr>
              <w:pStyle w:val="TableParagraph"/>
              <w:tabs>
                <w:tab w:pos="4528" w:val="left" w:leader="none"/>
              </w:tabs>
              <w:spacing w:line="225" w:lineRule="exact"/>
              <w:ind w:left="421" w:right="0"/>
              <w:jc w:val="left"/>
              <w:rPr>
                <w:rFonts w:ascii="宋体" w:hAnsi="宋体" w:cs="宋体" w:eastAsia="宋体" w:hint="default"/>
                <w:sz w:val="18"/>
                <w:szCs w:val="18"/>
              </w:rPr>
            </w:pPr>
            <w:r>
              <w:rPr>
                <w:rFonts w:ascii="宋体" w:hAnsi="宋体" w:cs="宋体" w:eastAsia="宋体" w:hint="default"/>
                <w:sz w:val="18"/>
                <w:szCs w:val="18"/>
              </w:rPr>
              <w:t>保证借款</w:t>
              <w:tab/>
              <w:t>1,351,463,379.03</w:t>
            </w:r>
          </w:p>
        </w:tc>
        <w:tc>
          <w:tcPr>
            <w:tcW w:w="2823" w:type="dxa"/>
            <w:tcBorders>
              <w:top w:val="nil" w:sz="6" w:space="0" w:color="auto"/>
              <w:left w:val="nil" w:sz="6" w:space="0" w:color="auto"/>
              <w:bottom w:val="nil" w:sz="6" w:space="0" w:color="auto"/>
              <w:right w:val="nil" w:sz="6" w:space="0" w:color="auto"/>
            </w:tcBorders>
          </w:tcPr>
          <w:p>
            <w:pPr>
              <w:pStyle w:val="TableParagraph"/>
              <w:spacing w:line="225" w:lineRule="exact"/>
              <w:ind w:left="932" w:right="0"/>
              <w:jc w:val="left"/>
              <w:rPr>
                <w:rFonts w:ascii="宋体" w:hAnsi="宋体" w:cs="宋体" w:eastAsia="宋体" w:hint="default"/>
                <w:sz w:val="18"/>
                <w:szCs w:val="18"/>
              </w:rPr>
            </w:pPr>
            <w:r>
              <w:rPr>
                <w:rFonts w:ascii="宋体"/>
                <w:sz w:val="18"/>
              </w:rPr>
              <w:t>1,020,031,404.44</w:t>
            </w:r>
          </w:p>
        </w:tc>
      </w:tr>
      <w:tr>
        <w:trPr>
          <w:trHeight w:val="293" w:hRule="exact"/>
        </w:trPr>
        <w:tc>
          <w:tcPr>
            <w:tcW w:w="6478" w:type="dxa"/>
            <w:tcBorders>
              <w:top w:val="nil" w:sz="6" w:space="0" w:color="auto"/>
              <w:left w:val="nil" w:sz="6" w:space="0" w:color="auto"/>
              <w:bottom w:val="single" w:sz="4" w:space="0" w:color="000000"/>
              <w:right w:val="nil" w:sz="6" w:space="0" w:color="auto"/>
            </w:tcBorders>
          </w:tcPr>
          <w:p>
            <w:pPr>
              <w:pStyle w:val="TableParagraph"/>
              <w:tabs>
                <w:tab w:pos="4708" w:val="left" w:leader="none"/>
              </w:tabs>
              <w:spacing w:line="225" w:lineRule="exact"/>
              <w:ind w:left="421" w:right="0"/>
              <w:jc w:val="left"/>
              <w:rPr>
                <w:rFonts w:ascii="宋体" w:hAnsi="宋体" w:cs="宋体" w:eastAsia="宋体" w:hint="default"/>
                <w:sz w:val="18"/>
                <w:szCs w:val="18"/>
              </w:rPr>
            </w:pPr>
            <w:r>
              <w:rPr>
                <w:rFonts w:ascii="宋体" w:hAnsi="宋体" w:cs="宋体" w:eastAsia="宋体" w:hint="default"/>
                <w:sz w:val="18"/>
                <w:szCs w:val="18"/>
              </w:rPr>
              <w:t>质押借款</w:t>
              <w:tab/>
              <w:t>281,693,487.80</w:t>
            </w:r>
          </w:p>
        </w:tc>
        <w:tc>
          <w:tcPr>
            <w:tcW w:w="2823" w:type="dxa"/>
            <w:tcBorders>
              <w:top w:val="nil" w:sz="6" w:space="0" w:color="auto"/>
              <w:left w:val="nil" w:sz="6" w:space="0" w:color="auto"/>
              <w:bottom w:val="single" w:sz="4" w:space="0" w:color="000000"/>
              <w:right w:val="nil" w:sz="6" w:space="0" w:color="auto"/>
            </w:tcBorders>
          </w:tcPr>
          <w:p>
            <w:pPr>
              <w:pStyle w:val="TableParagraph"/>
              <w:spacing w:line="225" w:lineRule="exact"/>
              <w:ind w:left="1112" w:right="0"/>
              <w:jc w:val="left"/>
              <w:rPr>
                <w:rFonts w:ascii="宋体" w:hAnsi="宋体" w:cs="宋体" w:eastAsia="宋体" w:hint="default"/>
                <w:sz w:val="18"/>
                <w:szCs w:val="18"/>
              </w:rPr>
            </w:pPr>
            <w:r>
              <w:rPr>
                <w:rFonts w:ascii="宋体"/>
                <w:sz w:val="18"/>
              </w:rPr>
              <w:t>139,269,304.52</w:t>
            </w:r>
          </w:p>
        </w:tc>
      </w:tr>
      <w:tr>
        <w:trPr>
          <w:trHeight w:val="304" w:hRule="exact"/>
        </w:trPr>
        <w:tc>
          <w:tcPr>
            <w:tcW w:w="6478" w:type="dxa"/>
            <w:tcBorders>
              <w:top w:val="single" w:sz="4" w:space="0" w:color="000000"/>
              <w:left w:val="nil" w:sz="6" w:space="0" w:color="auto"/>
              <w:bottom w:val="single" w:sz="12" w:space="0" w:color="000000"/>
              <w:right w:val="nil" w:sz="6" w:space="0" w:color="auto"/>
            </w:tcBorders>
          </w:tcPr>
          <w:p>
            <w:pPr>
              <w:pStyle w:val="TableParagraph"/>
              <w:tabs>
                <w:tab w:pos="4515" w:val="left" w:leader="none"/>
              </w:tabs>
              <w:spacing w:line="219" w:lineRule="exact"/>
              <w:ind w:left="421"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2,822,096,959.55</w:t>
            </w:r>
            <w:r>
              <w:rPr>
                <w:rFonts w:ascii="宋体" w:hAnsi="宋体" w:cs="宋体" w:eastAsia="宋体" w:hint="default"/>
                <w:sz w:val="18"/>
                <w:szCs w:val="18"/>
              </w:rPr>
            </w:r>
          </w:p>
        </w:tc>
        <w:tc>
          <w:tcPr>
            <w:tcW w:w="2823" w:type="dxa"/>
            <w:tcBorders>
              <w:top w:val="single" w:sz="4" w:space="0" w:color="000000"/>
              <w:left w:val="nil" w:sz="6" w:space="0" w:color="auto"/>
              <w:bottom w:val="single" w:sz="12" w:space="0" w:color="000000"/>
              <w:right w:val="nil" w:sz="6" w:space="0" w:color="auto"/>
            </w:tcBorders>
          </w:tcPr>
          <w:p>
            <w:pPr>
              <w:pStyle w:val="TableParagraph"/>
              <w:spacing w:line="219" w:lineRule="exact"/>
              <w:ind w:left="919" w:right="0"/>
              <w:jc w:val="left"/>
              <w:rPr>
                <w:rFonts w:ascii="宋体" w:hAnsi="宋体" w:cs="宋体" w:eastAsia="宋体" w:hint="default"/>
                <w:sz w:val="18"/>
                <w:szCs w:val="18"/>
              </w:rPr>
            </w:pPr>
            <w:r>
              <w:rPr>
                <w:rFonts w:ascii="宋体"/>
                <w:b/>
                <w:sz w:val="18"/>
              </w:rPr>
              <w:t>3,491,777,433.76</w:t>
            </w:r>
            <w:r>
              <w:rPr>
                <w:rFonts w:ascii="宋体"/>
                <w:sz w:val="18"/>
              </w:rPr>
            </w:r>
          </w:p>
        </w:tc>
      </w:tr>
    </w:tbl>
    <w:p>
      <w:pPr>
        <w:spacing w:before="73"/>
        <w:ind w:left="578" w:right="86" w:firstLine="0"/>
        <w:jc w:val="left"/>
        <w:rPr>
          <w:rFonts w:ascii="宋体" w:hAnsi="宋体" w:cs="宋体" w:eastAsia="宋体" w:hint="default"/>
          <w:sz w:val="22"/>
          <w:szCs w:val="22"/>
        </w:rPr>
      </w:pPr>
      <w:r>
        <w:rPr>
          <w:rFonts w:ascii="宋体" w:hAnsi="宋体" w:cs="宋体" w:eastAsia="宋体" w:hint="default"/>
          <w:spacing w:val="9"/>
          <w:sz w:val="22"/>
          <w:szCs w:val="22"/>
        </w:rPr>
        <w:t>截至 </w:t>
      </w:r>
      <w:r>
        <w:rPr>
          <w:rFonts w:ascii="宋体" w:hAnsi="宋体" w:cs="宋体" w:eastAsia="宋体" w:hint="default"/>
          <w:sz w:val="22"/>
          <w:szCs w:val="22"/>
        </w:rPr>
        <w:t>2010 年 12 月 31 </w:t>
      </w:r>
      <w:r>
        <w:rPr>
          <w:rFonts w:ascii="宋体" w:hAnsi="宋体" w:cs="宋体" w:eastAsia="宋体" w:hint="default"/>
          <w:spacing w:val="1"/>
          <w:sz w:val="22"/>
          <w:szCs w:val="22"/>
        </w:rPr>
        <w:t> </w:t>
      </w:r>
      <w:r>
        <w:rPr>
          <w:rFonts w:ascii="宋体" w:hAnsi="宋体" w:cs="宋体" w:eastAsia="宋体" w:hint="default"/>
          <w:spacing w:val="18"/>
          <w:sz w:val="22"/>
          <w:szCs w:val="22"/>
        </w:rPr>
        <w:t>日，本公司之控股子公司同方炭素科技有限公司以账面价值</w:t>
      </w:r>
    </w:p>
    <w:p>
      <w:pPr>
        <w:spacing w:line="324" w:lineRule="auto" w:before="102"/>
        <w:ind w:left="138" w:right="221" w:firstLine="0"/>
        <w:jc w:val="both"/>
        <w:rPr>
          <w:rFonts w:ascii="宋体" w:hAnsi="宋体" w:cs="宋体" w:eastAsia="宋体" w:hint="default"/>
          <w:sz w:val="22"/>
          <w:szCs w:val="22"/>
        </w:rPr>
      </w:pPr>
      <w:r>
        <w:rPr>
          <w:rFonts w:ascii="宋体" w:hAnsi="宋体" w:cs="宋体" w:eastAsia="宋体" w:hint="default"/>
          <w:w w:val="99"/>
          <w:sz w:val="22"/>
          <w:szCs w:val="22"/>
        </w:rPr>
        <w:t>3,591,208.49</w:t>
      </w:r>
      <w:r>
        <w:rPr>
          <w:rFonts w:ascii="宋体" w:hAnsi="宋体" w:cs="宋体" w:eastAsia="宋体" w:hint="default"/>
          <w:spacing w:val="-61"/>
          <w:w w:val="99"/>
          <w:sz w:val="22"/>
          <w:szCs w:val="22"/>
        </w:rPr>
        <w:t> </w:t>
      </w:r>
      <w:r>
        <w:rPr>
          <w:rFonts w:ascii="宋体" w:hAnsi="宋体" w:cs="宋体" w:eastAsia="宋体" w:hint="default"/>
          <w:w w:val="99"/>
          <w:sz w:val="22"/>
          <w:szCs w:val="22"/>
        </w:rPr>
        <w:t>元的房屋建筑物抵押取得抵押借款</w:t>
      </w:r>
      <w:r>
        <w:rPr>
          <w:rFonts w:ascii="宋体" w:hAnsi="宋体" w:cs="宋体" w:eastAsia="宋体" w:hint="default"/>
          <w:spacing w:val="-63"/>
          <w:w w:val="99"/>
          <w:sz w:val="22"/>
          <w:szCs w:val="22"/>
        </w:rPr>
        <w:t> </w:t>
      </w:r>
      <w:r>
        <w:rPr>
          <w:rFonts w:ascii="宋体" w:hAnsi="宋体" w:cs="宋体" w:eastAsia="宋体" w:hint="default"/>
          <w:w w:val="99"/>
          <w:sz w:val="22"/>
          <w:szCs w:val="22"/>
        </w:rPr>
        <w:t>1,800,000.00</w:t>
      </w:r>
      <w:r>
        <w:rPr>
          <w:rFonts w:ascii="宋体" w:hAnsi="宋体" w:cs="宋体" w:eastAsia="宋体" w:hint="default"/>
          <w:spacing w:val="-61"/>
          <w:w w:val="99"/>
          <w:sz w:val="22"/>
          <w:szCs w:val="22"/>
        </w:rPr>
        <w:t> </w:t>
      </w:r>
      <w:r>
        <w:rPr>
          <w:rFonts w:ascii="宋体" w:hAnsi="宋体" w:cs="宋体" w:eastAsia="宋体" w:hint="default"/>
          <w:spacing w:val="-13"/>
          <w:w w:val="99"/>
          <w:sz w:val="22"/>
          <w:szCs w:val="22"/>
        </w:rPr>
        <w:t>元；本公司之子公司</w:t>
      </w:r>
      <w:r>
        <w:rPr>
          <w:rFonts w:ascii="宋体" w:hAnsi="宋体" w:cs="宋体" w:eastAsia="宋体" w:hint="default"/>
          <w:spacing w:val="-63"/>
          <w:w w:val="99"/>
          <w:sz w:val="22"/>
          <w:szCs w:val="22"/>
        </w:rPr>
        <w:t> </w:t>
      </w:r>
      <w:r>
        <w:rPr>
          <w:rFonts w:ascii="宋体" w:hAnsi="宋体" w:cs="宋体" w:eastAsia="宋体" w:hint="default"/>
          <w:spacing w:val="-1"/>
          <w:w w:val="99"/>
          <w:sz w:val="22"/>
          <w:szCs w:val="22"/>
        </w:rPr>
        <w:t>Technovator</w:t>
      </w:r>
      <w:r>
        <w:rPr>
          <w:rFonts w:ascii="宋体" w:hAnsi="宋体" w:cs="宋体" w:eastAsia="宋体" w:hint="default"/>
          <w:w w:val="99"/>
          <w:sz w:val="22"/>
          <w:szCs w:val="22"/>
        </w:rPr>
        <w:t> </w:t>
      </w:r>
      <w:r>
        <w:rPr>
          <w:rFonts w:ascii="宋体" w:hAnsi="宋体" w:cs="宋体" w:eastAsia="宋体" w:hint="default"/>
          <w:sz w:val="22"/>
          <w:szCs w:val="22"/>
        </w:rPr>
        <w:t>Int</w:t>
      </w:r>
      <w:r>
        <w:rPr>
          <w:rFonts w:ascii="宋体" w:hAnsi="宋体" w:cs="宋体" w:eastAsia="宋体" w:hint="default"/>
          <w:spacing w:val="-4"/>
          <w:sz w:val="22"/>
          <w:szCs w:val="22"/>
        </w:rPr>
        <w:t> </w:t>
      </w:r>
      <w:r>
        <w:rPr>
          <w:rFonts w:ascii="宋体" w:hAnsi="宋体" w:cs="宋体" w:eastAsia="宋体" w:hint="default"/>
          <w:sz w:val="22"/>
          <w:szCs w:val="22"/>
        </w:rPr>
        <w:t>Private</w:t>
      </w:r>
      <w:r>
        <w:rPr>
          <w:rFonts w:ascii="宋体" w:hAnsi="宋体" w:cs="宋体" w:eastAsia="宋体" w:hint="default"/>
          <w:spacing w:val="-4"/>
          <w:sz w:val="22"/>
          <w:szCs w:val="22"/>
        </w:rPr>
        <w:t> </w:t>
      </w:r>
      <w:r>
        <w:rPr>
          <w:rFonts w:ascii="宋体" w:hAnsi="宋体" w:cs="宋体" w:eastAsia="宋体" w:hint="default"/>
          <w:sz w:val="22"/>
          <w:szCs w:val="22"/>
        </w:rPr>
        <w:t>Ltd.以部分经营性资产抵押取得借款</w:t>
      </w:r>
      <w:r>
        <w:rPr>
          <w:rFonts w:ascii="宋体" w:hAnsi="宋体" w:cs="宋体" w:eastAsia="宋体" w:hint="default"/>
          <w:spacing w:val="-57"/>
          <w:sz w:val="22"/>
          <w:szCs w:val="22"/>
        </w:rPr>
        <w:t> </w:t>
      </w:r>
      <w:r>
        <w:rPr>
          <w:rFonts w:ascii="宋体" w:hAnsi="宋体" w:cs="宋体" w:eastAsia="宋体" w:hint="default"/>
          <w:sz w:val="22"/>
          <w:szCs w:val="22"/>
        </w:rPr>
        <w:t>30,681,187.04</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before="103"/>
        <w:ind w:left="578" w:right="213"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2010</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日，本公司短期保证借款的担保情况详见附注十</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w:t>
      </w:r>
      <w:r>
        <w:rPr>
          <w:rFonts w:ascii="宋体" w:hAnsi="宋体" w:cs="宋体" w:eastAsia="宋体" w:hint="default"/>
          <w:spacing w:val="-1"/>
          <w:w w:val="99"/>
          <w:sz w:val="22"/>
          <w:szCs w:val="22"/>
        </w:rPr>
        <w:t>二</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before="180"/>
        <w:ind w:left="578" w:right="86" w:firstLine="0"/>
        <w:jc w:val="left"/>
        <w:rPr>
          <w:rFonts w:ascii="宋体" w:hAnsi="宋体" w:cs="宋体" w:eastAsia="宋体" w:hint="default"/>
          <w:sz w:val="22"/>
          <w:szCs w:val="22"/>
        </w:rPr>
      </w:pPr>
      <w:r>
        <w:rPr>
          <w:rFonts w:ascii="宋体" w:hAnsi="宋体" w:cs="宋体" w:eastAsia="宋体" w:hint="default"/>
          <w:spacing w:val="6"/>
          <w:sz w:val="22"/>
          <w:szCs w:val="22"/>
        </w:rPr>
        <w:t>截至 </w:t>
      </w:r>
      <w:r>
        <w:rPr>
          <w:rFonts w:ascii="宋体" w:hAnsi="宋体" w:cs="宋体" w:eastAsia="宋体" w:hint="default"/>
          <w:sz w:val="22"/>
          <w:szCs w:val="22"/>
        </w:rPr>
        <w:t>2010 年 12 月 31</w:t>
      </w:r>
      <w:r>
        <w:rPr>
          <w:rFonts w:ascii="宋体" w:hAnsi="宋体" w:cs="宋体" w:eastAsia="宋体" w:hint="default"/>
          <w:spacing w:val="74"/>
          <w:sz w:val="22"/>
          <w:szCs w:val="22"/>
        </w:rPr>
        <w:t> </w:t>
      </w:r>
      <w:r>
        <w:rPr>
          <w:rFonts w:ascii="宋体" w:hAnsi="宋体" w:cs="宋体" w:eastAsia="宋体" w:hint="default"/>
          <w:spacing w:val="11"/>
          <w:sz w:val="22"/>
          <w:szCs w:val="22"/>
        </w:rPr>
        <w:t>日，本公司之全资子公司南通同方半导体有限公司以定期存单</w:t>
      </w:r>
    </w:p>
    <w:p>
      <w:pPr>
        <w:spacing w:line="324" w:lineRule="auto" w:before="102"/>
        <w:ind w:left="138" w:right="223" w:firstLine="0"/>
        <w:jc w:val="both"/>
        <w:rPr>
          <w:rFonts w:ascii="宋体" w:hAnsi="宋体" w:cs="宋体" w:eastAsia="宋体" w:hint="default"/>
          <w:sz w:val="22"/>
          <w:szCs w:val="22"/>
        </w:rPr>
      </w:pPr>
      <w:r>
        <w:rPr>
          <w:rFonts w:ascii="宋体" w:hAnsi="宋体" w:cs="宋体" w:eastAsia="宋体" w:hint="default"/>
          <w:sz w:val="22"/>
          <w:szCs w:val="22"/>
        </w:rPr>
        <w:t>56,154,960.00</w:t>
      </w:r>
      <w:r>
        <w:rPr>
          <w:rFonts w:ascii="宋体" w:hAnsi="宋体" w:cs="宋体" w:eastAsia="宋体" w:hint="default"/>
          <w:spacing w:val="-58"/>
          <w:sz w:val="22"/>
          <w:szCs w:val="22"/>
        </w:rPr>
        <w:t> </w:t>
      </w:r>
      <w:r>
        <w:rPr>
          <w:rFonts w:ascii="宋体" w:hAnsi="宋体" w:cs="宋体" w:eastAsia="宋体" w:hint="default"/>
          <w:sz w:val="22"/>
          <w:szCs w:val="22"/>
        </w:rPr>
        <w:t>元质押取得短期借款</w:t>
      </w:r>
      <w:r>
        <w:rPr>
          <w:rFonts w:ascii="宋体" w:hAnsi="宋体" w:cs="宋体" w:eastAsia="宋体" w:hint="default"/>
          <w:spacing w:val="-57"/>
          <w:sz w:val="22"/>
          <w:szCs w:val="22"/>
        </w:rPr>
        <w:t> </w:t>
      </w:r>
      <w:r>
        <w:rPr>
          <w:rFonts w:ascii="宋体" w:hAnsi="宋体" w:cs="宋体" w:eastAsia="宋体" w:hint="default"/>
          <w:sz w:val="22"/>
          <w:szCs w:val="22"/>
        </w:rPr>
        <w:t>8,479,164.08</w:t>
      </w:r>
      <w:r>
        <w:rPr>
          <w:rFonts w:ascii="宋体" w:hAnsi="宋体" w:cs="宋体" w:eastAsia="宋体" w:hint="default"/>
          <w:spacing w:val="-57"/>
          <w:sz w:val="22"/>
          <w:szCs w:val="22"/>
        </w:rPr>
        <w:t> </w:t>
      </w:r>
      <w:r>
        <w:rPr>
          <w:rFonts w:ascii="宋体" w:hAnsi="宋体" w:cs="宋体" w:eastAsia="宋体" w:hint="default"/>
          <w:spacing w:val="-6"/>
          <w:sz w:val="22"/>
          <w:szCs w:val="22"/>
        </w:rPr>
        <w:t>美元，折合人民币</w:t>
      </w:r>
      <w:r>
        <w:rPr>
          <w:rFonts w:ascii="宋体" w:hAnsi="宋体" w:cs="宋体" w:eastAsia="宋体" w:hint="default"/>
          <w:spacing w:val="-58"/>
          <w:sz w:val="22"/>
          <w:szCs w:val="22"/>
        </w:rPr>
        <w:t> </w:t>
      </w:r>
      <w:r>
        <w:rPr>
          <w:rFonts w:ascii="宋体" w:hAnsi="宋体" w:cs="宋体" w:eastAsia="宋体" w:hint="default"/>
          <w:sz w:val="22"/>
          <w:szCs w:val="22"/>
        </w:rPr>
        <w:t>56,154,960.00</w:t>
      </w:r>
      <w:r>
        <w:rPr>
          <w:rFonts w:ascii="宋体" w:hAnsi="宋体" w:cs="宋体" w:eastAsia="宋体" w:hint="default"/>
          <w:spacing w:val="-59"/>
          <w:sz w:val="22"/>
          <w:szCs w:val="22"/>
        </w:rPr>
        <w:t> </w:t>
      </w:r>
      <w:r>
        <w:rPr>
          <w:rFonts w:ascii="宋体" w:hAnsi="宋体" w:cs="宋体" w:eastAsia="宋体" w:hint="default"/>
          <w:spacing w:val="-10"/>
          <w:sz w:val="22"/>
          <w:szCs w:val="22"/>
        </w:rPr>
        <w:t>元；本公司</w:t>
      </w:r>
      <w:r>
        <w:rPr>
          <w:rFonts w:ascii="宋体" w:hAnsi="宋体" w:cs="宋体" w:eastAsia="宋体" w:hint="default"/>
          <w:w w:val="99"/>
          <w:sz w:val="22"/>
          <w:szCs w:val="22"/>
        </w:rPr>
        <w:t> </w:t>
      </w:r>
      <w:r>
        <w:rPr>
          <w:rFonts w:ascii="宋体" w:hAnsi="宋体" w:cs="宋体" w:eastAsia="宋体" w:hint="default"/>
          <w:spacing w:val="15"/>
          <w:sz w:val="22"/>
          <w:szCs w:val="22"/>
        </w:rPr>
        <w:t>之控股子公司唐山晶源裕丰电子股份有限公司以定期存款 </w:t>
      </w:r>
      <w:r>
        <w:rPr>
          <w:rFonts w:ascii="宋体" w:hAnsi="宋体" w:cs="宋体" w:eastAsia="宋体" w:hint="default"/>
          <w:sz w:val="22"/>
          <w:szCs w:val="22"/>
        </w:rPr>
        <w:t>21,850,000.00</w:t>
      </w:r>
      <w:r>
        <w:rPr>
          <w:rFonts w:ascii="宋体" w:hAnsi="宋体" w:cs="宋体" w:eastAsia="宋体" w:hint="default"/>
          <w:spacing w:val="3"/>
          <w:sz w:val="22"/>
          <w:szCs w:val="22"/>
        </w:rPr>
        <w:t> </w:t>
      </w:r>
      <w:r>
        <w:rPr>
          <w:rFonts w:ascii="宋体" w:hAnsi="宋体" w:cs="宋体" w:eastAsia="宋体" w:hint="default"/>
          <w:spacing w:val="13"/>
          <w:sz w:val="22"/>
          <w:szCs w:val="22"/>
        </w:rPr>
        <w:t>元质押取得借款</w:t>
      </w:r>
      <w:r>
        <w:rPr>
          <w:rFonts w:ascii="宋体" w:hAnsi="宋体" w:cs="宋体" w:eastAsia="宋体" w:hint="default"/>
          <w:w w:val="99"/>
          <w:sz w:val="22"/>
          <w:szCs w:val="22"/>
        </w:rPr>
        <w:t> </w:t>
      </w:r>
      <w:r>
        <w:rPr>
          <w:rFonts w:ascii="宋体" w:hAnsi="宋体" w:cs="宋体" w:eastAsia="宋体" w:hint="default"/>
          <w:sz w:val="22"/>
          <w:szCs w:val="22"/>
        </w:rPr>
        <w:t>3,246,089.00</w:t>
      </w:r>
      <w:r>
        <w:rPr>
          <w:rFonts w:ascii="宋体" w:hAnsi="宋体" w:cs="宋体" w:eastAsia="宋体" w:hint="default"/>
          <w:spacing w:val="-55"/>
          <w:sz w:val="22"/>
          <w:szCs w:val="22"/>
        </w:rPr>
        <w:t> </w:t>
      </w:r>
      <w:r>
        <w:rPr>
          <w:rFonts w:ascii="宋体" w:hAnsi="宋体" w:cs="宋体" w:eastAsia="宋体" w:hint="default"/>
          <w:spacing w:val="-6"/>
          <w:sz w:val="22"/>
          <w:szCs w:val="22"/>
        </w:rPr>
        <w:t>美元，折合人民币</w:t>
      </w:r>
      <w:r>
        <w:rPr>
          <w:rFonts w:ascii="宋体" w:hAnsi="宋体" w:cs="宋体" w:eastAsia="宋体" w:hint="default"/>
          <w:spacing w:val="-55"/>
          <w:sz w:val="22"/>
          <w:szCs w:val="22"/>
        </w:rPr>
        <w:t> </w:t>
      </w:r>
      <w:r>
        <w:rPr>
          <w:rFonts w:ascii="宋体" w:hAnsi="宋体" w:cs="宋体" w:eastAsia="宋体" w:hint="default"/>
          <w:sz w:val="22"/>
          <w:szCs w:val="22"/>
        </w:rPr>
        <w:t>21,497,608.70</w:t>
      </w:r>
      <w:r>
        <w:rPr>
          <w:rFonts w:ascii="宋体" w:hAnsi="宋体" w:cs="宋体" w:eastAsia="宋体" w:hint="default"/>
          <w:spacing w:val="-56"/>
          <w:sz w:val="22"/>
          <w:szCs w:val="22"/>
        </w:rPr>
        <w:t> </w:t>
      </w:r>
      <w:r>
        <w:rPr>
          <w:rFonts w:ascii="宋体" w:hAnsi="宋体" w:cs="宋体" w:eastAsia="宋体" w:hint="default"/>
          <w:spacing w:val="-3"/>
          <w:sz w:val="22"/>
          <w:szCs w:val="22"/>
        </w:rPr>
        <w:t>元；本公司之控股子公司泰豪科技股份有限公司</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以应收账款</w:t>
      </w:r>
      <w:r>
        <w:rPr>
          <w:rFonts w:ascii="宋体" w:hAnsi="宋体" w:cs="宋体" w:eastAsia="宋体" w:hint="default"/>
          <w:spacing w:val="-56"/>
          <w:sz w:val="22"/>
          <w:szCs w:val="22"/>
        </w:rPr>
        <w:t> </w:t>
      </w:r>
      <w:r>
        <w:rPr>
          <w:rFonts w:ascii="宋体" w:hAnsi="宋体" w:cs="宋体" w:eastAsia="宋体" w:hint="default"/>
          <w:sz w:val="22"/>
          <w:szCs w:val="22"/>
        </w:rPr>
        <w:t>3,389,540.00</w:t>
      </w:r>
      <w:r>
        <w:rPr>
          <w:rFonts w:ascii="宋体" w:hAnsi="宋体" w:cs="宋体" w:eastAsia="宋体" w:hint="default"/>
          <w:spacing w:val="-57"/>
          <w:sz w:val="22"/>
          <w:szCs w:val="22"/>
        </w:rPr>
        <w:t> </w:t>
      </w:r>
      <w:r>
        <w:rPr>
          <w:rFonts w:ascii="宋体" w:hAnsi="宋体" w:cs="宋体" w:eastAsia="宋体" w:hint="default"/>
          <w:sz w:val="22"/>
          <w:szCs w:val="22"/>
        </w:rPr>
        <w:t>元质押取得借款</w:t>
      </w:r>
      <w:r>
        <w:rPr>
          <w:rFonts w:ascii="宋体" w:hAnsi="宋体" w:cs="宋体" w:eastAsia="宋体" w:hint="default"/>
          <w:spacing w:val="-57"/>
          <w:sz w:val="22"/>
          <w:szCs w:val="22"/>
        </w:rPr>
        <w:t> </w:t>
      </w:r>
      <w:r>
        <w:rPr>
          <w:rFonts w:ascii="宋体" w:hAnsi="宋体" w:cs="宋体" w:eastAsia="宋体" w:hint="default"/>
          <w:sz w:val="22"/>
          <w:szCs w:val="22"/>
        </w:rPr>
        <w:t>3,389,540.00</w:t>
      </w:r>
      <w:r>
        <w:rPr>
          <w:rFonts w:ascii="宋体" w:hAnsi="宋体" w:cs="宋体" w:eastAsia="宋体" w:hint="default"/>
          <w:spacing w:val="-57"/>
          <w:sz w:val="22"/>
          <w:szCs w:val="22"/>
        </w:rPr>
        <w:t> </w:t>
      </w:r>
      <w:r>
        <w:rPr>
          <w:rFonts w:ascii="宋体" w:hAnsi="宋体" w:cs="宋体" w:eastAsia="宋体" w:hint="default"/>
          <w:spacing w:val="-3"/>
          <w:sz w:val="22"/>
          <w:szCs w:val="22"/>
        </w:rPr>
        <w:t>元；本公司之子公司沈阳同方多媒体科</w:t>
      </w:r>
    </w:p>
    <w:p>
      <w:pPr>
        <w:spacing w:before="102"/>
        <w:ind w:left="138" w:right="0" w:firstLine="0"/>
        <w:jc w:val="both"/>
        <w:rPr>
          <w:rFonts w:ascii="宋体" w:hAnsi="宋体" w:cs="宋体" w:eastAsia="宋体" w:hint="default"/>
          <w:sz w:val="22"/>
          <w:szCs w:val="22"/>
        </w:rPr>
      </w:pPr>
      <w:r>
        <w:rPr>
          <w:rFonts w:ascii="宋体" w:hAnsi="宋体" w:cs="宋体" w:eastAsia="宋体" w:hint="default"/>
          <w:spacing w:val="14"/>
          <w:sz w:val="22"/>
          <w:szCs w:val="22"/>
        </w:rPr>
        <w:t>技有限公司以应收账款 </w:t>
      </w:r>
      <w:r>
        <w:rPr>
          <w:rFonts w:ascii="宋体" w:hAnsi="宋体" w:cs="宋体" w:eastAsia="宋体" w:hint="default"/>
          <w:sz w:val="22"/>
          <w:szCs w:val="22"/>
        </w:rPr>
        <w:t>145,513,767.55 </w:t>
      </w:r>
      <w:r>
        <w:rPr>
          <w:rFonts w:ascii="宋体" w:hAnsi="宋体" w:cs="宋体" w:eastAsia="宋体" w:hint="default"/>
          <w:spacing w:val="13"/>
          <w:sz w:val="22"/>
          <w:szCs w:val="22"/>
        </w:rPr>
        <w:t>元质押取得借款 </w:t>
      </w:r>
      <w:r>
        <w:rPr>
          <w:rFonts w:ascii="宋体" w:hAnsi="宋体" w:cs="宋体" w:eastAsia="宋体" w:hint="default"/>
          <w:sz w:val="22"/>
          <w:szCs w:val="22"/>
        </w:rPr>
        <w:t>115,000,000.00</w:t>
      </w:r>
      <w:r>
        <w:rPr>
          <w:rFonts w:ascii="宋体" w:hAnsi="宋体" w:cs="宋体" w:eastAsia="宋体" w:hint="default"/>
          <w:spacing w:val="20"/>
          <w:sz w:val="22"/>
          <w:szCs w:val="22"/>
        </w:rPr>
        <w:t> </w:t>
      </w:r>
      <w:r>
        <w:rPr>
          <w:rFonts w:ascii="宋体" w:hAnsi="宋体" w:cs="宋体" w:eastAsia="宋体" w:hint="default"/>
          <w:spacing w:val="13"/>
          <w:sz w:val="22"/>
          <w:szCs w:val="22"/>
        </w:rPr>
        <w:t>元，以应收账款</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16,170,680.00</w:t>
      </w:r>
      <w:r>
        <w:rPr>
          <w:rFonts w:ascii="宋体" w:hAnsi="宋体" w:cs="宋体" w:eastAsia="宋体" w:hint="default"/>
          <w:spacing w:val="-59"/>
          <w:sz w:val="22"/>
          <w:szCs w:val="22"/>
        </w:rPr>
        <w:t> </w:t>
      </w:r>
      <w:r>
        <w:rPr>
          <w:rFonts w:ascii="宋体" w:hAnsi="宋体" w:cs="宋体" w:eastAsia="宋体" w:hint="default"/>
          <w:sz w:val="22"/>
          <w:szCs w:val="22"/>
        </w:rPr>
        <w:t>美元质押取得借款</w:t>
      </w:r>
      <w:r>
        <w:rPr>
          <w:rFonts w:ascii="宋体" w:hAnsi="宋体" w:cs="宋体" w:eastAsia="宋体" w:hint="default"/>
          <w:spacing w:val="-59"/>
          <w:sz w:val="22"/>
          <w:szCs w:val="22"/>
        </w:rPr>
        <w:t> </w:t>
      </w:r>
      <w:r>
        <w:rPr>
          <w:rFonts w:ascii="宋体" w:hAnsi="宋体" w:cs="宋体" w:eastAsia="宋体" w:hint="default"/>
          <w:sz w:val="22"/>
          <w:szCs w:val="22"/>
        </w:rPr>
        <w:t>12,933,000.00</w:t>
      </w:r>
      <w:r>
        <w:rPr>
          <w:rFonts w:ascii="宋体" w:hAnsi="宋体" w:cs="宋体" w:eastAsia="宋体" w:hint="default"/>
          <w:spacing w:val="-59"/>
          <w:sz w:val="22"/>
          <w:szCs w:val="22"/>
        </w:rPr>
        <w:t> </w:t>
      </w:r>
      <w:r>
        <w:rPr>
          <w:rFonts w:ascii="宋体" w:hAnsi="宋体" w:cs="宋体" w:eastAsia="宋体" w:hint="default"/>
          <w:sz w:val="22"/>
          <w:szCs w:val="22"/>
        </w:rPr>
        <w:t>美元，折合人民币</w:t>
      </w:r>
      <w:r>
        <w:rPr>
          <w:rFonts w:ascii="宋体" w:hAnsi="宋体" w:cs="宋体" w:eastAsia="宋体" w:hint="default"/>
          <w:spacing w:val="-59"/>
          <w:sz w:val="22"/>
          <w:szCs w:val="22"/>
        </w:rPr>
        <w:t> </w:t>
      </w:r>
      <w:r>
        <w:rPr>
          <w:rFonts w:ascii="宋体" w:hAnsi="宋体" w:cs="宋体" w:eastAsia="宋体" w:hint="default"/>
          <w:sz w:val="22"/>
          <w:szCs w:val="22"/>
        </w:rPr>
        <w:t>85,651,379.10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after="0"/>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2854"/>
        <w:gridCol w:w="3515"/>
        <w:gridCol w:w="2268"/>
      </w:tblGrid>
      <w:tr>
        <w:trPr>
          <w:trHeight w:val="497" w:hRule="exact"/>
        </w:trPr>
        <w:tc>
          <w:tcPr>
            <w:tcW w:w="285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应付票据</w:t>
            </w:r>
          </w:p>
        </w:tc>
        <w:tc>
          <w:tcPr>
            <w:tcW w:w="5783"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28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5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87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4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28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515" w:type="dxa"/>
            <w:tcBorders>
              <w:top w:val="single" w:sz="4" w:space="0" w:color="000000"/>
              <w:left w:val="nil" w:sz="6" w:space="0" w:color="auto"/>
              <w:bottom w:val="nil" w:sz="6" w:space="0" w:color="auto"/>
              <w:right w:val="nil" w:sz="6" w:space="0" w:color="auto"/>
            </w:tcBorders>
          </w:tcPr>
          <w:p>
            <w:pPr>
              <w:pStyle w:val="TableParagraph"/>
              <w:spacing w:line="226" w:lineRule="exact"/>
              <w:ind w:right="711"/>
              <w:jc w:val="right"/>
              <w:rPr>
                <w:rFonts w:ascii="宋体" w:hAnsi="宋体" w:cs="宋体" w:eastAsia="宋体" w:hint="default"/>
                <w:sz w:val="18"/>
                <w:szCs w:val="18"/>
              </w:rPr>
            </w:pPr>
            <w:r>
              <w:rPr>
                <w:rFonts w:ascii="宋体"/>
                <w:sz w:val="18"/>
              </w:rPr>
              <w:t>924,419,337.46</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810,667,361.16</w:t>
            </w:r>
          </w:p>
        </w:tc>
      </w:tr>
      <w:tr>
        <w:trPr>
          <w:trHeight w:val="283" w:hRule="exact"/>
        </w:trPr>
        <w:tc>
          <w:tcPr>
            <w:tcW w:w="28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515" w:type="dxa"/>
            <w:tcBorders>
              <w:top w:val="nil" w:sz="6" w:space="0" w:color="auto"/>
              <w:left w:val="nil" w:sz="6" w:space="0" w:color="auto"/>
              <w:bottom w:val="nil" w:sz="6" w:space="0" w:color="auto"/>
              <w:right w:val="nil" w:sz="6" w:space="0" w:color="auto"/>
            </w:tcBorders>
          </w:tcPr>
          <w:p>
            <w:pPr>
              <w:pStyle w:val="TableParagraph"/>
              <w:spacing w:line="232" w:lineRule="exact"/>
              <w:ind w:right="711"/>
              <w:jc w:val="right"/>
              <w:rPr>
                <w:rFonts w:ascii="宋体" w:hAnsi="宋体" w:cs="宋体" w:eastAsia="宋体" w:hint="default"/>
                <w:sz w:val="18"/>
                <w:szCs w:val="18"/>
              </w:rPr>
            </w:pPr>
            <w:r>
              <w:rPr>
                <w:rFonts w:ascii="宋体"/>
                <w:sz w:val="18"/>
              </w:rPr>
              <w:t>0.00</w:t>
            </w:r>
          </w:p>
        </w:tc>
        <w:tc>
          <w:tcPr>
            <w:tcW w:w="226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976,432.60</w:t>
            </w:r>
          </w:p>
        </w:tc>
      </w:tr>
      <w:tr>
        <w:trPr>
          <w:trHeight w:val="294" w:hRule="exact"/>
        </w:trPr>
        <w:tc>
          <w:tcPr>
            <w:tcW w:w="285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开具国内信用证</w:t>
            </w:r>
          </w:p>
        </w:tc>
        <w:tc>
          <w:tcPr>
            <w:tcW w:w="3515" w:type="dxa"/>
            <w:tcBorders>
              <w:top w:val="nil" w:sz="6" w:space="0" w:color="auto"/>
              <w:left w:val="nil" w:sz="6" w:space="0" w:color="auto"/>
              <w:bottom w:val="single" w:sz="4" w:space="0" w:color="000000"/>
              <w:right w:val="nil" w:sz="6" w:space="0" w:color="auto"/>
            </w:tcBorders>
          </w:tcPr>
          <w:p>
            <w:pPr>
              <w:pStyle w:val="TableParagraph"/>
              <w:spacing w:line="232" w:lineRule="exact"/>
              <w:ind w:right="711"/>
              <w:jc w:val="right"/>
              <w:rPr>
                <w:rFonts w:ascii="宋体" w:hAnsi="宋体" w:cs="宋体" w:eastAsia="宋体" w:hint="default"/>
                <w:sz w:val="18"/>
                <w:szCs w:val="18"/>
              </w:rPr>
            </w:pPr>
            <w:r>
              <w:rPr>
                <w:rFonts w:ascii="宋体"/>
                <w:sz w:val="18"/>
              </w:rPr>
              <w:t>20,049,000.00</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28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1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b/>
                <w:w w:val="95"/>
                <w:sz w:val="18"/>
              </w:rPr>
              <w:t>944,468,337.46</w:t>
            </w:r>
            <w:r>
              <w:rPr>
                <w:rFonts w:ascii="宋体"/>
                <w:sz w:val="18"/>
              </w:rPr>
            </w: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811,643,793.76</w:t>
            </w:r>
            <w:r>
              <w:rPr>
                <w:rFonts w:ascii="宋体"/>
                <w:sz w:val="18"/>
              </w:rPr>
            </w:r>
          </w:p>
        </w:tc>
      </w:tr>
      <w:tr>
        <w:trPr>
          <w:trHeight w:val="528" w:hRule="exact"/>
        </w:trPr>
        <w:tc>
          <w:tcPr>
            <w:tcW w:w="2854"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应付账款</w:t>
            </w:r>
          </w:p>
        </w:tc>
        <w:tc>
          <w:tcPr>
            <w:tcW w:w="3515" w:type="dxa"/>
            <w:tcBorders>
              <w:top w:val="single" w:sz="12" w:space="0" w:color="000000"/>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2854"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应付账款</w:t>
            </w:r>
          </w:p>
        </w:tc>
        <w:tc>
          <w:tcPr>
            <w:tcW w:w="3515" w:type="dxa"/>
            <w:tcBorders>
              <w:top w:val="nil" w:sz="6" w:space="0" w:color="auto"/>
              <w:left w:val="nil" w:sz="6" w:space="0" w:color="auto"/>
              <w:bottom w:val="single" w:sz="12" w:space="0" w:color="000000"/>
              <w:right w:val="nil" w:sz="6" w:space="0" w:color="auto"/>
            </w:tcBorders>
          </w:tcPr>
          <w:p>
            <w:pPr/>
          </w:p>
        </w:tc>
        <w:tc>
          <w:tcPr>
            <w:tcW w:w="2268"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28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87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4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285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1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b/>
                <w:w w:val="95"/>
                <w:sz w:val="18"/>
              </w:rPr>
              <w:t>3,977,177,001.67</w:t>
            </w:r>
            <w:r>
              <w:rPr>
                <w:rFonts w:ascii="宋体"/>
                <w:sz w:val="18"/>
              </w:rPr>
            </w: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3,629,166,273.14</w:t>
            </w:r>
            <w:r>
              <w:rPr>
                <w:rFonts w:ascii="宋体"/>
                <w:sz w:val="18"/>
              </w:rPr>
            </w:r>
          </w:p>
        </w:tc>
      </w:tr>
      <w:tr>
        <w:trPr>
          <w:trHeight w:val="303" w:hRule="exact"/>
        </w:trPr>
        <w:tc>
          <w:tcPr>
            <w:tcW w:w="28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其中：1</w:t>
            </w:r>
            <w:r>
              <w:rPr>
                <w:rFonts w:ascii="宋体" w:hAnsi="宋体" w:cs="宋体" w:eastAsia="宋体" w:hint="default"/>
                <w:b/>
                <w:bCs/>
                <w:spacing w:val="-47"/>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51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sz w:val="18"/>
              </w:rPr>
              <w:t>1,952,450,039.88</w:t>
            </w: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1,017,562,727.72</w:t>
            </w:r>
          </w:p>
        </w:tc>
      </w:tr>
    </w:tbl>
    <w:p>
      <w:pPr>
        <w:spacing w:before="79"/>
        <w:ind w:left="591" w:right="104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年末余额中不含应付持本公司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5%）以上表决权股份的股东单位款项。</w:t>
      </w:r>
    </w:p>
    <w:p>
      <w:pPr>
        <w:spacing w:line="324" w:lineRule="auto" w:before="180"/>
        <w:ind w:left="138" w:right="166" w:firstLine="45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
          <w:sz w:val="22"/>
          <w:szCs w:val="22"/>
        </w:rPr>
        <w:t> </w:t>
      </w:r>
      <w:r>
        <w:rPr>
          <w:rFonts w:ascii="宋体" w:hAnsi="宋体" w:cs="宋体" w:eastAsia="宋体" w:hint="default"/>
          <w:sz w:val="22"/>
          <w:szCs w:val="22"/>
        </w:rPr>
        <w:t>年末余额中应付关联方款项合计</w:t>
      </w:r>
      <w:r>
        <w:rPr>
          <w:rFonts w:ascii="宋体" w:hAnsi="宋体" w:cs="宋体" w:eastAsia="宋体" w:hint="default"/>
          <w:spacing w:val="-61"/>
          <w:sz w:val="22"/>
          <w:szCs w:val="22"/>
        </w:rPr>
        <w:t> </w:t>
      </w:r>
      <w:r>
        <w:rPr>
          <w:rFonts w:ascii="宋体" w:hAnsi="宋体" w:cs="宋体" w:eastAsia="宋体" w:hint="default"/>
          <w:sz w:val="22"/>
          <w:szCs w:val="22"/>
        </w:rPr>
        <w:t>434,754,312.07</w:t>
      </w:r>
      <w:r>
        <w:rPr>
          <w:rFonts w:ascii="宋体" w:hAnsi="宋体" w:cs="宋体" w:eastAsia="宋体" w:hint="default"/>
          <w:spacing w:val="-61"/>
          <w:sz w:val="22"/>
          <w:szCs w:val="22"/>
        </w:rPr>
        <w:t> </w:t>
      </w:r>
      <w:r>
        <w:rPr>
          <w:rFonts w:ascii="宋体" w:hAnsi="宋体" w:cs="宋体" w:eastAsia="宋体" w:hint="default"/>
          <w:sz w:val="22"/>
          <w:szCs w:val="22"/>
        </w:rPr>
        <w:t>元，占应付账款总额的</w:t>
      </w:r>
      <w:r>
        <w:rPr>
          <w:rFonts w:ascii="宋体" w:hAnsi="宋体" w:cs="宋体" w:eastAsia="宋体" w:hint="default"/>
          <w:spacing w:val="-61"/>
          <w:sz w:val="22"/>
          <w:szCs w:val="22"/>
        </w:rPr>
        <w:t> </w:t>
      </w:r>
      <w:r>
        <w:rPr>
          <w:rFonts w:ascii="宋体" w:hAnsi="宋体" w:cs="宋体" w:eastAsia="宋体" w:hint="default"/>
          <w:sz w:val="22"/>
          <w:szCs w:val="22"/>
        </w:rPr>
        <w:t>10.93%，详见</w:t>
      </w:r>
      <w:r>
        <w:rPr>
          <w:rFonts w:ascii="宋体" w:hAnsi="宋体" w:cs="宋体" w:eastAsia="宋体" w:hint="default"/>
          <w:w w:val="99"/>
          <w:sz w:val="22"/>
          <w:szCs w:val="22"/>
        </w:rPr>
        <w:t> </w:t>
      </w:r>
      <w:r>
        <w:rPr>
          <w:rFonts w:ascii="宋体" w:hAnsi="宋体" w:cs="宋体" w:eastAsia="宋体" w:hint="default"/>
          <w:spacing w:val="-28"/>
          <w:w w:val="99"/>
          <w:sz w:val="22"/>
          <w:szCs w:val="22"/>
        </w:rPr>
        <w:t>附注十、（三）。</w:t>
      </w:r>
      <w:r>
        <w:rPr>
          <w:rFonts w:ascii="宋体" w:hAnsi="宋体" w:cs="宋体" w:eastAsia="宋体" w:hint="default"/>
          <w:spacing w:val="-28"/>
          <w:sz w:val="22"/>
          <w:szCs w:val="22"/>
        </w:rPr>
      </w:r>
    </w:p>
    <w:p>
      <w:pPr>
        <w:spacing w:before="103"/>
        <w:ind w:left="592" w:right="5604"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应付账款中外币余额</w:t>
      </w: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610" w:footer="784" w:top="1080" w:bottom="980" w:left="1280" w:right="1100"/>
        </w:sectPr>
      </w:pPr>
    </w:p>
    <w:p>
      <w:pPr>
        <w:tabs>
          <w:tab w:pos="2958" w:val="left" w:leader="none"/>
          <w:tab w:pos="4081" w:val="left" w:leader="none"/>
          <w:tab w:pos="5789" w:val="left" w:leader="none"/>
          <w:tab w:pos="6848" w:val="left" w:leader="none"/>
        </w:tabs>
        <w:spacing w:before="44"/>
        <w:ind w:left="1975" w:right="-18" w:firstLine="0"/>
        <w:jc w:val="left"/>
        <w:rPr>
          <w:rFonts w:ascii="宋体" w:hAnsi="宋体" w:cs="宋体" w:eastAsia="宋体" w:hint="default"/>
          <w:sz w:val="18"/>
          <w:szCs w:val="18"/>
        </w:rPr>
      </w:pPr>
      <w:r>
        <w:rPr/>
        <w:pict>
          <v:shape style="position:absolute;margin-left:84.839996pt;margin-top:-10.637996pt;width:431.9pt;height:166.05pt;mso-position-horizontal-relative:page;mso-position-vertical-relative:paragraph;z-index:4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0"/>
                    <w:gridCol w:w="1441"/>
                    <w:gridCol w:w="917"/>
                    <w:gridCol w:w="1462"/>
                    <w:gridCol w:w="1405"/>
                    <w:gridCol w:w="894"/>
                    <w:gridCol w:w="1478"/>
                  </w:tblGrid>
                  <w:tr>
                    <w:trPr>
                      <w:trHeight w:val="303" w:hRule="exact"/>
                    </w:trPr>
                    <w:tc>
                      <w:tcPr>
                        <w:tcW w:w="1040" w:type="dxa"/>
                        <w:tcBorders>
                          <w:top w:val="single" w:sz="12" w:space="0" w:color="000000"/>
                          <w:left w:val="nil" w:sz="6" w:space="0" w:color="auto"/>
                          <w:bottom w:val="nil" w:sz="6" w:space="0" w:color="auto"/>
                          <w:right w:val="nil" w:sz="6" w:space="0" w:color="auto"/>
                        </w:tcBorders>
                      </w:tcPr>
                      <w:p>
                        <w:pPr/>
                      </w:p>
                    </w:tc>
                    <w:tc>
                      <w:tcPr>
                        <w:tcW w:w="2358"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55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5239" w:type="dxa"/>
                        <w:gridSpan w:val="4"/>
                        <w:tcBorders>
                          <w:top w:val="single" w:sz="12" w:space="0" w:color="000000"/>
                          <w:left w:val="nil" w:sz="6" w:space="0" w:color="auto"/>
                          <w:bottom w:val="single" w:sz="4" w:space="0" w:color="000000"/>
                          <w:right w:val="nil" w:sz="6" w:space="0" w:color="auto"/>
                        </w:tcBorders>
                      </w:tcPr>
                      <w:p>
                        <w:pPr>
                          <w:pStyle w:val="TableParagraph"/>
                          <w:spacing w:line="226" w:lineRule="exact"/>
                          <w:ind w:left="299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10" w:hRule="exact"/>
                    </w:trPr>
                    <w:tc>
                      <w:tcPr>
                        <w:tcW w:w="8638" w:type="dxa"/>
                        <w:gridSpan w:val="7"/>
                        <w:tcBorders>
                          <w:top w:val="nil" w:sz="6" w:space="0" w:color="auto"/>
                          <w:left w:val="nil" w:sz="6" w:space="0" w:color="auto"/>
                          <w:bottom w:val="nil" w:sz="6" w:space="0" w:color="auto"/>
                          <w:right w:val="nil" w:sz="6" w:space="0" w:color="auto"/>
                        </w:tcBorders>
                      </w:tcPr>
                      <w:p>
                        <w:pPr>
                          <w:pStyle w:val="TableParagraph"/>
                          <w:spacing w:line="1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p>
                        <w:pPr>
                          <w:pStyle w:val="TableParagraph"/>
                          <w:spacing w:line="240" w:lineRule="auto" w:before="27"/>
                          <w:ind w:right="1843"/>
                          <w:jc w:val="right"/>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r>
                  <w:tr>
                    <w:trPr>
                      <w:trHeight w:val="282" w:hRule="exact"/>
                    </w:trPr>
                    <w:tc>
                      <w:tcPr>
                        <w:tcW w:w="104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26" w:lineRule="exact"/>
                          <w:ind w:right="153"/>
                          <w:jc w:val="right"/>
                          <w:rPr>
                            <w:rFonts w:ascii="宋体" w:hAnsi="宋体" w:cs="宋体" w:eastAsia="宋体" w:hint="default"/>
                            <w:sz w:val="18"/>
                            <w:szCs w:val="18"/>
                          </w:rPr>
                        </w:pPr>
                        <w:r>
                          <w:rPr>
                            <w:rFonts w:ascii="宋体"/>
                            <w:sz w:val="18"/>
                          </w:rPr>
                          <w:t>34,770,912.70</w:t>
                        </w:r>
                      </w:p>
                    </w:tc>
                    <w:tc>
                      <w:tcPr>
                        <w:tcW w:w="917" w:type="dxa"/>
                        <w:tcBorders>
                          <w:top w:val="single" w:sz="4" w:space="0" w:color="000000"/>
                          <w:left w:val="nil" w:sz="6" w:space="0" w:color="auto"/>
                          <w:bottom w:val="nil" w:sz="6" w:space="0" w:color="auto"/>
                          <w:right w:val="nil" w:sz="6" w:space="0" w:color="auto"/>
                        </w:tcBorders>
                      </w:tcPr>
                      <w:p>
                        <w:pPr>
                          <w:pStyle w:val="TableParagraph"/>
                          <w:spacing w:line="226" w:lineRule="exact"/>
                          <w:ind w:right="129"/>
                          <w:jc w:val="right"/>
                          <w:rPr>
                            <w:rFonts w:ascii="宋体" w:hAnsi="宋体" w:cs="宋体" w:eastAsia="宋体" w:hint="default"/>
                            <w:sz w:val="18"/>
                            <w:szCs w:val="18"/>
                          </w:rPr>
                        </w:pPr>
                        <w:r>
                          <w:rPr>
                            <w:rFonts w:ascii="宋体"/>
                            <w:sz w:val="18"/>
                          </w:rPr>
                          <w:t>6.6227</w:t>
                        </w:r>
                      </w:p>
                    </w:tc>
                    <w:tc>
                      <w:tcPr>
                        <w:tcW w:w="1462"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230,277,323.54</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26" w:lineRule="exact"/>
                          <w:ind w:right="123"/>
                          <w:jc w:val="right"/>
                          <w:rPr>
                            <w:rFonts w:ascii="宋体" w:hAnsi="宋体" w:cs="宋体" w:eastAsia="宋体" w:hint="default"/>
                            <w:sz w:val="18"/>
                            <w:szCs w:val="18"/>
                          </w:rPr>
                        </w:pPr>
                        <w:r>
                          <w:rPr>
                            <w:rFonts w:ascii="宋体"/>
                            <w:sz w:val="18"/>
                          </w:rPr>
                          <w:t>33,321,882.09</w:t>
                        </w:r>
                      </w:p>
                    </w:tc>
                    <w:tc>
                      <w:tcPr>
                        <w:tcW w:w="894"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z w:val="18"/>
                          </w:rPr>
                          <w:t>6.8282</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227,528,475.29</w:t>
                        </w:r>
                      </w:p>
                    </w:tc>
                  </w:tr>
                  <w:tr>
                    <w:trPr>
                      <w:trHeight w:val="28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41" w:type="dxa"/>
                        <w:tcBorders>
                          <w:top w:val="nil" w:sz="6" w:space="0" w:color="auto"/>
                          <w:left w:val="nil" w:sz="6" w:space="0" w:color="auto"/>
                          <w:bottom w:val="nil" w:sz="6" w:space="0" w:color="auto"/>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z w:val="18"/>
                          </w:rPr>
                          <w:t>6,700,000.00</w:t>
                        </w:r>
                      </w:p>
                    </w:tc>
                    <w:tc>
                      <w:tcPr>
                        <w:tcW w:w="917" w:type="dxa"/>
                        <w:tcBorders>
                          <w:top w:val="nil" w:sz="6" w:space="0" w:color="auto"/>
                          <w:left w:val="nil" w:sz="6" w:space="0" w:color="auto"/>
                          <w:bottom w:val="nil" w:sz="6" w:space="0" w:color="auto"/>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sz w:val="18"/>
                          </w:rPr>
                          <w:t>0.08126</w:t>
                        </w:r>
                      </w:p>
                    </w:tc>
                    <w:tc>
                      <w:tcPr>
                        <w:tcW w:w="146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544,442.00</w:t>
                        </w:r>
                      </w:p>
                    </w:tc>
                    <w:tc>
                      <w:tcPr>
                        <w:tcW w:w="1405"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z w:val="18"/>
                          </w:rPr>
                          <w:t>6,700,000.00</w:t>
                        </w:r>
                      </w:p>
                    </w:tc>
                    <w:tc>
                      <w:tcPr>
                        <w:tcW w:w="89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0.07378</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494,326.00</w:t>
                        </w:r>
                      </w:p>
                    </w:tc>
                  </w:tr>
                  <w:tr>
                    <w:trPr>
                      <w:trHeight w:val="28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41" w:type="dxa"/>
                        <w:tcBorders>
                          <w:top w:val="nil" w:sz="6" w:space="0" w:color="auto"/>
                          <w:left w:val="nil" w:sz="6" w:space="0" w:color="auto"/>
                          <w:bottom w:val="nil" w:sz="6" w:space="0" w:color="auto"/>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z w:val="18"/>
                          </w:rPr>
                          <w:t>26,307,622.47</w:t>
                        </w:r>
                      </w:p>
                    </w:tc>
                    <w:tc>
                      <w:tcPr>
                        <w:tcW w:w="917" w:type="dxa"/>
                        <w:tcBorders>
                          <w:top w:val="nil" w:sz="6" w:space="0" w:color="auto"/>
                          <w:left w:val="nil" w:sz="6" w:space="0" w:color="auto"/>
                          <w:bottom w:val="nil" w:sz="6" w:space="0" w:color="auto"/>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sz w:val="18"/>
                          </w:rPr>
                          <w:t>0.8509</w:t>
                        </w:r>
                      </w:p>
                    </w:tc>
                    <w:tc>
                      <w:tcPr>
                        <w:tcW w:w="146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22,385,155.96</w:t>
                        </w:r>
                      </w:p>
                    </w:tc>
                    <w:tc>
                      <w:tcPr>
                        <w:tcW w:w="1405"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z w:val="18"/>
                          </w:rPr>
                          <w:t>14,692,537.00</w:t>
                        </w:r>
                      </w:p>
                    </w:tc>
                    <w:tc>
                      <w:tcPr>
                        <w:tcW w:w="89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0.8805</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12,936,778.83</w:t>
                        </w:r>
                      </w:p>
                    </w:tc>
                  </w:tr>
                  <w:tr>
                    <w:trPr>
                      <w:trHeight w:val="28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41" w:type="dxa"/>
                        <w:tcBorders>
                          <w:top w:val="nil" w:sz="6" w:space="0" w:color="auto"/>
                          <w:left w:val="nil" w:sz="6" w:space="0" w:color="auto"/>
                          <w:bottom w:val="nil" w:sz="6" w:space="0" w:color="auto"/>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z w:val="18"/>
                          </w:rPr>
                          <w:t>0.00</w:t>
                        </w:r>
                      </w:p>
                    </w:tc>
                    <w:tc>
                      <w:tcPr>
                        <w:tcW w:w="917" w:type="dxa"/>
                        <w:tcBorders>
                          <w:top w:val="nil" w:sz="6" w:space="0" w:color="auto"/>
                          <w:left w:val="nil" w:sz="6" w:space="0" w:color="auto"/>
                          <w:bottom w:val="nil" w:sz="6" w:space="0" w:color="auto"/>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sz w:val="18"/>
                          </w:rPr>
                          <w:t>5.05588</w:t>
                        </w:r>
                      </w:p>
                    </w:tc>
                    <w:tc>
                      <w:tcPr>
                        <w:tcW w:w="146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05"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z w:val="18"/>
                          </w:rPr>
                          <w:t>74,110.00</w:t>
                        </w:r>
                      </w:p>
                    </w:tc>
                    <w:tc>
                      <w:tcPr>
                        <w:tcW w:w="89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4.9283</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365,236.31</w:t>
                        </w:r>
                      </w:p>
                    </w:tc>
                  </w:tr>
                  <w:tr>
                    <w:trPr>
                      <w:trHeight w:val="28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41" w:type="dxa"/>
                        <w:tcBorders>
                          <w:top w:val="nil" w:sz="6" w:space="0" w:color="auto"/>
                          <w:left w:val="nil" w:sz="6" w:space="0" w:color="auto"/>
                          <w:bottom w:val="nil" w:sz="6" w:space="0" w:color="auto"/>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z w:val="18"/>
                          </w:rPr>
                          <w:t>161,658.00</w:t>
                        </w:r>
                      </w:p>
                    </w:tc>
                    <w:tc>
                      <w:tcPr>
                        <w:tcW w:w="917" w:type="dxa"/>
                        <w:tcBorders>
                          <w:top w:val="nil" w:sz="6" w:space="0" w:color="auto"/>
                          <w:left w:val="nil" w:sz="6" w:space="0" w:color="auto"/>
                          <w:bottom w:val="nil" w:sz="6" w:space="0" w:color="auto"/>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sz w:val="18"/>
                          </w:rPr>
                          <w:t>8.8065</w:t>
                        </w:r>
                      </w:p>
                    </w:tc>
                    <w:tc>
                      <w:tcPr>
                        <w:tcW w:w="146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1,423,641.18</w:t>
                        </w:r>
                      </w:p>
                    </w:tc>
                    <w:tc>
                      <w:tcPr>
                        <w:tcW w:w="1405"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z w:val="18"/>
                          </w:rPr>
                          <w:t>0.00</w:t>
                        </w:r>
                      </w:p>
                    </w:tc>
                    <w:tc>
                      <w:tcPr>
                        <w:tcW w:w="89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9.7971</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441" w:type="dxa"/>
                        <w:tcBorders>
                          <w:top w:val="nil" w:sz="6" w:space="0" w:color="auto"/>
                          <w:left w:val="nil" w:sz="6" w:space="0" w:color="auto"/>
                          <w:bottom w:val="nil" w:sz="6" w:space="0" w:color="auto"/>
                          <w:right w:val="nil" w:sz="6" w:space="0" w:color="auto"/>
                        </w:tcBorders>
                      </w:tcPr>
                      <w:p>
                        <w:pPr>
                          <w:pStyle w:val="TableParagraph"/>
                          <w:spacing w:line="231" w:lineRule="exact"/>
                          <w:ind w:right="153"/>
                          <w:jc w:val="right"/>
                          <w:rPr>
                            <w:rFonts w:ascii="宋体" w:hAnsi="宋体" w:cs="宋体" w:eastAsia="宋体" w:hint="default"/>
                            <w:sz w:val="18"/>
                            <w:szCs w:val="18"/>
                          </w:rPr>
                        </w:pPr>
                        <w:r>
                          <w:rPr>
                            <w:rFonts w:ascii="宋体"/>
                            <w:sz w:val="18"/>
                          </w:rPr>
                          <w:t>4,002,539.00</w:t>
                        </w:r>
                      </w:p>
                    </w:tc>
                    <w:tc>
                      <w:tcPr>
                        <w:tcW w:w="917" w:type="dxa"/>
                        <w:tcBorders>
                          <w:top w:val="nil" w:sz="6" w:space="0" w:color="auto"/>
                          <w:left w:val="nil" w:sz="6" w:space="0" w:color="auto"/>
                          <w:bottom w:val="nil" w:sz="6" w:space="0" w:color="auto"/>
                          <w:right w:val="nil" w:sz="6" w:space="0" w:color="auto"/>
                        </w:tcBorders>
                      </w:tcPr>
                      <w:p>
                        <w:pPr>
                          <w:pStyle w:val="TableParagraph"/>
                          <w:spacing w:line="231" w:lineRule="exact"/>
                          <w:ind w:right="129"/>
                          <w:jc w:val="right"/>
                          <w:rPr>
                            <w:rFonts w:ascii="宋体" w:hAnsi="宋体" w:cs="宋体" w:eastAsia="宋体" w:hint="default"/>
                            <w:sz w:val="18"/>
                            <w:szCs w:val="18"/>
                          </w:rPr>
                        </w:pPr>
                        <w:r>
                          <w:rPr>
                            <w:rFonts w:ascii="宋体"/>
                            <w:sz w:val="18"/>
                          </w:rPr>
                          <w:t>6.512</w:t>
                        </w:r>
                      </w:p>
                    </w:tc>
                    <w:tc>
                      <w:tcPr>
                        <w:tcW w:w="1462"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26,064,533.97</w:t>
                        </w:r>
                      </w:p>
                    </w:tc>
                    <w:tc>
                      <w:tcPr>
                        <w:tcW w:w="1405" w:type="dxa"/>
                        <w:tcBorders>
                          <w:top w:val="nil" w:sz="6" w:space="0" w:color="auto"/>
                          <w:left w:val="nil" w:sz="6" w:space="0" w:color="auto"/>
                          <w:bottom w:val="nil" w:sz="6" w:space="0" w:color="auto"/>
                          <w:right w:val="nil" w:sz="6" w:space="0" w:color="auto"/>
                        </w:tcBorders>
                      </w:tcPr>
                      <w:p>
                        <w:pPr>
                          <w:pStyle w:val="TableParagraph"/>
                          <w:spacing w:line="231" w:lineRule="exact"/>
                          <w:ind w:right="123"/>
                          <w:jc w:val="right"/>
                          <w:rPr>
                            <w:rFonts w:ascii="宋体" w:hAnsi="宋体" w:cs="宋体" w:eastAsia="宋体" w:hint="default"/>
                            <w:sz w:val="18"/>
                            <w:szCs w:val="18"/>
                          </w:rPr>
                        </w:pPr>
                        <w:r>
                          <w:rPr>
                            <w:rFonts w:ascii="宋体"/>
                            <w:sz w:val="18"/>
                          </w:rPr>
                          <w:t>0.00</w:t>
                        </w:r>
                      </w:p>
                    </w:tc>
                    <w:tc>
                      <w:tcPr>
                        <w:tcW w:w="894"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6.453</w:t>
                        </w:r>
                      </w:p>
                    </w:tc>
                    <w:tc>
                      <w:tcPr>
                        <w:tcW w:w="147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441" w:type="dxa"/>
                        <w:tcBorders>
                          <w:top w:val="nil" w:sz="6" w:space="0" w:color="auto"/>
                          <w:left w:val="nil" w:sz="6" w:space="0" w:color="auto"/>
                          <w:bottom w:val="nil" w:sz="6" w:space="0" w:color="auto"/>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z w:val="18"/>
                          </w:rPr>
                          <w:t>7,830,138.13</w:t>
                        </w:r>
                      </w:p>
                    </w:tc>
                    <w:tc>
                      <w:tcPr>
                        <w:tcW w:w="917" w:type="dxa"/>
                        <w:tcBorders>
                          <w:top w:val="nil" w:sz="6" w:space="0" w:color="auto"/>
                          <w:left w:val="nil" w:sz="6" w:space="0" w:color="auto"/>
                          <w:bottom w:val="nil" w:sz="6" w:space="0" w:color="auto"/>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sz w:val="18"/>
                          </w:rPr>
                          <w:t>1.54016</w:t>
                        </w:r>
                      </w:p>
                    </w:tc>
                    <w:tc>
                      <w:tcPr>
                        <w:tcW w:w="146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12,059,665.54</w:t>
                        </w:r>
                      </w:p>
                    </w:tc>
                    <w:tc>
                      <w:tcPr>
                        <w:tcW w:w="1405"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z w:val="18"/>
                          </w:rPr>
                          <w:t>0.00</w:t>
                        </w:r>
                      </w:p>
                    </w:tc>
                    <w:tc>
                      <w:tcPr>
                        <w:tcW w:w="89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3.17591</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104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比索</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z w:val="18"/>
                          </w:rPr>
                          <w:t>143,809.62</w:t>
                        </w:r>
                      </w:p>
                    </w:tc>
                    <w:tc>
                      <w:tcPr>
                        <w:tcW w:w="917" w:type="dxa"/>
                        <w:tcBorders>
                          <w:top w:val="nil" w:sz="6" w:space="0" w:color="auto"/>
                          <w:left w:val="nil" w:sz="6" w:space="0" w:color="auto"/>
                          <w:bottom w:val="single" w:sz="4" w:space="0" w:color="000000"/>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sz w:val="18"/>
                          </w:rPr>
                          <w:t>0.15028</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21,611.71</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z w:val="18"/>
                          </w:rPr>
                          <w:t>0.00</w:t>
                        </w:r>
                      </w:p>
                    </w:tc>
                    <w:tc>
                      <w:tcPr>
                        <w:tcW w:w="894"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0.1453</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104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1" w:type="dxa"/>
                        <w:tcBorders>
                          <w:top w:val="single" w:sz="4" w:space="0" w:color="000000"/>
                          <w:left w:val="nil" w:sz="6" w:space="0" w:color="auto"/>
                          <w:bottom w:val="single" w:sz="12" w:space="0" w:color="000000"/>
                          <w:right w:val="nil" w:sz="6" w:space="0" w:color="auto"/>
                        </w:tcBorders>
                      </w:tcPr>
                      <w:p>
                        <w:pPr/>
                      </w:p>
                    </w:tc>
                    <w:tc>
                      <w:tcPr>
                        <w:tcW w:w="917" w:type="dxa"/>
                        <w:tcBorders>
                          <w:top w:val="single" w:sz="4" w:space="0" w:color="000000"/>
                          <w:left w:val="nil" w:sz="6" w:space="0" w:color="auto"/>
                          <w:bottom w:val="single" w:sz="12" w:space="0" w:color="000000"/>
                          <w:right w:val="nil" w:sz="6" w:space="0" w:color="auto"/>
                        </w:tcBorders>
                      </w:tcPr>
                      <w:p>
                        <w:pP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292,776,373.90</w:t>
                        </w:r>
                        <w:r>
                          <w:rPr>
                            <w:rFonts w:ascii="宋体"/>
                            <w:sz w:val="18"/>
                          </w:rPr>
                        </w:r>
                      </w:p>
                    </w:tc>
                    <w:tc>
                      <w:tcPr>
                        <w:tcW w:w="1405" w:type="dxa"/>
                        <w:tcBorders>
                          <w:top w:val="single" w:sz="4" w:space="0" w:color="000000"/>
                          <w:left w:val="nil" w:sz="6" w:space="0" w:color="auto"/>
                          <w:bottom w:val="single" w:sz="12" w:space="0" w:color="000000"/>
                          <w:right w:val="nil" w:sz="6" w:space="0" w:color="auto"/>
                        </w:tcBorders>
                      </w:tcPr>
                      <w:p>
                        <w:pPr/>
                      </w:p>
                    </w:tc>
                    <w:tc>
                      <w:tcPr>
                        <w:tcW w:w="894" w:type="dxa"/>
                        <w:tcBorders>
                          <w:top w:val="single" w:sz="4" w:space="0" w:color="000000"/>
                          <w:left w:val="nil" w:sz="6" w:space="0" w:color="auto"/>
                          <w:bottom w:val="single" w:sz="12" w:space="0" w:color="000000"/>
                          <w:right w:val="nil" w:sz="6" w:space="0" w:color="auto"/>
                        </w:tcBorders>
                      </w:tcPr>
                      <w:p>
                        <w:pP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241,324,816.43</w:t>
                        </w:r>
                        <w:r>
                          <w:rPr>
                            <w:rFonts w:ascii="宋体"/>
                            <w:sz w:val="18"/>
                          </w:rPr>
                        </w:r>
                      </w:p>
                    </w:tc>
                  </w:tr>
                </w:tbl>
                <w:p>
                  <w:pPr/>
                </w:p>
              </w:txbxContent>
            </v:textbox>
            <w10:wrap type="none"/>
          </v:shape>
        </w:pict>
      </w:r>
      <w:r>
        <w:rPr>
          <w:rFonts w:ascii="宋体" w:hAnsi="宋体" w:cs="宋体" w:eastAsia="宋体" w:hint="default"/>
          <w:b/>
          <w:bCs/>
          <w:w w:val="95"/>
          <w:sz w:val="18"/>
          <w:szCs w:val="18"/>
        </w:rPr>
        <w:t>原币</w:t>
        <w:tab/>
        <w:t>折算汇率</w:t>
        <w:tab/>
        <w:t>折合人民币</w:t>
        <w:tab/>
        <w:t>原币</w:t>
        <w:tab/>
      </w:r>
      <w:r>
        <w:rPr>
          <w:rFonts w:ascii="宋体" w:hAnsi="宋体" w:cs="宋体" w:eastAsia="宋体" w:hint="default"/>
          <w:b/>
          <w:bCs/>
          <w:position w:val="10"/>
          <w:sz w:val="18"/>
          <w:szCs w:val="18"/>
        </w:rPr>
        <w:t>折算汇</w:t>
      </w:r>
      <w:r>
        <w:rPr>
          <w:rFonts w:ascii="宋体" w:hAnsi="宋体" w:cs="宋体" w:eastAsia="宋体" w:hint="default"/>
          <w:sz w:val="18"/>
          <w:szCs w:val="18"/>
        </w:rPr>
      </w:r>
    </w:p>
    <w:p>
      <w:pPr>
        <w:spacing w:before="144"/>
        <w:ind w:left="43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00"/>
          <w:cols w:num="2" w:equalWidth="0">
            <w:col w:w="7393" w:space="40"/>
            <w:col w:w="209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90"/>
        <w:ind w:left="591" w:right="560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预收款项</w:t>
      </w:r>
    </w:p>
    <w:p>
      <w:pPr>
        <w:spacing w:before="163"/>
        <w:ind w:left="591" w:right="5604"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预收款项</w:t>
      </w:r>
    </w:p>
    <w:p>
      <w:pPr>
        <w:spacing w:line="240" w:lineRule="auto" w:before="6"/>
        <w:rPr>
          <w:rFonts w:ascii="宋体" w:hAnsi="宋体" w:cs="宋体" w:eastAsia="宋体" w:hint="default"/>
          <w:sz w:val="12"/>
          <w:szCs w:val="12"/>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5107" w:val="left" w:leader="none"/>
          <w:tab w:pos="7989" w:val="left" w:leader="none"/>
        </w:tabs>
        <w:spacing w:before="0"/>
        <w:ind w:left="524" w:right="166"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416" w:type="dxa"/>
        <w:tblLayout w:type="fixed"/>
        <w:tblCellMar>
          <w:top w:w="0" w:type="dxa"/>
          <w:left w:w="0" w:type="dxa"/>
          <w:bottom w:w="0" w:type="dxa"/>
          <w:right w:w="0" w:type="dxa"/>
        </w:tblCellMar>
        <w:tblLook w:val="01E0"/>
      </w:tblPr>
      <w:tblGrid>
        <w:gridCol w:w="2766"/>
        <w:gridCol w:w="3603"/>
        <w:gridCol w:w="2268"/>
      </w:tblGrid>
      <w:tr>
        <w:trPr>
          <w:trHeight w:val="293" w:hRule="exact"/>
        </w:trPr>
        <w:tc>
          <w:tcPr>
            <w:tcW w:w="276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03"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711"/>
              <w:jc w:val="right"/>
              <w:rPr>
                <w:rFonts w:ascii="宋体" w:hAnsi="宋体" w:cs="宋体" w:eastAsia="宋体" w:hint="default"/>
                <w:sz w:val="18"/>
                <w:szCs w:val="18"/>
              </w:rPr>
            </w:pPr>
            <w:r>
              <w:rPr>
                <w:rFonts w:ascii="宋体"/>
                <w:b/>
                <w:w w:val="95"/>
                <w:sz w:val="18"/>
              </w:rPr>
              <w:t>1,933,732,164.56</w:t>
            </w:r>
            <w:r>
              <w:rPr>
                <w:rFonts w:ascii="宋体"/>
                <w:sz w:val="18"/>
              </w:rPr>
            </w: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1,789,079,000.22</w:t>
            </w:r>
            <w:r>
              <w:rPr>
                <w:rFonts w:ascii="宋体"/>
                <w:sz w:val="18"/>
              </w:rPr>
            </w:r>
          </w:p>
        </w:tc>
      </w:tr>
      <w:tr>
        <w:trPr>
          <w:trHeight w:val="303" w:hRule="exact"/>
        </w:trPr>
        <w:tc>
          <w:tcPr>
            <w:tcW w:w="276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其中：1</w:t>
            </w:r>
            <w:r>
              <w:rPr>
                <w:rFonts w:ascii="宋体" w:hAnsi="宋体" w:cs="宋体" w:eastAsia="宋体" w:hint="default"/>
                <w:b/>
                <w:bCs/>
                <w:spacing w:val="-47"/>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60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12"/>
              <w:jc w:val="right"/>
              <w:rPr>
                <w:rFonts w:ascii="宋体" w:hAnsi="宋体" w:cs="宋体" w:eastAsia="宋体" w:hint="default"/>
                <w:sz w:val="18"/>
                <w:szCs w:val="18"/>
              </w:rPr>
            </w:pPr>
            <w:r>
              <w:rPr>
                <w:rFonts w:ascii="宋体"/>
                <w:sz w:val="18"/>
              </w:rPr>
              <w:t>603,239,861.54</w:t>
            </w: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817,807,605.36</w:t>
            </w:r>
          </w:p>
        </w:tc>
      </w:tr>
    </w:tbl>
    <w:p>
      <w:pPr>
        <w:spacing w:before="4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
          <w:sz w:val="22"/>
          <w:szCs w:val="22"/>
        </w:rPr>
        <w:t> </w:t>
      </w:r>
      <w:r>
        <w:rPr>
          <w:rFonts w:ascii="宋体" w:hAnsi="宋体" w:cs="宋体" w:eastAsia="宋体" w:hint="default"/>
          <w:sz w:val="22"/>
          <w:szCs w:val="22"/>
        </w:rPr>
        <w:t>年末余额中含预收持本公司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5%）以上表决权股份的股东单位款项</w:t>
      </w:r>
      <w:r>
        <w:rPr>
          <w:rFonts w:ascii="宋体" w:hAnsi="宋体" w:cs="宋体" w:eastAsia="宋体" w:hint="default"/>
          <w:spacing w:val="-58"/>
          <w:sz w:val="22"/>
          <w:szCs w:val="22"/>
        </w:rPr>
        <w:t> </w:t>
      </w:r>
      <w:r>
        <w:rPr>
          <w:rFonts w:ascii="宋体" w:hAnsi="宋体" w:cs="宋体" w:eastAsia="宋体" w:hint="default"/>
          <w:sz w:val="22"/>
          <w:szCs w:val="22"/>
        </w:rPr>
        <w:t>9,820.00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59" w:lineRule="auto" w:before="102"/>
        <w:ind w:left="138" w:right="166" w:firstLine="453"/>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年末余额中预收关联方款项合计 8,334,872.35 元，占预收款项总额的</w:t>
      </w:r>
      <w:r>
        <w:rPr>
          <w:rFonts w:ascii="宋体" w:hAnsi="宋体" w:cs="宋体" w:eastAsia="宋体" w:hint="default"/>
          <w:spacing w:val="-74"/>
          <w:sz w:val="22"/>
          <w:szCs w:val="22"/>
        </w:rPr>
        <w:t> </w:t>
      </w:r>
      <w:r>
        <w:rPr>
          <w:rFonts w:ascii="宋体" w:hAnsi="宋体" w:cs="宋体" w:eastAsia="宋体" w:hint="default"/>
          <w:sz w:val="22"/>
          <w:szCs w:val="22"/>
        </w:rPr>
        <w:t>0.43%，详见附</w:t>
      </w:r>
      <w:r>
        <w:rPr>
          <w:rFonts w:ascii="宋体" w:hAnsi="宋体" w:cs="宋体" w:eastAsia="宋体" w:hint="default"/>
          <w:w w:val="99"/>
          <w:sz w:val="22"/>
          <w:szCs w:val="22"/>
        </w:rPr>
        <w:t> </w:t>
      </w:r>
      <w:r>
        <w:rPr>
          <w:rFonts w:ascii="宋体" w:hAnsi="宋体" w:cs="宋体" w:eastAsia="宋体" w:hint="default"/>
          <w:spacing w:val="-32"/>
          <w:w w:val="99"/>
          <w:sz w:val="22"/>
          <w:szCs w:val="22"/>
        </w:rPr>
        <w:t>注十、（三）。</w:t>
      </w:r>
      <w:r>
        <w:rPr>
          <w:rFonts w:ascii="宋体" w:hAnsi="宋体" w:cs="宋体" w:eastAsia="宋体" w:hint="default"/>
          <w:spacing w:val="-32"/>
          <w:sz w:val="22"/>
          <w:szCs w:val="22"/>
        </w:rPr>
      </w:r>
    </w:p>
    <w:p>
      <w:pPr>
        <w:spacing w:after="0" w:line="259" w:lineRule="auto"/>
        <w:jc w:val="left"/>
        <w:rPr>
          <w:rFonts w:ascii="宋体" w:hAnsi="宋体" w:cs="宋体" w:eastAsia="宋体" w:hint="default"/>
          <w:sz w:val="22"/>
          <w:szCs w:val="22"/>
        </w:rPr>
        <w:sectPr>
          <w:type w:val="continuous"/>
          <w:pgSz w:w="11910" w:h="16840"/>
          <w:pgMar w:top="1600" w:bottom="280" w:left="1280" w:right="1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31"/>
        <w:ind w:left="671" w:right="179" w:firstLine="0"/>
        <w:jc w:val="left"/>
        <w:rPr>
          <w:rFonts w:ascii="宋体" w:hAnsi="宋体" w:cs="宋体" w:eastAsia="宋体" w:hint="default"/>
          <w:sz w:val="22"/>
          <w:szCs w:val="22"/>
        </w:rPr>
      </w:pPr>
      <w:r>
        <w:rPr/>
        <w:pict>
          <v:group style="position:absolute;margin-left:85.199997pt;margin-top:22.887932pt;width:431.55pt;height:.1pt;mso-position-horizontal-relative:page;mso-position-vertical-relative:paragraph;z-index:4960" coordorigin="1704,458" coordsize="8631,2">
            <v:shape style="position:absolute;left:1704;top:458;width:8631;height:2" coordorigin="1704,458" coordsize="8631,0" path="m1704,458l10334,458e" filled="false" stroked="true" strokeweight="1.5pt" strokecolor="#000000">
              <v:path arrowok="t"/>
            </v:shape>
            <w10:wrap type="none"/>
          </v:group>
        </w:pict>
      </w: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预收款项中外币余额</w:t>
      </w:r>
    </w:p>
    <w:p>
      <w:pPr>
        <w:spacing w:after="0"/>
        <w:jc w:val="left"/>
        <w:rPr>
          <w:rFonts w:ascii="宋体" w:hAnsi="宋体" w:cs="宋体" w:eastAsia="宋体" w:hint="default"/>
          <w:sz w:val="22"/>
          <w:szCs w:val="22"/>
        </w:rPr>
        <w:sectPr>
          <w:pgSz w:w="11910" w:h="16840"/>
          <w:pgMar w:header="610" w:footer="784" w:top="1080" w:bottom="980" w:left="1200" w:right="1060"/>
        </w:sectPr>
      </w:pPr>
    </w:p>
    <w:p>
      <w:pPr>
        <w:spacing w:line="240" w:lineRule="auto" w:before="6"/>
        <w:rPr>
          <w:rFonts w:ascii="宋体" w:hAnsi="宋体" w:cs="宋体" w:eastAsia="宋体" w:hint="default"/>
          <w:sz w:val="13"/>
          <w:szCs w:val="13"/>
        </w:rPr>
      </w:pPr>
    </w:p>
    <w:p>
      <w:pPr>
        <w:spacing w:before="0"/>
        <w:ind w:left="604" w:right="0" w:firstLine="0"/>
        <w:jc w:val="left"/>
        <w:rPr>
          <w:rFonts w:ascii="宋体" w:hAnsi="宋体" w:cs="宋体" w:eastAsia="宋体" w:hint="default"/>
          <w:sz w:val="18"/>
          <w:szCs w:val="18"/>
        </w:rPr>
      </w:pPr>
      <w:r>
        <w:rPr>
          <w:rFonts w:ascii="宋体" w:hAnsi="宋体" w:cs="宋体" w:eastAsia="宋体" w:hint="default"/>
          <w:b/>
          <w:bCs/>
          <w:spacing w:val="87"/>
          <w:w w:val="99"/>
          <w:sz w:val="18"/>
          <w:szCs w:val="18"/>
        </w:rPr>
        <w:t>外币</w:t>
      </w:r>
      <w:r>
        <w:rPr>
          <w:rFonts w:ascii="宋体" w:hAnsi="宋体" w:cs="宋体" w:eastAsia="宋体" w:hint="default"/>
          <w:b/>
          <w:bCs/>
          <w:w w:val="99"/>
          <w:sz w:val="18"/>
          <w:szCs w:val="18"/>
        </w:rPr>
        <w:t>名</w:t>
      </w:r>
      <w:r>
        <w:rPr>
          <w:rFonts w:ascii="宋体" w:hAnsi="宋体" w:cs="宋体" w:eastAsia="宋体" w:hint="default"/>
          <w:b/>
          <w:bCs/>
          <w:spacing w:val="-4"/>
          <w:sz w:val="18"/>
          <w:szCs w:val="18"/>
        </w:rPr>
        <w:t> </w:t>
      </w:r>
      <w:r>
        <w:rPr>
          <w:rFonts w:ascii="宋体" w:hAnsi="宋体" w:cs="宋体" w:eastAsia="宋体" w:hint="default"/>
          <w:sz w:val="18"/>
          <w:szCs w:val="18"/>
        </w:rPr>
      </w:r>
    </w:p>
    <w:p>
      <w:pPr>
        <w:tabs>
          <w:tab w:pos="4462" w:val="left" w:leader="none"/>
        </w:tabs>
        <w:spacing w:before="144"/>
        <w:ind w:left="604"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00" w:right="1060"/>
          <w:cols w:num="2" w:equalWidth="0">
            <w:col w:w="1408" w:space="1001"/>
            <w:col w:w="7241"/>
          </w:cols>
        </w:sectPr>
      </w:pPr>
    </w:p>
    <w:p>
      <w:pPr>
        <w:tabs>
          <w:tab w:pos="1939" w:val="left" w:leader="none"/>
          <w:tab w:pos="2965" w:val="left" w:leader="none"/>
          <w:tab w:pos="4130" w:val="left" w:leader="none"/>
          <w:tab w:pos="5837" w:val="left" w:leader="none"/>
          <w:tab w:pos="6867" w:val="left" w:leader="none"/>
          <w:tab w:pos="7990" w:val="left" w:leader="none"/>
        </w:tabs>
        <w:spacing w:line="260" w:lineRule="exact" w:before="0"/>
        <w:ind w:left="604" w:right="179" w:firstLine="0"/>
        <w:jc w:val="left"/>
        <w:rPr>
          <w:rFonts w:ascii="宋体" w:hAnsi="宋体" w:cs="宋体" w:eastAsia="宋体" w:hint="default"/>
          <w:sz w:val="18"/>
          <w:szCs w:val="18"/>
        </w:rPr>
      </w:pPr>
      <w:r>
        <w:rPr/>
        <w:pict>
          <v:group style="position:absolute;margin-left:131.039993pt;margin-top:1.494646pt;width:385.7pt;height:.1pt;mso-position-horizontal-relative:page;mso-position-vertical-relative:paragraph;z-index:-1046056" coordorigin="2621,30" coordsize="7714,2">
            <v:shape style="position:absolute;left:2621;top:30;width:7714;height:2" coordorigin="2621,30" coordsize="7714,0" path="m2621,30l10334,30e" filled="false" stroked="true" strokeweight=".48pt" strokecolor="#000000">
              <v:path arrowok="t"/>
            </v:shape>
            <w10:wrap type="none"/>
          </v:group>
        </w:pict>
      </w:r>
      <w:r>
        <w:rPr>
          <w:rFonts w:ascii="宋体" w:hAnsi="宋体" w:cs="宋体" w:eastAsia="宋体" w:hint="default"/>
          <w:b/>
          <w:bCs/>
          <w:w w:val="95"/>
          <w:position w:val="6"/>
          <w:sz w:val="18"/>
          <w:szCs w:val="18"/>
        </w:rPr>
        <w:t>称</w:t>
        <w:tab/>
      </w:r>
      <w:r>
        <w:rPr>
          <w:rFonts w:ascii="宋体" w:hAnsi="宋体" w:cs="宋体" w:eastAsia="宋体" w:hint="default"/>
          <w:b/>
          <w:bCs/>
          <w:w w:val="95"/>
          <w:sz w:val="18"/>
          <w:szCs w:val="18"/>
        </w:rPr>
        <w:t>原币</w:t>
        <w:tab/>
        <w:t>折算汇率</w:t>
        <w:tab/>
        <w:t>折合人民币</w:t>
        <w:tab/>
        <w:t>原币</w:t>
        <w:tab/>
        <w:t>折算汇率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496" w:type="dxa"/>
        <w:tblLayout w:type="fixed"/>
        <w:tblCellMar>
          <w:top w:w="0" w:type="dxa"/>
          <w:left w:w="0" w:type="dxa"/>
          <w:bottom w:w="0" w:type="dxa"/>
          <w:right w:w="0" w:type="dxa"/>
        </w:tblCellMar>
        <w:tblLook w:val="01E0"/>
      </w:tblPr>
      <w:tblGrid>
        <w:gridCol w:w="754"/>
        <w:gridCol w:w="1654"/>
        <w:gridCol w:w="941"/>
        <w:gridCol w:w="1481"/>
        <w:gridCol w:w="1480"/>
        <w:gridCol w:w="944"/>
        <w:gridCol w:w="1384"/>
      </w:tblGrid>
      <w:tr>
        <w:trPr>
          <w:trHeight w:val="283" w:hRule="exact"/>
        </w:trPr>
        <w:tc>
          <w:tcPr>
            <w:tcW w:w="7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26" w:lineRule="exact"/>
              <w:ind w:right="196"/>
              <w:jc w:val="right"/>
              <w:rPr>
                <w:rFonts w:ascii="宋体" w:hAnsi="宋体" w:cs="宋体" w:eastAsia="宋体" w:hint="default"/>
                <w:sz w:val="18"/>
                <w:szCs w:val="18"/>
              </w:rPr>
            </w:pPr>
            <w:r>
              <w:rPr>
                <w:rFonts w:ascii="宋体"/>
                <w:sz w:val="18"/>
              </w:rPr>
              <w:t>84,474,909.91</w:t>
            </w:r>
          </w:p>
        </w:tc>
        <w:tc>
          <w:tcPr>
            <w:tcW w:w="941" w:type="dxa"/>
            <w:tcBorders>
              <w:top w:val="single" w:sz="4" w:space="0" w:color="000000"/>
              <w:left w:val="nil" w:sz="6" w:space="0" w:color="auto"/>
              <w:bottom w:val="nil" w:sz="6" w:space="0" w:color="auto"/>
              <w:right w:val="nil" w:sz="6" w:space="0" w:color="auto"/>
            </w:tcBorders>
          </w:tcPr>
          <w:p>
            <w:pPr>
              <w:pStyle w:val="TableParagraph"/>
              <w:spacing w:line="226" w:lineRule="exact"/>
              <w:ind w:right="110"/>
              <w:jc w:val="right"/>
              <w:rPr>
                <w:rFonts w:ascii="宋体" w:hAnsi="宋体" w:cs="宋体" w:eastAsia="宋体" w:hint="default"/>
                <w:sz w:val="18"/>
                <w:szCs w:val="18"/>
              </w:rPr>
            </w:pPr>
            <w:r>
              <w:rPr>
                <w:rFonts w:ascii="宋体"/>
                <w:sz w:val="18"/>
              </w:rPr>
              <w:t>6.6227</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559,451,985.86</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26" w:lineRule="exact"/>
              <w:ind w:right="199"/>
              <w:jc w:val="right"/>
              <w:rPr>
                <w:rFonts w:ascii="宋体" w:hAnsi="宋体" w:cs="宋体" w:eastAsia="宋体" w:hint="default"/>
                <w:sz w:val="18"/>
                <w:szCs w:val="18"/>
              </w:rPr>
            </w:pPr>
            <w:r>
              <w:rPr>
                <w:rFonts w:ascii="宋体"/>
                <w:sz w:val="18"/>
              </w:rPr>
              <w:t>14,064,436.47</w:t>
            </w:r>
          </w:p>
        </w:tc>
        <w:tc>
          <w:tcPr>
            <w:tcW w:w="944" w:type="dxa"/>
            <w:tcBorders>
              <w:top w:val="single" w:sz="4" w:space="0" w:color="000000"/>
              <w:left w:val="nil" w:sz="6" w:space="0" w:color="auto"/>
              <w:bottom w:val="nil" w:sz="6" w:space="0" w:color="auto"/>
              <w:right w:val="nil" w:sz="6" w:space="0" w:color="auto"/>
            </w:tcBorders>
          </w:tcPr>
          <w:p>
            <w:pPr>
              <w:pStyle w:val="TableParagraph"/>
              <w:spacing w:line="226" w:lineRule="exact"/>
              <w:ind w:right="110"/>
              <w:jc w:val="right"/>
              <w:rPr>
                <w:rFonts w:ascii="宋体" w:hAnsi="宋体" w:cs="宋体" w:eastAsia="宋体" w:hint="default"/>
                <w:sz w:val="18"/>
                <w:szCs w:val="18"/>
              </w:rPr>
            </w:pPr>
            <w:r>
              <w:rPr>
                <w:rFonts w:ascii="宋体"/>
                <w:sz w:val="18"/>
              </w:rPr>
              <w:t>6.8282</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96,034,785.10</w:t>
            </w:r>
          </w:p>
        </w:tc>
      </w:tr>
      <w:tr>
        <w:trPr>
          <w:trHeight w:val="283"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11,338,661.00</w:t>
            </w:r>
          </w:p>
        </w:tc>
        <w:tc>
          <w:tcPr>
            <w:tcW w:w="941"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0.08126</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921,379.59</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99"/>
              <w:jc w:val="right"/>
              <w:rPr>
                <w:rFonts w:ascii="宋体" w:hAnsi="宋体" w:cs="宋体" w:eastAsia="宋体" w:hint="default"/>
                <w:sz w:val="18"/>
                <w:szCs w:val="18"/>
              </w:rPr>
            </w:pPr>
            <w:r>
              <w:rPr>
                <w:rFonts w:ascii="宋体"/>
                <w:sz w:val="18"/>
              </w:rPr>
              <w:t>1,405,188.00</w:t>
            </w:r>
          </w:p>
        </w:tc>
        <w:tc>
          <w:tcPr>
            <w:tcW w:w="944"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0.07378</w:t>
            </w:r>
          </w:p>
        </w:tc>
        <w:tc>
          <w:tcPr>
            <w:tcW w:w="13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103,674.77</w:t>
            </w:r>
          </w:p>
        </w:tc>
      </w:tr>
      <w:tr>
        <w:trPr>
          <w:trHeight w:val="283"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654" w:type="dxa"/>
            <w:tcBorders>
              <w:top w:val="nil" w:sz="6" w:space="0" w:color="auto"/>
              <w:left w:val="nil" w:sz="6" w:space="0" w:color="auto"/>
              <w:bottom w:val="nil" w:sz="6" w:space="0" w:color="auto"/>
              <w:right w:val="nil" w:sz="6" w:space="0" w:color="auto"/>
            </w:tcBorders>
          </w:tcPr>
          <w:p>
            <w:pPr>
              <w:pStyle w:val="TableParagraph"/>
              <w:spacing w:line="231" w:lineRule="exact"/>
              <w:ind w:right="196"/>
              <w:jc w:val="right"/>
              <w:rPr>
                <w:rFonts w:ascii="宋体" w:hAnsi="宋体" w:cs="宋体" w:eastAsia="宋体" w:hint="default"/>
                <w:sz w:val="18"/>
                <w:szCs w:val="18"/>
              </w:rPr>
            </w:pPr>
            <w:r>
              <w:rPr>
                <w:rFonts w:ascii="宋体"/>
                <w:sz w:val="18"/>
              </w:rPr>
              <w:t>31,287,524.10</w:t>
            </w:r>
          </w:p>
        </w:tc>
        <w:tc>
          <w:tcPr>
            <w:tcW w:w="941" w:type="dxa"/>
            <w:tcBorders>
              <w:top w:val="nil" w:sz="6" w:space="0" w:color="auto"/>
              <w:left w:val="nil" w:sz="6" w:space="0" w:color="auto"/>
              <w:bottom w:val="nil" w:sz="6" w:space="0" w:color="auto"/>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0.8509</w:t>
            </w:r>
          </w:p>
        </w:tc>
        <w:tc>
          <w:tcPr>
            <w:tcW w:w="1481"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26,622,554.26</w:t>
            </w:r>
          </w:p>
        </w:tc>
        <w:tc>
          <w:tcPr>
            <w:tcW w:w="1480" w:type="dxa"/>
            <w:tcBorders>
              <w:top w:val="nil" w:sz="6" w:space="0" w:color="auto"/>
              <w:left w:val="nil" w:sz="6" w:space="0" w:color="auto"/>
              <w:bottom w:val="nil" w:sz="6" w:space="0" w:color="auto"/>
              <w:right w:val="nil" w:sz="6" w:space="0" w:color="auto"/>
            </w:tcBorders>
          </w:tcPr>
          <w:p>
            <w:pPr>
              <w:pStyle w:val="TableParagraph"/>
              <w:spacing w:line="231" w:lineRule="exact"/>
              <w:ind w:right="199"/>
              <w:jc w:val="right"/>
              <w:rPr>
                <w:rFonts w:ascii="宋体" w:hAnsi="宋体" w:cs="宋体" w:eastAsia="宋体" w:hint="default"/>
                <w:sz w:val="18"/>
                <w:szCs w:val="18"/>
              </w:rPr>
            </w:pPr>
            <w:r>
              <w:rPr>
                <w:rFonts w:ascii="宋体"/>
                <w:sz w:val="18"/>
              </w:rPr>
              <w:t>0.00</w:t>
            </w:r>
          </w:p>
        </w:tc>
        <w:tc>
          <w:tcPr>
            <w:tcW w:w="944" w:type="dxa"/>
            <w:tcBorders>
              <w:top w:val="nil" w:sz="6" w:space="0" w:color="auto"/>
              <w:left w:val="nil" w:sz="6" w:space="0" w:color="auto"/>
              <w:bottom w:val="nil" w:sz="6" w:space="0" w:color="auto"/>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0.8805</w:t>
            </w:r>
          </w:p>
        </w:tc>
        <w:tc>
          <w:tcPr>
            <w:tcW w:w="1384"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54"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4,025,534.12</w:t>
            </w:r>
          </w:p>
        </w:tc>
        <w:tc>
          <w:tcPr>
            <w:tcW w:w="941"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8.8065</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35,450,866.23</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99"/>
              <w:jc w:val="right"/>
              <w:rPr>
                <w:rFonts w:ascii="宋体" w:hAnsi="宋体" w:cs="宋体" w:eastAsia="宋体" w:hint="default"/>
                <w:sz w:val="18"/>
                <w:szCs w:val="18"/>
              </w:rPr>
            </w:pPr>
            <w:r>
              <w:rPr>
                <w:rFonts w:ascii="宋体"/>
                <w:sz w:val="18"/>
              </w:rPr>
              <w:t>39,900.00</w:t>
            </w:r>
          </w:p>
        </w:tc>
        <w:tc>
          <w:tcPr>
            <w:tcW w:w="944"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9.7971</w:t>
            </w:r>
          </w:p>
        </w:tc>
        <w:tc>
          <w:tcPr>
            <w:tcW w:w="13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390,904.29</w:t>
            </w:r>
          </w:p>
        </w:tc>
      </w:tr>
    </w:tbl>
    <w:p>
      <w:pPr>
        <w:spacing w:line="152" w:lineRule="exact" w:before="0"/>
        <w:ind w:left="604" w:right="179" w:firstLine="0"/>
        <w:jc w:val="left"/>
        <w:rPr>
          <w:rFonts w:ascii="宋体" w:hAnsi="宋体" w:cs="宋体" w:eastAsia="宋体" w:hint="default"/>
          <w:sz w:val="18"/>
          <w:szCs w:val="18"/>
        </w:rPr>
      </w:pPr>
      <w:r>
        <w:rPr>
          <w:rFonts w:ascii="宋体" w:hAnsi="宋体" w:cs="宋体" w:eastAsia="宋体" w:hint="default"/>
          <w:spacing w:val="87"/>
          <w:sz w:val="18"/>
          <w:szCs w:val="18"/>
        </w:rPr>
        <w:t>挪威</w:t>
      </w:r>
      <w:r>
        <w:rPr>
          <w:rFonts w:ascii="宋体" w:hAnsi="宋体" w:cs="宋体" w:eastAsia="宋体" w:hint="default"/>
          <w:sz w:val="18"/>
          <w:szCs w:val="18"/>
        </w:rPr>
        <w:t>克</w:t>
      </w:r>
      <w:r>
        <w:rPr>
          <w:rFonts w:ascii="宋体" w:hAnsi="宋体" w:cs="宋体" w:eastAsia="宋体" w:hint="default"/>
          <w:spacing w:val="-3"/>
          <w:sz w:val="18"/>
          <w:szCs w:val="18"/>
        </w:rPr>
        <w:t> </w:t>
      </w:r>
      <w:r>
        <w:rPr>
          <w:rFonts w:ascii="宋体" w:hAnsi="宋体" w:cs="宋体" w:eastAsia="宋体" w:hint="default"/>
          <w:sz w:val="18"/>
          <w:szCs w:val="18"/>
        </w:rPr>
      </w:r>
    </w:p>
    <w:p>
      <w:pPr>
        <w:tabs>
          <w:tab w:pos="2345" w:val="left" w:leader="none"/>
          <w:tab w:pos="3101" w:val="left" w:leader="none"/>
          <w:tab w:pos="4857" w:val="left" w:leader="none"/>
          <w:tab w:pos="5704" w:val="left" w:leader="none"/>
          <w:tab w:pos="7097" w:val="left" w:leader="none"/>
          <w:tab w:pos="8133" w:val="left" w:leader="none"/>
        </w:tabs>
        <w:spacing w:line="250" w:lineRule="exact" w:before="0"/>
        <w:ind w:left="604" w:right="179" w:firstLine="0"/>
        <w:jc w:val="left"/>
        <w:rPr>
          <w:rFonts w:ascii="宋体" w:hAnsi="宋体" w:cs="宋体" w:eastAsia="宋体" w:hint="default"/>
          <w:sz w:val="18"/>
          <w:szCs w:val="18"/>
        </w:rPr>
      </w:pPr>
      <w:r>
        <w:rPr>
          <w:rFonts w:ascii="宋体" w:hAnsi="宋体" w:cs="宋体" w:eastAsia="宋体" w:hint="default"/>
          <w:position w:val="-9"/>
          <w:sz w:val="18"/>
          <w:szCs w:val="18"/>
        </w:rPr>
        <w:t>朗</w:t>
        <w:tab/>
      </w:r>
      <w:r>
        <w:rPr>
          <w:rFonts w:ascii="宋体" w:hAnsi="宋体" w:cs="宋体" w:eastAsia="宋体" w:hint="default"/>
          <w:sz w:val="18"/>
          <w:szCs w:val="18"/>
        </w:rPr>
        <w:t>0.00</w:t>
        <w:tab/>
        <w:t>1.08872</w:t>
        <w:tab/>
        <w:t>0.00</w:t>
        <w:tab/>
        <w:t>404,693.00</w:t>
        <w:tab/>
        <w:t>1.2187</w:t>
        <w:tab/>
        <w:t>493,199.36</w:t>
      </w:r>
    </w:p>
    <w:p>
      <w:pPr>
        <w:spacing w:line="150" w:lineRule="exact" w:before="0"/>
        <w:ind w:left="604" w:right="179" w:firstLine="0"/>
        <w:jc w:val="left"/>
        <w:rPr>
          <w:rFonts w:ascii="宋体" w:hAnsi="宋体" w:cs="宋体" w:eastAsia="宋体" w:hint="default"/>
          <w:sz w:val="18"/>
          <w:szCs w:val="18"/>
        </w:rPr>
      </w:pPr>
      <w:r>
        <w:rPr>
          <w:rFonts w:ascii="宋体" w:hAnsi="宋体" w:cs="宋体" w:eastAsia="宋体" w:hint="default"/>
          <w:spacing w:val="87"/>
          <w:sz w:val="18"/>
          <w:szCs w:val="18"/>
        </w:rPr>
        <w:t>加拿</w:t>
      </w:r>
      <w:r>
        <w:rPr>
          <w:rFonts w:ascii="宋体" w:hAnsi="宋体" w:cs="宋体" w:eastAsia="宋体" w:hint="default"/>
          <w:sz w:val="18"/>
          <w:szCs w:val="18"/>
        </w:rPr>
        <w:t>大</w:t>
      </w:r>
      <w:r>
        <w:rPr>
          <w:rFonts w:ascii="宋体" w:hAnsi="宋体" w:cs="宋体" w:eastAsia="宋体" w:hint="default"/>
          <w:spacing w:val="-3"/>
          <w:sz w:val="18"/>
          <w:szCs w:val="18"/>
        </w:rPr>
        <w:t> </w:t>
      </w:r>
      <w:r>
        <w:rPr>
          <w:rFonts w:ascii="宋体" w:hAnsi="宋体" w:cs="宋体" w:eastAsia="宋体" w:hint="default"/>
          <w:sz w:val="18"/>
          <w:szCs w:val="18"/>
        </w:rPr>
      </w:r>
    </w:p>
    <w:p>
      <w:pPr>
        <w:tabs>
          <w:tab w:pos="1805" w:val="left" w:leader="none"/>
          <w:tab w:pos="3281" w:val="left" w:leader="none"/>
          <w:tab w:pos="4317" w:val="left" w:leader="none"/>
          <w:tab w:pos="6244" w:val="left" w:leader="none"/>
          <w:tab w:pos="7187" w:val="left" w:leader="none"/>
          <w:tab w:pos="8673" w:val="left" w:leader="none"/>
        </w:tabs>
        <w:spacing w:line="268" w:lineRule="exact" w:before="0"/>
        <w:ind w:left="604" w:right="179" w:firstLine="0"/>
        <w:jc w:val="left"/>
        <w:rPr>
          <w:rFonts w:ascii="宋体" w:hAnsi="宋体" w:cs="宋体" w:eastAsia="宋体" w:hint="default"/>
          <w:sz w:val="18"/>
          <w:szCs w:val="18"/>
        </w:rPr>
      </w:pPr>
      <w:r>
        <w:rPr>
          <w:rFonts w:ascii="宋体" w:hAnsi="宋体" w:cs="宋体" w:eastAsia="宋体" w:hint="default"/>
          <w:position w:val="-9"/>
          <w:sz w:val="18"/>
          <w:szCs w:val="18"/>
        </w:rPr>
        <w:t>元</w:t>
        <w:tab/>
      </w:r>
      <w:r>
        <w:rPr>
          <w:rFonts w:ascii="宋体" w:hAnsi="宋体" w:cs="宋体" w:eastAsia="宋体" w:hint="default"/>
          <w:sz w:val="18"/>
          <w:szCs w:val="18"/>
        </w:rPr>
        <w:t>137,299.00</w:t>
        <w:tab/>
        <w:t>6.512</w:t>
        <w:tab/>
        <w:t>894,091.09</w:t>
        <w:tab/>
        <w:t>0.00</w:t>
        <w:tab/>
        <w:t>6.453</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3947" w:val="left" w:leader="none"/>
          <w:tab w:pos="7853" w:val="left" w:leader="none"/>
        </w:tabs>
        <w:spacing w:before="0"/>
        <w:ind w:left="604" w:right="179"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623,340,877.03</w:t>
        <w:tab/>
      </w:r>
      <w:r>
        <w:rPr>
          <w:rFonts w:ascii="宋体" w:hAnsi="宋体" w:cs="宋体" w:eastAsia="宋体" w:hint="default"/>
          <w:b/>
          <w:bCs/>
          <w:sz w:val="18"/>
          <w:szCs w:val="18"/>
        </w:rPr>
        <w:t>97,022,563.52</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46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946;height:2" coordorigin="15,15" coordsize="946,2">
              <v:shape style="position:absolute;left:15;top:15;width:946;height:2" coordorigin="15,15" coordsize="946,0" path="m15,15l961,15e" filled="false" stroked="true" strokeweight="1.5pt" strokecolor="#000000">
                <v:path arrowok="t"/>
              </v:shape>
            </v:group>
            <v:group style="position:absolute;left:946;top:15;width:1401;height:2" coordorigin="946,15" coordsize="1401,2">
              <v:shape style="position:absolute;left:946;top:15;width:1401;height:2" coordorigin="946,15" coordsize="1401,0" path="m946,15l2347,15e" filled="false" stroked="true" strokeweight="1.5pt" strokecolor="#000000">
                <v:path arrowok="t"/>
              </v:shape>
            </v:group>
            <v:group style="position:absolute;left:2332;top:15;width:1041;height:2" coordorigin="2332,15" coordsize="1041,2">
              <v:shape style="position:absolute;left:2332;top:15;width:1041;height:2" coordorigin="2332,15" coordsize="1041,0" path="m2332,15l3373,15e" filled="false" stroked="true" strokeweight="1.5pt" strokecolor="#000000">
                <v:path arrowok="t"/>
              </v:shape>
            </v:group>
            <v:group style="position:absolute;left:3358;top:15;width:1502;height:2" coordorigin="3358,15" coordsize="1502,2">
              <v:shape style="position:absolute;left:3358;top:15;width:1502;height:2" coordorigin="3358,15" coordsize="1502,0" path="m3358,15l4859,15e" filled="false" stroked="true" strokeweight="1.5pt" strokecolor="#000000">
                <v:path arrowok="t"/>
              </v:shape>
            </v:group>
            <v:group style="position:absolute;left:4845;top:15;width:1401;height:2" coordorigin="4845,15" coordsize="1401,2">
              <v:shape style="position:absolute;left:4845;top:15;width:1401;height:2" coordorigin="4845,15" coordsize="1401,0" path="m4845,15l6245,15e" filled="false" stroked="true" strokeweight="1.5pt" strokecolor="#000000">
                <v:path arrowok="t"/>
              </v:shape>
            </v:group>
            <v:group style="position:absolute;left:6231;top:15;width:1048;height:2" coordorigin="6231,15" coordsize="1048,2">
              <v:shape style="position:absolute;left:6231;top:15;width:1048;height:2" coordorigin="6231,15" coordsize="1048,0" path="m6231,15l7279,15e" filled="false" stroked="true" strokeweight="1.5pt" strokecolor="#000000">
                <v:path arrowok="t"/>
              </v:shape>
            </v:group>
            <v:group style="position:absolute;left:7264;top:15;width:1410;height:2" coordorigin="7264,15" coordsize="1410,2">
              <v:shape style="position:absolute;left:7264;top:15;width:1410;height:2" coordorigin="7264,15" coordsize="1410,0" path="m7264,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671" w:right="17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应付职工薪酬</w:t>
      </w:r>
    </w:p>
    <w:p>
      <w:pPr>
        <w:spacing w:line="240" w:lineRule="auto" w:before="3"/>
        <w:rPr>
          <w:rFonts w:ascii="宋体" w:hAnsi="宋体" w:cs="宋体" w:eastAsia="宋体" w:hint="default"/>
          <w:sz w:val="11"/>
          <w:szCs w:val="11"/>
        </w:rPr>
      </w:pPr>
    </w:p>
    <w:p>
      <w:pPr>
        <w:spacing w:line="30" w:lineRule="exact"/>
        <w:ind w:left="48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3040" w:val="left" w:leader="none"/>
          <w:tab w:pos="3213" w:val="left" w:leader="none"/>
          <w:tab w:pos="4619" w:val="left" w:leader="none"/>
          <w:tab w:pos="6288" w:val="left" w:leader="none"/>
          <w:tab w:pos="6459" w:val="left" w:leader="none"/>
          <w:tab w:pos="7863" w:val="left" w:leader="none"/>
          <w:tab w:pos="8036" w:val="left" w:leader="none"/>
        </w:tabs>
        <w:spacing w:line="297" w:lineRule="auto" w:before="0"/>
        <w:ind w:left="604" w:right="608" w:firstLine="0"/>
        <w:jc w:val="left"/>
        <w:rPr>
          <w:rFonts w:ascii="宋体" w:hAnsi="宋体" w:cs="宋体" w:eastAsia="宋体" w:hint="default"/>
          <w:sz w:val="18"/>
          <w:szCs w:val="18"/>
        </w:rPr>
      </w:pPr>
      <w:r>
        <w:rPr/>
        <w:pict>
          <v:group style="position:absolute;margin-left:84.839996pt;margin-top:14.892041pt;width:431.9pt;height:.1pt;mso-position-horizontal-relative:page;mso-position-vertical-relative:paragraph;z-index:-1046032" coordorigin="1697,298" coordsize="8638,2">
            <v:shape style="position:absolute;left:1697;top:298;width:8638;height:2" coordorigin="1697,298" coordsize="8638,0" path="m1697,298l10334,298e" filled="false" stroked="true" strokeweight=".48pt" strokecolor="#000000">
              <v:path arrowok="t"/>
            </v:shape>
            <w10:wrap type="none"/>
          </v:group>
        </w:pict>
      </w:r>
      <w:r>
        <w:rPr>
          <w:rFonts w:ascii="宋体" w:hAnsi="宋体" w:cs="宋体" w:eastAsia="宋体" w:hint="default"/>
          <w:b/>
          <w:bCs/>
          <w:w w:val="95"/>
          <w:sz w:val="18"/>
          <w:szCs w:val="18"/>
        </w:rPr>
        <w:t>项目</w:t>
        <w:tab/>
        <w:tab/>
        <w:t>年初金额</w:t>
        <w:tab/>
        <w:t>本年增加</w:t>
        <w:tab/>
        <w:tab/>
        <w:t>本年减少</w:t>
        <w:tab/>
        <w:tab/>
      </w:r>
      <w:r>
        <w:rPr>
          <w:rFonts w:ascii="宋体" w:hAnsi="宋体" w:cs="宋体" w:eastAsia="宋体" w:hint="default"/>
          <w:b/>
          <w:bCs/>
          <w:sz w:val="18"/>
          <w:szCs w:val="18"/>
        </w:rPr>
        <w:t>年末金额</w:t>
      </w:r>
      <w:r>
        <w:rPr>
          <w:rFonts w:ascii="宋体" w:hAnsi="宋体" w:cs="宋体" w:eastAsia="宋体" w:hint="default"/>
          <w:b/>
          <w:bCs/>
          <w:w w:val="99"/>
          <w:sz w:val="18"/>
          <w:szCs w:val="18"/>
        </w:rPr>
        <w:t> </w:t>
      </w:r>
      <w:r>
        <w:rPr>
          <w:rFonts w:ascii="宋体" w:hAnsi="宋体" w:cs="宋体" w:eastAsia="宋体" w:hint="default"/>
          <w:spacing w:val="-4"/>
          <w:sz w:val="18"/>
          <w:szCs w:val="18"/>
        </w:rPr>
        <w:t>工资(含奖金、津贴和补贴)</w:t>
        <w:tab/>
      </w:r>
      <w:r>
        <w:rPr>
          <w:rFonts w:ascii="宋体" w:hAnsi="宋体" w:cs="宋体" w:eastAsia="宋体" w:hint="default"/>
          <w:sz w:val="18"/>
          <w:szCs w:val="18"/>
        </w:rPr>
        <w:t>68,854,818.50</w:t>
        <w:tab/>
        <w:t>933,996,467.84</w:t>
        <w:tab/>
        <w:t>928,993,121.80</w:t>
        <w:tab/>
        <w:t>73,858,164.54</w:t>
      </w:r>
    </w:p>
    <w:p>
      <w:pPr>
        <w:tabs>
          <w:tab w:pos="3850" w:val="left" w:leader="none"/>
          <w:tab w:pos="4709" w:val="left" w:leader="none"/>
          <w:tab w:pos="6377" w:val="left" w:leader="none"/>
          <w:tab w:pos="8133" w:val="left" w:leader="none"/>
        </w:tabs>
        <w:spacing w:before="4"/>
        <w:ind w:left="604" w:right="179" w:firstLine="0"/>
        <w:jc w:val="left"/>
        <w:rPr>
          <w:rFonts w:ascii="宋体" w:hAnsi="宋体" w:cs="宋体" w:eastAsia="宋体" w:hint="default"/>
          <w:sz w:val="18"/>
          <w:szCs w:val="18"/>
        </w:rPr>
      </w:pPr>
      <w:r>
        <w:rPr>
          <w:rFonts w:ascii="宋体" w:hAnsi="宋体" w:cs="宋体" w:eastAsia="宋体" w:hint="default"/>
          <w:sz w:val="18"/>
          <w:szCs w:val="18"/>
        </w:rPr>
        <w:t>职工福利费</w:t>
        <w:tab/>
        <w:t>0.00</w:t>
        <w:tab/>
        <w:t>76,505,383.92</w:t>
        <w:tab/>
        <w:t>76,204,422.58</w:t>
        <w:tab/>
        <w:t>300,961.34</w:t>
      </w:r>
    </w:p>
    <w:p>
      <w:pPr>
        <w:tabs>
          <w:tab w:pos="3130" w:val="left" w:leader="none"/>
          <w:tab w:pos="4619" w:val="left" w:leader="none"/>
          <w:tab w:pos="6287" w:val="left" w:leader="none"/>
          <w:tab w:pos="7863" w:val="left" w:leader="none"/>
        </w:tabs>
        <w:spacing w:before="47"/>
        <w:ind w:left="604" w:right="179" w:firstLine="0"/>
        <w:jc w:val="left"/>
        <w:rPr>
          <w:rFonts w:ascii="宋体" w:hAnsi="宋体" w:cs="宋体" w:eastAsia="宋体" w:hint="default"/>
          <w:sz w:val="18"/>
          <w:szCs w:val="18"/>
        </w:rPr>
      </w:pPr>
      <w:r>
        <w:rPr>
          <w:rFonts w:ascii="宋体" w:hAnsi="宋体" w:cs="宋体" w:eastAsia="宋体" w:hint="default"/>
          <w:sz w:val="18"/>
          <w:szCs w:val="18"/>
        </w:rPr>
        <w:t>社会保险费</w:t>
        <w:tab/>
        <w:t>8,201,518.52</w:t>
        <w:tab/>
        <w:t>209,839,072.03</w:t>
        <w:tab/>
        <w:t>207,967,700.59</w:t>
        <w:tab/>
        <w:t>10,072,889.96</w:t>
      </w:r>
    </w:p>
    <w:p>
      <w:pPr>
        <w:tabs>
          <w:tab w:pos="3130" w:val="left" w:leader="none"/>
          <w:tab w:pos="4709" w:val="left" w:leader="none"/>
          <w:tab w:pos="6377" w:val="left" w:leader="none"/>
          <w:tab w:pos="7953" w:val="left" w:leader="none"/>
        </w:tabs>
        <w:spacing w:before="47"/>
        <w:ind w:left="604" w:right="179" w:firstLine="0"/>
        <w:jc w:val="left"/>
        <w:rPr>
          <w:rFonts w:ascii="宋体" w:hAnsi="宋体" w:cs="宋体" w:eastAsia="宋体" w:hint="default"/>
          <w:sz w:val="18"/>
          <w:szCs w:val="18"/>
        </w:rPr>
      </w:pPr>
      <w:r>
        <w:rPr>
          <w:rFonts w:ascii="宋体" w:hAnsi="宋体" w:cs="宋体" w:eastAsia="宋体" w:hint="default"/>
          <w:sz w:val="18"/>
          <w:szCs w:val="18"/>
        </w:rPr>
        <w:t>其中：医疗保险费</w:t>
        <w:tab/>
        <w:t>1,871,997.96</w:t>
        <w:tab/>
        <w:t>57,947,200.93</w:t>
        <w:tab/>
        <w:t>56,694,347.28</w:t>
        <w:tab/>
        <w:t>3,124,851.61</w:t>
      </w:r>
    </w:p>
    <w:p>
      <w:pPr>
        <w:tabs>
          <w:tab w:pos="3130" w:val="left" w:leader="none"/>
          <w:tab w:pos="4619" w:val="left" w:leader="none"/>
          <w:tab w:pos="6287" w:val="left" w:leader="none"/>
          <w:tab w:pos="7953" w:val="left" w:leader="none"/>
        </w:tabs>
        <w:spacing w:before="46"/>
        <w:ind w:left="1144" w:right="179" w:firstLine="0"/>
        <w:jc w:val="left"/>
        <w:rPr>
          <w:rFonts w:ascii="宋体" w:hAnsi="宋体" w:cs="宋体" w:eastAsia="宋体" w:hint="default"/>
          <w:sz w:val="18"/>
          <w:szCs w:val="18"/>
        </w:rPr>
      </w:pPr>
      <w:r>
        <w:rPr>
          <w:rFonts w:ascii="宋体" w:hAnsi="宋体" w:cs="宋体" w:eastAsia="宋体" w:hint="default"/>
          <w:sz w:val="18"/>
          <w:szCs w:val="18"/>
        </w:rPr>
        <w:t>基本养老保险费</w:t>
        <w:tab/>
        <w:t>3,097,567.11</w:t>
        <w:tab/>
        <w:t>129,046,283.32</w:t>
        <w:tab/>
        <w:t>128,020,088.84</w:t>
        <w:tab/>
        <w:t>4,123,761.59</w:t>
      </w:r>
    </w:p>
    <w:p>
      <w:pPr>
        <w:tabs>
          <w:tab w:pos="3220" w:val="left" w:leader="none"/>
          <w:tab w:pos="4799" w:val="left" w:leader="none"/>
          <w:tab w:pos="6467" w:val="left" w:leader="none"/>
          <w:tab w:pos="7863" w:val="left" w:leader="none"/>
        </w:tabs>
        <w:spacing w:before="47"/>
        <w:ind w:left="1144" w:right="179" w:firstLine="0"/>
        <w:jc w:val="left"/>
        <w:rPr>
          <w:rFonts w:ascii="宋体" w:hAnsi="宋体" w:cs="宋体" w:eastAsia="宋体" w:hint="default"/>
          <w:sz w:val="18"/>
          <w:szCs w:val="18"/>
        </w:rPr>
      </w:pPr>
      <w:r>
        <w:rPr>
          <w:rFonts w:ascii="宋体" w:hAnsi="宋体" w:cs="宋体" w:eastAsia="宋体" w:hint="default"/>
          <w:sz w:val="18"/>
          <w:szCs w:val="18"/>
        </w:rPr>
        <w:t>年金缴费</w:t>
        <w:tab/>
        <w:t>-592,795.16</w:t>
        <w:tab/>
        <w:t>6,257,769.00</w:t>
        <w:tab/>
        <w:t>7,526,885.64</w:t>
        <w:tab/>
        <w:t>-1,861,911.80</w:t>
      </w:r>
    </w:p>
    <w:p>
      <w:pPr>
        <w:tabs>
          <w:tab w:pos="3310" w:val="left" w:leader="none"/>
          <w:tab w:pos="4799" w:val="left" w:leader="none"/>
          <w:tab w:pos="6467" w:val="left" w:leader="none"/>
          <w:tab w:pos="8133" w:val="left" w:leader="none"/>
        </w:tabs>
        <w:spacing w:before="47"/>
        <w:ind w:left="1144" w:right="179" w:firstLine="0"/>
        <w:jc w:val="left"/>
        <w:rPr>
          <w:rFonts w:ascii="宋体" w:hAnsi="宋体" w:cs="宋体" w:eastAsia="宋体" w:hint="default"/>
          <w:sz w:val="18"/>
          <w:szCs w:val="18"/>
        </w:rPr>
      </w:pPr>
      <w:r>
        <w:rPr>
          <w:rFonts w:ascii="宋体" w:hAnsi="宋体" w:cs="宋体" w:eastAsia="宋体" w:hint="default"/>
          <w:sz w:val="18"/>
          <w:szCs w:val="18"/>
        </w:rPr>
        <w:t>失业保险费</w:t>
        <w:tab/>
        <w:t>222,681.38</w:t>
        <w:tab/>
        <w:t>6,665,480.67</w:t>
        <w:tab/>
        <w:t>6,576,419.25</w:t>
        <w:tab/>
        <w:t>311,742.80</w:t>
      </w:r>
    </w:p>
    <w:p>
      <w:pPr>
        <w:tabs>
          <w:tab w:pos="3400" w:val="left" w:leader="none"/>
          <w:tab w:pos="4799" w:val="left" w:leader="none"/>
          <w:tab w:pos="6467" w:val="left" w:leader="none"/>
          <w:tab w:pos="8133" w:val="left" w:leader="none"/>
        </w:tabs>
        <w:spacing w:before="47"/>
        <w:ind w:left="1144" w:right="179" w:firstLine="0"/>
        <w:jc w:val="left"/>
        <w:rPr>
          <w:rFonts w:ascii="宋体" w:hAnsi="宋体" w:cs="宋体" w:eastAsia="宋体" w:hint="default"/>
          <w:sz w:val="18"/>
          <w:szCs w:val="18"/>
        </w:rPr>
      </w:pPr>
      <w:r>
        <w:rPr>
          <w:rFonts w:ascii="宋体" w:hAnsi="宋体" w:cs="宋体" w:eastAsia="宋体" w:hint="default"/>
          <w:sz w:val="18"/>
          <w:szCs w:val="18"/>
        </w:rPr>
        <w:t>工伤保险费</w:t>
        <w:tab/>
        <w:t>90,984.96</w:t>
        <w:tab/>
        <w:t>2,906,378.11</w:t>
        <w:tab/>
        <w:t>2,842,030.01</w:t>
        <w:tab/>
        <w:t>155,333.06</w:t>
      </w:r>
    </w:p>
    <w:p>
      <w:pPr>
        <w:tabs>
          <w:tab w:pos="3310" w:val="left" w:leader="none"/>
          <w:tab w:pos="4799" w:val="left" w:leader="none"/>
          <w:tab w:pos="6467" w:val="left" w:leader="none"/>
          <w:tab w:pos="8223" w:val="left" w:leader="none"/>
        </w:tabs>
        <w:spacing w:before="47"/>
        <w:ind w:left="1144" w:right="179" w:firstLine="0"/>
        <w:jc w:val="left"/>
        <w:rPr>
          <w:rFonts w:ascii="宋体" w:hAnsi="宋体" w:cs="宋体" w:eastAsia="宋体" w:hint="default"/>
          <w:sz w:val="18"/>
          <w:szCs w:val="18"/>
        </w:rPr>
      </w:pPr>
      <w:r>
        <w:rPr>
          <w:rFonts w:ascii="宋体" w:hAnsi="宋体" w:cs="宋体" w:eastAsia="宋体" w:hint="default"/>
          <w:sz w:val="18"/>
          <w:szCs w:val="18"/>
        </w:rPr>
        <w:t>生育保险费</w:t>
        <w:tab/>
        <w:t>-63,583.29</w:t>
        <w:tab/>
        <w:t>3,064,806.67</w:t>
        <w:tab/>
        <w:t>2,964,462.23</w:t>
        <w:tab/>
        <w:t>36,761.15</w:t>
      </w:r>
    </w:p>
    <w:p>
      <w:pPr>
        <w:tabs>
          <w:tab w:pos="3130" w:val="left" w:leader="none"/>
          <w:tab w:pos="4799" w:val="left" w:leader="none"/>
          <w:tab w:pos="6467" w:val="left" w:leader="none"/>
          <w:tab w:pos="7953" w:val="left" w:leader="none"/>
        </w:tabs>
        <w:spacing w:before="47"/>
        <w:ind w:left="1144" w:right="179" w:firstLine="0"/>
        <w:jc w:val="left"/>
        <w:rPr>
          <w:rFonts w:ascii="宋体" w:hAnsi="宋体" w:cs="宋体" w:eastAsia="宋体" w:hint="default"/>
          <w:sz w:val="18"/>
          <w:szCs w:val="18"/>
        </w:rPr>
      </w:pPr>
      <w:r>
        <w:rPr>
          <w:rFonts w:ascii="宋体" w:hAnsi="宋体" w:cs="宋体" w:eastAsia="宋体" w:hint="default"/>
          <w:sz w:val="18"/>
          <w:szCs w:val="18"/>
        </w:rPr>
        <w:t>其他社保费</w:t>
        <w:tab/>
        <w:t>3,574,665.56</w:t>
        <w:tab/>
        <w:t>3,951,153.33</w:t>
        <w:tab/>
        <w:t>3,343,467.34</w:t>
        <w:tab/>
        <w:t>4,182,351.55</w:t>
      </w:r>
    </w:p>
    <w:p>
      <w:pPr>
        <w:tabs>
          <w:tab w:pos="3220" w:val="left" w:leader="none"/>
          <w:tab w:pos="4709" w:val="left" w:leader="none"/>
          <w:tab w:pos="6377" w:val="left" w:leader="none"/>
          <w:tab w:pos="7953" w:val="left" w:leader="none"/>
        </w:tabs>
        <w:spacing w:before="46"/>
        <w:ind w:left="604" w:right="179" w:firstLine="0"/>
        <w:jc w:val="left"/>
        <w:rPr>
          <w:rFonts w:ascii="宋体" w:hAnsi="宋体" w:cs="宋体" w:eastAsia="宋体" w:hint="default"/>
          <w:sz w:val="18"/>
          <w:szCs w:val="18"/>
        </w:rPr>
      </w:pPr>
      <w:r>
        <w:rPr>
          <w:rFonts w:ascii="宋体" w:hAnsi="宋体" w:cs="宋体" w:eastAsia="宋体" w:hint="default"/>
          <w:sz w:val="18"/>
          <w:szCs w:val="18"/>
        </w:rPr>
        <w:t>住房公积金</w:t>
        <w:tab/>
        <w:t>-202,028.30</w:t>
        <w:tab/>
        <w:t>75,025,126.76</w:t>
        <w:tab/>
        <w:t>73,601,469.10</w:t>
        <w:tab/>
        <w:t>1,221,629.36</w:t>
      </w:r>
    </w:p>
    <w:p>
      <w:pPr>
        <w:tabs>
          <w:tab w:pos="3040" w:val="left" w:leader="none"/>
          <w:tab w:pos="4709" w:val="left" w:leader="none"/>
          <w:tab w:pos="6377" w:val="left" w:leader="none"/>
          <w:tab w:pos="7863" w:val="left" w:leader="none"/>
        </w:tabs>
        <w:spacing w:before="47"/>
        <w:ind w:left="604" w:right="179"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w:t>
        <w:tab/>
        <w:t>82,106,803.51</w:t>
        <w:tab/>
        <w:t>33,864,753.93</w:t>
        <w:tab/>
        <w:t>33,796,380.11</w:t>
        <w:tab/>
        <w:t>82,175,177.33</w:t>
      </w:r>
    </w:p>
    <w:p>
      <w:pPr>
        <w:tabs>
          <w:tab w:pos="3040" w:val="left" w:leader="none"/>
          <w:tab w:pos="4709" w:val="left" w:leader="none"/>
          <w:tab w:pos="6377" w:val="left" w:leader="none"/>
          <w:tab w:pos="7863" w:val="left" w:leader="none"/>
        </w:tabs>
        <w:spacing w:before="47"/>
        <w:ind w:left="604" w:right="179" w:firstLine="0"/>
        <w:jc w:val="left"/>
        <w:rPr>
          <w:rFonts w:ascii="宋体" w:hAnsi="宋体" w:cs="宋体" w:eastAsia="宋体" w:hint="default"/>
          <w:sz w:val="18"/>
          <w:szCs w:val="18"/>
        </w:rPr>
      </w:pPr>
      <w:r>
        <w:rPr>
          <w:rFonts w:ascii="宋体" w:hAnsi="宋体" w:cs="宋体" w:eastAsia="宋体" w:hint="default"/>
          <w:sz w:val="18"/>
          <w:szCs w:val="18"/>
        </w:rPr>
        <w:t>其中：工会经费</w:t>
        <w:tab/>
        <w:t>43,092,173.70</w:t>
        <w:tab/>
        <w:t>17,389,085.86</w:t>
        <w:tab/>
        <w:t>14,675,342.65</w:t>
        <w:tab/>
        <w:t>45,805,916.91</w:t>
      </w:r>
    </w:p>
    <w:p>
      <w:pPr>
        <w:tabs>
          <w:tab w:pos="3040" w:val="left" w:leader="none"/>
          <w:tab w:pos="4709" w:val="left" w:leader="none"/>
          <w:tab w:pos="6377" w:val="left" w:leader="none"/>
          <w:tab w:pos="7863" w:val="left" w:leader="none"/>
        </w:tabs>
        <w:spacing w:before="47"/>
        <w:ind w:left="1144" w:right="179" w:firstLine="0"/>
        <w:jc w:val="left"/>
        <w:rPr>
          <w:rFonts w:ascii="宋体" w:hAnsi="宋体" w:cs="宋体" w:eastAsia="宋体" w:hint="default"/>
          <w:sz w:val="18"/>
          <w:szCs w:val="18"/>
        </w:rPr>
      </w:pPr>
      <w:r>
        <w:rPr>
          <w:rFonts w:ascii="宋体" w:hAnsi="宋体" w:cs="宋体" w:eastAsia="宋体" w:hint="default"/>
          <w:sz w:val="18"/>
          <w:szCs w:val="18"/>
        </w:rPr>
        <w:t>职工教育经费</w:t>
        <w:tab/>
        <w:t>39,014,629.81</w:t>
        <w:tab/>
        <w:t>16,475,668.07</w:t>
        <w:tab/>
        <w:t>19,121,037.46</w:t>
        <w:tab/>
        <w:t>36,369,260.42</w:t>
      </w:r>
    </w:p>
    <w:p>
      <w:pPr>
        <w:tabs>
          <w:tab w:pos="3850" w:val="left" w:leader="none"/>
          <w:tab w:pos="4979" w:val="left" w:leader="none"/>
          <w:tab w:pos="6647" w:val="left" w:leader="none"/>
          <w:tab w:pos="8673" w:val="left" w:leader="none"/>
        </w:tabs>
        <w:spacing w:before="47"/>
        <w:ind w:left="604" w:right="179" w:firstLine="0"/>
        <w:jc w:val="left"/>
        <w:rPr>
          <w:rFonts w:ascii="宋体" w:hAnsi="宋体" w:cs="宋体" w:eastAsia="宋体" w:hint="default"/>
          <w:sz w:val="18"/>
          <w:szCs w:val="18"/>
        </w:rPr>
      </w:pPr>
      <w:r>
        <w:rPr>
          <w:rFonts w:ascii="宋体" w:hAnsi="宋体" w:cs="宋体" w:eastAsia="宋体" w:hint="default"/>
          <w:sz w:val="18"/>
          <w:szCs w:val="18"/>
        </w:rPr>
        <w:t>非货币性福利</w:t>
        <w:tab/>
        <w:t>0.00</w:t>
        <w:tab/>
        <w:t>353,597.40</w:t>
        <w:tab/>
        <w:t>353,597.40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168" w:lineRule="exact" w:before="7"/>
        <w:ind w:left="604" w:right="179" w:firstLine="0"/>
        <w:jc w:val="left"/>
        <w:rPr>
          <w:rFonts w:ascii="宋体" w:hAnsi="宋体" w:cs="宋体" w:eastAsia="宋体" w:hint="default"/>
          <w:sz w:val="18"/>
          <w:szCs w:val="18"/>
        </w:rPr>
      </w:pPr>
      <w:r>
        <w:rPr>
          <w:rFonts w:ascii="宋体" w:hAnsi="宋体" w:cs="宋体" w:eastAsia="宋体" w:hint="default"/>
          <w:spacing w:val="13"/>
          <w:sz w:val="18"/>
          <w:szCs w:val="18"/>
        </w:rPr>
        <w:t>因解除劳动关系给予的补</w:t>
      </w:r>
      <w:r>
        <w:rPr>
          <w:rFonts w:ascii="宋体" w:hAnsi="宋体" w:cs="宋体" w:eastAsia="宋体" w:hint="default"/>
          <w:sz w:val="18"/>
          <w:szCs w:val="18"/>
        </w:rPr>
      </w:r>
    </w:p>
    <w:p>
      <w:pPr>
        <w:tabs>
          <w:tab w:pos="3310" w:val="left" w:leader="none"/>
          <w:tab w:pos="4799" w:val="left" w:leader="none"/>
          <w:tab w:pos="6467" w:val="left" w:leader="none"/>
          <w:tab w:pos="7953" w:val="left" w:leader="none"/>
        </w:tabs>
        <w:spacing w:line="268" w:lineRule="exact" w:before="0"/>
        <w:ind w:left="604" w:right="179" w:firstLine="0"/>
        <w:jc w:val="left"/>
        <w:rPr>
          <w:rFonts w:ascii="宋体" w:hAnsi="宋体" w:cs="宋体" w:eastAsia="宋体" w:hint="default"/>
          <w:sz w:val="18"/>
          <w:szCs w:val="18"/>
        </w:rPr>
      </w:pPr>
      <w:r>
        <w:rPr>
          <w:rFonts w:ascii="宋体" w:hAnsi="宋体" w:cs="宋体" w:eastAsia="宋体" w:hint="default"/>
          <w:position w:val="-9"/>
          <w:sz w:val="18"/>
          <w:szCs w:val="18"/>
        </w:rPr>
        <w:t>偿</w:t>
        <w:tab/>
      </w:r>
      <w:r>
        <w:rPr>
          <w:rFonts w:ascii="宋体" w:hAnsi="宋体" w:cs="宋体" w:eastAsia="宋体" w:hint="default"/>
          <w:sz w:val="18"/>
          <w:szCs w:val="18"/>
        </w:rPr>
        <w:t>-11,936.62</w:t>
        <w:tab/>
        <w:t>5,192,895.02</w:t>
        <w:tab/>
        <w:t>3,766,020.26</w:t>
        <w:tab/>
        <w:t>1,414,938.14</w:t>
      </w:r>
    </w:p>
    <w:p>
      <w:pPr>
        <w:tabs>
          <w:tab w:pos="3130" w:val="left" w:leader="none"/>
          <w:tab w:pos="4799" w:val="left" w:leader="none"/>
          <w:tab w:pos="6467" w:val="left" w:leader="none"/>
          <w:tab w:pos="7953" w:val="left" w:leader="none"/>
        </w:tabs>
        <w:spacing w:before="5"/>
        <w:ind w:left="604" w:right="179" w:firstLine="0"/>
        <w:jc w:val="left"/>
        <w:rPr>
          <w:rFonts w:ascii="宋体" w:hAnsi="宋体" w:cs="宋体" w:eastAsia="宋体" w:hint="default"/>
          <w:sz w:val="18"/>
          <w:szCs w:val="18"/>
        </w:rPr>
      </w:pPr>
      <w:r>
        <w:rPr>
          <w:rFonts w:ascii="宋体" w:hAnsi="宋体" w:cs="宋体" w:eastAsia="宋体" w:hint="default"/>
          <w:sz w:val="18"/>
          <w:szCs w:val="18"/>
        </w:rPr>
        <w:t>其他</w:t>
        <w:tab/>
        <w:t>2,784,733.72</w:t>
        <w:tab/>
        <w:t>9,642,030.00</w:t>
        <w:tab/>
        <w:t>9,591,423.78</w:t>
        <w:tab/>
        <w:t>2,835,339.94</w:t>
      </w:r>
    </w:p>
    <w:p>
      <w:pPr>
        <w:spacing w:line="240" w:lineRule="auto" w:before="6"/>
        <w:rPr>
          <w:rFonts w:ascii="宋体" w:hAnsi="宋体" w:cs="宋体" w:eastAsia="宋体" w:hint="default"/>
          <w:sz w:val="4"/>
          <w:szCs w:val="4"/>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2941" w:val="left" w:leader="none"/>
          <w:tab w:pos="4427" w:val="left" w:leader="none"/>
          <w:tab w:pos="6095" w:val="left" w:leader="none"/>
          <w:tab w:pos="7763" w:val="left" w:leader="none"/>
        </w:tabs>
        <w:spacing w:before="0"/>
        <w:ind w:left="604" w:right="179"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161,733,909.33</w:t>
        <w:tab/>
        <w:t>1,344,419,326.90</w:t>
        <w:tab/>
        <w:t>1,334,274,135.62</w:t>
        <w:tab/>
      </w:r>
      <w:r>
        <w:rPr>
          <w:rFonts w:ascii="宋体" w:hAnsi="宋体" w:cs="宋体" w:eastAsia="宋体" w:hint="default"/>
          <w:b/>
          <w:bCs/>
          <w:sz w:val="18"/>
          <w:szCs w:val="18"/>
        </w:rPr>
        <w:t>171,879,100.61</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p>
      <w:pPr>
        <w:spacing w:line="30" w:lineRule="exact"/>
        <w:ind w:left="46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351;height:2" coordorigin="15,15" coordsize="2351,2">
              <v:shape style="position:absolute;left:15;top:15;width:2351;height:2" coordorigin="15,15" coordsize="2351,0" path="m15,15l2366,15e" filled="false" stroked="true" strokeweight="1.5pt" strokecolor="#000000">
                <v:path arrowok="t"/>
              </v:shape>
            </v:group>
            <v:group style="position:absolute;left:2351;top:15;width:1502;height:2" coordorigin="2351,15" coordsize="1502,2">
              <v:shape style="position:absolute;left:2351;top:15;width:1502;height:2" coordorigin="2351,15" coordsize="1502,0" path="m2351,15l3853,15e" filled="false" stroked="true" strokeweight="1.5pt" strokecolor="#000000">
                <v:path arrowok="t"/>
              </v:shape>
            </v:group>
            <v:group style="position:absolute;left:3838;top:15;width:1683;height:2" coordorigin="3838,15" coordsize="1683,2">
              <v:shape style="position:absolute;left:3838;top:15;width:1683;height:2" coordorigin="3838,15" coordsize="1683,0" path="m3838,15l5521,15e" filled="false" stroked="true" strokeweight="1.5pt" strokecolor="#000000">
                <v:path arrowok="t"/>
              </v:shape>
            </v:group>
            <v:group style="position:absolute;left:5506;top:15;width:1683;height:2" coordorigin="5506,15" coordsize="1683,2">
              <v:shape style="position:absolute;left:5506;top:15;width:1683;height:2" coordorigin="5506,15" coordsize="1683,0" path="m5506,15l7189,15e" filled="false" stroked="true" strokeweight="1.5pt" strokecolor="#000000">
                <v:path arrowok="t"/>
              </v:shape>
            </v:group>
            <v:group style="position:absolute;left:7174;top:15;width:1500;height:2" coordorigin="7174,15" coordsize="1500,2">
              <v:shape style="position:absolute;left:7174;top:15;width:1500;height:2" coordorigin="7174,15" coordsize="1500,0" path="m7174,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24" w:lineRule="auto" w:before="31"/>
        <w:ind w:left="218" w:right="110" w:firstLine="440"/>
        <w:jc w:val="left"/>
        <w:rPr>
          <w:rFonts w:ascii="宋体" w:hAnsi="宋体" w:cs="宋体" w:eastAsia="宋体" w:hint="default"/>
          <w:sz w:val="22"/>
          <w:szCs w:val="22"/>
        </w:rPr>
      </w:pPr>
      <w:r>
        <w:rPr>
          <w:rFonts w:ascii="宋体" w:hAnsi="宋体" w:cs="宋体" w:eastAsia="宋体" w:hint="default"/>
          <w:spacing w:val="-4"/>
          <w:sz w:val="22"/>
          <w:szCs w:val="22"/>
        </w:rPr>
        <w:t>注：期末职工福利费余额为本公司之二级子公司唐山晶源旭丰电子有限公司（外商投资企业）</w:t>
      </w:r>
      <w:r>
        <w:rPr>
          <w:rFonts w:ascii="宋体" w:hAnsi="宋体" w:cs="宋体" w:eastAsia="宋体" w:hint="default"/>
          <w:w w:val="99"/>
          <w:sz w:val="22"/>
          <w:szCs w:val="22"/>
        </w:rPr>
        <w:t> </w:t>
      </w:r>
      <w:r>
        <w:rPr>
          <w:rFonts w:ascii="宋体" w:hAnsi="宋体" w:cs="宋体" w:eastAsia="宋体" w:hint="default"/>
          <w:sz w:val="22"/>
          <w:szCs w:val="22"/>
        </w:rPr>
        <w:t>依据该公司章程规定按净利润的</w:t>
      </w:r>
      <w:r>
        <w:rPr>
          <w:rFonts w:ascii="宋体" w:hAnsi="宋体" w:cs="宋体" w:eastAsia="宋体" w:hint="default"/>
          <w:spacing w:val="-59"/>
          <w:sz w:val="22"/>
          <w:szCs w:val="22"/>
        </w:rPr>
        <w:t> </w:t>
      </w:r>
      <w:r>
        <w:rPr>
          <w:rFonts w:ascii="宋体" w:hAnsi="宋体" w:cs="宋体" w:eastAsia="宋体" w:hint="default"/>
          <w:sz w:val="22"/>
          <w:szCs w:val="22"/>
        </w:rPr>
        <w:t>5%提取的职工奖励及福利基金。</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462"/>
        <w:gridCol w:w="2991"/>
        <w:gridCol w:w="2285"/>
        <w:gridCol w:w="1673"/>
      </w:tblGrid>
      <w:tr>
        <w:trPr>
          <w:trHeight w:val="498" w:hRule="exact"/>
        </w:trPr>
        <w:tc>
          <w:tcPr>
            <w:tcW w:w="2462"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应交税费</w:t>
            </w:r>
          </w:p>
        </w:tc>
        <w:tc>
          <w:tcPr>
            <w:tcW w:w="6949" w:type="dxa"/>
            <w:gridSpan w:val="3"/>
            <w:tcBorders>
              <w:top w:val="nil" w:sz="6" w:space="0" w:color="auto"/>
              <w:left w:val="nil" w:sz="6" w:space="0" w:color="auto"/>
              <w:bottom w:val="single" w:sz="12" w:space="0" w:color="000000"/>
              <w:right w:val="nil" w:sz="6" w:space="0" w:color="auto"/>
            </w:tcBorders>
          </w:tcPr>
          <w:p>
            <w:pPr/>
          </w:p>
        </w:tc>
      </w:tr>
      <w:tr>
        <w:trPr>
          <w:trHeight w:val="303" w:hRule="exact"/>
        </w:trPr>
        <w:tc>
          <w:tcPr>
            <w:tcW w:w="246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9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46"/>
              <w:jc w:val="center"/>
              <w:rPr>
                <w:rFonts w:ascii="宋体" w:hAnsi="宋体" w:cs="宋体" w:eastAsia="宋体" w:hint="default"/>
                <w:sz w:val="18"/>
                <w:szCs w:val="18"/>
              </w:rPr>
            </w:pPr>
            <w:r>
              <w:rPr>
                <w:rFonts w:ascii="宋体" w:hAnsi="宋体" w:cs="宋体" w:eastAsia="宋体" w:hint="default"/>
                <w:b/>
                <w:bCs/>
                <w:sz w:val="18"/>
                <w:szCs w:val="18"/>
              </w:rPr>
              <w:t>适用税率</w:t>
            </w:r>
            <w:r>
              <w:rPr>
                <w:rFonts w:ascii="宋体" w:hAnsi="宋体" w:cs="宋体" w:eastAsia="宋体" w:hint="default"/>
                <w:sz w:val="18"/>
                <w:szCs w:val="18"/>
              </w:rPr>
            </w:r>
          </w:p>
        </w:tc>
        <w:tc>
          <w:tcPr>
            <w:tcW w:w="228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1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7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0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246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91" w:type="dxa"/>
            <w:tcBorders>
              <w:top w:val="single" w:sz="4" w:space="0" w:color="000000"/>
              <w:left w:val="nil" w:sz="6" w:space="0" w:color="auto"/>
              <w:bottom w:val="nil" w:sz="6" w:space="0" w:color="auto"/>
              <w:right w:val="nil" w:sz="6" w:space="0" w:color="auto"/>
            </w:tcBorders>
          </w:tcPr>
          <w:p>
            <w:pPr>
              <w:pStyle w:val="TableParagraph"/>
              <w:spacing w:line="226" w:lineRule="exact"/>
              <w:ind w:right="143"/>
              <w:jc w:val="center"/>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13%或</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2285" w:type="dxa"/>
            <w:tcBorders>
              <w:top w:val="single" w:sz="4" w:space="0" w:color="000000"/>
              <w:left w:val="nil" w:sz="6" w:space="0" w:color="auto"/>
              <w:bottom w:val="nil" w:sz="6" w:space="0" w:color="auto"/>
              <w:right w:val="nil" w:sz="6" w:space="0" w:color="auto"/>
            </w:tcBorders>
          </w:tcPr>
          <w:p>
            <w:pPr>
              <w:pStyle w:val="TableParagraph"/>
              <w:spacing w:line="226" w:lineRule="exact"/>
              <w:ind w:right="308"/>
              <w:jc w:val="right"/>
              <w:rPr>
                <w:rFonts w:ascii="宋体" w:hAnsi="宋体" w:cs="宋体" w:eastAsia="宋体" w:hint="default"/>
                <w:sz w:val="18"/>
                <w:szCs w:val="18"/>
              </w:rPr>
            </w:pPr>
            <w:r>
              <w:rPr>
                <w:rFonts w:ascii="宋体"/>
                <w:sz w:val="18"/>
              </w:rPr>
              <w:t>-99,019,767.01</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-78,136,452.62</w:t>
            </w:r>
          </w:p>
        </w:tc>
      </w:tr>
      <w:tr>
        <w:trPr>
          <w:trHeight w:val="283"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91"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center"/>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3%或</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308"/>
              <w:jc w:val="right"/>
              <w:rPr>
                <w:rFonts w:ascii="宋体" w:hAnsi="宋体" w:cs="宋体" w:eastAsia="宋体" w:hint="default"/>
                <w:sz w:val="18"/>
                <w:szCs w:val="18"/>
              </w:rPr>
            </w:pPr>
            <w:r>
              <w:rPr>
                <w:rFonts w:ascii="宋体"/>
                <w:sz w:val="18"/>
              </w:rPr>
              <w:t>47,868,178.74</w:t>
            </w:r>
          </w:p>
        </w:tc>
        <w:tc>
          <w:tcPr>
            <w:tcW w:w="1673"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36,397,512.29</w:t>
            </w:r>
          </w:p>
        </w:tc>
      </w:tr>
      <w:tr>
        <w:trPr>
          <w:trHeight w:val="283"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91"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center"/>
              <w:rPr>
                <w:rFonts w:ascii="宋体" w:hAnsi="宋体" w:cs="宋体" w:eastAsia="宋体"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宋体" w:hAnsi="宋体" w:cs="宋体" w:eastAsia="宋体" w:hint="default"/>
                <w:sz w:val="18"/>
                <w:szCs w:val="18"/>
              </w:rPr>
              <w:t>7%或</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308"/>
              <w:jc w:val="right"/>
              <w:rPr>
                <w:rFonts w:ascii="宋体" w:hAnsi="宋体" w:cs="宋体" w:eastAsia="宋体" w:hint="default"/>
                <w:sz w:val="18"/>
                <w:szCs w:val="18"/>
              </w:rPr>
            </w:pPr>
            <w:r>
              <w:rPr>
                <w:rFonts w:ascii="宋体"/>
                <w:sz w:val="18"/>
              </w:rPr>
              <w:t>11,488,591.75</w:t>
            </w:r>
          </w:p>
        </w:tc>
        <w:tc>
          <w:tcPr>
            <w:tcW w:w="1673"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8,297,700.63</w:t>
            </w:r>
          </w:p>
        </w:tc>
      </w:tr>
      <w:tr>
        <w:trPr>
          <w:trHeight w:val="283"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91" w:type="dxa"/>
            <w:tcBorders>
              <w:top w:val="nil" w:sz="6" w:space="0" w:color="auto"/>
              <w:left w:val="nil" w:sz="6" w:space="0" w:color="auto"/>
              <w:bottom w:val="nil" w:sz="6" w:space="0" w:color="auto"/>
              <w:right w:val="nil" w:sz="6" w:space="0" w:color="auto"/>
            </w:tcBorders>
          </w:tcPr>
          <w:p>
            <w:pPr>
              <w:pStyle w:val="TableParagraph"/>
              <w:spacing w:line="232" w:lineRule="exact"/>
              <w:ind w:right="144"/>
              <w:jc w:val="center"/>
              <w:rPr>
                <w:rFonts w:ascii="宋体" w:hAnsi="宋体" w:cs="宋体" w:eastAsia="宋体" w:hint="default"/>
                <w:sz w:val="18"/>
                <w:szCs w:val="18"/>
              </w:rPr>
            </w:pPr>
            <w:r>
              <w:rPr>
                <w:rFonts w:ascii="宋体" w:hAnsi="宋体" w:cs="宋体" w:eastAsia="宋体" w:hint="default"/>
                <w:sz w:val="18"/>
                <w:szCs w:val="18"/>
              </w:rPr>
              <w:t>参见附注“六、1”</w:t>
            </w: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308"/>
              <w:jc w:val="right"/>
              <w:rPr>
                <w:rFonts w:ascii="宋体" w:hAnsi="宋体" w:cs="宋体" w:eastAsia="宋体" w:hint="default"/>
                <w:sz w:val="18"/>
                <w:szCs w:val="18"/>
              </w:rPr>
            </w:pPr>
            <w:r>
              <w:rPr>
                <w:rFonts w:ascii="宋体"/>
                <w:sz w:val="18"/>
              </w:rPr>
              <w:t>50,033,876.32</w:t>
            </w:r>
          </w:p>
        </w:tc>
        <w:tc>
          <w:tcPr>
            <w:tcW w:w="1673"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22,334,786.77</w:t>
            </w:r>
          </w:p>
        </w:tc>
      </w:tr>
      <w:tr>
        <w:trPr>
          <w:trHeight w:val="283"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91" w:type="dxa"/>
            <w:tcBorders>
              <w:top w:val="nil" w:sz="6" w:space="0" w:color="auto"/>
              <w:left w:val="nil" w:sz="6" w:space="0" w:color="auto"/>
              <w:bottom w:val="nil" w:sz="6" w:space="0" w:color="auto"/>
              <w:right w:val="nil" w:sz="6" w:space="0" w:color="auto"/>
            </w:tcBorders>
          </w:tcPr>
          <w:p>
            <w:pPr>
              <w:pStyle w:val="TableParagraph"/>
              <w:spacing w:line="231" w:lineRule="exact"/>
              <w:ind w:right="143"/>
              <w:jc w:val="center"/>
              <w:rPr>
                <w:rFonts w:ascii="宋体" w:hAnsi="宋体" w:cs="宋体" w:eastAsia="宋体" w:hint="default"/>
                <w:sz w:val="18"/>
                <w:szCs w:val="18"/>
              </w:rPr>
            </w:pPr>
            <w:r>
              <w:rPr>
                <w:rFonts w:ascii="宋体"/>
                <w:sz w:val="18"/>
              </w:rPr>
              <w:t>5%-45%</w:t>
            </w:r>
          </w:p>
        </w:tc>
        <w:tc>
          <w:tcPr>
            <w:tcW w:w="2285" w:type="dxa"/>
            <w:tcBorders>
              <w:top w:val="nil" w:sz="6" w:space="0" w:color="auto"/>
              <w:left w:val="nil" w:sz="6" w:space="0" w:color="auto"/>
              <w:bottom w:val="nil" w:sz="6" w:space="0" w:color="auto"/>
              <w:right w:val="nil" w:sz="6" w:space="0" w:color="auto"/>
            </w:tcBorders>
          </w:tcPr>
          <w:p>
            <w:pPr>
              <w:pStyle w:val="TableParagraph"/>
              <w:spacing w:line="231" w:lineRule="exact"/>
              <w:ind w:right="308"/>
              <w:jc w:val="right"/>
              <w:rPr>
                <w:rFonts w:ascii="宋体" w:hAnsi="宋体" w:cs="宋体" w:eastAsia="宋体" w:hint="default"/>
                <w:sz w:val="18"/>
                <w:szCs w:val="18"/>
              </w:rPr>
            </w:pPr>
            <w:r>
              <w:rPr>
                <w:rFonts w:ascii="宋体"/>
                <w:sz w:val="18"/>
              </w:rPr>
              <w:t>5,254,828.51</w:t>
            </w:r>
          </w:p>
        </w:tc>
        <w:tc>
          <w:tcPr>
            <w:tcW w:w="1673"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4,233,471.19</w:t>
            </w:r>
          </w:p>
        </w:tc>
      </w:tr>
      <w:tr>
        <w:trPr>
          <w:trHeight w:val="283"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991"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308"/>
              <w:jc w:val="right"/>
              <w:rPr>
                <w:rFonts w:ascii="宋体" w:hAnsi="宋体" w:cs="宋体" w:eastAsia="宋体" w:hint="default"/>
                <w:sz w:val="18"/>
                <w:szCs w:val="18"/>
              </w:rPr>
            </w:pPr>
            <w:r>
              <w:rPr>
                <w:rFonts w:ascii="宋体"/>
                <w:sz w:val="18"/>
              </w:rPr>
              <w:t>64,857.20</w:t>
            </w:r>
          </w:p>
        </w:tc>
        <w:tc>
          <w:tcPr>
            <w:tcW w:w="1673"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-469,692.09</w:t>
            </w:r>
          </w:p>
        </w:tc>
      </w:tr>
      <w:tr>
        <w:trPr>
          <w:trHeight w:val="283"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91"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308"/>
              <w:jc w:val="right"/>
              <w:rPr>
                <w:rFonts w:ascii="宋体" w:hAnsi="宋体" w:cs="宋体" w:eastAsia="宋体" w:hint="default"/>
                <w:sz w:val="18"/>
                <w:szCs w:val="18"/>
              </w:rPr>
            </w:pPr>
            <w:r>
              <w:rPr>
                <w:rFonts w:ascii="宋体"/>
                <w:sz w:val="18"/>
              </w:rPr>
              <w:t>4,142,360.25</w:t>
            </w:r>
          </w:p>
        </w:tc>
        <w:tc>
          <w:tcPr>
            <w:tcW w:w="1673"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2,229,081.24</w:t>
            </w:r>
          </w:p>
        </w:tc>
      </w:tr>
      <w:tr>
        <w:trPr>
          <w:trHeight w:val="283"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91"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308"/>
              <w:jc w:val="right"/>
              <w:rPr>
                <w:rFonts w:ascii="宋体" w:hAnsi="宋体" w:cs="宋体" w:eastAsia="宋体" w:hint="default"/>
                <w:sz w:val="18"/>
                <w:szCs w:val="18"/>
              </w:rPr>
            </w:pPr>
            <w:r>
              <w:rPr>
                <w:rFonts w:ascii="宋体"/>
                <w:sz w:val="18"/>
              </w:rPr>
              <w:t>114,823.86</w:t>
            </w:r>
          </w:p>
        </w:tc>
        <w:tc>
          <w:tcPr>
            <w:tcW w:w="1673"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2,876,359.30</w:t>
            </w:r>
          </w:p>
        </w:tc>
      </w:tr>
      <w:tr>
        <w:trPr>
          <w:trHeight w:val="304" w:hRule="exact"/>
        </w:trPr>
        <w:tc>
          <w:tcPr>
            <w:tcW w:w="2462"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991" w:type="dxa"/>
            <w:tcBorders>
              <w:top w:val="nil" w:sz="6" w:space="0" w:color="auto"/>
              <w:left w:val="nil" w:sz="6" w:space="0" w:color="auto"/>
              <w:bottom w:val="single" w:sz="12" w:space="0" w:color="000000"/>
              <w:right w:val="nil" w:sz="6" w:space="0" w:color="auto"/>
            </w:tcBorders>
          </w:tcPr>
          <w:p>
            <w:pPr/>
          </w:p>
        </w:tc>
        <w:tc>
          <w:tcPr>
            <w:tcW w:w="2285" w:type="dxa"/>
            <w:tcBorders>
              <w:top w:val="nil" w:sz="6" w:space="0" w:color="auto"/>
              <w:left w:val="nil" w:sz="6" w:space="0" w:color="auto"/>
              <w:bottom w:val="single" w:sz="12" w:space="0" w:color="000000"/>
              <w:right w:val="nil" w:sz="6" w:space="0" w:color="auto"/>
            </w:tcBorders>
          </w:tcPr>
          <w:p>
            <w:pPr>
              <w:pStyle w:val="TableParagraph"/>
              <w:spacing w:line="232" w:lineRule="exact"/>
              <w:ind w:right="308"/>
              <w:jc w:val="right"/>
              <w:rPr>
                <w:rFonts w:ascii="宋体" w:hAnsi="宋体" w:cs="宋体" w:eastAsia="宋体" w:hint="default"/>
                <w:sz w:val="18"/>
                <w:szCs w:val="18"/>
              </w:rPr>
            </w:pPr>
            <w:r>
              <w:rPr>
                <w:rFonts w:ascii="宋体"/>
                <w:sz w:val="18"/>
              </w:rPr>
              <w:t>15,600.00</w:t>
            </w:r>
          </w:p>
        </w:tc>
        <w:tc>
          <w:tcPr>
            <w:tcW w:w="1673" w:type="dxa"/>
            <w:tcBorders>
              <w:top w:val="nil" w:sz="6" w:space="0" w:color="auto"/>
              <w:left w:val="nil" w:sz="6" w:space="0" w:color="auto"/>
              <w:bottom w:val="single" w:sz="12"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14,000.00</w:t>
            </w:r>
          </w:p>
        </w:tc>
      </w:tr>
    </w:tbl>
    <w:p>
      <w:pPr>
        <w:spacing w:after="0" w:line="232" w:lineRule="exact"/>
        <w:jc w:val="right"/>
        <w:rPr>
          <w:rFonts w:ascii="宋体" w:hAnsi="宋体" w:cs="宋体" w:eastAsia="宋体" w:hint="default"/>
          <w:sz w:val="18"/>
          <w:szCs w:val="18"/>
        </w:rPr>
        <w:sectPr>
          <w:type w:val="continuous"/>
          <w:pgSz w:w="11910" w:h="16840"/>
          <w:pgMar w:top="1600" w:bottom="280" w:left="120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202"/>
        <w:gridCol w:w="2699"/>
        <w:gridCol w:w="2730"/>
        <w:gridCol w:w="1393"/>
        <w:gridCol w:w="386"/>
      </w:tblGrid>
      <w:tr>
        <w:trPr>
          <w:trHeight w:val="302" w:hRule="exact"/>
        </w:trPr>
        <w:tc>
          <w:tcPr>
            <w:tcW w:w="220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63" w:right="0"/>
              <w:jc w:val="center"/>
              <w:rPr>
                <w:rFonts w:ascii="宋体" w:hAnsi="宋体" w:cs="宋体" w:eastAsia="宋体" w:hint="default"/>
                <w:sz w:val="18"/>
                <w:szCs w:val="18"/>
              </w:rPr>
            </w:pPr>
            <w:r>
              <w:rPr>
                <w:rFonts w:ascii="宋体" w:hAnsi="宋体" w:cs="宋体" w:eastAsia="宋体" w:hint="default"/>
                <w:b/>
                <w:bCs/>
                <w:sz w:val="18"/>
                <w:szCs w:val="18"/>
              </w:rPr>
              <w:t>适用税率</w:t>
            </w:r>
            <w:r>
              <w:rPr>
                <w:rFonts w:ascii="宋体" w:hAnsi="宋体" w:cs="宋体" w:eastAsia="宋体" w:hint="default"/>
                <w:sz w:val="18"/>
                <w:szCs w:val="18"/>
              </w:rPr>
            </w:r>
          </w:p>
        </w:tc>
        <w:tc>
          <w:tcPr>
            <w:tcW w:w="27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56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79"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71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220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699" w:type="dxa"/>
            <w:tcBorders>
              <w:top w:val="single" w:sz="4" w:space="0" w:color="000000"/>
              <w:left w:val="nil" w:sz="6" w:space="0" w:color="auto"/>
              <w:bottom w:val="nil" w:sz="6" w:space="0" w:color="auto"/>
              <w:right w:val="nil" w:sz="6" w:space="0" w:color="auto"/>
            </w:tcBorders>
          </w:tcPr>
          <w:p>
            <w:pPr/>
          </w:p>
        </w:tc>
        <w:tc>
          <w:tcPr>
            <w:tcW w:w="2730" w:type="dxa"/>
            <w:tcBorders>
              <w:top w:val="single" w:sz="4" w:space="0" w:color="000000"/>
              <w:left w:val="nil" w:sz="6" w:space="0" w:color="auto"/>
              <w:bottom w:val="nil" w:sz="6" w:space="0" w:color="auto"/>
              <w:right w:val="nil" w:sz="6" w:space="0" w:color="auto"/>
            </w:tcBorders>
          </w:tcPr>
          <w:p>
            <w:pPr>
              <w:pStyle w:val="TableParagraph"/>
              <w:spacing w:line="226" w:lineRule="exact"/>
              <w:ind w:right="202"/>
              <w:jc w:val="right"/>
              <w:rPr>
                <w:rFonts w:ascii="宋体" w:hAnsi="宋体" w:cs="宋体" w:eastAsia="宋体" w:hint="default"/>
                <w:sz w:val="18"/>
                <w:szCs w:val="18"/>
              </w:rPr>
            </w:pPr>
            <w:r>
              <w:rPr>
                <w:rFonts w:ascii="宋体"/>
                <w:sz w:val="18"/>
              </w:rPr>
              <w:t>380,125.85</w:t>
            </w:r>
          </w:p>
        </w:tc>
        <w:tc>
          <w:tcPr>
            <w:tcW w:w="1779"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777" w:right="0"/>
              <w:jc w:val="left"/>
              <w:rPr>
                <w:rFonts w:ascii="宋体" w:hAnsi="宋体" w:cs="宋体" w:eastAsia="宋体" w:hint="default"/>
                <w:sz w:val="18"/>
                <w:szCs w:val="18"/>
              </w:rPr>
            </w:pPr>
            <w:r>
              <w:rPr>
                <w:rFonts w:ascii="宋体"/>
                <w:sz w:val="18"/>
              </w:rPr>
              <w:t>220,022.04</w:t>
            </w:r>
          </w:p>
        </w:tc>
      </w:tr>
      <w:tr>
        <w:trPr>
          <w:trHeight w:val="283"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99" w:type="dxa"/>
            <w:tcBorders>
              <w:top w:val="nil" w:sz="6" w:space="0" w:color="auto"/>
              <w:left w:val="nil" w:sz="6" w:space="0" w:color="auto"/>
              <w:bottom w:val="nil" w:sz="6" w:space="0" w:color="auto"/>
              <w:right w:val="nil" w:sz="6" w:space="0" w:color="auto"/>
            </w:tcBorders>
          </w:tcPr>
          <w:p>
            <w:pPr>
              <w:pStyle w:val="TableParagraph"/>
              <w:spacing w:line="232" w:lineRule="exact"/>
              <w:ind w:left="664" w:right="0"/>
              <w:jc w:val="center"/>
              <w:rPr>
                <w:rFonts w:ascii="宋体" w:hAnsi="宋体" w:cs="宋体" w:eastAsia="宋体"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730" w:type="dxa"/>
            <w:tcBorders>
              <w:top w:val="nil" w:sz="6" w:space="0" w:color="auto"/>
              <w:left w:val="nil" w:sz="6" w:space="0" w:color="auto"/>
              <w:bottom w:val="nil" w:sz="6" w:space="0" w:color="auto"/>
              <w:right w:val="nil" w:sz="6" w:space="0" w:color="auto"/>
            </w:tcBorders>
          </w:tcPr>
          <w:p>
            <w:pPr>
              <w:pStyle w:val="TableParagraph"/>
              <w:spacing w:line="232" w:lineRule="exact"/>
              <w:ind w:right="202"/>
              <w:jc w:val="right"/>
              <w:rPr>
                <w:rFonts w:ascii="宋体" w:hAnsi="宋体" w:cs="宋体" w:eastAsia="宋体" w:hint="default"/>
                <w:sz w:val="18"/>
                <w:szCs w:val="18"/>
              </w:rPr>
            </w:pPr>
            <w:r>
              <w:rPr>
                <w:rFonts w:ascii="宋体"/>
                <w:sz w:val="18"/>
              </w:rPr>
              <w:t>5,376,956.40</w:t>
            </w:r>
          </w:p>
        </w:tc>
        <w:tc>
          <w:tcPr>
            <w:tcW w:w="177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sz w:val="18"/>
              </w:rPr>
              <w:t>5,831,111.65</w:t>
            </w:r>
          </w:p>
        </w:tc>
      </w:tr>
      <w:tr>
        <w:trPr>
          <w:trHeight w:val="283"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防洪保安资金</w:t>
            </w:r>
          </w:p>
        </w:tc>
        <w:tc>
          <w:tcPr>
            <w:tcW w:w="2699" w:type="dxa"/>
            <w:tcBorders>
              <w:top w:val="nil" w:sz="6" w:space="0" w:color="auto"/>
              <w:left w:val="nil" w:sz="6" w:space="0" w:color="auto"/>
              <w:bottom w:val="nil" w:sz="6" w:space="0" w:color="auto"/>
              <w:right w:val="nil" w:sz="6" w:space="0" w:color="auto"/>
            </w:tcBorders>
          </w:tcPr>
          <w:p>
            <w:pPr>
              <w:pStyle w:val="TableParagraph"/>
              <w:spacing w:line="232" w:lineRule="exact"/>
              <w:ind w:left="666" w:right="0"/>
              <w:jc w:val="center"/>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0.12%</w:t>
            </w:r>
          </w:p>
        </w:tc>
        <w:tc>
          <w:tcPr>
            <w:tcW w:w="2730" w:type="dxa"/>
            <w:tcBorders>
              <w:top w:val="nil" w:sz="6" w:space="0" w:color="auto"/>
              <w:left w:val="nil" w:sz="6" w:space="0" w:color="auto"/>
              <w:bottom w:val="nil" w:sz="6" w:space="0" w:color="auto"/>
              <w:right w:val="nil" w:sz="6" w:space="0" w:color="auto"/>
            </w:tcBorders>
          </w:tcPr>
          <w:p>
            <w:pPr>
              <w:pStyle w:val="TableParagraph"/>
              <w:spacing w:line="232" w:lineRule="exact"/>
              <w:ind w:right="202"/>
              <w:jc w:val="right"/>
              <w:rPr>
                <w:rFonts w:ascii="宋体" w:hAnsi="宋体" w:cs="宋体" w:eastAsia="宋体" w:hint="default"/>
                <w:sz w:val="18"/>
                <w:szCs w:val="18"/>
              </w:rPr>
            </w:pPr>
            <w:r>
              <w:rPr>
                <w:rFonts w:ascii="宋体"/>
                <w:sz w:val="18"/>
              </w:rPr>
              <w:t>4,724,514.26</w:t>
            </w:r>
          </w:p>
        </w:tc>
        <w:tc>
          <w:tcPr>
            <w:tcW w:w="177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sz w:val="18"/>
              </w:rPr>
              <w:t>4,414,284.03</w:t>
            </w:r>
          </w:p>
        </w:tc>
      </w:tr>
      <w:tr>
        <w:trPr>
          <w:trHeight w:val="283"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699" w:type="dxa"/>
            <w:tcBorders>
              <w:top w:val="nil" w:sz="6" w:space="0" w:color="auto"/>
              <w:left w:val="nil" w:sz="6" w:space="0" w:color="auto"/>
              <w:bottom w:val="nil" w:sz="6" w:space="0" w:color="auto"/>
              <w:right w:val="nil" w:sz="6" w:space="0" w:color="auto"/>
            </w:tcBorders>
          </w:tcPr>
          <w:p>
            <w:pPr>
              <w:pStyle w:val="TableParagraph"/>
              <w:spacing w:line="232" w:lineRule="exact"/>
              <w:ind w:left="666" w:right="0"/>
              <w:jc w:val="center"/>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0.10%</w:t>
            </w:r>
          </w:p>
        </w:tc>
        <w:tc>
          <w:tcPr>
            <w:tcW w:w="2730" w:type="dxa"/>
            <w:tcBorders>
              <w:top w:val="nil" w:sz="6" w:space="0" w:color="auto"/>
              <w:left w:val="nil" w:sz="6" w:space="0" w:color="auto"/>
              <w:bottom w:val="nil" w:sz="6" w:space="0" w:color="auto"/>
              <w:right w:val="nil" w:sz="6" w:space="0" w:color="auto"/>
            </w:tcBorders>
          </w:tcPr>
          <w:p>
            <w:pPr>
              <w:pStyle w:val="TableParagraph"/>
              <w:spacing w:line="232" w:lineRule="exact"/>
              <w:ind w:right="202"/>
              <w:jc w:val="right"/>
              <w:rPr>
                <w:rFonts w:ascii="宋体" w:hAnsi="宋体" w:cs="宋体" w:eastAsia="宋体" w:hint="default"/>
                <w:sz w:val="18"/>
                <w:szCs w:val="18"/>
              </w:rPr>
            </w:pPr>
            <w:r>
              <w:rPr>
                <w:rFonts w:ascii="宋体"/>
                <w:sz w:val="18"/>
              </w:rPr>
              <w:t>4,492,335.18</w:t>
            </w:r>
          </w:p>
        </w:tc>
        <w:tc>
          <w:tcPr>
            <w:tcW w:w="177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sz w:val="18"/>
              </w:rPr>
              <w:t>4,737,199.78</w:t>
            </w:r>
          </w:p>
        </w:tc>
      </w:tr>
      <w:tr>
        <w:trPr>
          <w:trHeight w:val="283"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能源基金</w:t>
            </w:r>
          </w:p>
        </w:tc>
        <w:tc>
          <w:tcPr>
            <w:tcW w:w="2699"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32" w:lineRule="exact"/>
              <w:ind w:right="202"/>
              <w:jc w:val="right"/>
              <w:rPr>
                <w:rFonts w:ascii="宋体" w:hAnsi="宋体" w:cs="宋体" w:eastAsia="宋体" w:hint="default"/>
                <w:sz w:val="18"/>
                <w:szCs w:val="18"/>
              </w:rPr>
            </w:pPr>
            <w:r>
              <w:rPr>
                <w:rFonts w:ascii="宋体"/>
                <w:sz w:val="18"/>
              </w:rPr>
              <w:t>0.00</w:t>
            </w:r>
          </w:p>
        </w:tc>
        <w:tc>
          <w:tcPr>
            <w:tcW w:w="177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sz w:val="18"/>
              </w:rPr>
              <w:t>1,282,393.43</w:t>
            </w:r>
          </w:p>
        </w:tc>
      </w:tr>
      <w:tr>
        <w:trPr>
          <w:trHeight w:val="294" w:hRule="exact"/>
        </w:trPr>
        <w:tc>
          <w:tcPr>
            <w:tcW w:w="2202"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9" w:type="dxa"/>
            <w:tcBorders>
              <w:top w:val="nil" w:sz="6" w:space="0" w:color="auto"/>
              <w:left w:val="nil" w:sz="6" w:space="0" w:color="auto"/>
              <w:bottom w:val="single" w:sz="4" w:space="0" w:color="000000"/>
              <w:right w:val="nil" w:sz="6" w:space="0" w:color="auto"/>
            </w:tcBorders>
          </w:tcPr>
          <w:p>
            <w:pPr/>
          </w:p>
        </w:tc>
        <w:tc>
          <w:tcPr>
            <w:tcW w:w="2730" w:type="dxa"/>
            <w:tcBorders>
              <w:top w:val="nil" w:sz="6" w:space="0" w:color="auto"/>
              <w:left w:val="nil" w:sz="6" w:space="0" w:color="auto"/>
              <w:bottom w:val="single" w:sz="4" w:space="0" w:color="000000"/>
              <w:right w:val="nil" w:sz="6" w:space="0" w:color="auto"/>
            </w:tcBorders>
          </w:tcPr>
          <w:p>
            <w:pPr>
              <w:pStyle w:val="TableParagraph"/>
              <w:spacing w:line="232" w:lineRule="exact"/>
              <w:ind w:right="202"/>
              <w:jc w:val="right"/>
              <w:rPr>
                <w:rFonts w:ascii="宋体" w:hAnsi="宋体" w:cs="宋体" w:eastAsia="宋体" w:hint="default"/>
                <w:sz w:val="18"/>
                <w:szCs w:val="18"/>
              </w:rPr>
            </w:pPr>
            <w:r>
              <w:rPr>
                <w:rFonts w:ascii="宋体"/>
                <w:sz w:val="18"/>
              </w:rPr>
              <w:t>3,892,514.99</w:t>
            </w:r>
          </w:p>
        </w:tc>
        <w:tc>
          <w:tcPr>
            <w:tcW w:w="1779"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sz w:val="18"/>
              </w:rPr>
              <w:t>1,789,417.77</w:t>
            </w:r>
          </w:p>
        </w:tc>
      </w:tr>
      <w:tr>
        <w:trPr>
          <w:trHeight w:val="303" w:hRule="exact"/>
        </w:trPr>
        <w:tc>
          <w:tcPr>
            <w:tcW w:w="220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9" w:type="dxa"/>
            <w:tcBorders>
              <w:top w:val="single" w:sz="4" w:space="0" w:color="000000"/>
              <w:left w:val="nil" w:sz="6" w:space="0" w:color="auto"/>
              <w:bottom w:val="single" w:sz="12" w:space="0" w:color="000000"/>
              <w:right w:val="nil" w:sz="6" w:space="0" w:color="auto"/>
            </w:tcBorders>
          </w:tcPr>
          <w:p>
            <w:pPr/>
          </w:p>
        </w:tc>
        <w:tc>
          <w:tcPr>
            <w:tcW w:w="273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01"/>
              <w:jc w:val="right"/>
              <w:rPr>
                <w:rFonts w:ascii="宋体" w:hAnsi="宋体" w:cs="宋体" w:eastAsia="宋体" w:hint="default"/>
                <w:sz w:val="18"/>
                <w:szCs w:val="18"/>
              </w:rPr>
            </w:pPr>
            <w:r>
              <w:rPr>
                <w:rFonts w:ascii="宋体"/>
                <w:b/>
                <w:w w:val="95"/>
                <w:sz w:val="18"/>
              </w:rPr>
              <w:t>38,829,796.30</w:t>
            </w:r>
            <w:r>
              <w:rPr>
                <w:rFonts w:ascii="宋体"/>
                <w:sz w:val="18"/>
              </w:rPr>
            </w:r>
          </w:p>
        </w:tc>
        <w:tc>
          <w:tcPr>
            <w:tcW w:w="1779"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497" w:right="0"/>
              <w:jc w:val="left"/>
              <w:rPr>
                <w:rFonts w:ascii="宋体" w:hAnsi="宋体" w:cs="宋体" w:eastAsia="宋体" w:hint="default"/>
                <w:sz w:val="18"/>
                <w:szCs w:val="18"/>
              </w:rPr>
            </w:pPr>
            <w:r>
              <w:rPr>
                <w:rFonts w:ascii="宋体"/>
                <w:b/>
                <w:sz w:val="18"/>
              </w:rPr>
              <w:t>16,051,195.41</w:t>
            </w:r>
            <w:r>
              <w:rPr>
                <w:rFonts w:ascii="宋体"/>
                <w:sz w:val="18"/>
              </w:rPr>
            </w:r>
          </w:p>
        </w:tc>
      </w:tr>
      <w:tr>
        <w:trPr>
          <w:trHeight w:val="576"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应付利息</w:t>
            </w:r>
          </w:p>
        </w:tc>
        <w:tc>
          <w:tcPr>
            <w:tcW w:w="2699"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c>
          <w:tcPr>
            <w:tcW w:w="1779"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49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9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7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7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39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386" w:type="dxa"/>
            <w:tcBorders>
              <w:top w:val="nil" w:sz="6" w:space="0" w:color="auto"/>
              <w:left w:val="nil" w:sz="6" w:space="0" w:color="auto"/>
              <w:bottom w:val="nil" w:sz="6" w:space="0" w:color="auto"/>
              <w:right w:val="nil" w:sz="6" w:space="0" w:color="auto"/>
            </w:tcBorders>
          </w:tcPr>
          <w:p>
            <w:pPr/>
          </w:p>
        </w:tc>
      </w:tr>
      <w:tr>
        <w:trPr>
          <w:trHeight w:val="282" w:hRule="exact"/>
        </w:trPr>
        <w:tc>
          <w:tcPr>
            <w:tcW w:w="4901"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2730" w:type="dxa"/>
            <w:tcBorders>
              <w:top w:val="single" w:sz="4" w:space="0" w:color="000000"/>
              <w:left w:val="nil" w:sz="6" w:space="0" w:color="auto"/>
              <w:bottom w:val="nil" w:sz="6" w:space="0" w:color="auto"/>
              <w:right w:val="nil" w:sz="6" w:space="0" w:color="auto"/>
            </w:tcBorders>
          </w:tcPr>
          <w:p>
            <w:pPr>
              <w:pStyle w:val="TableParagraph"/>
              <w:spacing w:line="226" w:lineRule="exact"/>
              <w:ind w:left="328" w:right="0"/>
              <w:jc w:val="left"/>
              <w:rPr>
                <w:rFonts w:ascii="宋体" w:hAnsi="宋体" w:cs="宋体" w:eastAsia="宋体" w:hint="default"/>
                <w:sz w:val="18"/>
                <w:szCs w:val="18"/>
              </w:rPr>
            </w:pPr>
            <w:r>
              <w:rPr>
                <w:rFonts w:ascii="宋体"/>
                <w:sz w:val="18"/>
              </w:rPr>
              <w:t>48,902,833.97</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7,030,150.49</w:t>
            </w:r>
          </w:p>
        </w:tc>
        <w:tc>
          <w:tcPr>
            <w:tcW w:w="386" w:type="dxa"/>
            <w:tcBorders>
              <w:top w:val="nil" w:sz="6" w:space="0" w:color="auto"/>
              <w:left w:val="nil" w:sz="6" w:space="0" w:color="auto"/>
              <w:bottom w:val="nil" w:sz="6" w:space="0" w:color="auto"/>
              <w:right w:val="nil" w:sz="6" w:space="0" w:color="auto"/>
            </w:tcBorders>
          </w:tcPr>
          <w:p>
            <w:pPr/>
          </w:p>
        </w:tc>
      </w:tr>
      <w:tr>
        <w:trPr>
          <w:trHeight w:val="294" w:hRule="exact"/>
        </w:trPr>
        <w:tc>
          <w:tcPr>
            <w:tcW w:w="4901"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债券利息</w:t>
            </w:r>
          </w:p>
        </w:tc>
        <w:tc>
          <w:tcPr>
            <w:tcW w:w="2730" w:type="dxa"/>
            <w:tcBorders>
              <w:top w:val="nil" w:sz="6" w:space="0" w:color="auto"/>
              <w:left w:val="nil" w:sz="6" w:space="0" w:color="auto"/>
              <w:bottom w:val="single" w:sz="4" w:space="0" w:color="000000"/>
              <w:right w:val="nil" w:sz="6" w:space="0" w:color="auto"/>
            </w:tcBorders>
          </w:tcPr>
          <w:p>
            <w:pPr>
              <w:pStyle w:val="TableParagraph"/>
              <w:spacing w:line="232" w:lineRule="exact"/>
              <w:ind w:left="418" w:right="0"/>
              <w:jc w:val="left"/>
              <w:rPr>
                <w:rFonts w:ascii="宋体" w:hAnsi="宋体" w:cs="宋体" w:eastAsia="宋体" w:hint="default"/>
                <w:sz w:val="18"/>
                <w:szCs w:val="18"/>
              </w:rPr>
            </w:pPr>
            <w:r>
              <w:rPr>
                <w:rFonts w:ascii="宋体"/>
                <w:sz w:val="18"/>
              </w:rPr>
              <w:t>6,969,863.01</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386" w:type="dxa"/>
            <w:tcBorders>
              <w:top w:val="nil" w:sz="6" w:space="0" w:color="auto"/>
              <w:left w:val="nil" w:sz="6" w:space="0" w:color="auto"/>
              <w:bottom w:val="nil" w:sz="6" w:space="0" w:color="auto"/>
              <w:right w:val="nil" w:sz="6" w:space="0" w:color="auto"/>
            </w:tcBorders>
          </w:tcPr>
          <w:p>
            <w:pPr/>
          </w:p>
        </w:tc>
      </w:tr>
      <w:tr>
        <w:trPr>
          <w:trHeight w:val="303" w:hRule="exact"/>
        </w:trPr>
        <w:tc>
          <w:tcPr>
            <w:tcW w:w="4901"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19" w:right="0"/>
              <w:jc w:val="left"/>
              <w:rPr>
                <w:rFonts w:ascii="宋体" w:hAnsi="宋体" w:cs="宋体" w:eastAsia="宋体" w:hint="default"/>
                <w:sz w:val="18"/>
                <w:szCs w:val="18"/>
              </w:rPr>
            </w:pPr>
            <w:r>
              <w:rPr>
                <w:rFonts w:ascii="宋体"/>
                <w:b/>
                <w:sz w:val="18"/>
              </w:rPr>
              <w:t>55,872,696.98</w:t>
            </w:r>
            <w:r>
              <w:rPr>
                <w:rFonts w:ascii="宋体"/>
                <w:sz w:val="18"/>
              </w:rPr>
            </w: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7,030,150.49</w:t>
            </w:r>
            <w:r>
              <w:rPr>
                <w:rFonts w:ascii="宋体"/>
                <w:sz w:val="18"/>
              </w:rPr>
            </w:r>
          </w:p>
        </w:tc>
        <w:tc>
          <w:tcPr>
            <w:tcW w:w="386" w:type="dxa"/>
            <w:tcBorders>
              <w:top w:val="nil" w:sz="6" w:space="0" w:color="auto"/>
              <w:left w:val="nil" w:sz="6" w:space="0" w:color="auto"/>
              <w:bottom w:val="nil" w:sz="6" w:space="0" w:color="auto"/>
              <w:right w:val="nil" w:sz="6" w:space="0" w:color="auto"/>
            </w:tcBorders>
          </w:tcPr>
          <w:p>
            <w:pPr/>
          </w:p>
        </w:tc>
      </w:tr>
    </w:tbl>
    <w:p>
      <w:pPr>
        <w:spacing w:before="79"/>
        <w:ind w:left="658" w:right="0" w:firstLine="0"/>
        <w:jc w:val="left"/>
        <w:rPr>
          <w:rFonts w:ascii="宋体" w:hAnsi="宋体" w:cs="宋体" w:eastAsia="宋体" w:hint="default"/>
          <w:sz w:val="22"/>
          <w:szCs w:val="22"/>
        </w:rPr>
      </w:pPr>
      <w:r>
        <w:rPr>
          <w:rFonts w:ascii="宋体" w:hAnsi="宋体" w:cs="宋体" w:eastAsia="宋体" w:hint="default"/>
          <w:sz w:val="22"/>
          <w:szCs w:val="22"/>
        </w:rPr>
        <w:t>债券利息主要系本公司之控股子公司泰豪科技股份有限公司本年发行</w:t>
      </w:r>
      <w:r>
        <w:rPr>
          <w:rFonts w:ascii="宋体" w:hAnsi="宋体" w:cs="宋体" w:eastAsia="宋体" w:hint="default"/>
          <w:spacing w:val="-76"/>
          <w:sz w:val="22"/>
          <w:szCs w:val="22"/>
        </w:rPr>
        <w:t> </w:t>
      </w:r>
      <w:r>
        <w:rPr>
          <w:rFonts w:ascii="宋体" w:hAnsi="宋体" w:cs="宋体" w:eastAsia="宋体" w:hint="default"/>
          <w:sz w:val="22"/>
          <w:szCs w:val="22"/>
        </w:rPr>
        <w:t>5</w:t>
      </w:r>
      <w:r>
        <w:rPr>
          <w:rFonts w:ascii="宋体" w:hAnsi="宋体" w:cs="宋体" w:eastAsia="宋体" w:hint="default"/>
          <w:spacing w:val="-77"/>
          <w:sz w:val="22"/>
          <w:szCs w:val="22"/>
        </w:rPr>
        <w:t> </w:t>
      </w:r>
      <w:r>
        <w:rPr>
          <w:rFonts w:ascii="宋体" w:hAnsi="宋体" w:cs="宋体" w:eastAsia="宋体" w:hint="default"/>
          <w:sz w:val="22"/>
          <w:szCs w:val="22"/>
        </w:rPr>
        <w:t>亿元五年期公司债券</w:t>
      </w:r>
    </w:p>
    <w:p>
      <w:pPr>
        <w:spacing w:before="102"/>
        <w:ind w:left="218" w:right="0" w:firstLine="0"/>
        <w:jc w:val="left"/>
        <w:rPr>
          <w:rFonts w:ascii="宋体" w:hAnsi="宋体" w:cs="宋体" w:eastAsia="宋体" w:hint="default"/>
          <w:sz w:val="22"/>
          <w:szCs w:val="22"/>
        </w:rPr>
      </w:pPr>
      <w:r>
        <w:rPr>
          <w:rFonts w:ascii="宋体" w:hAnsi="宋体" w:cs="宋体" w:eastAsia="宋体" w:hint="default"/>
          <w:sz w:val="22"/>
          <w:szCs w:val="22"/>
        </w:rPr>
        <w:t>的应付利息，债券票面年利率为</w:t>
      </w:r>
      <w:r>
        <w:rPr>
          <w:rFonts w:ascii="宋体" w:hAnsi="宋体" w:cs="宋体" w:eastAsia="宋体" w:hint="default"/>
          <w:spacing w:val="-57"/>
          <w:sz w:val="22"/>
          <w:szCs w:val="22"/>
        </w:rPr>
        <w:t> </w:t>
      </w:r>
      <w:r>
        <w:rPr>
          <w:rFonts w:ascii="宋体" w:hAnsi="宋体" w:cs="宋体" w:eastAsia="宋体" w:hint="default"/>
          <w:sz w:val="22"/>
          <w:szCs w:val="22"/>
        </w:rPr>
        <w:t>5.3%，计息期限为</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9</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27</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7"/>
          <w:sz w:val="22"/>
          <w:szCs w:val="22"/>
        </w:rPr>
        <w:t> </w:t>
      </w:r>
      <w:r>
        <w:rPr>
          <w:rFonts w:ascii="宋体" w:hAnsi="宋体" w:cs="宋体" w:eastAsia="宋体" w:hint="default"/>
          <w:sz w:val="22"/>
          <w:szCs w:val="22"/>
        </w:rPr>
        <w:t>2015</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9</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26</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240" w:lineRule="auto" w:before="4"/>
        <w:rPr>
          <w:rFonts w:ascii="宋体" w:hAnsi="宋体" w:cs="宋体" w:eastAsia="宋体" w:hint="default"/>
          <w:sz w:val="11"/>
          <w:szCs w:val="11"/>
        </w:rPr>
      </w:pPr>
    </w:p>
    <w:tbl>
      <w:tblPr>
        <w:tblW w:w="0" w:type="auto"/>
        <w:jc w:val="left"/>
        <w:tblInd w:w="496" w:type="dxa"/>
        <w:tblLayout w:type="fixed"/>
        <w:tblCellMar>
          <w:top w:w="0" w:type="dxa"/>
          <w:left w:w="0" w:type="dxa"/>
          <w:bottom w:w="0" w:type="dxa"/>
          <w:right w:w="0" w:type="dxa"/>
        </w:tblCellMar>
        <w:tblLook w:val="01E0"/>
      </w:tblPr>
      <w:tblGrid>
        <w:gridCol w:w="4406"/>
        <w:gridCol w:w="2234"/>
        <w:gridCol w:w="1998"/>
      </w:tblGrid>
      <w:tr>
        <w:trPr>
          <w:trHeight w:val="498" w:hRule="exact"/>
        </w:trPr>
        <w:tc>
          <w:tcPr>
            <w:tcW w:w="440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应付股利</w:t>
            </w:r>
          </w:p>
        </w:tc>
        <w:tc>
          <w:tcPr>
            <w:tcW w:w="4232"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4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9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7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40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同方微电子股东股利（同方微电子公司并入）</w:t>
            </w:r>
          </w:p>
        </w:tc>
        <w:tc>
          <w:tcPr>
            <w:tcW w:w="2234" w:type="dxa"/>
            <w:tcBorders>
              <w:top w:val="single" w:sz="4" w:space="0" w:color="000000"/>
              <w:left w:val="nil" w:sz="6" w:space="0" w:color="auto"/>
              <w:bottom w:val="nil" w:sz="6" w:space="0" w:color="auto"/>
              <w:right w:val="nil" w:sz="6" w:space="0" w:color="auto"/>
            </w:tcBorders>
          </w:tcPr>
          <w:p>
            <w:pPr>
              <w:pStyle w:val="TableParagraph"/>
              <w:spacing w:line="226" w:lineRule="exact"/>
              <w:ind w:right="623"/>
              <w:jc w:val="right"/>
              <w:rPr>
                <w:rFonts w:ascii="宋体" w:hAnsi="宋体" w:cs="宋体" w:eastAsia="宋体" w:hint="default"/>
                <w:sz w:val="18"/>
                <w:szCs w:val="18"/>
              </w:rPr>
            </w:pPr>
            <w:r>
              <w:rPr>
                <w:rFonts w:ascii="宋体"/>
                <w:sz w:val="18"/>
              </w:rPr>
              <w:t>0.00</w:t>
            </w:r>
          </w:p>
        </w:tc>
        <w:tc>
          <w:tcPr>
            <w:tcW w:w="199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13,020,000.00</w:t>
            </w:r>
          </w:p>
        </w:tc>
      </w:tr>
      <w:tr>
        <w:trPr>
          <w:trHeight w:val="283" w:hRule="exact"/>
        </w:trPr>
        <w:tc>
          <w:tcPr>
            <w:tcW w:w="4406"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乌市金网股东股利（同方创新投资公司并入）</w:t>
            </w:r>
          </w:p>
        </w:tc>
        <w:tc>
          <w:tcPr>
            <w:tcW w:w="2234" w:type="dxa"/>
            <w:tcBorders>
              <w:top w:val="nil" w:sz="6" w:space="0" w:color="auto"/>
              <w:left w:val="nil" w:sz="6" w:space="0" w:color="auto"/>
              <w:bottom w:val="nil" w:sz="6" w:space="0" w:color="auto"/>
              <w:right w:val="nil" w:sz="6" w:space="0" w:color="auto"/>
            </w:tcBorders>
          </w:tcPr>
          <w:p>
            <w:pPr>
              <w:pStyle w:val="TableParagraph"/>
              <w:spacing w:line="232" w:lineRule="exact"/>
              <w:ind w:right="623"/>
              <w:jc w:val="right"/>
              <w:rPr>
                <w:rFonts w:ascii="宋体" w:hAnsi="宋体" w:cs="宋体" w:eastAsia="宋体" w:hint="default"/>
                <w:sz w:val="18"/>
                <w:szCs w:val="18"/>
              </w:rPr>
            </w:pPr>
            <w:r>
              <w:rPr>
                <w:rFonts w:ascii="宋体"/>
                <w:sz w:val="18"/>
              </w:rPr>
              <w:t>0.00</w:t>
            </w:r>
          </w:p>
        </w:tc>
        <w:tc>
          <w:tcPr>
            <w:tcW w:w="199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50,000.00</w:t>
            </w:r>
          </w:p>
        </w:tc>
      </w:tr>
      <w:tr>
        <w:trPr>
          <w:trHeight w:val="293" w:hRule="exact"/>
        </w:trPr>
        <w:tc>
          <w:tcPr>
            <w:tcW w:w="4406"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同方信息安全股东股利（同方信息安全公司并入）</w:t>
            </w:r>
          </w:p>
        </w:tc>
        <w:tc>
          <w:tcPr>
            <w:tcW w:w="2234" w:type="dxa"/>
            <w:tcBorders>
              <w:top w:val="nil" w:sz="6" w:space="0" w:color="auto"/>
              <w:left w:val="nil" w:sz="6" w:space="0" w:color="auto"/>
              <w:bottom w:val="single" w:sz="4" w:space="0" w:color="000000"/>
              <w:right w:val="nil" w:sz="6" w:space="0" w:color="auto"/>
            </w:tcBorders>
          </w:tcPr>
          <w:p>
            <w:pPr>
              <w:pStyle w:val="TableParagraph"/>
              <w:spacing w:line="232" w:lineRule="exact"/>
              <w:ind w:right="623"/>
              <w:jc w:val="right"/>
              <w:rPr>
                <w:rFonts w:ascii="宋体" w:hAnsi="宋体" w:cs="宋体" w:eastAsia="宋体" w:hint="default"/>
                <w:sz w:val="18"/>
                <w:szCs w:val="18"/>
              </w:rPr>
            </w:pPr>
            <w:r>
              <w:rPr>
                <w:rFonts w:ascii="宋体"/>
                <w:sz w:val="18"/>
              </w:rPr>
              <w:t>0.00</w:t>
            </w:r>
          </w:p>
        </w:tc>
        <w:tc>
          <w:tcPr>
            <w:tcW w:w="199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9,461.88</w:t>
            </w:r>
          </w:p>
        </w:tc>
      </w:tr>
      <w:tr>
        <w:trPr>
          <w:trHeight w:val="304" w:hRule="exact"/>
        </w:trPr>
        <w:tc>
          <w:tcPr>
            <w:tcW w:w="440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24"/>
              <w:jc w:val="right"/>
              <w:rPr>
                <w:rFonts w:ascii="宋体" w:hAnsi="宋体" w:cs="宋体" w:eastAsia="宋体" w:hint="default"/>
                <w:sz w:val="18"/>
                <w:szCs w:val="18"/>
              </w:rPr>
            </w:pPr>
            <w:r>
              <w:rPr>
                <w:rFonts w:ascii="宋体"/>
                <w:b/>
                <w:w w:val="95"/>
                <w:sz w:val="18"/>
              </w:rPr>
              <w:t>0.00</w:t>
            </w:r>
            <w:r>
              <w:rPr>
                <w:rFonts w:ascii="宋体"/>
                <w:sz w:val="18"/>
              </w:rPr>
            </w:r>
          </w:p>
        </w:tc>
        <w:tc>
          <w:tcPr>
            <w:tcW w:w="199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13,079,461.88</w:t>
            </w:r>
            <w:r>
              <w:rPr>
                <w:rFonts w:ascii="宋体"/>
                <w:sz w:val="18"/>
              </w:rPr>
            </w:r>
          </w:p>
        </w:tc>
      </w:tr>
      <w:tr>
        <w:trPr>
          <w:trHeight w:val="528" w:hRule="exact"/>
        </w:trPr>
        <w:tc>
          <w:tcPr>
            <w:tcW w:w="4406"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其他应付款</w:t>
            </w:r>
          </w:p>
        </w:tc>
        <w:tc>
          <w:tcPr>
            <w:tcW w:w="2234" w:type="dxa"/>
            <w:tcBorders>
              <w:top w:val="single" w:sz="12" w:space="0" w:color="000000"/>
              <w:left w:val="nil" w:sz="6" w:space="0" w:color="auto"/>
              <w:bottom w:val="nil" w:sz="6" w:space="0" w:color="auto"/>
              <w:right w:val="nil" w:sz="6" w:space="0" w:color="auto"/>
            </w:tcBorders>
          </w:tcPr>
          <w:p>
            <w:pPr/>
          </w:p>
        </w:tc>
        <w:tc>
          <w:tcPr>
            <w:tcW w:w="1998"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440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其他应付款</w:t>
            </w:r>
          </w:p>
        </w:tc>
        <w:tc>
          <w:tcPr>
            <w:tcW w:w="2234" w:type="dxa"/>
            <w:tcBorders>
              <w:top w:val="nil" w:sz="6" w:space="0" w:color="auto"/>
              <w:left w:val="nil" w:sz="6" w:space="0" w:color="auto"/>
              <w:bottom w:val="single" w:sz="12" w:space="0" w:color="000000"/>
              <w:right w:val="nil" w:sz="6" w:space="0" w:color="auto"/>
            </w:tcBorders>
          </w:tcPr>
          <w:p>
            <w:pPr/>
          </w:p>
        </w:tc>
        <w:tc>
          <w:tcPr>
            <w:tcW w:w="1998"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44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4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9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3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440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4"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625"/>
              <w:jc w:val="right"/>
              <w:rPr>
                <w:rFonts w:ascii="宋体" w:hAnsi="宋体" w:cs="宋体" w:eastAsia="宋体" w:hint="default"/>
                <w:sz w:val="18"/>
                <w:szCs w:val="18"/>
              </w:rPr>
            </w:pPr>
            <w:r>
              <w:rPr>
                <w:rFonts w:ascii="宋体"/>
                <w:b/>
                <w:w w:val="95"/>
                <w:sz w:val="18"/>
              </w:rPr>
              <w:t>564,494,239.12</w:t>
            </w:r>
            <w:r>
              <w:rPr>
                <w:rFonts w:ascii="宋体"/>
                <w:sz w:val="18"/>
              </w:rPr>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409,872,725.47</w:t>
            </w:r>
            <w:r>
              <w:rPr>
                <w:rFonts w:ascii="宋体"/>
                <w:sz w:val="18"/>
              </w:rPr>
            </w:r>
          </w:p>
        </w:tc>
      </w:tr>
      <w:tr>
        <w:trPr>
          <w:trHeight w:val="303" w:hRule="exact"/>
        </w:trPr>
        <w:tc>
          <w:tcPr>
            <w:tcW w:w="440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其中：1</w:t>
            </w:r>
            <w:r>
              <w:rPr>
                <w:rFonts w:ascii="宋体" w:hAnsi="宋体" w:cs="宋体" w:eastAsia="宋体" w:hint="default"/>
                <w:b/>
                <w:bCs/>
                <w:spacing w:val="-47"/>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2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23"/>
              <w:jc w:val="right"/>
              <w:rPr>
                <w:rFonts w:ascii="宋体" w:hAnsi="宋体" w:cs="宋体" w:eastAsia="宋体" w:hint="default"/>
                <w:sz w:val="18"/>
                <w:szCs w:val="18"/>
              </w:rPr>
            </w:pPr>
            <w:r>
              <w:rPr>
                <w:rFonts w:ascii="宋体"/>
                <w:sz w:val="18"/>
              </w:rPr>
              <w:t>251,892,137.61</w:t>
            </w:r>
          </w:p>
        </w:tc>
        <w:tc>
          <w:tcPr>
            <w:tcW w:w="199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289,074,074.13</w:t>
            </w:r>
          </w:p>
        </w:tc>
      </w:tr>
    </w:tbl>
    <w:p>
      <w:pPr>
        <w:spacing w:before="79"/>
        <w:ind w:left="67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年末余额中不含应付持本公司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5%）以上表决权股份的股东单位款项。</w:t>
      </w:r>
    </w:p>
    <w:p>
      <w:pPr>
        <w:spacing w:line="324" w:lineRule="auto" w:before="180"/>
        <w:ind w:left="218" w:right="0" w:firstLine="45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
          <w:sz w:val="22"/>
          <w:szCs w:val="22"/>
        </w:rPr>
        <w:t> </w:t>
      </w:r>
      <w:r>
        <w:rPr>
          <w:rFonts w:ascii="宋体" w:hAnsi="宋体" w:cs="宋体" w:eastAsia="宋体" w:hint="default"/>
          <w:sz w:val="22"/>
          <w:szCs w:val="22"/>
        </w:rPr>
        <w:t>年末余额中应付关联方款项合计</w:t>
      </w:r>
      <w:r>
        <w:rPr>
          <w:rFonts w:ascii="宋体" w:hAnsi="宋体" w:cs="宋体" w:eastAsia="宋体" w:hint="default"/>
          <w:spacing w:val="-61"/>
          <w:sz w:val="22"/>
          <w:szCs w:val="22"/>
        </w:rPr>
        <w:t> </w:t>
      </w:r>
      <w:r>
        <w:rPr>
          <w:rFonts w:ascii="宋体" w:hAnsi="宋体" w:cs="宋体" w:eastAsia="宋体" w:hint="default"/>
          <w:sz w:val="22"/>
          <w:szCs w:val="22"/>
        </w:rPr>
        <w:t>23,901,909.17</w:t>
      </w:r>
      <w:r>
        <w:rPr>
          <w:rFonts w:ascii="宋体" w:hAnsi="宋体" w:cs="宋体" w:eastAsia="宋体" w:hint="default"/>
          <w:spacing w:val="-61"/>
          <w:sz w:val="22"/>
          <w:szCs w:val="22"/>
        </w:rPr>
        <w:t> </w:t>
      </w:r>
      <w:r>
        <w:rPr>
          <w:rFonts w:ascii="宋体" w:hAnsi="宋体" w:cs="宋体" w:eastAsia="宋体" w:hint="default"/>
          <w:sz w:val="22"/>
          <w:szCs w:val="22"/>
        </w:rPr>
        <w:t>元，占其他应付款总额的</w:t>
      </w:r>
      <w:r>
        <w:rPr>
          <w:rFonts w:ascii="宋体" w:hAnsi="宋体" w:cs="宋体" w:eastAsia="宋体" w:hint="default"/>
          <w:spacing w:val="-61"/>
          <w:sz w:val="22"/>
          <w:szCs w:val="22"/>
        </w:rPr>
        <w:t> </w:t>
      </w:r>
      <w:r>
        <w:rPr>
          <w:rFonts w:ascii="宋体" w:hAnsi="宋体" w:cs="宋体" w:eastAsia="宋体" w:hint="default"/>
          <w:sz w:val="22"/>
          <w:szCs w:val="22"/>
        </w:rPr>
        <w:t>4.23%，详见</w:t>
      </w:r>
      <w:r>
        <w:rPr>
          <w:rFonts w:ascii="宋体" w:hAnsi="宋体" w:cs="宋体" w:eastAsia="宋体" w:hint="default"/>
          <w:w w:val="99"/>
          <w:sz w:val="22"/>
          <w:szCs w:val="22"/>
        </w:rPr>
        <w:t> </w:t>
      </w:r>
      <w:r>
        <w:rPr>
          <w:rFonts w:ascii="宋体" w:hAnsi="宋体" w:cs="宋体" w:eastAsia="宋体" w:hint="default"/>
          <w:spacing w:val="-28"/>
          <w:w w:val="99"/>
          <w:sz w:val="22"/>
          <w:szCs w:val="22"/>
        </w:rPr>
        <w:t>附注十、（三）。</w:t>
      </w:r>
      <w:r>
        <w:rPr>
          <w:rFonts w:ascii="宋体" w:hAnsi="宋体" w:cs="宋体" w:eastAsia="宋体" w:hint="default"/>
          <w:spacing w:val="-28"/>
          <w:sz w:val="22"/>
          <w:szCs w:val="22"/>
        </w:rPr>
      </w:r>
    </w:p>
    <w:p>
      <w:pPr>
        <w:spacing w:before="103"/>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其他应付款中外币余额</w:t>
      </w:r>
    </w:p>
    <w:p>
      <w:pPr>
        <w:spacing w:line="240" w:lineRule="auto" w:before="6"/>
        <w:rPr>
          <w:rFonts w:ascii="宋体" w:hAnsi="宋体" w:cs="宋体" w:eastAsia="宋体" w:hint="default"/>
          <w:sz w:val="12"/>
          <w:szCs w:val="12"/>
        </w:rPr>
      </w:pPr>
    </w:p>
    <w:p>
      <w:pPr>
        <w:spacing w:line="30" w:lineRule="exact"/>
        <w:ind w:left="48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6859" w:val="left" w:leader="none"/>
        </w:tabs>
        <w:spacing w:before="0"/>
        <w:ind w:left="3060" w:right="0" w:firstLine="0"/>
        <w:jc w:val="left"/>
        <w:rPr>
          <w:rFonts w:ascii="宋体" w:hAnsi="宋体" w:cs="宋体" w:eastAsia="宋体" w:hint="default"/>
          <w:sz w:val="18"/>
          <w:szCs w:val="18"/>
        </w:rPr>
      </w:pPr>
      <w:r>
        <w:rPr/>
        <w:pict>
          <v:shape style="position:absolute;margin-left:84.839996pt;margin-top:9.377344pt;width:431.9pt;height:121.75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2"/>
                    <w:gridCol w:w="1449"/>
                    <w:gridCol w:w="973"/>
                    <w:gridCol w:w="1391"/>
                    <w:gridCol w:w="1416"/>
                    <w:gridCol w:w="1034"/>
                    <w:gridCol w:w="1384"/>
                  </w:tblGrid>
                  <w:tr>
                    <w:trPr>
                      <w:trHeight w:val="403" w:hRule="exact"/>
                    </w:trPr>
                    <w:tc>
                      <w:tcPr>
                        <w:tcW w:w="992"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144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42"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73"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31"/>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4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28"/>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71"/>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4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82" w:hRule="exact"/>
                    </w:trPr>
                    <w:tc>
                      <w:tcPr>
                        <w:tcW w:w="99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9" w:type="dxa"/>
                        <w:tcBorders>
                          <w:top w:val="single" w:sz="4" w:space="0" w:color="000000"/>
                          <w:left w:val="nil" w:sz="6" w:space="0" w:color="auto"/>
                          <w:bottom w:val="nil" w:sz="6" w:space="0" w:color="auto"/>
                          <w:right w:val="nil" w:sz="6" w:space="0" w:color="auto"/>
                        </w:tcBorders>
                      </w:tcPr>
                      <w:p>
                        <w:pPr>
                          <w:pStyle w:val="TableParagraph"/>
                          <w:spacing w:line="226" w:lineRule="exact"/>
                          <w:ind w:right="115"/>
                          <w:jc w:val="right"/>
                          <w:rPr>
                            <w:rFonts w:ascii="宋体" w:hAnsi="宋体" w:cs="宋体" w:eastAsia="宋体" w:hint="default"/>
                            <w:sz w:val="18"/>
                            <w:szCs w:val="18"/>
                          </w:rPr>
                        </w:pPr>
                        <w:r>
                          <w:rPr>
                            <w:rFonts w:ascii="宋体"/>
                            <w:sz w:val="18"/>
                          </w:rPr>
                          <w:t>7,867,297.58</w:t>
                        </w:r>
                      </w:p>
                    </w:tc>
                    <w:tc>
                      <w:tcPr>
                        <w:tcW w:w="973" w:type="dxa"/>
                        <w:tcBorders>
                          <w:top w:val="single" w:sz="4" w:space="0" w:color="000000"/>
                          <w:left w:val="nil" w:sz="6" w:space="0" w:color="auto"/>
                          <w:bottom w:val="nil" w:sz="6" w:space="0" w:color="auto"/>
                          <w:right w:val="nil" w:sz="6" w:space="0" w:color="auto"/>
                        </w:tcBorders>
                      </w:tcPr>
                      <w:p>
                        <w:pPr>
                          <w:pStyle w:val="TableParagraph"/>
                          <w:spacing w:line="226" w:lineRule="exact"/>
                          <w:ind w:right="110"/>
                          <w:jc w:val="right"/>
                          <w:rPr>
                            <w:rFonts w:ascii="宋体" w:hAnsi="宋体" w:cs="宋体" w:eastAsia="宋体" w:hint="default"/>
                            <w:sz w:val="18"/>
                            <w:szCs w:val="18"/>
                          </w:rPr>
                        </w:pPr>
                        <w:r>
                          <w:rPr>
                            <w:rFonts w:ascii="宋体"/>
                            <w:sz w:val="18"/>
                          </w:rPr>
                          <w:t>6.6227</w:t>
                        </w:r>
                      </w:p>
                    </w:tc>
                    <w:tc>
                      <w:tcPr>
                        <w:tcW w:w="1391"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52,102,751.68</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26" w:lineRule="exact"/>
                          <w:ind w:right="135"/>
                          <w:jc w:val="right"/>
                          <w:rPr>
                            <w:rFonts w:ascii="宋体" w:hAnsi="宋体" w:cs="宋体" w:eastAsia="宋体" w:hint="default"/>
                            <w:sz w:val="18"/>
                            <w:szCs w:val="18"/>
                          </w:rPr>
                        </w:pPr>
                        <w:r>
                          <w:rPr>
                            <w:rFonts w:ascii="宋体"/>
                            <w:sz w:val="18"/>
                          </w:rPr>
                          <w:t>10,455,138.25</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26" w:lineRule="exact"/>
                          <w:ind w:right="110"/>
                          <w:jc w:val="right"/>
                          <w:rPr>
                            <w:rFonts w:ascii="宋体" w:hAnsi="宋体" w:cs="宋体" w:eastAsia="宋体" w:hint="default"/>
                            <w:sz w:val="18"/>
                            <w:szCs w:val="18"/>
                          </w:rPr>
                        </w:pPr>
                        <w:r>
                          <w:rPr>
                            <w:rFonts w:ascii="宋体"/>
                            <w:sz w:val="18"/>
                          </w:rPr>
                          <w:t>6.8282</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71,389,775.00</w:t>
                        </w:r>
                      </w:p>
                    </w:tc>
                  </w:tr>
                  <w:tr>
                    <w:trPr>
                      <w:trHeight w:val="283"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13,718,510.00</w:t>
                        </w:r>
                      </w:p>
                    </w:tc>
                    <w:tc>
                      <w:tcPr>
                        <w:tcW w:w="973"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0.08126</w:t>
                        </w:r>
                      </w:p>
                    </w:tc>
                    <w:tc>
                      <w:tcPr>
                        <w:tcW w:w="139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1,114,766.12</w:t>
                        </w:r>
                      </w:p>
                    </w:tc>
                    <w:tc>
                      <w:tcPr>
                        <w:tcW w:w="1416" w:type="dxa"/>
                        <w:tcBorders>
                          <w:top w:val="nil" w:sz="6" w:space="0" w:color="auto"/>
                          <w:left w:val="nil" w:sz="6" w:space="0" w:color="auto"/>
                          <w:bottom w:val="nil" w:sz="6" w:space="0" w:color="auto"/>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9,123,246.00</w:t>
                        </w:r>
                      </w:p>
                    </w:tc>
                    <w:tc>
                      <w:tcPr>
                        <w:tcW w:w="1034"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0.07378</w:t>
                        </w:r>
                      </w:p>
                    </w:tc>
                    <w:tc>
                      <w:tcPr>
                        <w:tcW w:w="13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673,113.09</w:t>
                        </w:r>
                      </w:p>
                    </w:tc>
                  </w:tr>
                  <w:tr>
                    <w:trPr>
                      <w:trHeight w:val="283"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552,429.53</w:t>
                        </w:r>
                      </w:p>
                    </w:tc>
                    <w:tc>
                      <w:tcPr>
                        <w:tcW w:w="973"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0.8509</w:t>
                        </w:r>
                      </w:p>
                    </w:tc>
                    <w:tc>
                      <w:tcPr>
                        <w:tcW w:w="139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470,062.29</w:t>
                        </w:r>
                      </w:p>
                    </w:tc>
                    <w:tc>
                      <w:tcPr>
                        <w:tcW w:w="1416" w:type="dxa"/>
                        <w:tcBorders>
                          <w:top w:val="nil" w:sz="6" w:space="0" w:color="auto"/>
                          <w:left w:val="nil" w:sz="6" w:space="0" w:color="auto"/>
                          <w:bottom w:val="nil" w:sz="6" w:space="0" w:color="auto"/>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4,548,480.64</w:t>
                        </w:r>
                      </w:p>
                    </w:tc>
                    <w:tc>
                      <w:tcPr>
                        <w:tcW w:w="1034"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0.8805</w:t>
                        </w:r>
                      </w:p>
                    </w:tc>
                    <w:tc>
                      <w:tcPr>
                        <w:tcW w:w="13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4,004,937.20</w:t>
                        </w:r>
                      </w:p>
                    </w:tc>
                  </w:tr>
                  <w:tr>
                    <w:trPr>
                      <w:trHeight w:val="283"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3,616,312.24</w:t>
                        </w:r>
                      </w:p>
                    </w:tc>
                    <w:tc>
                      <w:tcPr>
                        <w:tcW w:w="973"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6.512</w:t>
                        </w:r>
                      </w:p>
                    </w:tc>
                    <w:tc>
                      <w:tcPr>
                        <w:tcW w:w="139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23,549,425.31</w:t>
                        </w:r>
                      </w:p>
                    </w:tc>
                    <w:tc>
                      <w:tcPr>
                        <w:tcW w:w="1416" w:type="dxa"/>
                        <w:tcBorders>
                          <w:top w:val="nil" w:sz="6" w:space="0" w:color="auto"/>
                          <w:left w:val="nil" w:sz="6" w:space="0" w:color="auto"/>
                          <w:bottom w:val="nil" w:sz="6" w:space="0" w:color="auto"/>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0.00</w:t>
                        </w:r>
                      </w:p>
                    </w:tc>
                    <w:tc>
                      <w:tcPr>
                        <w:tcW w:w="1034"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6.453</w:t>
                        </w:r>
                      </w:p>
                    </w:tc>
                    <w:tc>
                      <w:tcPr>
                        <w:tcW w:w="13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49" w:type="dxa"/>
                        <w:tcBorders>
                          <w:top w:val="nil" w:sz="6" w:space="0" w:color="auto"/>
                          <w:left w:val="nil" w:sz="6" w:space="0" w:color="auto"/>
                          <w:bottom w:val="nil" w:sz="6" w:space="0" w:color="auto"/>
                          <w:right w:val="nil" w:sz="6" w:space="0" w:color="auto"/>
                        </w:tcBorders>
                      </w:tcPr>
                      <w:p>
                        <w:pPr>
                          <w:pStyle w:val="TableParagraph"/>
                          <w:spacing w:line="231" w:lineRule="exact"/>
                          <w:ind w:right="115"/>
                          <w:jc w:val="right"/>
                          <w:rPr>
                            <w:rFonts w:ascii="宋体" w:hAnsi="宋体" w:cs="宋体" w:eastAsia="宋体" w:hint="default"/>
                            <w:sz w:val="18"/>
                            <w:szCs w:val="18"/>
                          </w:rPr>
                        </w:pPr>
                        <w:r>
                          <w:rPr>
                            <w:rFonts w:ascii="宋体"/>
                            <w:sz w:val="18"/>
                          </w:rPr>
                          <w:t>170,887.05</w:t>
                        </w:r>
                      </w:p>
                    </w:tc>
                    <w:tc>
                      <w:tcPr>
                        <w:tcW w:w="973" w:type="dxa"/>
                        <w:tcBorders>
                          <w:top w:val="nil" w:sz="6" w:space="0" w:color="auto"/>
                          <w:left w:val="nil" w:sz="6" w:space="0" w:color="auto"/>
                          <w:bottom w:val="nil" w:sz="6" w:space="0" w:color="auto"/>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8.8065</w:t>
                        </w:r>
                      </w:p>
                    </w:tc>
                    <w:tc>
                      <w:tcPr>
                        <w:tcW w:w="1391"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1,504,916.81</w:t>
                        </w:r>
                      </w:p>
                    </w:tc>
                    <w:tc>
                      <w:tcPr>
                        <w:tcW w:w="1416" w:type="dxa"/>
                        <w:tcBorders>
                          <w:top w:val="nil" w:sz="6" w:space="0" w:color="auto"/>
                          <w:left w:val="nil" w:sz="6" w:space="0" w:color="auto"/>
                          <w:bottom w:val="nil" w:sz="6" w:space="0" w:color="auto"/>
                          <w:right w:val="nil" w:sz="6" w:space="0" w:color="auto"/>
                        </w:tcBorders>
                      </w:tcPr>
                      <w:p>
                        <w:pPr>
                          <w:pStyle w:val="TableParagraph"/>
                          <w:spacing w:line="231" w:lineRule="exact"/>
                          <w:ind w:right="135"/>
                          <w:jc w:val="right"/>
                          <w:rPr>
                            <w:rFonts w:ascii="宋体" w:hAnsi="宋体" w:cs="宋体" w:eastAsia="宋体" w:hint="default"/>
                            <w:sz w:val="18"/>
                            <w:szCs w:val="18"/>
                          </w:rPr>
                        </w:pPr>
                        <w:r>
                          <w:rPr>
                            <w:rFonts w:ascii="宋体"/>
                            <w:sz w:val="18"/>
                          </w:rPr>
                          <w:t>0.00</w:t>
                        </w:r>
                      </w:p>
                    </w:tc>
                    <w:tc>
                      <w:tcPr>
                        <w:tcW w:w="1034" w:type="dxa"/>
                        <w:tcBorders>
                          <w:top w:val="nil" w:sz="6" w:space="0" w:color="auto"/>
                          <w:left w:val="nil" w:sz="6" w:space="0" w:color="auto"/>
                          <w:bottom w:val="nil" w:sz="6" w:space="0" w:color="auto"/>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9.7971</w:t>
                        </w:r>
                      </w:p>
                    </w:tc>
                    <w:tc>
                      <w:tcPr>
                        <w:tcW w:w="1384"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9,391.00</w:t>
                        </w:r>
                      </w:p>
                    </w:tc>
                    <w:tc>
                      <w:tcPr>
                        <w:tcW w:w="973"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1.54016</w:t>
                        </w:r>
                      </w:p>
                    </w:tc>
                    <w:tc>
                      <w:tcPr>
                        <w:tcW w:w="139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14,463.64</w:t>
                        </w:r>
                      </w:p>
                    </w:tc>
                    <w:tc>
                      <w:tcPr>
                        <w:tcW w:w="1416" w:type="dxa"/>
                        <w:tcBorders>
                          <w:top w:val="nil" w:sz="6" w:space="0" w:color="auto"/>
                          <w:left w:val="nil" w:sz="6" w:space="0" w:color="auto"/>
                          <w:bottom w:val="nil" w:sz="6" w:space="0" w:color="auto"/>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0.00</w:t>
                        </w:r>
                      </w:p>
                    </w:tc>
                    <w:tc>
                      <w:tcPr>
                        <w:tcW w:w="1034"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3.17591</w:t>
                        </w:r>
                      </w:p>
                    </w:tc>
                    <w:tc>
                      <w:tcPr>
                        <w:tcW w:w="13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992"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比索</w:t>
                        </w:r>
                      </w:p>
                    </w:tc>
                    <w:tc>
                      <w:tcPr>
                        <w:tcW w:w="1449" w:type="dxa"/>
                        <w:tcBorders>
                          <w:top w:val="nil" w:sz="6" w:space="0" w:color="auto"/>
                          <w:left w:val="nil" w:sz="6" w:space="0" w:color="auto"/>
                          <w:bottom w:val="single" w:sz="12" w:space="0" w:color="000000"/>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14,811.14</w:t>
                        </w:r>
                      </w:p>
                    </w:tc>
                    <w:tc>
                      <w:tcPr>
                        <w:tcW w:w="973" w:type="dxa"/>
                        <w:tcBorders>
                          <w:top w:val="nil" w:sz="6" w:space="0" w:color="auto"/>
                          <w:left w:val="nil" w:sz="6" w:space="0" w:color="auto"/>
                          <w:bottom w:val="single" w:sz="12" w:space="0" w:color="000000"/>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0.15028</w:t>
                        </w:r>
                      </w:p>
                    </w:tc>
                    <w:tc>
                      <w:tcPr>
                        <w:tcW w:w="1391" w:type="dxa"/>
                        <w:tcBorders>
                          <w:top w:val="nil" w:sz="6" w:space="0" w:color="auto"/>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2,225.82</w:t>
                        </w:r>
                      </w:p>
                    </w:tc>
                    <w:tc>
                      <w:tcPr>
                        <w:tcW w:w="1416" w:type="dxa"/>
                        <w:tcBorders>
                          <w:top w:val="nil" w:sz="6" w:space="0" w:color="auto"/>
                          <w:left w:val="nil" w:sz="6" w:space="0" w:color="auto"/>
                          <w:bottom w:val="single" w:sz="12" w:space="0" w:color="000000"/>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0.00</w:t>
                        </w:r>
                      </w:p>
                    </w:tc>
                    <w:tc>
                      <w:tcPr>
                        <w:tcW w:w="1034" w:type="dxa"/>
                        <w:tcBorders>
                          <w:top w:val="nil" w:sz="6" w:space="0" w:color="auto"/>
                          <w:left w:val="nil" w:sz="6" w:space="0" w:color="auto"/>
                          <w:bottom w:val="single" w:sz="12" w:space="0" w:color="000000"/>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0.1453</w:t>
                        </w:r>
                      </w:p>
                    </w:tc>
                    <w:tc>
                      <w:tcPr>
                        <w:tcW w:w="1384"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bl>
                <w:p>
                  <w:pPr/>
                </w:p>
              </w:txbxContent>
            </v:textbox>
            <w10:wrap type="none"/>
          </v:shape>
        </w:pict>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1530" w:right="0" w:firstLine="0"/>
        <w:rPr>
          <w:rFonts w:ascii="宋体" w:hAnsi="宋体" w:cs="宋体" w:eastAsia="宋体" w:hint="default"/>
          <w:sz w:val="2"/>
          <w:szCs w:val="2"/>
        </w:rPr>
      </w:pPr>
      <w:r>
        <w:rPr>
          <w:rFonts w:ascii="宋体" w:hAnsi="宋体" w:cs="宋体" w:eastAsia="宋体" w:hint="default"/>
          <w:sz w:val="2"/>
          <w:szCs w:val="2"/>
        </w:rPr>
        <w:pict>
          <v:group style="width:380.5pt;height:.5pt;mso-position-horizontal-relative:char;mso-position-vertical-relative:line" coordorigin="0,0" coordsize="7610,10">
            <v:group style="position:absolute;left:5;top:5;width:7600;height:2" coordorigin="5,5" coordsize="7600,2">
              <v:shape style="position:absolute;left:5;top:5;width:7600;height:2" coordorigin="5,5" coordsize="7600,0" path="m5,5l760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610" w:footer="784" w:top="1080" w:bottom="980" w:left="1200" w:right="10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tbl>
      <w:tblPr>
        <w:tblW w:w="0" w:type="auto"/>
        <w:jc w:val="left"/>
        <w:tblInd w:w="796" w:type="dxa"/>
        <w:tblLayout w:type="fixed"/>
        <w:tblCellMar>
          <w:top w:w="0" w:type="dxa"/>
          <w:left w:w="0" w:type="dxa"/>
          <w:bottom w:w="0" w:type="dxa"/>
          <w:right w:w="0" w:type="dxa"/>
        </w:tblCellMar>
        <w:tblLook w:val="01E0"/>
      </w:tblPr>
      <w:tblGrid>
        <w:gridCol w:w="3409"/>
        <w:gridCol w:w="1360"/>
        <w:gridCol w:w="1554"/>
        <w:gridCol w:w="881"/>
        <w:gridCol w:w="1434"/>
      </w:tblGrid>
      <w:tr>
        <w:trPr>
          <w:trHeight w:val="302" w:hRule="exact"/>
        </w:trPr>
        <w:tc>
          <w:tcPr>
            <w:tcW w:w="3409" w:type="dxa"/>
            <w:tcBorders>
              <w:top w:val="single" w:sz="12" w:space="0" w:color="000000"/>
              <w:left w:val="nil" w:sz="6" w:space="0" w:color="auto"/>
              <w:bottom w:val="single" w:sz="4" w:space="0" w:color="000000"/>
              <w:right w:val="nil" w:sz="6" w:space="0" w:color="auto"/>
            </w:tcBorders>
          </w:tcPr>
          <w:p>
            <w:pPr>
              <w:pStyle w:val="TableParagraph"/>
              <w:tabs>
                <w:tab w:pos="1513" w:val="left" w:leader="none"/>
                <w:tab w:pos="2671"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新加坡元</w:t>
              <w:tab/>
              <w:t>12,596.47</w:t>
              <w:tab/>
              <w:t>5.05588</w:t>
            </w:r>
          </w:p>
        </w:tc>
        <w:tc>
          <w:tcPr>
            <w:tcW w:w="136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70"/>
              <w:jc w:val="right"/>
              <w:rPr>
                <w:rFonts w:ascii="宋体" w:hAnsi="宋体" w:cs="宋体" w:eastAsia="宋体" w:hint="default"/>
                <w:sz w:val="18"/>
                <w:szCs w:val="18"/>
              </w:rPr>
            </w:pPr>
            <w:r>
              <w:rPr>
                <w:rFonts w:ascii="宋体"/>
                <w:sz w:val="18"/>
              </w:rPr>
              <w:t>63,686.24</w:t>
            </w:r>
          </w:p>
        </w:tc>
        <w:tc>
          <w:tcPr>
            <w:tcW w:w="155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238"/>
              <w:jc w:val="right"/>
              <w:rPr>
                <w:rFonts w:ascii="宋体" w:hAnsi="宋体" w:cs="宋体" w:eastAsia="宋体" w:hint="default"/>
                <w:sz w:val="18"/>
                <w:szCs w:val="18"/>
              </w:rPr>
            </w:pPr>
            <w:r>
              <w:rPr>
                <w:rFonts w:ascii="宋体"/>
                <w:sz w:val="18"/>
              </w:rPr>
              <w:t>0.00</w:t>
            </w:r>
          </w:p>
        </w:tc>
        <w:tc>
          <w:tcPr>
            <w:tcW w:w="88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88" w:right="0"/>
              <w:jc w:val="left"/>
              <w:rPr>
                <w:rFonts w:ascii="宋体" w:hAnsi="宋体" w:cs="宋体" w:eastAsia="宋体" w:hint="default"/>
                <w:sz w:val="18"/>
                <w:szCs w:val="18"/>
              </w:rPr>
            </w:pPr>
            <w:r>
              <w:rPr>
                <w:rFonts w:ascii="宋体"/>
                <w:sz w:val="18"/>
              </w:rPr>
              <w:t>4.92832</w:t>
            </w:r>
          </w:p>
        </w:tc>
        <w:tc>
          <w:tcPr>
            <w:tcW w:w="143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340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8"/>
              <w:jc w:val="right"/>
              <w:rPr>
                <w:rFonts w:ascii="宋体" w:hAnsi="宋体" w:cs="宋体" w:eastAsia="宋体" w:hint="default"/>
                <w:sz w:val="18"/>
                <w:szCs w:val="18"/>
              </w:rPr>
            </w:pPr>
            <w:r>
              <w:rPr>
                <w:rFonts w:ascii="宋体"/>
                <w:b/>
                <w:w w:val="95"/>
                <w:sz w:val="18"/>
              </w:rPr>
              <w:t>78,822,297.91</w:t>
            </w:r>
            <w:r>
              <w:rPr>
                <w:rFonts w:ascii="宋体"/>
                <w:sz w:val="18"/>
              </w:rPr>
            </w:r>
          </w:p>
        </w:tc>
        <w:tc>
          <w:tcPr>
            <w:tcW w:w="1554" w:type="dxa"/>
            <w:tcBorders>
              <w:top w:val="single" w:sz="4" w:space="0" w:color="000000"/>
              <w:left w:val="nil" w:sz="6" w:space="0" w:color="auto"/>
              <w:bottom w:val="single" w:sz="12" w:space="0" w:color="000000"/>
              <w:right w:val="nil" w:sz="6" w:space="0" w:color="auto"/>
            </w:tcBorders>
          </w:tcPr>
          <w:p>
            <w:pPr/>
          </w:p>
        </w:tc>
        <w:tc>
          <w:tcPr>
            <w:tcW w:w="881" w:type="dxa"/>
            <w:tcBorders>
              <w:top w:val="single" w:sz="4" w:space="0" w:color="000000"/>
              <w:left w:val="nil" w:sz="6" w:space="0" w:color="auto"/>
              <w:bottom w:val="single" w:sz="12" w:space="0" w:color="000000"/>
              <w:right w:val="nil" w:sz="6" w:space="0" w:color="auto"/>
            </w:tcBorders>
          </w:tcPr>
          <w:p>
            <w:pP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76,067,825.29</w:t>
            </w:r>
            <w:r>
              <w:rPr>
                <w:rFonts w:ascii="宋体"/>
                <w:sz w:val="18"/>
              </w:rPr>
            </w:r>
          </w:p>
        </w:tc>
      </w:tr>
      <w:tr>
        <w:trPr>
          <w:trHeight w:val="528" w:hRule="exact"/>
        </w:trPr>
        <w:tc>
          <w:tcPr>
            <w:tcW w:w="3409"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32.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一年内到期的非流动负债</w:t>
            </w:r>
          </w:p>
        </w:tc>
        <w:tc>
          <w:tcPr>
            <w:tcW w:w="1360" w:type="dxa"/>
            <w:tcBorders>
              <w:top w:val="single" w:sz="12" w:space="0" w:color="000000"/>
              <w:left w:val="nil" w:sz="6" w:space="0" w:color="auto"/>
              <w:bottom w:val="nil" w:sz="6" w:space="0" w:color="auto"/>
              <w:right w:val="nil" w:sz="6" w:space="0" w:color="auto"/>
            </w:tcBorders>
          </w:tcPr>
          <w:p>
            <w:pPr/>
          </w:p>
        </w:tc>
        <w:tc>
          <w:tcPr>
            <w:tcW w:w="1554" w:type="dxa"/>
            <w:tcBorders>
              <w:top w:val="single" w:sz="12" w:space="0" w:color="000000"/>
              <w:left w:val="nil" w:sz="6" w:space="0" w:color="auto"/>
              <w:bottom w:val="nil" w:sz="6" w:space="0" w:color="auto"/>
              <w:right w:val="nil" w:sz="6" w:space="0" w:color="auto"/>
            </w:tcBorders>
          </w:tcPr>
          <w:p>
            <w:pPr/>
          </w:p>
        </w:tc>
        <w:tc>
          <w:tcPr>
            <w:tcW w:w="881" w:type="dxa"/>
            <w:tcBorders>
              <w:top w:val="single" w:sz="12" w:space="0" w:color="000000"/>
              <w:left w:val="nil" w:sz="6" w:space="0" w:color="auto"/>
              <w:bottom w:val="nil" w:sz="6" w:space="0" w:color="auto"/>
              <w:right w:val="nil" w:sz="6" w:space="0" w:color="auto"/>
            </w:tcBorders>
          </w:tcPr>
          <w:p>
            <w:pPr/>
          </w:p>
        </w:tc>
        <w:tc>
          <w:tcPr>
            <w:tcW w:w="1434"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340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4"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一年内到期的非流动负债</w:t>
            </w:r>
          </w:p>
        </w:tc>
        <w:tc>
          <w:tcPr>
            <w:tcW w:w="1360" w:type="dxa"/>
            <w:tcBorders>
              <w:top w:val="nil" w:sz="6" w:space="0" w:color="auto"/>
              <w:left w:val="nil" w:sz="6" w:space="0" w:color="auto"/>
              <w:bottom w:val="single" w:sz="12" w:space="0" w:color="000000"/>
              <w:right w:val="nil" w:sz="6" w:space="0" w:color="auto"/>
            </w:tcBorders>
          </w:tcPr>
          <w:p>
            <w:pPr/>
          </w:p>
        </w:tc>
        <w:tc>
          <w:tcPr>
            <w:tcW w:w="1554" w:type="dxa"/>
            <w:tcBorders>
              <w:top w:val="nil" w:sz="6" w:space="0" w:color="auto"/>
              <w:left w:val="nil" w:sz="6" w:space="0" w:color="auto"/>
              <w:bottom w:val="single" w:sz="12" w:space="0" w:color="000000"/>
              <w:right w:val="nil" w:sz="6" w:space="0" w:color="auto"/>
            </w:tcBorders>
          </w:tcPr>
          <w:p>
            <w:pPr/>
          </w:p>
        </w:tc>
        <w:tc>
          <w:tcPr>
            <w:tcW w:w="881" w:type="dxa"/>
            <w:tcBorders>
              <w:top w:val="nil" w:sz="6" w:space="0" w:color="auto"/>
              <w:left w:val="nil" w:sz="6" w:space="0" w:color="auto"/>
              <w:bottom w:val="single" w:sz="12" w:space="0" w:color="000000"/>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40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0" w:type="dxa"/>
            <w:tcBorders>
              <w:top w:val="single" w:sz="12" w:space="0" w:color="000000"/>
              <w:left w:val="nil" w:sz="6" w:space="0" w:color="auto"/>
              <w:bottom w:val="single" w:sz="4" w:space="0" w:color="000000"/>
              <w:right w:val="nil" w:sz="6" w:space="0" w:color="auto"/>
            </w:tcBorders>
          </w:tcPr>
          <w:p>
            <w:pPr/>
          </w:p>
        </w:tc>
        <w:tc>
          <w:tcPr>
            <w:tcW w:w="15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881" w:type="dxa"/>
            <w:tcBorders>
              <w:top w:val="single" w:sz="12" w:space="0" w:color="000000"/>
              <w:left w:val="nil" w:sz="6" w:space="0" w:color="auto"/>
              <w:bottom w:val="single" w:sz="4" w:space="0" w:color="000000"/>
              <w:right w:val="nil" w:sz="6" w:space="0" w:color="auto"/>
            </w:tcBorders>
          </w:tcPr>
          <w:p>
            <w:pPr/>
          </w:p>
        </w:tc>
        <w:tc>
          <w:tcPr>
            <w:tcW w:w="14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40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360" w:type="dxa"/>
            <w:tcBorders>
              <w:top w:val="single" w:sz="4" w:space="0" w:color="000000"/>
              <w:left w:val="nil" w:sz="6" w:space="0" w:color="auto"/>
              <w:bottom w:val="single" w:sz="4" w:space="0" w:color="000000"/>
              <w:right w:val="nil" w:sz="6" w:space="0" w:color="auto"/>
            </w:tcBorders>
          </w:tcPr>
          <w:p>
            <w:pPr/>
          </w:p>
        </w:tc>
        <w:tc>
          <w:tcPr>
            <w:tcW w:w="1554"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211"/>
              <w:jc w:val="right"/>
              <w:rPr>
                <w:rFonts w:ascii="宋体" w:hAnsi="宋体" w:cs="宋体" w:eastAsia="宋体" w:hint="default"/>
                <w:sz w:val="18"/>
                <w:szCs w:val="18"/>
              </w:rPr>
            </w:pPr>
            <w:r>
              <w:rPr>
                <w:rFonts w:ascii="宋体"/>
                <w:b/>
                <w:w w:val="95"/>
                <w:sz w:val="18"/>
              </w:rPr>
              <w:t>217,931,468.73</w:t>
            </w:r>
            <w:r>
              <w:rPr>
                <w:rFonts w:ascii="宋体"/>
                <w:sz w:val="18"/>
              </w:rPr>
            </w:r>
          </w:p>
        </w:tc>
        <w:tc>
          <w:tcPr>
            <w:tcW w:w="881" w:type="dxa"/>
            <w:tcBorders>
              <w:top w:val="single" w:sz="4" w:space="0" w:color="000000"/>
              <w:left w:val="nil" w:sz="6" w:space="0" w:color="auto"/>
              <w:bottom w:val="single" w:sz="4" w:space="0" w:color="000000"/>
              <w:right w:val="nil" w:sz="6" w:space="0" w:color="auto"/>
            </w:tcBorders>
          </w:tcPr>
          <w:p>
            <w:pPr/>
          </w:p>
        </w:tc>
        <w:tc>
          <w:tcPr>
            <w:tcW w:w="1434"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154,006,500.40</w:t>
            </w:r>
            <w:r>
              <w:rPr>
                <w:rFonts w:ascii="宋体"/>
                <w:sz w:val="18"/>
              </w:rPr>
            </w:r>
          </w:p>
        </w:tc>
      </w:tr>
      <w:tr>
        <w:trPr>
          <w:trHeight w:val="304" w:hRule="exact"/>
        </w:trPr>
        <w:tc>
          <w:tcPr>
            <w:tcW w:w="340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0" w:type="dxa"/>
            <w:tcBorders>
              <w:top w:val="single" w:sz="4" w:space="0" w:color="000000"/>
              <w:left w:val="nil" w:sz="6" w:space="0" w:color="auto"/>
              <w:bottom w:val="single" w:sz="12" w:space="0" w:color="000000"/>
              <w:right w:val="nil" w:sz="6" w:space="0" w:color="auto"/>
            </w:tcBorders>
          </w:tcPr>
          <w:p>
            <w:pPr/>
          </w:p>
        </w:tc>
        <w:tc>
          <w:tcPr>
            <w:tcW w:w="155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11"/>
              <w:jc w:val="right"/>
              <w:rPr>
                <w:rFonts w:ascii="宋体" w:hAnsi="宋体" w:cs="宋体" w:eastAsia="宋体" w:hint="default"/>
                <w:sz w:val="18"/>
                <w:szCs w:val="18"/>
              </w:rPr>
            </w:pPr>
            <w:r>
              <w:rPr>
                <w:rFonts w:ascii="宋体"/>
                <w:b/>
                <w:w w:val="95"/>
                <w:sz w:val="18"/>
              </w:rPr>
              <w:t>217,931,468.73</w:t>
            </w:r>
            <w:r>
              <w:rPr>
                <w:rFonts w:ascii="宋体"/>
                <w:sz w:val="18"/>
              </w:rPr>
            </w:r>
          </w:p>
        </w:tc>
        <w:tc>
          <w:tcPr>
            <w:tcW w:w="881" w:type="dxa"/>
            <w:tcBorders>
              <w:top w:val="single" w:sz="4" w:space="0" w:color="000000"/>
              <w:left w:val="nil" w:sz="6" w:space="0" w:color="auto"/>
              <w:bottom w:val="single" w:sz="12" w:space="0" w:color="000000"/>
              <w:right w:val="nil" w:sz="6" w:space="0" w:color="auto"/>
            </w:tcBorders>
          </w:tcPr>
          <w:p>
            <w:pP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154,006,500.40</w:t>
            </w:r>
            <w:r>
              <w:rPr>
                <w:rFonts w:ascii="宋体"/>
                <w:sz w:val="18"/>
              </w:rPr>
            </w:r>
          </w:p>
        </w:tc>
      </w:tr>
      <w:tr>
        <w:trPr>
          <w:trHeight w:val="576" w:hRule="exact"/>
        </w:trPr>
        <w:tc>
          <w:tcPr>
            <w:tcW w:w="34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一年内到期的长期借款</w:t>
            </w:r>
          </w:p>
        </w:tc>
        <w:tc>
          <w:tcPr>
            <w:tcW w:w="1360" w:type="dxa"/>
            <w:tcBorders>
              <w:top w:val="single" w:sz="12" w:space="0" w:color="000000"/>
              <w:left w:val="nil" w:sz="6" w:space="0" w:color="auto"/>
              <w:bottom w:val="single" w:sz="12" w:space="0" w:color="000000"/>
              <w:right w:val="nil" w:sz="6" w:space="0" w:color="auto"/>
            </w:tcBorders>
          </w:tcPr>
          <w:p>
            <w:pPr/>
          </w:p>
        </w:tc>
        <w:tc>
          <w:tcPr>
            <w:tcW w:w="1554" w:type="dxa"/>
            <w:tcBorders>
              <w:top w:val="single" w:sz="12" w:space="0" w:color="000000"/>
              <w:left w:val="nil" w:sz="6" w:space="0" w:color="auto"/>
              <w:bottom w:val="single" w:sz="12" w:space="0" w:color="000000"/>
              <w:right w:val="nil" w:sz="6" w:space="0" w:color="auto"/>
            </w:tcBorders>
          </w:tcPr>
          <w:p>
            <w:pPr/>
          </w:p>
        </w:tc>
        <w:tc>
          <w:tcPr>
            <w:tcW w:w="881" w:type="dxa"/>
            <w:tcBorders>
              <w:top w:val="single" w:sz="12" w:space="0" w:color="000000"/>
              <w:left w:val="nil" w:sz="6" w:space="0" w:color="auto"/>
              <w:bottom w:val="single" w:sz="12" w:space="0" w:color="000000"/>
              <w:right w:val="nil" w:sz="6" w:space="0" w:color="auto"/>
            </w:tcBorders>
          </w:tcPr>
          <w:p>
            <w:pPr/>
          </w:p>
        </w:tc>
        <w:tc>
          <w:tcPr>
            <w:tcW w:w="1434"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340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1360" w:type="dxa"/>
            <w:tcBorders>
              <w:top w:val="single" w:sz="12" w:space="0" w:color="000000"/>
              <w:left w:val="nil" w:sz="6" w:space="0" w:color="auto"/>
              <w:bottom w:val="single" w:sz="4" w:space="0" w:color="000000"/>
              <w:right w:val="nil" w:sz="6" w:space="0" w:color="auto"/>
            </w:tcBorders>
          </w:tcPr>
          <w:p>
            <w:pPr/>
          </w:p>
        </w:tc>
        <w:tc>
          <w:tcPr>
            <w:tcW w:w="15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0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881" w:type="dxa"/>
            <w:tcBorders>
              <w:top w:val="single" w:sz="12" w:space="0" w:color="000000"/>
              <w:left w:val="nil" w:sz="6" w:space="0" w:color="auto"/>
              <w:bottom w:val="single" w:sz="4" w:space="0" w:color="000000"/>
              <w:right w:val="nil" w:sz="6" w:space="0" w:color="auto"/>
            </w:tcBorders>
          </w:tcPr>
          <w:p>
            <w:pPr/>
          </w:p>
        </w:tc>
        <w:tc>
          <w:tcPr>
            <w:tcW w:w="14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6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40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60" w:type="dxa"/>
            <w:tcBorders>
              <w:top w:val="single" w:sz="4" w:space="0" w:color="000000"/>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Style w:val="TableParagraph"/>
              <w:spacing w:line="226" w:lineRule="exact"/>
              <w:ind w:right="186"/>
              <w:jc w:val="right"/>
              <w:rPr>
                <w:rFonts w:ascii="宋体" w:hAnsi="宋体" w:cs="宋体" w:eastAsia="宋体" w:hint="default"/>
                <w:sz w:val="18"/>
                <w:szCs w:val="18"/>
              </w:rPr>
            </w:pPr>
            <w:r>
              <w:rPr>
                <w:rFonts w:ascii="宋体"/>
                <w:sz w:val="18"/>
              </w:rPr>
              <w:t>73,364,117.46</w:t>
            </w:r>
          </w:p>
        </w:tc>
        <w:tc>
          <w:tcPr>
            <w:tcW w:w="881" w:type="dxa"/>
            <w:tcBorders>
              <w:top w:val="single" w:sz="4" w:space="0" w:color="000000"/>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19,000,000.00</w:t>
            </w:r>
          </w:p>
        </w:tc>
      </w:tr>
      <w:tr>
        <w:trPr>
          <w:trHeight w:val="283"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36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18,317,351.27</w:t>
            </w:r>
          </w:p>
        </w:tc>
        <w:tc>
          <w:tcPr>
            <w:tcW w:w="881"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21,881,500.40</w:t>
            </w:r>
          </w:p>
        </w:tc>
      </w:tr>
      <w:tr>
        <w:trPr>
          <w:trHeight w:val="293" w:hRule="exact"/>
        </w:trPr>
        <w:tc>
          <w:tcPr>
            <w:tcW w:w="3409" w:type="dxa"/>
            <w:tcBorders>
              <w:top w:val="nil" w:sz="6" w:space="0" w:color="auto"/>
              <w:left w:val="nil" w:sz="6" w:space="0" w:color="auto"/>
              <w:bottom w:val="single" w:sz="4" w:space="0" w:color="000000"/>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360" w:type="dxa"/>
            <w:tcBorders>
              <w:top w:val="nil" w:sz="6" w:space="0" w:color="auto"/>
              <w:left w:val="nil" w:sz="6" w:space="0" w:color="auto"/>
              <w:bottom w:val="single" w:sz="4" w:space="0" w:color="000000"/>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31" w:lineRule="exact"/>
              <w:ind w:right="186"/>
              <w:jc w:val="right"/>
              <w:rPr>
                <w:rFonts w:ascii="宋体" w:hAnsi="宋体" w:cs="宋体" w:eastAsia="宋体" w:hint="default"/>
                <w:sz w:val="18"/>
                <w:szCs w:val="18"/>
              </w:rPr>
            </w:pPr>
            <w:r>
              <w:rPr>
                <w:rFonts w:ascii="宋体"/>
                <w:sz w:val="18"/>
              </w:rPr>
              <w:t>126,250,000.00</w:t>
            </w:r>
          </w:p>
        </w:tc>
        <w:tc>
          <w:tcPr>
            <w:tcW w:w="881" w:type="dxa"/>
            <w:tcBorders>
              <w:top w:val="nil" w:sz="6" w:space="0" w:color="auto"/>
              <w:left w:val="nil" w:sz="6" w:space="0" w:color="auto"/>
              <w:bottom w:val="single" w:sz="4" w:space="0" w:color="000000"/>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113,125,000.00</w:t>
            </w:r>
          </w:p>
        </w:tc>
      </w:tr>
      <w:tr>
        <w:trPr>
          <w:trHeight w:val="303" w:hRule="exact"/>
        </w:trPr>
        <w:tc>
          <w:tcPr>
            <w:tcW w:w="340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0" w:type="dxa"/>
            <w:tcBorders>
              <w:top w:val="single" w:sz="4" w:space="0" w:color="000000"/>
              <w:left w:val="nil" w:sz="6" w:space="0" w:color="auto"/>
              <w:bottom w:val="single" w:sz="12" w:space="0" w:color="000000"/>
              <w:right w:val="nil" w:sz="6" w:space="0" w:color="auto"/>
            </w:tcBorders>
          </w:tcPr>
          <w:p>
            <w:pPr/>
          </w:p>
        </w:tc>
        <w:tc>
          <w:tcPr>
            <w:tcW w:w="155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87"/>
              <w:jc w:val="right"/>
              <w:rPr>
                <w:rFonts w:ascii="宋体" w:hAnsi="宋体" w:cs="宋体" w:eastAsia="宋体" w:hint="default"/>
                <w:sz w:val="18"/>
                <w:szCs w:val="18"/>
              </w:rPr>
            </w:pPr>
            <w:r>
              <w:rPr>
                <w:rFonts w:ascii="宋体"/>
                <w:b/>
                <w:w w:val="95"/>
                <w:sz w:val="18"/>
              </w:rPr>
              <w:t>217,931,468.73</w:t>
            </w:r>
            <w:r>
              <w:rPr>
                <w:rFonts w:ascii="宋体"/>
                <w:sz w:val="18"/>
              </w:rPr>
            </w:r>
          </w:p>
        </w:tc>
        <w:tc>
          <w:tcPr>
            <w:tcW w:w="881" w:type="dxa"/>
            <w:tcBorders>
              <w:top w:val="single" w:sz="4" w:space="0" w:color="000000"/>
              <w:left w:val="nil" w:sz="6" w:space="0" w:color="auto"/>
              <w:bottom w:val="single" w:sz="12" w:space="0" w:color="000000"/>
              <w:right w:val="nil" w:sz="6" w:space="0" w:color="auto"/>
            </w:tcBorders>
          </w:tcPr>
          <w:p>
            <w:pP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154,006,500.40</w:t>
            </w:r>
            <w:r>
              <w:rPr>
                <w:rFonts w:ascii="宋体"/>
                <w:sz w:val="18"/>
              </w:rPr>
            </w:r>
          </w:p>
        </w:tc>
      </w:tr>
    </w:tbl>
    <w:p>
      <w:pPr>
        <w:spacing w:line="324" w:lineRule="auto" w:before="79"/>
        <w:ind w:left="518" w:right="521"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日，本公司的外币借款情况如下：本公司取得信用借款</w:t>
      </w:r>
      <w:r>
        <w:rPr>
          <w:rFonts w:ascii="宋体" w:hAnsi="宋体" w:cs="宋体" w:eastAsia="宋体" w:hint="default"/>
          <w:spacing w:val="-56"/>
          <w:sz w:val="22"/>
          <w:szCs w:val="22"/>
        </w:rPr>
        <w:t> </w:t>
      </w:r>
      <w:r>
        <w:rPr>
          <w:rFonts w:ascii="宋体" w:hAnsi="宋体" w:cs="宋体" w:eastAsia="宋体" w:hint="default"/>
          <w:sz w:val="22"/>
          <w:szCs w:val="22"/>
        </w:rPr>
        <w:t>6,000,000.00</w:t>
      </w:r>
      <w:r>
        <w:rPr>
          <w:rFonts w:ascii="宋体" w:hAnsi="宋体" w:cs="宋体" w:eastAsia="宋体" w:hint="default"/>
          <w:w w:val="99"/>
          <w:sz w:val="22"/>
          <w:szCs w:val="22"/>
        </w:rPr>
        <w:t> </w:t>
      </w:r>
      <w:r>
        <w:rPr>
          <w:rFonts w:ascii="宋体" w:hAnsi="宋体" w:cs="宋体" w:eastAsia="宋体" w:hint="default"/>
          <w:sz w:val="22"/>
          <w:szCs w:val="22"/>
        </w:rPr>
        <w:t>美元，本公司之控股子公司</w:t>
      </w:r>
      <w:r>
        <w:rPr>
          <w:rFonts w:ascii="宋体" w:hAnsi="宋体" w:cs="宋体" w:eastAsia="宋体" w:hint="default"/>
          <w:spacing w:val="-52"/>
          <w:sz w:val="22"/>
          <w:szCs w:val="22"/>
        </w:rPr>
        <w:t> </w:t>
      </w:r>
      <w:r>
        <w:rPr>
          <w:rFonts w:ascii="宋体" w:hAnsi="宋体" w:cs="宋体" w:eastAsia="宋体" w:hint="default"/>
          <w:sz w:val="22"/>
          <w:szCs w:val="22"/>
        </w:rPr>
        <w:t>Technovator</w:t>
      </w:r>
      <w:r>
        <w:rPr>
          <w:rFonts w:ascii="宋体" w:hAnsi="宋体" w:cs="宋体" w:eastAsia="宋体" w:hint="default"/>
          <w:spacing w:val="-4"/>
          <w:sz w:val="22"/>
          <w:szCs w:val="22"/>
        </w:rPr>
        <w:t> </w:t>
      </w:r>
      <w:r>
        <w:rPr>
          <w:rFonts w:ascii="宋体" w:hAnsi="宋体" w:cs="宋体" w:eastAsia="宋体" w:hint="default"/>
          <w:sz w:val="22"/>
          <w:szCs w:val="22"/>
        </w:rPr>
        <w:t>Int</w:t>
      </w:r>
      <w:r>
        <w:rPr>
          <w:rFonts w:ascii="宋体" w:hAnsi="宋体" w:cs="宋体" w:eastAsia="宋体" w:hint="default"/>
          <w:spacing w:val="-4"/>
          <w:sz w:val="22"/>
          <w:szCs w:val="22"/>
        </w:rPr>
        <w:t> </w:t>
      </w:r>
      <w:r>
        <w:rPr>
          <w:rFonts w:ascii="宋体" w:hAnsi="宋体" w:cs="宋体" w:eastAsia="宋体" w:hint="default"/>
          <w:sz w:val="22"/>
          <w:szCs w:val="22"/>
        </w:rPr>
        <w:t>Private</w:t>
      </w:r>
      <w:r>
        <w:rPr>
          <w:rFonts w:ascii="宋体" w:hAnsi="宋体" w:cs="宋体" w:eastAsia="宋体" w:hint="default"/>
          <w:spacing w:val="-4"/>
          <w:sz w:val="22"/>
          <w:szCs w:val="22"/>
        </w:rPr>
        <w:t> </w:t>
      </w:r>
      <w:r>
        <w:rPr>
          <w:rFonts w:ascii="宋体" w:hAnsi="宋体" w:cs="宋体" w:eastAsia="宋体" w:hint="default"/>
          <w:sz w:val="22"/>
          <w:szCs w:val="22"/>
        </w:rPr>
        <w:t>Ltd.取得信用借款</w:t>
      </w:r>
      <w:r>
        <w:rPr>
          <w:rFonts w:ascii="宋体" w:hAnsi="宋体" w:cs="宋体" w:eastAsia="宋体" w:hint="default"/>
          <w:spacing w:val="-53"/>
          <w:sz w:val="22"/>
          <w:szCs w:val="22"/>
        </w:rPr>
        <w:t> </w:t>
      </w:r>
      <w:r>
        <w:rPr>
          <w:rFonts w:ascii="宋体" w:hAnsi="宋体" w:cs="宋体" w:eastAsia="宋体" w:hint="default"/>
          <w:sz w:val="22"/>
          <w:szCs w:val="22"/>
        </w:rPr>
        <w:t>540,250.57</w:t>
      </w:r>
      <w:r>
        <w:rPr>
          <w:rFonts w:ascii="宋体" w:hAnsi="宋体" w:cs="宋体" w:eastAsia="宋体" w:hint="default"/>
          <w:spacing w:val="-52"/>
          <w:sz w:val="22"/>
          <w:szCs w:val="22"/>
        </w:rPr>
        <w:t> </w:t>
      </w:r>
      <w:r>
        <w:rPr>
          <w:rFonts w:ascii="宋体" w:hAnsi="宋体" w:cs="宋体" w:eastAsia="宋体" w:hint="default"/>
          <w:sz w:val="22"/>
          <w:szCs w:val="22"/>
        </w:rPr>
        <w:t>美元、抵</w:t>
      </w:r>
      <w:r>
        <w:rPr>
          <w:rFonts w:ascii="宋体" w:hAnsi="宋体" w:cs="宋体" w:eastAsia="宋体" w:hint="default"/>
          <w:w w:val="99"/>
          <w:sz w:val="22"/>
          <w:szCs w:val="22"/>
        </w:rPr>
        <w:t> </w:t>
      </w:r>
      <w:r>
        <w:rPr>
          <w:rFonts w:ascii="宋体" w:hAnsi="宋体" w:cs="宋体" w:eastAsia="宋体" w:hint="default"/>
          <w:sz w:val="22"/>
          <w:szCs w:val="22"/>
        </w:rPr>
        <w:t>押借款</w:t>
      </w:r>
      <w:r>
        <w:rPr>
          <w:rFonts w:ascii="宋体" w:hAnsi="宋体" w:cs="宋体" w:eastAsia="宋体" w:hint="default"/>
          <w:spacing w:val="-59"/>
          <w:sz w:val="22"/>
          <w:szCs w:val="22"/>
        </w:rPr>
        <w:t> </w:t>
      </w:r>
      <w:r>
        <w:rPr>
          <w:rFonts w:ascii="宋体" w:hAnsi="宋体" w:cs="宋体" w:eastAsia="宋体" w:hint="default"/>
          <w:sz w:val="22"/>
          <w:szCs w:val="22"/>
        </w:rPr>
        <w:t>2,765,843.43</w:t>
      </w:r>
      <w:r>
        <w:rPr>
          <w:rFonts w:ascii="宋体" w:hAnsi="宋体" w:cs="宋体" w:eastAsia="宋体" w:hint="default"/>
          <w:spacing w:val="-59"/>
          <w:sz w:val="22"/>
          <w:szCs w:val="22"/>
        </w:rPr>
        <w:t> </w:t>
      </w:r>
      <w:r>
        <w:rPr>
          <w:rFonts w:ascii="宋体" w:hAnsi="宋体" w:cs="宋体" w:eastAsia="宋体" w:hint="default"/>
          <w:sz w:val="22"/>
          <w:szCs w:val="22"/>
        </w:rPr>
        <w:t>美元，共计折合人民币为</w:t>
      </w:r>
      <w:r>
        <w:rPr>
          <w:rFonts w:ascii="宋体" w:hAnsi="宋体" w:cs="宋体" w:eastAsia="宋体" w:hint="default"/>
          <w:spacing w:val="-58"/>
          <w:sz w:val="22"/>
          <w:szCs w:val="22"/>
        </w:rPr>
        <w:t> </w:t>
      </w:r>
      <w:r>
        <w:rPr>
          <w:rFonts w:ascii="宋体" w:hAnsi="宋体" w:cs="宋体" w:eastAsia="宋体" w:hint="default"/>
          <w:sz w:val="22"/>
          <w:szCs w:val="22"/>
        </w:rPr>
        <w:t>61,631,468.73</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24" w:lineRule="auto" w:before="103"/>
        <w:ind w:left="518" w:right="524"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日，本公司之控股子公司</w:t>
      </w:r>
      <w:r>
        <w:rPr>
          <w:rFonts w:ascii="宋体" w:hAnsi="宋体" w:cs="宋体" w:eastAsia="宋体" w:hint="default"/>
          <w:spacing w:val="-55"/>
          <w:sz w:val="22"/>
          <w:szCs w:val="22"/>
        </w:rPr>
        <w:t> </w:t>
      </w:r>
      <w:r>
        <w:rPr>
          <w:rFonts w:ascii="宋体" w:hAnsi="宋体" w:cs="宋体" w:eastAsia="宋体" w:hint="default"/>
          <w:sz w:val="22"/>
          <w:szCs w:val="22"/>
        </w:rPr>
        <w:t>Technovator</w:t>
      </w:r>
      <w:r>
        <w:rPr>
          <w:rFonts w:ascii="宋体" w:hAnsi="宋体" w:cs="宋体" w:eastAsia="宋体" w:hint="default"/>
          <w:spacing w:val="-3"/>
          <w:sz w:val="22"/>
          <w:szCs w:val="22"/>
        </w:rPr>
        <w:t> </w:t>
      </w:r>
      <w:r>
        <w:rPr>
          <w:rFonts w:ascii="宋体" w:hAnsi="宋体" w:cs="宋体" w:eastAsia="宋体" w:hint="default"/>
          <w:sz w:val="22"/>
          <w:szCs w:val="22"/>
        </w:rPr>
        <w:t>Int</w:t>
      </w:r>
      <w:r>
        <w:rPr>
          <w:rFonts w:ascii="宋体" w:hAnsi="宋体" w:cs="宋体" w:eastAsia="宋体" w:hint="default"/>
          <w:spacing w:val="-3"/>
          <w:sz w:val="22"/>
          <w:szCs w:val="22"/>
        </w:rPr>
        <w:t> </w:t>
      </w:r>
      <w:r>
        <w:rPr>
          <w:rFonts w:ascii="宋体" w:hAnsi="宋体" w:cs="宋体" w:eastAsia="宋体" w:hint="default"/>
          <w:sz w:val="22"/>
          <w:szCs w:val="22"/>
        </w:rPr>
        <w:t>Private</w:t>
      </w:r>
      <w:r>
        <w:rPr>
          <w:rFonts w:ascii="宋体" w:hAnsi="宋体" w:cs="宋体" w:eastAsia="宋体" w:hint="default"/>
          <w:spacing w:val="-3"/>
          <w:sz w:val="22"/>
          <w:szCs w:val="22"/>
        </w:rPr>
        <w:t> </w:t>
      </w:r>
      <w:r>
        <w:rPr>
          <w:rFonts w:ascii="宋体" w:hAnsi="宋体" w:cs="宋体" w:eastAsia="宋体" w:hint="default"/>
          <w:sz w:val="22"/>
          <w:szCs w:val="22"/>
        </w:rPr>
        <w:t>Ltd.以部分经营</w:t>
      </w:r>
      <w:r>
        <w:rPr>
          <w:rFonts w:ascii="宋体" w:hAnsi="宋体" w:cs="宋体" w:eastAsia="宋体" w:hint="default"/>
          <w:w w:val="99"/>
          <w:sz w:val="22"/>
          <w:szCs w:val="22"/>
        </w:rPr>
        <w:t> </w:t>
      </w:r>
      <w:r>
        <w:rPr>
          <w:rFonts w:ascii="宋体" w:hAnsi="宋体" w:cs="宋体" w:eastAsia="宋体" w:hint="default"/>
          <w:sz w:val="22"/>
          <w:szCs w:val="22"/>
        </w:rPr>
        <w:t>性资产抵押取得借款</w:t>
      </w:r>
      <w:r>
        <w:rPr>
          <w:rFonts w:ascii="宋体" w:hAnsi="宋体" w:cs="宋体" w:eastAsia="宋体" w:hint="default"/>
          <w:spacing w:val="-59"/>
          <w:sz w:val="22"/>
          <w:szCs w:val="22"/>
        </w:rPr>
        <w:t> </w:t>
      </w:r>
      <w:r>
        <w:rPr>
          <w:rFonts w:ascii="宋体" w:hAnsi="宋体" w:cs="宋体" w:eastAsia="宋体" w:hint="default"/>
          <w:sz w:val="22"/>
          <w:szCs w:val="22"/>
        </w:rPr>
        <w:t>2,765,843.43</w:t>
      </w:r>
      <w:r>
        <w:rPr>
          <w:rFonts w:ascii="宋体" w:hAnsi="宋体" w:cs="宋体" w:eastAsia="宋体" w:hint="default"/>
          <w:spacing w:val="-60"/>
          <w:sz w:val="22"/>
          <w:szCs w:val="22"/>
        </w:rPr>
        <w:t> </w:t>
      </w:r>
      <w:r>
        <w:rPr>
          <w:rFonts w:ascii="宋体" w:hAnsi="宋体" w:cs="宋体" w:eastAsia="宋体" w:hint="default"/>
          <w:sz w:val="22"/>
          <w:szCs w:val="22"/>
        </w:rPr>
        <w:t>美元，折合人民币</w:t>
      </w:r>
      <w:r>
        <w:rPr>
          <w:rFonts w:ascii="宋体" w:hAnsi="宋体" w:cs="宋体" w:eastAsia="宋体" w:hint="default"/>
          <w:spacing w:val="-59"/>
          <w:sz w:val="22"/>
          <w:szCs w:val="22"/>
        </w:rPr>
        <w:t> </w:t>
      </w:r>
      <w:r>
        <w:rPr>
          <w:rFonts w:ascii="宋体" w:hAnsi="宋体" w:cs="宋体" w:eastAsia="宋体" w:hint="default"/>
          <w:sz w:val="22"/>
          <w:szCs w:val="22"/>
        </w:rPr>
        <w:t>18,317,351.27</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03"/>
        <w:ind w:left="959" w:right="0"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2010</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日，本公司保证借款的担保情况详见附注十</w:t>
      </w:r>
      <w:r>
        <w:rPr>
          <w:rFonts w:ascii="宋体" w:hAnsi="宋体" w:cs="宋体" w:eastAsia="宋体" w:hint="default"/>
          <w:spacing w:val="-110"/>
          <w:w w:val="99"/>
          <w:sz w:val="22"/>
          <w:szCs w:val="22"/>
        </w:rPr>
        <w:t>、</w:t>
      </w:r>
      <w:r>
        <w:rPr>
          <w:rFonts w:ascii="宋体" w:hAnsi="宋体" w:cs="宋体" w:eastAsia="宋体" w:hint="default"/>
          <w:spacing w:val="1"/>
          <w:w w:val="99"/>
          <w:sz w:val="22"/>
          <w:szCs w:val="22"/>
        </w:rPr>
        <w:t>（</w:t>
      </w:r>
      <w:r>
        <w:rPr>
          <w:rFonts w:ascii="宋体" w:hAnsi="宋体" w:cs="宋体" w:eastAsia="宋体" w:hint="default"/>
          <w:spacing w:val="-1"/>
          <w:w w:val="99"/>
          <w:sz w:val="22"/>
          <w:szCs w:val="22"/>
        </w:rPr>
        <w:t>二</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before="180"/>
        <w:ind w:left="9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金额前五名的一年内到期的长期借款</w:t>
      </w:r>
    </w:p>
    <w:p>
      <w:pPr>
        <w:spacing w:line="240" w:lineRule="auto" w:before="3"/>
        <w:rPr>
          <w:rFonts w:ascii="宋体" w:hAnsi="宋体" w:cs="宋体" w:eastAsia="宋体" w:hint="default"/>
          <w:sz w:val="11"/>
          <w:szCs w:val="11"/>
        </w:rPr>
      </w:pPr>
    </w:p>
    <w:p>
      <w:pPr>
        <w:spacing w:line="30" w:lineRule="exact"/>
        <w:ind w:left="108" w:right="0" w:firstLine="0"/>
        <w:rPr>
          <w:rFonts w:ascii="宋体" w:hAnsi="宋体" w:cs="宋体" w:eastAsia="宋体" w:hint="default"/>
          <w:sz w:val="3"/>
          <w:szCs w:val="3"/>
        </w:rPr>
      </w:pPr>
      <w:r>
        <w:rPr>
          <w:rFonts w:ascii="宋体" w:hAnsi="宋体" w:cs="宋体" w:eastAsia="宋体" w:hint="default"/>
          <w:position w:val="0"/>
          <w:sz w:val="3"/>
          <w:szCs w:val="3"/>
        </w:rPr>
        <w:pict>
          <v:group style="width:501pt;height:1.5pt;mso-position-horizontal-relative:char;mso-position-vertical-relative:line" coordorigin="0,0" coordsize="10020,30">
            <v:group style="position:absolute;left:15;top:15;width:9990;height:2" coordorigin="15,15" coordsize="9990,2">
              <v:shape style="position:absolute;left:15;top:15;width:9990;height:2" coordorigin="15,15" coordsize="9990,0" path="m15,15l1000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900" w:right="760"/>
        </w:sectPr>
      </w:pPr>
    </w:p>
    <w:p>
      <w:pPr>
        <w:tabs>
          <w:tab w:pos="2258" w:val="left" w:leader="none"/>
        </w:tabs>
        <w:spacing w:line="156" w:lineRule="exact" w:before="79"/>
        <w:ind w:left="662" w:right="-19" w:firstLine="0"/>
        <w:jc w:val="left"/>
        <w:rPr>
          <w:rFonts w:ascii="宋体" w:hAnsi="宋体" w:cs="宋体" w:eastAsia="宋体" w:hint="default"/>
          <w:sz w:val="18"/>
          <w:szCs w:val="18"/>
        </w:rPr>
      </w:pPr>
      <w:r>
        <w:rPr>
          <w:rFonts w:ascii="宋体" w:hAnsi="宋体" w:cs="宋体" w:eastAsia="宋体" w:hint="default"/>
          <w:b/>
          <w:bCs/>
          <w:w w:val="95"/>
          <w:sz w:val="18"/>
          <w:szCs w:val="18"/>
        </w:rPr>
        <w:t>贷款单位</w:t>
        <w:tab/>
      </w:r>
      <w:r>
        <w:rPr>
          <w:rFonts w:ascii="宋体" w:hAnsi="宋体" w:cs="宋体" w:eastAsia="宋体" w:hint="default"/>
          <w:b/>
          <w:bCs/>
          <w:position w:val="10"/>
          <w:sz w:val="18"/>
          <w:szCs w:val="18"/>
        </w:rPr>
        <w:t>借款</w:t>
      </w:r>
      <w:r>
        <w:rPr>
          <w:rFonts w:ascii="宋体" w:hAnsi="宋体" w:cs="宋体" w:eastAsia="宋体" w:hint="default"/>
          <w:sz w:val="18"/>
          <w:szCs w:val="18"/>
        </w:rPr>
      </w:r>
    </w:p>
    <w:p>
      <w:pPr>
        <w:tabs>
          <w:tab w:pos="4084" w:val="left" w:leader="none"/>
          <w:tab w:pos="6265" w:val="left" w:leader="none"/>
        </w:tabs>
        <w:spacing w:line="235" w:lineRule="exact" w:before="0"/>
        <w:ind w:left="614"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8"/>
          <w:sz w:val="18"/>
          <w:szCs w:val="18"/>
        </w:rPr>
        <w:t>借款</w:t>
        <w:tab/>
      </w: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10" w:h="16840"/>
          <w:pgMar w:top="1600" w:bottom="280" w:left="900" w:right="760"/>
          <w:cols w:num="2" w:equalWidth="0">
            <w:col w:w="2621" w:space="40"/>
            <w:col w:w="7589"/>
          </w:cols>
        </w:sectPr>
      </w:pPr>
    </w:p>
    <w:p>
      <w:pPr>
        <w:spacing w:before="45"/>
        <w:ind w:left="0" w:right="0" w:firstLine="0"/>
        <w:jc w:val="right"/>
        <w:rPr>
          <w:rFonts w:ascii="宋体" w:hAnsi="宋体" w:cs="宋体" w:eastAsia="宋体" w:hint="default"/>
          <w:sz w:val="18"/>
          <w:szCs w:val="18"/>
        </w:rPr>
      </w:pPr>
      <w:r>
        <w:rPr/>
        <w:pict>
          <v:shape style="position:absolute;margin-left:332.459991pt;margin-top:-4.497337pt;width:218.25pt;height:9pt;mso-position-horizontal-relative:page;mso-position-vertical-relative:paragraph;z-index:-1045864" type="#_x0000_t202" filled="false" stroked="false">
            <v:textbox inset="0,0,0,0">
              <w:txbxContent>
                <w:p>
                  <w:pPr>
                    <w:tabs>
                      <w:tab w:pos="4364"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z w:val="18"/>
                    </w:rPr>
                  </w:r>
                  <w:r>
                    <w:rPr>
                      <w:rFonts w:ascii="Times New Roman"/>
                      <w:sz w:val="18"/>
                    </w:rPr>
                  </w:r>
                </w:p>
              </w:txbxContent>
            </v:textbox>
            <w10:wrap type="none"/>
          </v:shape>
        </w:pict>
      </w:r>
      <w:r>
        <w:rPr>
          <w:rFonts w:ascii="宋体" w:hAnsi="宋体" w:cs="宋体" w:eastAsia="宋体" w:hint="default"/>
          <w:b/>
          <w:bCs/>
          <w:sz w:val="18"/>
          <w:szCs w:val="18"/>
        </w:rPr>
        <w:t>起始日</w:t>
      </w:r>
      <w:r>
        <w:rPr>
          <w:rFonts w:ascii="宋体" w:hAnsi="宋体" w:cs="宋体" w:eastAsia="宋体" w:hint="default"/>
          <w:sz w:val="18"/>
          <w:szCs w:val="18"/>
        </w:rPr>
      </w:r>
    </w:p>
    <w:p>
      <w:pPr>
        <w:tabs>
          <w:tab w:pos="1379" w:val="left" w:leader="none"/>
          <w:tab w:pos="2274" w:val="left" w:leader="none"/>
          <w:tab w:pos="3411" w:val="left" w:leader="none"/>
        </w:tabs>
        <w:spacing w:line="187" w:lineRule="auto" w:before="0"/>
        <w:ind w:left="3411" w:right="0" w:hanging="2979"/>
        <w:jc w:val="right"/>
        <w:rPr>
          <w:rFonts w:ascii="宋体" w:hAnsi="宋体" w:cs="宋体" w:eastAsia="宋体" w:hint="default"/>
          <w:sz w:val="18"/>
          <w:szCs w:val="18"/>
        </w:rPr>
      </w:pPr>
      <w:r>
        <w:rPr>
          <w:w w:val="95"/>
        </w:rPr>
        <w:br w:type="column"/>
      </w:r>
      <w:r>
        <w:rPr>
          <w:rFonts w:ascii="宋体" w:hAnsi="宋体" w:cs="宋体" w:eastAsia="宋体" w:hint="default"/>
          <w:b/>
          <w:bCs/>
          <w:w w:val="95"/>
          <w:position w:val="-9"/>
          <w:sz w:val="18"/>
          <w:szCs w:val="18"/>
        </w:rPr>
        <w:t>终止日</w:t>
        <w:tab/>
      </w:r>
      <w:r>
        <w:rPr>
          <w:rFonts w:ascii="宋体" w:hAnsi="宋体" w:cs="宋体" w:eastAsia="宋体" w:hint="default"/>
          <w:b/>
          <w:bCs/>
          <w:w w:val="95"/>
          <w:sz w:val="18"/>
          <w:szCs w:val="18"/>
        </w:rPr>
        <w:t>币种</w:t>
        <w:tab/>
        <w:t>利率</w:t>
        <w:tab/>
      </w:r>
      <w:r>
        <w:rPr>
          <w:rFonts w:ascii="宋体" w:hAnsi="宋体" w:cs="宋体" w:eastAsia="宋体" w:hint="default"/>
          <w:b/>
          <w:bCs/>
          <w:position w:val="-5"/>
          <w:sz w:val="18"/>
          <w:szCs w:val="18"/>
        </w:rPr>
        <w:t>外币</w:t>
      </w:r>
      <w:r>
        <w:rPr>
          <w:rFonts w:ascii="宋体" w:hAnsi="宋体" w:cs="宋体" w:eastAsia="宋体" w:hint="default"/>
          <w:b/>
          <w:bCs/>
          <w:spacing w:val="1"/>
          <w:w w:val="99"/>
          <w:position w:val="-5"/>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p>
      <w:pPr>
        <w:tabs>
          <w:tab w:pos="1819" w:val="left" w:leader="none"/>
          <w:tab w:pos="2741" w:val="left" w:leader="none"/>
        </w:tabs>
        <w:spacing w:line="218" w:lineRule="exact" w:before="7"/>
        <w:ind w:left="85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本币</w:t>
        <w:tab/>
        <w:t>外币</w:t>
        <w:tab/>
      </w:r>
      <w:r>
        <w:rPr>
          <w:rFonts w:ascii="宋体" w:hAnsi="宋体" w:cs="宋体" w:eastAsia="宋体" w:hint="default"/>
          <w:b/>
          <w:bCs/>
          <w:sz w:val="18"/>
          <w:szCs w:val="18"/>
        </w:rPr>
        <w:t>本币</w:t>
      </w:r>
      <w:r>
        <w:rPr>
          <w:rFonts w:ascii="宋体" w:hAnsi="宋体" w:cs="宋体" w:eastAsia="宋体" w:hint="default"/>
          <w:sz w:val="18"/>
          <w:szCs w:val="18"/>
        </w:rPr>
      </w:r>
    </w:p>
    <w:p>
      <w:pPr>
        <w:tabs>
          <w:tab w:pos="1819" w:val="left" w:leader="none"/>
          <w:tab w:pos="2741" w:val="left" w:leader="none"/>
        </w:tabs>
        <w:spacing w:line="218" w:lineRule="exact" w:before="0"/>
        <w:ind w:left="857"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金额</w:t>
        <w:tab/>
      </w:r>
      <w:r>
        <w:rPr>
          <w:rFonts w:ascii="宋体" w:hAnsi="宋体" w:cs="宋体" w:eastAsia="宋体" w:hint="default"/>
          <w:b/>
          <w:bCs/>
          <w:sz w:val="18"/>
          <w:szCs w:val="18"/>
        </w:rPr>
        <w:t>金额</w:t>
      </w:r>
      <w:r>
        <w:rPr>
          <w:rFonts w:ascii="宋体" w:hAnsi="宋体" w:cs="宋体" w:eastAsia="宋体" w:hint="default"/>
          <w:sz w:val="18"/>
          <w:szCs w:val="18"/>
        </w:rPr>
      </w:r>
    </w:p>
    <w:p>
      <w:pPr>
        <w:spacing w:after="0" w:line="218" w:lineRule="exact"/>
        <w:jc w:val="left"/>
        <w:rPr>
          <w:rFonts w:ascii="宋体" w:hAnsi="宋体" w:cs="宋体" w:eastAsia="宋体" w:hint="default"/>
          <w:sz w:val="18"/>
          <w:szCs w:val="18"/>
        </w:rPr>
        <w:sectPr>
          <w:type w:val="continuous"/>
          <w:pgSz w:w="11910" w:h="16840"/>
          <w:pgMar w:top="1600" w:bottom="280" w:left="900" w:right="760"/>
          <w:cols w:num="3" w:equalWidth="0">
            <w:col w:w="2713" w:space="40"/>
            <w:col w:w="3774" w:space="40"/>
            <w:col w:w="3683"/>
          </w:cols>
        </w:sect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500.35pt;height:.5pt;mso-position-horizontal-relative:char;mso-position-vertical-relative:line" coordorigin="0,0" coordsize="10007,10">
            <v:group style="position:absolute;left:5;top:5;width:9998;height:2" coordorigin="5,5" coordsize="9998,2">
              <v:shape style="position:absolute;left:5;top:5;width:9998;height:2" coordorigin="5,5" coordsize="9998,0" path="m5,5l10002,5e" filled="false" stroked="true" strokeweight=".48pt" strokecolor="#000000">
                <v:path arrowok="t"/>
              </v:shape>
            </v:group>
          </v:group>
        </w:pict>
      </w:r>
      <w:r>
        <w:rPr>
          <w:rFonts w:ascii="宋体" w:hAnsi="宋体" w:cs="宋体" w:eastAsia="宋体" w:hint="default"/>
          <w:sz w:val="2"/>
          <w:szCs w:val="2"/>
        </w:rPr>
      </w:r>
    </w:p>
    <w:p>
      <w:pPr>
        <w:tabs>
          <w:tab w:pos="2042" w:val="left" w:leader="none"/>
          <w:tab w:pos="3057" w:val="left" w:leader="none"/>
          <w:tab w:pos="4074" w:val="left" w:leader="none"/>
          <w:tab w:pos="5249" w:val="left" w:leader="none"/>
          <w:tab w:pos="6504" w:val="left" w:leader="none"/>
          <w:tab w:pos="7050" w:val="left" w:leader="none"/>
          <w:tab w:pos="8426" w:val="left" w:leader="none"/>
          <w:tab w:pos="9690" w:val="left" w:leader="none"/>
        </w:tabs>
        <w:spacing w:before="18"/>
        <w:ind w:left="224" w:right="0" w:firstLine="0"/>
        <w:jc w:val="left"/>
        <w:rPr>
          <w:rFonts w:ascii="宋体" w:hAnsi="宋体" w:cs="宋体" w:eastAsia="宋体" w:hint="default"/>
          <w:sz w:val="16"/>
          <w:szCs w:val="16"/>
        </w:rPr>
      </w:pPr>
      <w:r>
        <w:rPr>
          <w:rFonts w:ascii="宋体" w:hAnsi="宋体" w:cs="宋体" w:eastAsia="宋体" w:hint="default"/>
          <w:w w:val="95"/>
          <w:sz w:val="16"/>
          <w:szCs w:val="16"/>
        </w:rPr>
        <w:t>中国进出口银行</w:t>
        <w:tab/>
      </w:r>
      <w:r>
        <w:rPr>
          <w:rFonts w:ascii="宋体" w:hAnsi="宋体" w:cs="宋体" w:eastAsia="宋体" w:hint="default"/>
          <w:spacing w:val="-1"/>
          <w:sz w:val="16"/>
          <w:szCs w:val="16"/>
        </w:rPr>
        <w:t>2009.07.17</w:t>
        <w:tab/>
        <w:t>2011.06.10</w:t>
        <w:tab/>
      </w:r>
      <w:r>
        <w:rPr>
          <w:rFonts w:ascii="宋体" w:hAnsi="宋体" w:cs="宋体" w:eastAsia="宋体" w:hint="default"/>
          <w:w w:val="95"/>
          <w:sz w:val="16"/>
          <w:szCs w:val="16"/>
        </w:rPr>
        <w:t>人民币</w:t>
        <w:tab/>
      </w:r>
      <w:r>
        <w:rPr>
          <w:rFonts w:ascii="宋体" w:hAnsi="宋体" w:cs="宋体" w:eastAsia="宋体" w:hint="default"/>
          <w:spacing w:val="-1"/>
          <w:sz w:val="16"/>
          <w:szCs w:val="16"/>
        </w:rPr>
        <w:t>3.51%</w:t>
        <w:tab/>
      </w:r>
      <w:r>
        <w:rPr>
          <w:rFonts w:ascii="宋体" w:hAnsi="宋体" w:cs="宋体" w:eastAsia="宋体" w:hint="default"/>
          <w:w w:val="95"/>
          <w:sz w:val="16"/>
          <w:szCs w:val="16"/>
        </w:rPr>
        <w:t>0.00</w:t>
        <w:tab/>
      </w:r>
      <w:r>
        <w:rPr>
          <w:rFonts w:ascii="宋体" w:hAnsi="宋体" w:cs="宋体" w:eastAsia="宋体" w:hint="default"/>
          <w:spacing w:val="-1"/>
          <w:sz w:val="16"/>
          <w:szCs w:val="16"/>
        </w:rPr>
        <w:t>100,000,000.00</w:t>
        <w:tab/>
      </w:r>
      <w:r>
        <w:rPr>
          <w:rFonts w:ascii="宋体" w:hAnsi="宋体" w:cs="宋体" w:eastAsia="宋体" w:hint="default"/>
          <w:w w:val="95"/>
          <w:sz w:val="16"/>
          <w:szCs w:val="16"/>
        </w:rPr>
        <w:t>0.00</w:t>
      </w:r>
      <w:r>
        <w:rPr>
          <w:rFonts w:ascii="Times New Roman" w:hAnsi="Times New Roman" w:cs="Times New Roman" w:eastAsia="Times New Roman" w:hint="default"/>
          <w:b/>
          <w:bCs/>
          <w:w w:val="95"/>
          <w:sz w:val="16"/>
          <w:szCs w:val="16"/>
        </w:rPr>
        <w:tab/>
      </w:r>
      <w:r>
        <w:rPr>
          <w:rFonts w:ascii="宋体" w:hAnsi="宋体" w:cs="宋体" w:eastAsia="宋体" w:hint="default"/>
          <w:sz w:val="16"/>
          <w:szCs w:val="16"/>
        </w:rPr>
        <w:t>0.00</w:t>
      </w:r>
    </w:p>
    <w:p>
      <w:pPr>
        <w:spacing w:after="0"/>
        <w:jc w:val="left"/>
        <w:rPr>
          <w:rFonts w:ascii="宋体" w:hAnsi="宋体" w:cs="宋体" w:eastAsia="宋体" w:hint="default"/>
          <w:sz w:val="16"/>
          <w:szCs w:val="16"/>
        </w:rPr>
        <w:sectPr>
          <w:type w:val="continuous"/>
          <w:pgSz w:w="11910" w:h="16840"/>
          <w:pgMar w:top="1600" w:bottom="280" w:left="900" w:right="760"/>
        </w:sectPr>
      </w:pPr>
    </w:p>
    <w:p>
      <w:pPr>
        <w:tabs>
          <w:tab w:pos="2043" w:val="left" w:leader="none"/>
          <w:tab w:pos="3058" w:val="left" w:leader="none"/>
          <w:tab w:pos="4234" w:val="left" w:leader="none"/>
          <w:tab w:pos="4768" w:val="left" w:leader="none"/>
        </w:tabs>
        <w:spacing w:before="32"/>
        <w:ind w:left="224" w:right="-14" w:firstLine="0"/>
        <w:jc w:val="left"/>
        <w:rPr>
          <w:rFonts w:ascii="宋体" w:hAnsi="宋体" w:cs="宋体" w:eastAsia="宋体" w:hint="default"/>
          <w:sz w:val="16"/>
          <w:szCs w:val="16"/>
        </w:rPr>
      </w:pPr>
      <w:r>
        <w:rPr/>
        <w:pict>
          <v:shape style="position:absolute;margin-left:50.82pt;margin-top:14.129284pt;width:499.9pt;height:111.2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1016"/>
                    <w:gridCol w:w="834"/>
                    <w:gridCol w:w="1276"/>
                    <w:gridCol w:w="855"/>
                    <w:gridCol w:w="1365"/>
                    <w:gridCol w:w="558"/>
                    <w:gridCol w:w="1258"/>
                  </w:tblGrid>
                  <w:tr>
                    <w:trPr>
                      <w:trHeight w:val="461"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819" w:val="left" w:leader="none"/>
                          </w:tabs>
                          <w:spacing w:line="240" w:lineRule="auto"/>
                          <w:ind w:right="104"/>
                          <w:jc w:val="right"/>
                          <w:rPr>
                            <w:rFonts w:ascii="宋体" w:hAnsi="宋体" w:cs="宋体" w:eastAsia="宋体" w:hint="default"/>
                            <w:sz w:val="16"/>
                            <w:szCs w:val="16"/>
                          </w:rPr>
                        </w:pPr>
                        <w:r>
                          <w:rPr>
                            <w:rFonts w:ascii="宋体" w:hAnsi="宋体" w:cs="宋体" w:eastAsia="宋体" w:hint="default"/>
                            <w:w w:val="95"/>
                            <w:sz w:val="16"/>
                            <w:szCs w:val="16"/>
                          </w:rPr>
                          <w:t>国家开发银行北京分行</w:t>
                          <w:tab/>
                        </w:r>
                        <w:r>
                          <w:rPr>
                            <w:rFonts w:ascii="宋体" w:hAnsi="宋体" w:cs="宋体" w:eastAsia="宋体" w:hint="default"/>
                            <w:spacing w:val="-1"/>
                            <w:sz w:val="16"/>
                            <w:szCs w:val="16"/>
                          </w:rPr>
                          <w:t>2006.06.29</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6"/>
                            <w:szCs w:val="16"/>
                          </w:rPr>
                        </w:pPr>
                        <w:r>
                          <w:rPr>
                            <w:rFonts w:ascii="宋体"/>
                            <w:sz w:val="16"/>
                          </w:rPr>
                          <w:t>2011.06.28</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人民币</w:t>
                        </w:r>
                      </w:p>
                    </w:tc>
                    <w:tc>
                      <w:tcPr>
                        <w:tcW w:w="1276" w:type="dxa"/>
                        <w:tcBorders>
                          <w:top w:val="nil" w:sz="6" w:space="0" w:color="auto"/>
                          <w:left w:val="nil" w:sz="6" w:space="0" w:color="auto"/>
                          <w:bottom w:val="nil" w:sz="6" w:space="0" w:color="auto"/>
                          <w:right w:val="nil" w:sz="6" w:space="0" w:color="auto"/>
                        </w:tcBorders>
                      </w:tcPr>
                      <w:p>
                        <w:pPr>
                          <w:pStyle w:val="TableParagraph"/>
                          <w:spacing w:line="160" w:lineRule="exact"/>
                          <w:ind w:left="368" w:right="0" w:hanging="123"/>
                          <w:jc w:val="left"/>
                          <w:rPr>
                            <w:rFonts w:ascii="宋体" w:hAnsi="宋体" w:cs="宋体" w:eastAsia="宋体" w:hint="default"/>
                            <w:sz w:val="16"/>
                            <w:szCs w:val="16"/>
                          </w:rPr>
                        </w:pPr>
                        <w:r>
                          <w:rPr>
                            <w:rFonts w:ascii="宋体" w:hAnsi="宋体" w:cs="宋体" w:eastAsia="宋体" w:hint="default"/>
                            <w:sz w:val="16"/>
                            <w:szCs w:val="16"/>
                          </w:rPr>
                          <w:t>加</w:t>
                        </w:r>
                        <w:r>
                          <w:rPr>
                            <w:rFonts w:ascii="宋体" w:hAnsi="宋体" w:cs="宋体" w:eastAsia="宋体" w:hint="default"/>
                            <w:spacing w:val="-43"/>
                            <w:sz w:val="16"/>
                            <w:szCs w:val="16"/>
                          </w:rPr>
                          <w:t> </w:t>
                        </w:r>
                        <w:r>
                          <w:rPr>
                            <w:rFonts w:ascii="宋体" w:hAnsi="宋体" w:cs="宋体" w:eastAsia="宋体" w:hint="default"/>
                            <w:sz w:val="16"/>
                            <w:szCs w:val="16"/>
                          </w:rPr>
                          <w:t>330BP</w:t>
                        </w:r>
                      </w:p>
                      <w:p>
                        <w:pPr>
                          <w:pStyle w:val="TableParagraph"/>
                          <w:spacing w:line="240" w:lineRule="auto" w:before="30"/>
                          <w:ind w:left="368" w:right="0"/>
                          <w:jc w:val="left"/>
                          <w:rPr>
                            <w:rFonts w:ascii="宋体" w:hAnsi="宋体" w:cs="宋体" w:eastAsia="宋体" w:hint="default"/>
                            <w:sz w:val="16"/>
                            <w:szCs w:val="16"/>
                          </w:rPr>
                        </w:pPr>
                        <w:r>
                          <w:rPr>
                            <w:rFonts w:ascii="宋体"/>
                            <w:sz w:val="16"/>
                          </w:rPr>
                          <w:t>5.346%</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6"/>
                            <w:szCs w:val="16"/>
                          </w:rPr>
                        </w:pPr>
                        <w:r>
                          <w:rPr>
                            <w:rFonts w:ascii="宋体"/>
                            <w:spacing w:val="-1"/>
                            <w:sz w:val="16"/>
                          </w:rPr>
                          <w:t>19,000,000.00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6"/>
                            <w:szCs w:val="16"/>
                          </w:rPr>
                        </w:pPr>
                        <w:r>
                          <w:rPr>
                            <w:rFonts w:ascii="宋体"/>
                            <w:sz w:val="16"/>
                          </w:rPr>
                          <w:t>0.00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19,000,000.00</w:t>
                        </w:r>
                      </w:p>
                    </w:tc>
                  </w:tr>
                  <w:tr>
                    <w:trPr>
                      <w:trHeight w:val="283" w:hRule="exact"/>
                    </w:trPr>
                    <w:tc>
                      <w:tcPr>
                        <w:tcW w:w="2835" w:type="dxa"/>
                        <w:tcBorders>
                          <w:top w:val="nil" w:sz="6" w:space="0" w:color="auto"/>
                          <w:left w:val="nil" w:sz="6" w:space="0" w:color="auto"/>
                          <w:bottom w:val="nil" w:sz="6" w:space="0" w:color="auto"/>
                          <w:right w:val="nil" w:sz="6" w:space="0" w:color="auto"/>
                        </w:tcBorders>
                      </w:tcPr>
                      <w:p>
                        <w:pPr>
                          <w:pStyle w:val="TableParagraph"/>
                          <w:tabs>
                            <w:tab w:pos="2618" w:val="right" w:leader="none"/>
                          </w:tabs>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工商银行沂南支行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2009.03.30</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6" w:right="0"/>
                          <w:jc w:val="left"/>
                          <w:rPr>
                            <w:rFonts w:ascii="宋体" w:hAnsi="宋体" w:cs="宋体" w:eastAsia="宋体" w:hint="default"/>
                            <w:sz w:val="16"/>
                            <w:szCs w:val="16"/>
                          </w:rPr>
                        </w:pPr>
                        <w:r>
                          <w:rPr>
                            <w:rFonts w:ascii="宋体"/>
                            <w:sz w:val="16"/>
                          </w:rPr>
                          <w:t>2011.09.29</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人民币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26"/>
                          <w:jc w:val="right"/>
                          <w:rPr>
                            <w:rFonts w:ascii="宋体" w:hAnsi="宋体" w:cs="宋体" w:eastAsia="宋体" w:hint="default"/>
                            <w:sz w:val="16"/>
                            <w:szCs w:val="16"/>
                          </w:rPr>
                        </w:pPr>
                        <w:r>
                          <w:rPr>
                            <w:rFonts w:ascii="宋体"/>
                            <w:spacing w:val="-1"/>
                            <w:sz w:val="16"/>
                          </w:rPr>
                          <w:t>5.76%</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宋体" w:hAnsi="宋体" w:cs="宋体" w:eastAsia="宋体" w:hint="default"/>
                            <w:sz w:val="16"/>
                            <w:szCs w:val="16"/>
                          </w:rPr>
                        </w:pPr>
                        <w:r>
                          <w:rPr>
                            <w:rFonts w:ascii="宋体"/>
                            <w:spacing w:val="-1"/>
                            <w:sz w:val="16"/>
                          </w:rPr>
                          <w:t>16,250,000.00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8,125,000.00</w:t>
                        </w:r>
                      </w:p>
                    </w:tc>
                  </w:tr>
                  <w:tr>
                    <w:trPr>
                      <w:trHeight w:val="287" w:hRule="exact"/>
                    </w:trPr>
                    <w:tc>
                      <w:tcPr>
                        <w:tcW w:w="2835" w:type="dxa"/>
                        <w:tcBorders>
                          <w:top w:val="nil" w:sz="6" w:space="0" w:color="auto"/>
                          <w:left w:val="nil" w:sz="6" w:space="0" w:color="auto"/>
                          <w:bottom w:val="single" w:sz="4" w:space="0" w:color="000000"/>
                          <w:right w:val="nil" w:sz="6" w:space="0" w:color="auto"/>
                        </w:tcBorders>
                      </w:tcPr>
                      <w:p>
                        <w:pPr>
                          <w:pStyle w:val="TableParagraph"/>
                          <w:tabs>
                            <w:tab w:pos="1819" w:val="left" w:leader="none"/>
                          </w:tabs>
                          <w:spacing w:line="240" w:lineRule="auto" w:before="12"/>
                          <w:ind w:right="104"/>
                          <w:jc w:val="right"/>
                          <w:rPr>
                            <w:rFonts w:ascii="宋体" w:hAnsi="宋体" w:cs="宋体" w:eastAsia="宋体" w:hint="default"/>
                            <w:sz w:val="16"/>
                            <w:szCs w:val="16"/>
                          </w:rPr>
                        </w:pPr>
                        <w:r>
                          <w:rPr>
                            <w:rFonts w:ascii="宋体" w:hAnsi="宋体" w:cs="宋体" w:eastAsia="宋体" w:hint="default"/>
                            <w:w w:val="95"/>
                            <w:sz w:val="16"/>
                            <w:szCs w:val="16"/>
                          </w:rPr>
                          <w:t>国家开发银行北京分行</w:t>
                          <w:tab/>
                        </w:r>
                        <w:r>
                          <w:rPr>
                            <w:rFonts w:ascii="宋体" w:hAnsi="宋体" w:cs="宋体" w:eastAsia="宋体" w:hint="default"/>
                            <w:spacing w:val="-1"/>
                            <w:sz w:val="16"/>
                            <w:szCs w:val="16"/>
                          </w:rPr>
                          <w:t>2008.11.28</w:t>
                        </w: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sz w:val="16"/>
                          </w:rPr>
                          <w:t>2011.11.25</w:t>
                        </w:r>
                      </w:p>
                    </w:tc>
                    <w:tc>
                      <w:tcPr>
                        <w:tcW w:w="83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人民币</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424"/>
                          <w:jc w:val="right"/>
                          <w:rPr>
                            <w:rFonts w:ascii="宋体" w:hAnsi="宋体" w:cs="宋体" w:eastAsia="宋体" w:hint="default"/>
                            <w:sz w:val="16"/>
                            <w:szCs w:val="16"/>
                          </w:rPr>
                        </w:pPr>
                        <w:r>
                          <w:rPr>
                            <w:rFonts w:ascii="宋体"/>
                            <w:w w:val="95"/>
                            <w:sz w:val="16"/>
                          </w:rPr>
                          <w:t>6.4%</w:t>
                        </w:r>
                        <w:r>
                          <w:rPr>
                            <w:rFonts w:ascii="宋体"/>
                            <w:sz w:val="16"/>
                          </w:rPr>
                        </w:r>
                      </w:p>
                    </w:tc>
                    <w:tc>
                      <w:tcPr>
                        <w:tcW w:w="85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26"/>
                          <w:jc w:val="right"/>
                          <w:rPr>
                            <w:rFonts w:ascii="宋体" w:hAnsi="宋体" w:cs="宋体" w:eastAsia="宋体" w:hint="default"/>
                            <w:sz w:val="16"/>
                            <w:szCs w:val="16"/>
                          </w:rPr>
                        </w:pPr>
                        <w:r>
                          <w:rPr>
                            <w:rFonts w:ascii="宋体"/>
                            <w:spacing w:val="-1"/>
                            <w:sz w:val="16"/>
                          </w:rPr>
                          <w:t>10,000,000.00</w:t>
                        </w:r>
                      </w:p>
                    </w:tc>
                    <w:tc>
                      <w:tcPr>
                        <w:tcW w:w="55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303" w:hRule="exact"/>
                    </w:trPr>
                    <w:tc>
                      <w:tcPr>
                        <w:tcW w:w="28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746"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016" w:type="dxa"/>
                        <w:tcBorders>
                          <w:top w:val="single" w:sz="4" w:space="0" w:color="000000"/>
                          <w:left w:val="nil" w:sz="6" w:space="0" w:color="auto"/>
                          <w:bottom w:val="single" w:sz="12" w:space="0" w:color="000000"/>
                          <w:right w:val="nil" w:sz="6" w:space="0" w:color="auto"/>
                        </w:tcBorders>
                      </w:tcPr>
                      <w:p>
                        <w:pPr/>
                      </w:p>
                    </w:tc>
                    <w:tc>
                      <w:tcPr>
                        <w:tcW w:w="834" w:type="dxa"/>
                        <w:tcBorders>
                          <w:top w:val="single" w:sz="4" w:space="0" w:color="000000"/>
                          <w:left w:val="nil" w:sz="6" w:space="0" w:color="auto"/>
                          <w:bottom w:val="single" w:sz="12" w:space="0" w:color="000000"/>
                          <w:right w:val="nil" w:sz="6" w:space="0" w:color="auto"/>
                        </w:tcBorders>
                      </w:tcPr>
                      <w:p>
                        <w:pPr/>
                      </w:p>
                    </w:tc>
                    <w:tc>
                      <w:tcPr>
                        <w:tcW w:w="1276" w:type="dxa"/>
                        <w:tcBorders>
                          <w:top w:val="single" w:sz="4" w:space="0" w:color="000000"/>
                          <w:left w:val="nil" w:sz="6" w:space="0" w:color="auto"/>
                          <w:bottom w:val="single" w:sz="12" w:space="0" w:color="000000"/>
                          <w:right w:val="nil" w:sz="6" w:space="0" w:color="auto"/>
                        </w:tcBorders>
                      </w:tcPr>
                      <w:p>
                        <w:pPr/>
                      </w:p>
                    </w:tc>
                    <w:tc>
                      <w:tcPr>
                        <w:tcW w:w="855" w:type="dxa"/>
                        <w:tcBorders>
                          <w:top w:val="single" w:sz="4" w:space="0" w:color="000000"/>
                          <w:left w:val="nil" w:sz="6" w:space="0" w:color="auto"/>
                          <w:bottom w:val="single" w:sz="12" w:space="0" w:color="000000"/>
                          <w:right w:val="nil" w:sz="6" w:space="0" w:color="auto"/>
                        </w:tcBorders>
                      </w:tcPr>
                      <w:p>
                        <w:pPr/>
                      </w:p>
                    </w:tc>
                    <w:tc>
                      <w:tcPr>
                        <w:tcW w:w="13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27"/>
                          <w:jc w:val="right"/>
                          <w:rPr>
                            <w:rFonts w:ascii="宋体" w:hAnsi="宋体" w:cs="宋体" w:eastAsia="宋体" w:hint="default"/>
                            <w:sz w:val="16"/>
                            <w:szCs w:val="16"/>
                          </w:rPr>
                        </w:pPr>
                        <w:r>
                          <w:rPr>
                            <w:rFonts w:ascii="宋体"/>
                            <w:b/>
                            <w:w w:val="95"/>
                            <w:sz w:val="16"/>
                          </w:rPr>
                          <w:t>184,986,200.00</w:t>
                        </w:r>
                        <w:r>
                          <w:rPr>
                            <w:rFonts w:ascii="宋体"/>
                            <w:sz w:val="16"/>
                          </w:rPr>
                        </w:r>
                      </w:p>
                    </w:tc>
                    <w:tc>
                      <w:tcPr>
                        <w:tcW w:w="558" w:type="dxa"/>
                        <w:tcBorders>
                          <w:top w:val="single" w:sz="4" w:space="0" w:color="000000"/>
                          <w:left w:val="nil" w:sz="6" w:space="0" w:color="auto"/>
                          <w:bottom w:val="single" w:sz="12" w:space="0" w:color="000000"/>
                          <w:right w:val="nil" w:sz="6" w:space="0" w:color="auto"/>
                        </w:tcBorders>
                      </w:tcPr>
                      <w:p>
                        <w:pPr/>
                      </w:p>
                    </w:tc>
                    <w:tc>
                      <w:tcPr>
                        <w:tcW w:w="12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99"/>
                          <w:jc w:val="right"/>
                          <w:rPr>
                            <w:rFonts w:ascii="宋体" w:hAnsi="宋体" w:cs="宋体" w:eastAsia="宋体" w:hint="default"/>
                            <w:sz w:val="16"/>
                            <w:szCs w:val="16"/>
                          </w:rPr>
                        </w:pPr>
                        <w:r>
                          <w:rPr>
                            <w:rFonts w:ascii="宋体"/>
                            <w:b/>
                            <w:w w:val="95"/>
                            <w:sz w:val="16"/>
                          </w:rPr>
                          <w:t>27,125,000.00</w:t>
                        </w:r>
                        <w:r>
                          <w:rPr>
                            <w:rFonts w:ascii="宋体"/>
                            <w:sz w:val="16"/>
                          </w:rPr>
                        </w:r>
                      </w:p>
                    </w:tc>
                  </w:tr>
                  <w:tr>
                    <w:trPr>
                      <w:trHeight w:val="409" w:hRule="exact"/>
                    </w:trPr>
                    <w:tc>
                      <w:tcPr>
                        <w:tcW w:w="2835"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right="203"/>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33.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其他流动负债</w:t>
                        </w:r>
                      </w:p>
                    </w:tc>
                    <w:tc>
                      <w:tcPr>
                        <w:tcW w:w="1016" w:type="dxa"/>
                        <w:tcBorders>
                          <w:top w:val="single" w:sz="12" w:space="0" w:color="000000"/>
                          <w:left w:val="nil" w:sz="6" w:space="0" w:color="auto"/>
                          <w:bottom w:val="nil" w:sz="6" w:space="0" w:color="auto"/>
                          <w:right w:val="nil" w:sz="6" w:space="0" w:color="auto"/>
                        </w:tcBorders>
                      </w:tcPr>
                      <w:p>
                        <w:pPr/>
                      </w:p>
                    </w:tc>
                    <w:tc>
                      <w:tcPr>
                        <w:tcW w:w="834" w:type="dxa"/>
                        <w:tcBorders>
                          <w:top w:val="single" w:sz="12" w:space="0" w:color="000000"/>
                          <w:left w:val="nil" w:sz="6" w:space="0" w:color="auto"/>
                          <w:bottom w:val="nil" w:sz="6" w:space="0" w:color="auto"/>
                          <w:right w:val="nil" w:sz="6" w:space="0" w:color="auto"/>
                        </w:tcBorders>
                      </w:tcPr>
                      <w:p>
                        <w:pPr/>
                      </w:p>
                    </w:tc>
                    <w:tc>
                      <w:tcPr>
                        <w:tcW w:w="1276" w:type="dxa"/>
                        <w:tcBorders>
                          <w:top w:val="single" w:sz="12" w:space="0" w:color="000000"/>
                          <w:left w:val="nil" w:sz="6" w:space="0" w:color="auto"/>
                          <w:bottom w:val="nil" w:sz="6" w:space="0" w:color="auto"/>
                          <w:right w:val="nil" w:sz="6" w:space="0" w:color="auto"/>
                        </w:tcBorders>
                      </w:tcPr>
                      <w:p>
                        <w:pPr/>
                      </w:p>
                    </w:tc>
                    <w:tc>
                      <w:tcPr>
                        <w:tcW w:w="855" w:type="dxa"/>
                        <w:tcBorders>
                          <w:top w:val="single" w:sz="12" w:space="0" w:color="000000"/>
                          <w:left w:val="nil" w:sz="6" w:space="0" w:color="auto"/>
                          <w:bottom w:val="nil" w:sz="6" w:space="0" w:color="auto"/>
                          <w:right w:val="nil" w:sz="6" w:space="0" w:color="auto"/>
                        </w:tcBorders>
                      </w:tcPr>
                      <w:p>
                        <w:pPr/>
                      </w:p>
                    </w:tc>
                    <w:tc>
                      <w:tcPr>
                        <w:tcW w:w="1365" w:type="dxa"/>
                        <w:tcBorders>
                          <w:top w:val="single" w:sz="12" w:space="0" w:color="000000"/>
                          <w:left w:val="nil" w:sz="6" w:space="0" w:color="auto"/>
                          <w:bottom w:val="nil" w:sz="6" w:space="0" w:color="auto"/>
                          <w:right w:val="nil" w:sz="6" w:space="0" w:color="auto"/>
                        </w:tcBorders>
                      </w:tcPr>
                      <w:p>
                        <w:pPr/>
                      </w:p>
                    </w:tc>
                    <w:tc>
                      <w:tcPr>
                        <w:tcW w:w="558" w:type="dxa"/>
                        <w:tcBorders>
                          <w:top w:val="single" w:sz="12" w:space="0" w:color="000000"/>
                          <w:left w:val="nil" w:sz="6" w:space="0" w:color="auto"/>
                          <w:bottom w:val="nil" w:sz="6" w:space="0" w:color="auto"/>
                          <w:right w:val="nil" w:sz="6" w:space="0" w:color="auto"/>
                        </w:tcBorders>
                      </w:tcPr>
                      <w:p>
                        <w:pPr/>
                      </w:p>
                    </w:tc>
                    <w:tc>
                      <w:tcPr>
                        <w:tcW w:w="1258" w:type="dxa"/>
                        <w:tcBorders>
                          <w:top w:val="single" w:sz="12" w:space="0" w:color="000000"/>
                          <w:left w:val="nil" w:sz="6" w:space="0" w:color="auto"/>
                          <w:bottom w:val="nil" w:sz="6" w:space="0" w:color="auto"/>
                          <w:right w:val="nil" w:sz="6" w:space="0" w:color="auto"/>
                        </w:tcBorders>
                      </w:tcPr>
                      <w:p>
                        <w:pPr/>
                      </w:p>
                    </w:tc>
                  </w:tr>
                  <w:tr>
                    <w:trPr>
                      <w:trHeight w:val="480" w:hRule="exact"/>
                    </w:trPr>
                    <w:tc>
                      <w:tcPr>
                        <w:tcW w:w="999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5411" w:val="left" w:leader="none"/>
                            <w:tab w:pos="8294" w:val="left" w:leader="none"/>
                          </w:tabs>
                          <w:spacing w:line="240" w:lineRule="auto"/>
                          <w:ind w:left="787" w:right="0"/>
                          <w:jc w:val="left"/>
                          <w:rPr>
                            <w:rFonts w:ascii="宋体" w:hAnsi="宋体" w:cs="宋体" w:eastAsia="宋体" w:hint="default"/>
                            <w:sz w:val="18"/>
                            <w:szCs w:val="18"/>
                          </w:rPr>
                        </w:pPr>
                        <w:r>
                          <w:rPr>
                            <w:rFonts w:ascii="宋体" w:hAnsi="宋体" w:cs="宋体" w:eastAsia="宋体" w:hint="default"/>
                            <w:b/>
                            <w:bCs/>
                            <w:w w:val="95"/>
                            <w:sz w:val="18"/>
                            <w:szCs w:val="18"/>
                          </w:rPr>
                          <w:t>项目</w:t>
                          <w:tab/>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95"/>
          <w:sz w:val="16"/>
          <w:szCs w:val="16"/>
        </w:rPr>
        <w:t>国家开发银行北京分行</w:t>
        <w:tab/>
      </w:r>
      <w:r>
        <w:rPr>
          <w:rFonts w:ascii="宋体" w:hAnsi="宋体" w:cs="宋体" w:eastAsia="宋体" w:hint="default"/>
          <w:spacing w:val="-1"/>
          <w:sz w:val="16"/>
          <w:szCs w:val="16"/>
        </w:rPr>
        <w:t>2008.12.29</w:t>
        <w:tab/>
        <w:t>2011.12.23</w:t>
        <w:tab/>
        <w:t>美元</w:t>
        <w:tab/>
      </w:r>
      <w:r>
        <w:rPr>
          <w:rFonts w:ascii="宋体" w:hAnsi="宋体" w:cs="宋体" w:eastAsia="宋体" w:hint="default"/>
          <w:position w:val="10"/>
          <w:sz w:val="16"/>
          <w:szCs w:val="16"/>
        </w:rPr>
        <w:t>3</w:t>
      </w:r>
      <w:r>
        <w:rPr>
          <w:rFonts w:ascii="宋体" w:hAnsi="宋体" w:cs="宋体" w:eastAsia="宋体" w:hint="default"/>
          <w:spacing w:val="-41"/>
          <w:position w:val="10"/>
          <w:sz w:val="16"/>
          <w:szCs w:val="16"/>
        </w:rPr>
        <w:t> </w:t>
      </w:r>
      <w:r>
        <w:rPr>
          <w:rFonts w:ascii="宋体" w:hAnsi="宋体" w:cs="宋体" w:eastAsia="宋体" w:hint="default"/>
          <w:spacing w:val="-1"/>
          <w:position w:val="10"/>
          <w:sz w:val="16"/>
          <w:szCs w:val="16"/>
        </w:rPr>
        <w:t>个月</w:t>
      </w:r>
      <w:r>
        <w:rPr>
          <w:rFonts w:ascii="宋体" w:hAnsi="宋体" w:cs="宋体" w:eastAsia="宋体" w:hint="default"/>
          <w:spacing w:val="-42"/>
          <w:position w:val="10"/>
          <w:sz w:val="16"/>
          <w:szCs w:val="16"/>
        </w:rPr>
        <w:t> </w:t>
      </w:r>
      <w:r>
        <w:rPr>
          <w:rFonts w:ascii="宋体" w:hAnsi="宋体" w:cs="宋体" w:eastAsia="宋体" w:hint="default"/>
          <w:position w:val="10"/>
          <w:sz w:val="16"/>
          <w:szCs w:val="16"/>
        </w:rPr>
        <w:t>LIBOR</w:t>
      </w:r>
      <w:r>
        <w:rPr>
          <w:rFonts w:ascii="宋体" w:hAnsi="宋体" w:cs="宋体" w:eastAsia="宋体" w:hint="default"/>
          <w:sz w:val="16"/>
          <w:szCs w:val="16"/>
        </w:rPr>
      </w:r>
    </w:p>
    <w:p>
      <w:pPr>
        <w:tabs>
          <w:tab w:pos="1438" w:val="left" w:leader="none"/>
          <w:tab w:pos="2736" w:val="left" w:leader="none"/>
          <w:tab w:pos="4001" w:val="left" w:leader="none"/>
        </w:tabs>
        <w:spacing w:before="132"/>
        <w:ind w:left="174" w:right="0" w:firstLine="0"/>
        <w:jc w:val="left"/>
        <w:rPr>
          <w:rFonts w:ascii="宋体" w:hAnsi="宋体" w:cs="宋体" w:eastAsia="宋体" w:hint="default"/>
          <w:sz w:val="16"/>
          <w:szCs w:val="16"/>
        </w:rPr>
      </w:pPr>
      <w:r>
        <w:rPr>
          <w:spacing w:val="-1"/>
        </w:rPr>
        <w:br w:type="column"/>
      </w:r>
      <w:r>
        <w:rPr>
          <w:rFonts w:ascii="宋体"/>
          <w:spacing w:val="-1"/>
          <w:sz w:val="16"/>
        </w:rPr>
        <w:t>6,000,000.00</w:t>
        <w:tab/>
        <w:t>39,736,200.00</w:t>
        <w:tab/>
      </w:r>
      <w:r>
        <w:rPr>
          <w:rFonts w:ascii="宋体"/>
          <w:w w:val="95"/>
          <w:sz w:val="16"/>
        </w:rPr>
        <w:t>0.00</w:t>
        <w:tab/>
      </w:r>
      <w:r>
        <w:rPr>
          <w:rFonts w:ascii="宋体"/>
          <w:sz w:val="16"/>
        </w:rPr>
        <w:t>0.00</w:t>
      </w:r>
    </w:p>
    <w:p>
      <w:pPr>
        <w:spacing w:after="0"/>
        <w:jc w:val="left"/>
        <w:rPr>
          <w:rFonts w:ascii="宋体" w:hAnsi="宋体" w:cs="宋体" w:eastAsia="宋体" w:hint="default"/>
          <w:sz w:val="16"/>
          <w:szCs w:val="16"/>
        </w:rPr>
        <w:sectPr>
          <w:type w:val="continuous"/>
          <w:pgSz w:w="11910" w:h="16840"/>
          <w:pgMar w:top="1600" w:bottom="280" w:left="900" w:right="760"/>
          <w:cols w:num="2" w:equalWidth="0">
            <w:col w:w="5650" w:space="40"/>
            <w:col w:w="45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0" w:lineRule="exact"/>
        <w:ind w:left="7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2"/>
          <w:szCs w:val="22"/>
        </w:rPr>
      </w:pPr>
    </w:p>
    <w:tbl>
      <w:tblPr>
        <w:tblW w:w="0" w:type="auto"/>
        <w:jc w:val="left"/>
        <w:tblInd w:w="795" w:type="dxa"/>
        <w:tblLayout w:type="fixed"/>
        <w:tblCellMar>
          <w:top w:w="0" w:type="dxa"/>
          <w:left w:w="0" w:type="dxa"/>
          <w:bottom w:w="0" w:type="dxa"/>
          <w:right w:w="0" w:type="dxa"/>
        </w:tblCellMar>
        <w:tblLook w:val="01E0"/>
      </w:tblPr>
      <w:tblGrid>
        <w:gridCol w:w="2697"/>
        <w:gridCol w:w="4219"/>
        <w:gridCol w:w="1724"/>
      </w:tblGrid>
      <w:tr>
        <w:trPr>
          <w:trHeight w:val="293" w:hRule="exact"/>
        </w:trPr>
        <w:tc>
          <w:tcPr>
            <w:tcW w:w="269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4219"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257"/>
              <w:jc w:val="right"/>
              <w:rPr>
                <w:rFonts w:ascii="宋体" w:hAnsi="宋体" w:cs="宋体" w:eastAsia="宋体" w:hint="default"/>
                <w:sz w:val="18"/>
                <w:szCs w:val="18"/>
              </w:rPr>
            </w:pPr>
            <w:r>
              <w:rPr>
                <w:rFonts w:ascii="宋体"/>
                <w:sz w:val="18"/>
              </w:rPr>
              <w:t>806,924,444.45</w:t>
            </w:r>
          </w:p>
        </w:tc>
        <w:tc>
          <w:tcPr>
            <w:tcW w:w="1724"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269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1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258"/>
              <w:jc w:val="right"/>
              <w:rPr>
                <w:rFonts w:ascii="宋体" w:hAnsi="宋体" w:cs="宋体" w:eastAsia="宋体" w:hint="default"/>
                <w:sz w:val="18"/>
                <w:szCs w:val="18"/>
              </w:rPr>
            </w:pPr>
            <w:r>
              <w:rPr>
                <w:rFonts w:ascii="宋体"/>
                <w:b/>
                <w:w w:val="95"/>
                <w:sz w:val="18"/>
              </w:rPr>
              <w:t>806,924,444.45</w:t>
            </w:r>
            <w:r>
              <w:rPr>
                <w:rFonts w:ascii="宋体"/>
                <w:sz w:val="18"/>
              </w:rPr>
            </w:r>
          </w:p>
        </w:tc>
        <w:tc>
          <w:tcPr>
            <w:tcW w:w="172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0.00</w:t>
            </w:r>
            <w:r>
              <w:rPr>
                <w:rFonts w:ascii="宋体"/>
                <w:sz w:val="18"/>
              </w:rPr>
            </w:r>
          </w:p>
        </w:tc>
      </w:tr>
    </w:tbl>
    <w:p>
      <w:pPr>
        <w:spacing w:line="324" w:lineRule="auto" w:before="79"/>
        <w:ind w:left="518" w:right="0" w:firstLine="440"/>
        <w:jc w:val="left"/>
        <w:rPr>
          <w:rFonts w:ascii="宋体" w:hAnsi="宋体" w:cs="宋体" w:eastAsia="宋体" w:hint="default"/>
          <w:sz w:val="22"/>
          <w:szCs w:val="22"/>
        </w:rPr>
      </w:pPr>
      <w:r>
        <w:rPr>
          <w:rFonts w:ascii="宋体" w:hAnsi="宋体" w:cs="宋体" w:eastAsia="宋体" w:hint="default"/>
          <w:sz w:val="22"/>
          <w:szCs w:val="22"/>
        </w:rPr>
        <w:t>本公司于</w:t>
      </w:r>
      <w:r>
        <w:rPr>
          <w:rFonts w:ascii="宋体" w:hAnsi="宋体" w:cs="宋体" w:eastAsia="宋体" w:hint="default"/>
          <w:spacing w:val="-21"/>
          <w:sz w:val="22"/>
          <w:szCs w:val="22"/>
        </w:rPr>
        <w:t> </w:t>
      </w:r>
      <w:r>
        <w:rPr>
          <w:rFonts w:ascii="宋体" w:hAnsi="宋体" w:cs="宋体" w:eastAsia="宋体" w:hint="default"/>
          <w:sz w:val="22"/>
          <w:szCs w:val="22"/>
        </w:rPr>
        <w:t>2010</w:t>
      </w:r>
      <w:r>
        <w:rPr>
          <w:rFonts w:ascii="宋体" w:hAnsi="宋体" w:cs="宋体" w:eastAsia="宋体"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21"/>
          <w:sz w:val="22"/>
          <w:szCs w:val="22"/>
        </w:rPr>
        <w:t> </w:t>
      </w:r>
      <w:r>
        <w:rPr>
          <w:rFonts w:ascii="宋体" w:hAnsi="宋体" w:cs="宋体" w:eastAsia="宋体" w:hint="default"/>
          <w:sz w:val="22"/>
          <w:szCs w:val="22"/>
        </w:rPr>
        <w:t>9</w:t>
      </w:r>
      <w:r>
        <w:rPr>
          <w:rFonts w:ascii="宋体" w:hAnsi="宋体" w:cs="宋体" w:eastAsia="宋体"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21"/>
          <w:sz w:val="22"/>
          <w:szCs w:val="22"/>
        </w:rPr>
        <w:t> </w:t>
      </w:r>
      <w:r>
        <w:rPr>
          <w:rFonts w:ascii="宋体" w:hAnsi="宋体" w:cs="宋体" w:eastAsia="宋体" w:hint="default"/>
          <w:sz w:val="22"/>
          <w:szCs w:val="22"/>
        </w:rPr>
        <w:t>15</w:t>
      </w:r>
      <w:r>
        <w:rPr>
          <w:rFonts w:ascii="宋体" w:hAnsi="宋体" w:cs="宋体" w:eastAsia="宋体" w:hint="default"/>
          <w:spacing w:val="-21"/>
          <w:sz w:val="22"/>
          <w:szCs w:val="22"/>
        </w:rPr>
        <w:t> </w:t>
      </w:r>
      <w:r>
        <w:rPr>
          <w:rFonts w:ascii="宋体" w:hAnsi="宋体" w:cs="宋体" w:eastAsia="宋体" w:hint="default"/>
          <w:sz w:val="22"/>
          <w:szCs w:val="22"/>
        </w:rPr>
        <w:t>日在银行间债券市场发行短期融资券</w:t>
      </w:r>
      <w:r>
        <w:rPr>
          <w:rFonts w:ascii="宋体" w:hAnsi="宋体" w:cs="宋体" w:eastAsia="宋体" w:hint="default"/>
          <w:spacing w:val="-21"/>
          <w:sz w:val="22"/>
          <w:szCs w:val="22"/>
        </w:rPr>
        <w:t> </w:t>
      </w:r>
      <w:r>
        <w:rPr>
          <w:rFonts w:ascii="宋体" w:hAnsi="宋体" w:cs="宋体" w:eastAsia="宋体" w:hint="default"/>
          <w:sz w:val="22"/>
          <w:szCs w:val="22"/>
        </w:rPr>
        <w:t>800,000,000.00</w:t>
      </w:r>
      <w:r>
        <w:rPr>
          <w:rFonts w:ascii="宋体" w:hAnsi="宋体" w:cs="宋体" w:eastAsia="宋体" w:hint="default"/>
          <w:spacing w:val="-21"/>
          <w:sz w:val="22"/>
          <w:szCs w:val="22"/>
        </w:rPr>
        <w:t> </w:t>
      </w:r>
      <w:r>
        <w:rPr>
          <w:rFonts w:ascii="宋体" w:hAnsi="宋体" w:cs="宋体" w:eastAsia="宋体" w:hint="default"/>
          <w:sz w:val="22"/>
          <w:szCs w:val="22"/>
        </w:rPr>
        <w:t>元（代码</w:t>
      </w:r>
      <w:r>
        <w:rPr>
          <w:rFonts w:ascii="宋体" w:hAnsi="宋体" w:cs="宋体" w:eastAsia="宋体" w:hint="default"/>
          <w:w w:val="99"/>
          <w:sz w:val="22"/>
          <w:szCs w:val="22"/>
        </w:rPr>
        <w:t> </w:t>
      </w:r>
      <w:r>
        <w:rPr>
          <w:rFonts w:ascii="宋体" w:hAnsi="宋体" w:cs="宋体" w:eastAsia="宋体" w:hint="default"/>
          <w:spacing w:val="-10"/>
          <w:w w:val="99"/>
          <w:sz w:val="22"/>
          <w:szCs w:val="22"/>
        </w:rPr>
        <w:t>1081317），期限为</w:t>
      </w:r>
      <w:r>
        <w:rPr>
          <w:rFonts w:ascii="宋体" w:hAnsi="宋体" w:cs="宋体" w:eastAsia="宋体" w:hint="default"/>
          <w:spacing w:val="-53"/>
          <w:w w:val="99"/>
          <w:sz w:val="22"/>
          <w:szCs w:val="22"/>
        </w:rPr>
        <w:t> </w:t>
      </w:r>
      <w:r>
        <w:rPr>
          <w:rFonts w:ascii="宋体" w:hAnsi="宋体" w:cs="宋体" w:eastAsia="宋体" w:hint="default"/>
          <w:w w:val="99"/>
          <w:sz w:val="22"/>
          <w:szCs w:val="22"/>
        </w:rPr>
        <w:t>365</w:t>
      </w:r>
      <w:r>
        <w:rPr>
          <w:rFonts w:ascii="宋体" w:hAnsi="宋体" w:cs="宋体" w:eastAsia="宋体" w:hint="default"/>
          <w:spacing w:val="-53"/>
          <w:w w:val="99"/>
          <w:sz w:val="22"/>
          <w:szCs w:val="22"/>
        </w:rPr>
        <w:t> </w:t>
      </w:r>
      <w:r>
        <w:rPr>
          <w:rFonts w:ascii="宋体" w:hAnsi="宋体" w:cs="宋体" w:eastAsia="宋体" w:hint="default"/>
          <w:w w:val="99"/>
          <w:sz w:val="22"/>
          <w:szCs w:val="22"/>
        </w:rPr>
        <w:t>天，年利率为</w:t>
      </w:r>
      <w:r>
        <w:rPr>
          <w:rFonts w:ascii="宋体" w:hAnsi="宋体" w:cs="宋体" w:eastAsia="宋体" w:hint="default"/>
          <w:spacing w:val="-53"/>
          <w:w w:val="99"/>
          <w:sz w:val="22"/>
          <w:szCs w:val="22"/>
        </w:rPr>
        <w:t> </w:t>
      </w:r>
      <w:r>
        <w:rPr>
          <w:rFonts w:ascii="宋体" w:hAnsi="宋体" w:cs="宋体" w:eastAsia="宋体" w:hint="default"/>
          <w:w w:val="99"/>
          <w:sz w:val="22"/>
          <w:szCs w:val="22"/>
        </w:rPr>
        <w:t>3.28%。</w:t>
      </w:r>
      <w:r>
        <w:rPr>
          <w:rFonts w:ascii="宋体" w:hAnsi="宋体" w:cs="宋体" w:eastAsia="宋体" w:hint="default"/>
          <w:sz w:val="22"/>
          <w:szCs w:val="22"/>
        </w:rPr>
      </w:r>
    </w:p>
    <w:p>
      <w:pPr>
        <w:spacing w:after="0" w:line="324" w:lineRule="auto"/>
        <w:jc w:val="left"/>
        <w:rPr>
          <w:rFonts w:ascii="宋体" w:hAnsi="宋体" w:cs="宋体" w:eastAsia="宋体" w:hint="default"/>
          <w:sz w:val="22"/>
          <w:szCs w:val="22"/>
        </w:rPr>
        <w:sectPr>
          <w:type w:val="continuous"/>
          <w:pgSz w:w="11910" w:h="16840"/>
          <w:pgMar w:top="1600" w:bottom="280" w:left="900" w:right="7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3197"/>
        <w:gridCol w:w="3404"/>
        <w:gridCol w:w="2036"/>
      </w:tblGrid>
      <w:tr>
        <w:trPr>
          <w:trHeight w:val="965" w:hRule="exact"/>
        </w:trPr>
        <w:tc>
          <w:tcPr>
            <w:tcW w:w="3197"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34.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长期借款</w:t>
            </w:r>
          </w:p>
          <w:p>
            <w:pPr>
              <w:pStyle w:val="TableParagraph"/>
              <w:spacing w:line="240" w:lineRule="auto" w:before="162"/>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按币种列示</w:t>
            </w:r>
          </w:p>
        </w:tc>
        <w:tc>
          <w:tcPr>
            <w:tcW w:w="5440"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19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34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99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3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319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3404" w:type="dxa"/>
            <w:tcBorders>
              <w:top w:val="single" w:sz="4" w:space="0" w:color="000000"/>
              <w:left w:val="nil" w:sz="6" w:space="0" w:color="auto"/>
              <w:bottom w:val="nil" w:sz="6" w:space="0" w:color="auto"/>
              <w:right w:val="nil" w:sz="6" w:space="0" w:color="auto"/>
            </w:tcBorders>
          </w:tcPr>
          <w:p>
            <w:pPr>
              <w:pStyle w:val="TableParagraph"/>
              <w:spacing w:line="226" w:lineRule="exact"/>
              <w:ind w:right="479"/>
              <w:jc w:val="right"/>
              <w:rPr>
                <w:rFonts w:ascii="宋体" w:hAnsi="宋体" w:cs="宋体" w:eastAsia="宋体" w:hint="default"/>
                <w:sz w:val="18"/>
                <w:szCs w:val="18"/>
              </w:rPr>
            </w:pPr>
            <w:r>
              <w:rPr>
                <w:rFonts w:ascii="宋体"/>
                <w:sz w:val="18"/>
              </w:rPr>
              <w:t>1,933,747,090.00</w:t>
            </w:r>
          </w:p>
        </w:tc>
        <w:tc>
          <w:tcPr>
            <w:tcW w:w="2036"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1,285,898,130.00</w:t>
            </w:r>
          </w:p>
        </w:tc>
      </w:tr>
      <w:tr>
        <w:trPr>
          <w:trHeight w:val="283"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404"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sz w:val="18"/>
              </w:rPr>
              <w:t>95,697,270.48</w:t>
            </w:r>
          </w:p>
        </w:tc>
        <w:tc>
          <w:tcPr>
            <w:tcW w:w="203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38,490,563.40</w:t>
            </w:r>
          </w:p>
        </w:tc>
      </w:tr>
      <w:tr>
        <w:trPr>
          <w:trHeight w:val="294" w:hRule="exact"/>
        </w:trPr>
        <w:tc>
          <w:tcPr>
            <w:tcW w:w="3197"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404" w:type="dxa"/>
            <w:tcBorders>
              <w:top w:val="nil" w:sz="6" w:space="0" w:color="auto"/>
              <w:left w:val="nil" w:sz="6" w:space="0" w:color="auto"/>
              <w:bottom w:val="single" w:sz="4" w:space="0" w:color="000000"/>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sz w:val="18"/>
              </w:rPr>
              <w:t>0.00</w:t>
            </w:r>
          </w:p>
        </w:tc>
        <w:tc>
          <w:tcPr>
            <w:tcW w:w="2036"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35,415.36</w:t>
            </w:r>
          </w:p>
        </w:tc>
      </w:tr>
      <w:tr>
        <w:trPr>
          <w:trHeight w:val="303" w:hRule="exact"/>
        </w:trPr>
        <w:tc>
          <w:tcPr>
            <w:tcW w:w="319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0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79"/>
              <w:jc w:val="right"/>
              <w:rPr>
                <w:rFonts w:ascii="宋体" w:hAnsi="宋体" w:cs="宋体" w:eastAsia="宋体" w:hint="default"/>
                <w:sz w:val="18"/>
                <w:szCs w:val="18"/>
              </w:rPr>
            </w:pPr>
            <w:r>
              <w:rPr>
                <w:rFonts w:ascii="宋体"/>
                <w:b/>
                <w:w w:val="95"/>
                <w:sz w:val="18"/>
              </w:rPr>
              <w:t>2,029,444,360.48</w:t>
            </w:r>
            <w:r>
              <w:rPr>
                <w:rFonts w:ascii="宋体"/>
                <w:sz w:val="18"/>
              </w:rPr>
            </w:r>
          </w:p>
        </w:tc>
        <w:tc>
          <w:tcPr>
            <w:tcW w:w="203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1,324,424,108.76</w:t>
            </w:r>
            <w:r>
              <w:rPr>
                <w:rFonts w:ascii="宋体"/>
                <w:sz w:val="18"/>
              </w:rPr>
            </w:r>
          </w:p>
        </w:tc>
      </w:tr>
    </w:tbl>
    <w:p>
      <w:pPr>
        <w:spacing w:line="324" w:lineRule="auto" w:before="79"/>
        <w:ind w:left="138" w:right="141"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宋体" w:hAnsi="宋体" w:cs="宋体" w:eastAsia="宋体" w:hint="default"/>
          <w:sz w:val="22"/>
          <w:szCs w:val="22"/>
        </w:rPr>
        <w:t>2010</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12</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31</w:t>
      </w:r>
      <w:r>
        <w:rPr>
          <w:rFonts w:ascii="宋体" w:hAnsi="宋体" w:cs="宋体" w:eastAsia="宋体" w:hint="default"/>
          <w:spacing w:val="-48"/>
          <w:sz w:val="22"/>
          <w:szCs w:val="22"/>
        </w:rPr>
        <w:t> </w:t>
      </w:r>
      <w:r>
        <w:rPr>
          <w:rFonts w:ascii="宋体" w:hAnsi="宋体" w:cs="宋体" w:eastAsia="宋体" w:hint="default"/>
          <w:sz w:val="22"/>
          <w:szCs w:val="22"/>
        </w:rPr>
        <w:t>日，本公司取得信用借款</w:t>
      </w:r>
      <w:r>
        <w:rPr>
          <w:rFonts w:ascii="宋体" w:hAnsi="宋体" w:cs="宋体" w:eastAsia="宋体" w:hint="default"/>
          <w:spacing w:val="-49"/>
          <w:sz w:val="22"/>
          <w:szCs w:val="22"/>
        </w:rPr>
        <w:t> </w:t>
      </w:r>
      <w:r>
        <w:rPr>
          <w:rFonts w:ascii="宋体" w:hAnsi="宋体" w:cs="宋体" w:eastAsia="宋体" w:hint="default"/>
          <w:sz w:val="22"/>
          <w:szCs w:val="22"/>
        </w:rPr>
        <w:t>14,000,000.00</w:t>
      </w:r>
      <w:r>
        <w:rPr>
          <w:rFonts w:ascii="宋体" w:hAnsi="宋体" w:cs="宋体" w:eastAsia="宋体" w:hint="default"/>
          <w:spacing w:val="-48"/>
          <w:sz w:val="22"/>
          <w:szCs w:val="22"/>
        </w:rPr>
        <w:t> </w:t>
      </w:r>
      <w:r>
        <w:rPr>
          <w:rFonts w:ascii="宋体" w:hAnsi="宋体" w:cs="宋体" w:eastAsia="宋体" w:hint="default"/>
          <w:sz w:val="22"/>
          <w:szCs w:val="22"/>
        </w:rPr>
        <w:t>美元，本公司之控股子公司</w:t>
      </w:r>
      <w:r>
        <w:rPr>
          <w:rFonts w:ascii="宋体" w:hAnsi="宋体" w:cs="宋体" w:eastAsia="宋体" w:hint="default"/>
          <w:w w:val="99"/>
          <w:sz w:val="22"/>
          <w:szCs w:val="22"/>
        </w:rPr>
        <w:t> </w:t>
      </w:r>
      <w:r>
        <w:rPr>
          <w:rFonts w:ascii="宋体" w:hAnsi="宋体" w:cs="宋体" w:eastAsia="宋体" w:hint="default"/>
          <w:sz w:val="22"/>
          <w:szCs w:val="22"/>
        </w:rPr>
        <w:t>Technovator</w:t>
      </w:r>
      <w:r>
        <w:rPr>
          <w:rFonts w:ascii="宋体" w:hAnsi="宋体" w:cs="宋体" w:eastAsia="宋体" w:hint="default"/>
          <w:spacing w:val="-35"/>
          <w:sz w:val="22"/>
          <w:szCs w:val="22"/>
        </w:rPr>
        <w:t> </w:t>
      </w:r>
      <w:r>
        <w:rPr>
          <w:rFonts w:ascii="宋体" w:hAnsi="宋体" w:cs="宋体" w:eastAsia="宋体" w:hint="default"/>
          <w:sz w:val="22"/>
          <w:szCs w:val="22"/>
        </w:rPr>
        <w:t>Int</w:t>
      </w:r>
      <w:r>
        <w:rPr>
          <w:rFonts w:ascii="宋体" w:hAnsi="宋体" w:cs="宋体" w:eastAsia="宋体" w:hint="default"/>
          <w:spacing w:val="-35"/>
          <w:sz w:val="22"/>
          <w:szCs w:val="22"/>
        </w:rPr>
        <w:t> </w:t>
      </w:r>
      <w:r>
        <w:rPr>
          <w:rFonts w:ascii="宋体" w:hAnsi="宋体" w:cs="宋体" w:eastAsia="宋体" w:hint="default"/>
          <w:sz w:val="22"/>
          <w:szCs w:val="22"/>
        </w:rPr>
        <w:t>Private</w:t>
      </w:r>
      <w:r>
        <w:rPr>
          <w:rFonts w:ascii="宋体" w:hAnsi="宋体" w:cs="宋体" w:eastAsia="宋体" w:hint="default"/>
          <w:spacing w:val="-35"/>
          <w:sz w:val="22"/>
          <w:szCs w:val="22"/>
        </w:rPr>
        <w:t> </w:t>
      </w:r>
      <w:r>
        <w:rPr>
          <w:rFonts w:ascii="宋体" w:hAnsi="宋体" w:cs="宋体" w:eastAsia="宋体" w:hint="default"/>
          <w:sz w:val="22"/>
          <w:szCs w:val="22"/>
        </w:rPr>
        <w:t>Ltd.取得信用借款</w:t>
      </w:r>
      <w:r>
        <w:rPr>
          <w:rFonts w:ascii="宋体" w:hAnsi="宋体" w:cs="宋体" w:eastAsia="宋体" w:hint="default"/>
          <w:spacing w:val="-58"/>
          <w:sz w:val="22"/>
          <w:szCs w:val="22"/>
        </w:rPr>
        <w:t> </w:t>
      </w:r>
      <w:r>
        <w:rPr>
          <w:rFonts w:ascii="宋体" w:hAnsi="宋体" w:cs="宋体" w:eastAsia="宋体" w:hint="default"/>
          <w:sz w:val="22"/>
          <w:szCs w:val="22"/>
        </w:rPr>
        <w:t>449,887.58</w:t>
      </w:r>
      <w:r>
        <w:rPr>
          <w:rFonts w:ascii="宋体" w:hAnsi="宋体" w:cs="宋体" w:eastAsia="宋体" w:hint="default"/>
          <w:spacing w:val="-58"/>
          <w:sz w:val="22"/>
          <w:szCs w:val="22"/>
        </w:rPr>
        <w:t> </w:t>
      </w:r>
      <w:r>
        <w:rPr>
          <w:rFonts w:ascii="宋体" w:hAnsi="宋体" w:cs="宋体" w:eastAsia="宋体" w:hint="default"/>
          <w:sz w:val="22"/>
          <w:szCs w:val="22"/>
        </w:rPr>
        <w:t>美元，共计折合人民币</w:t>
      </w:r>
      <w:r>
        <w:rPr>
          <w:rFonts w:ascii="宋体" w:hAnsi="宋体" w:cs="宋体" w:eastAsia="宋体" w:hint="default"/>
          <w:spacing w:val="-58"/>
          <w:sz w:val="22"/>
          <w:szCs w:val="22"/>
        </w:rPr>
        <w:t> </w:t>
      </w:r>
      <w:r>
        <w:rPr>
          <w:rFonts w:ascii="宋体" w:hAnsi="宋体" w:cs="宋体" w:eastAsia="宋体" w:hint="default"/>
          <w:sz w:val="22"/>
          <w:szCs w:val="22"/>
        </w:rPr>
        <w:t>95,697,270.48</w:t>
      </w:r>
      <w:r>
        <w:rPr>
          <w:rFonts w:ascii="宋体" w:hAnsi="宋体" w:cs="宋体" w:eastAsia="宋体" w:hint="default"/>
          <w:w w:val="99"/>
          <w:sz w:val="22"/>
          <w:szCs w:val="22"/>
        </w:rPr>
        <w:t> </w:t>
      </w:r>
      <w:r>
        <w:rPr>
          <w:rFonts w:ascii="宋体" w:hAnsi="宋体" w:cs="宋体" w:eastAsia="宋体" w:hint="default"/>
          <w:sz w:val="22"/>
          <w:szCs w:val="22"/>
        </w:rPr>
        <w:t>元。</w:t>
      </w:r>
    </w:p>
    <w:p>
      <w:pPr>
        <w:spacing w:line="240" w:lineRule="auto" w:before="6"/>
        <w:rPr>
          <w:rFonts w:ascii="宋体" w:hAnsi="宋体" w:cs="宋体" w:eastAsia="宋体" w:hint="default"/>
          <w:sz w:val="5"/>
          <w:szCs w:val="5"/>
        </w:rPr>
      </w:pPr>
    </w:p>
    <w:tbl>
      <w:tblPr>
        <w:tblW w:w="0" w:type="auto"/>
        <w:jc w:val="left"/>
        <w:tblInd w:w="416" w:type="dxa"/>
        <w:tblLayout w:type="fixed"/>
        <w:tblCellMar>
          <w:top w:w="0" w:type="dxa"/>
          <w:left w:w="0" w:type="dxa"/>
          <w:bottom w:w="0" w:type="dxa"/>
          <w:right w:w="0" w:type="dxa"/>
        </w:tblCellMar>
        <w:tblLook w:val="01E0"/>
      </w:tblPr>
      <w:tblGrid>
        <w:gridCol w:w="3419"/>
        <w:gridCol w:w="3184"/>
        <w:gridCol w:w="2035"/>
      </w:tblGrid>
      <w:tr>
        <w:trPr>
          <w:trHeight w:val="498" w:hRule="exact"/>
        </w:trPr>
        <w:tc>
          <w:tcPr>
            <w:tcW w:w="3419"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按借款条件列示</w:t>
            </w:r>
          </w:p>
        </w:tc>
        <w:tc>
          <w:tcPr>
            <w:tcW w:w="5219"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4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18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73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3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7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341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84" w:type="dxa"/>
            <w:tcBorders>
              <w:top w:val="single" w:sz="4" w:space="0" w:color="000000"/>
              <w:left w:val="nil" w:sz="6" w:space="0" w:color="auto"/>
              <w:bottom w:val="nil" w:sz="6" w:space="0" w:color="auto"/>
              <w:right w:val="nil" w:sz="6" w:space="0" w:color="auto"/>
            </w:tcBorders>
          </w:tcPr>
          <w:p>
            <w:pPr>
              <w:pStyle w:val="TableParagraph"/>
              <w:spacing w:line="226" w:lineRule="exact"/>
              <w:ind w:right="478"/>
              <w:jc w:val="right"/>
              <w:rPr>
                <w:rFonts w:ascii="宋体" w:hAnsi="宋体" w:cs="宋体" w:eastAsia="宋体" w:hint="default"/>
                <w:sz w:val="18"/>
                <w:szCs w:val="18"/>
              </w:rPr>
            </w:pPr>
            <w:r>
              <w:rPr>
                <w:rFonts w:ascii="宋体"/>
                <w:sz w:val="18"/>
              </w:rPr>
              <w:t>1,370,317,270.48</w:t>
            </w:r>
          </w:p>
        </w:tc>
        <w:tc>
          <w:tcPr>
            <w:tcW w:w="2035"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537,867,415.36</w:t>
            </w:r>
          </w:p>
        </w:tc>
      </w:tr>
      <w:tr>
        <w:trPr>
          <w:trHeight w:val="283"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84" w:type="dxa"/>
            <w:tcBorders>
              <w:top w:val="nil" w:sz="6" w:space="0" w:color="auto"/>
              <w:left w:val="nil" w:sz="6" w:space="0" w:color="auto"/>
              <w:bottom w:val="nil" w:sz="6" w:space="0" w:color="auto"/>
              <w:right w:val="nil" w:sz="6" w:space="0" w:color="auto"/>
            </w:tcBorders>
          </w:tcPr>
          <w:p>
            <w:pPr>
              <w:pStyle w:val="TableParagraph"/>
              <w:spacing w:line="232" w:lineRule="exact"/>
              <w:ind w:right="478"/>
              <w:jc w:val="right"/>
              <w:rPr>
                <w:rFonts w:ascii="宋体" w:hAnsi="宋体" w:cs="宋体" w:eastAsia="宋体" w:hint="default"/>
                <w:sz w:val="18"/>
                <w:szCs w:val="18"/>
              </w:rPr>
            </w:pPr>
            <w:r>
              <w:rPr>
                <w:rFonts w:ascii="宋体"/>
                <w:sz w:val="18"/>
              </w:rPr>
              <w:t>20,000,000.00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19,349,563.40</w:t>
            </w:r>
          </w:p>
        </w:tc>
      </w:tr>
      <w:tr>
        <w:trPr>
          <w:trHeight w:val="294" w:hRule="exact"/>
        </w:trPr>
        <w:tc>
          <w:tcPr>
            <w:tcW w:w="3419"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84" w:type="dxa"/>
            <w:tcBorders>
              <w:top w:val="nil" w:sz="6" w:space="0" w:color="auto"/>
              <w:left w:val="nil" w:sz="6" w:space="0" w:color="auto"/>
              <w:bottom w:val="single" w:sz="4" w:space="0" w:color="000000"/>
              <w:right w:val="nil" w:sz="6" w:space="0" w:color="auto"/>
            </w:tcBorders>
          </w:tcPr>
          <w:p>
            <w:pPr>
              <w:pStyle w:val="TableParagraph"/>
              <w:spacing w:line="232" w:lineRule="exact"/>
              <w:ind w:right="478"/>
              <w:jc w:val="right"/>
              <w:rPr>
                <w:rFonts w:ascii="宋体" w:hAnsi="宋体" w:cs="宋体" w:eastAsia="宋体" w:hint="default"/>
                <w:sz w:val="18"/>
                <w:szCs w:val="18"/>
              </w:rPr>
            </w:pPr>
            <w:r>
              <w:rPr>
                <w:rFonts w:ascii="宋体"/>
                <w:sz w:val="18"/>
              </w:rPr>
              <w:t>639,127,090.00</w:t>
            </w:r>
          </w:p>
        </w:tc>
        <w:tc>
          <w:tcPr>
            <w:tcW w:w="2035"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767,207,130.00</w:t>
            </w:r>
          </w:p>
        </w:tc>
      </w:tr>
      <w:tr>
        <w:trPr>
          <w:trHeight w:val="303" w:hRule="exact"/>
        </w:trPr>
        <w:tc>
          <w:tcPr>
            <w:tcW w:w="341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8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78"/>
              <w:jc w:val="right"/>
              <w:rPr>
                <w:rFonts w:ascii="宋体" w:hAnsi="宋体" w:cs="宋体" w:eastAsia="宋体" w:hint="default"/>
                <w:sz w:val="18"/>
                <w:szCs w:val="18"/>
              </w:rPr>
            </w:pPr>
            <w:r>
              <w:rPr>
                <w:rFonts w:ascii="宋体"/>
                <w:b/>
                <w:w w:val="95"/>
                <w:sz w:val="18"/>
              </w:rPr>
              <w:t>2,029,444,360.48</w:t>
            </w:r>
            <w:r>
              <w:rPr>
                <w:rFonts w:ascii="宋体"/>
                <w:sz w:val="18"/>
              </w:rPr>
            </w:r>
          </w:p>
        </w:tc>
        <w:tc>
          <w:tcPr>
            <w:tcW w:w="203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1,324,424,108.76</w:t>
            </w:r>
            <w:r>
              <w:rPr>
                <w:rFonts w:ascii="宋体"/>
                <w:sz w:val="18"/>
              </w:rPr>
            </w:r>
          </w:p>
        </w:tc>
      </w:tr>
    </w:tbl>
    <w:p>
      <w:pPr>
        <w:spacing w:before="79"/>
        <w:ind w:left="578" w:right="0" w:firstLine="0"/>
        <w:jc w:val="left"/>
        <w:rPr>
          <w:rFonts w:ascii="宋体" w:hAnsi="宋体" w:cs="宋体" w:eastAsia="宋体" w:hint="default"/>
          <w:sz w:val="22"/>
          <w:szCs w:val="22"/>
        </w:rPr>
      </w:pPr>
      <w:r>
        <w:rPr>
          <w:rFonts w:ascii="宋体" w:hAnsi="宋体" w:cs="宋体" w:eastAsia="宋体" w:hint="default"/>
          <w:spacing w:val="9"/>
          <w:sz w:val="22"/>
          <w:szCs w:val="22"/>
        </w:rPr>
        <w:t>截至 </w:t>
      </w:r>
      <w:r>
        <w:rPr>
          <w:rFonts w:ascii="宋体" w:hAnsi="宋体" w:cs="宋体" w:eastAsia="宋体" w:hint="default"/>
          <w:sz w:val="22"/>
          <w:szCs w:val="22"/>
        </w:rPr>
        <w:t>2010 年 12 月 31 </w:t>
      </w:r>
      <w:r>
        <w:rPr>
          <w:rFonts w:ascii="宋体" w:hAnsi="宋体" w:cs="宋体" w:eastAsia="宋体" w:hint="default"/>
          <w:spacing w:val="1"/>
          <w:sz w:val="22"/>
          <w:szCs w:val="22"/>
        </w:rPr>
        <w:t> </w:t>
      </w:r>
      <w:r>
        <w:rPr>
          <w:rFonts w:ascii="宋体" w:hAnsi="宋体" w:cs="宋体" w:eastAsia="宋体" w:hint="default"/>
          <w:spacing w:val="18"/>
          <w:sz w:val="22"/>
          <w:szCs w:val="22"/>
        </w:rPr>
        <w:t>日，本公司之控股子公司泰豪科技股份有限公司以账面价值</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25,485,748.29</w:t>
      </w:r>
      <w:r>
        <w:rPr>
          <w:rFonts w:ascii="宋体" w:hAnsi="宋体" w:cs="宋体" w:eastAsia="宋体" w:hint="default"/>
          <w:spacing w:val="-59"/>
          <w:sz w:val="22"/>
          <w:szCs w:val="22"/>
        </w:rPr>
        <w:t> </w:t>
      </w:r>
      <w:r>
        <w:rPr>
          <w:rFonts w:ascii="宋体" w:hAnsi="宋体" w:cs="宋体" w:eastAsia="宋体" w:hint="default"/>
          <w:sz w:val="22"/>
          <w:szCs w:val="22"/>
        </w:rPr>
        <w:t>元的土地使用权抵押取得借款</w:t>
      </w:r>
      <w:r>
        <w:rPr>
          <w:rFonts w:ascii="宋体" w:hAnsi="宋体" w:cs="宋体" w:eastAsia="宋体" w:hint="default"/>
          <w:spacing w:val="-59"/>
          <w:sz w:val="22"/>
          <w:szCs w:val="22"/>
        </w:rPr>
        <w:t> </w:t>
      </w:r>
      <w:r>
        <w:rPr>
          <w:rFonts w:ascii="宋体" w:hAnsi="宋体" w:cs="宋体" w:eastAsia="宋体" w:hint="default"/>
          <w:sz w:val="22"/>
          <w:szCs w:val="22"/>
        </w:rPr>
        <w:t>20,000,000.00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before="180"/>
        <w:ind w:left="578" w:right="0"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2010</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日，本公司保证借款的担保情况详见附注十</w:t>
      </w:r>
      <w:r>
        <w:rPr>
          <w:rFonts w:ascii="宋体" w:hAnsi="宋体" w:cs="宋体" w:eastAsia="宋体" w:hint="default"/>
          <w:spacing w:val="-110"/>
          <w:w w:val="99"/>
          <w:sz w:val="22"/>
          <w:szCs w:val="22"/>
        </w:rPr>
        <w:t>、</w:t>
      </w:r>
      <w:r>
        <w:rPr>
          <w:rFonts w:ascii="宋体" w:hAnsi="宋体" w:cs="宋体" w:eastAsia="宋体" w:hint="default"/>
          <w:spacing w:val="1"/>
          <w:w w:val="99"/>
          <w:sz w:val="22"/>
          <w:szCs w:val="22"/>
        </w:rPr>
        <w:t>（</w:t>
      </w:r>
      <w:r>
        <w:rPr>
          <w:rFonts w:ascii="宋体" w:hAnsi="宋体" w:cs="宋体" w:eastAsia="宋体" w:hint="default"/>
          <w:spacing w:val="-1"/>
          <w:w w:val="99"/>
          <w:sz w:val="22"/>
          <w:szCs w:val="22"/>
        </w:rPr>
        <w:t>二</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before="180"/>
        <w:ind w:left="592" w:right="0" w:firstLine="0"/>
        <w:jc w:val="left"/>
        <w:rPr>
          <w:rFonts w:ascii="宋体" w:hAnsi="宋体" w:cs="宋体" w:eastAsia="宋体" w:hint="default"/>
          <w:sz w:val="22"/>
          <w:szCs w:val="22"/>
        </w:rPr>
      </w:pPr>
      <w:r>
        <w:rPr/>
        <w:pict>
          <v:shape style="position:absolute;margin-left:327.119995pt;margin-top:41.169609pt;width:201.25pt;height:8pt;mso-position-horizontal-relative:page;mso-position-vertical-relative:paragraph;z-index:-1045792" type="#_x0000_t202" filled="false" stroked="false">
            <v:textbox inset="0,0,0,0">
              <w:txbxContent>
                <w:p>
                  <w:pPr>
                    <w:tabs>
                      <w:tab w:pos="4024" w:val="left" w:leader="none"/>
                    </w:tabs>
                    <w:spacing w:line="160" w:lineRule="exact" w:before="0"/>
                    <w:ind w:left="0" w:right="0" w:firstLine="0"/>
                    <w:jc w:val="left"/>
                    <w:rPr>
                      <w:rFonts w:ascii="Times New Roman" w:hAnsi="Times New Roman" w:cs="Times New Roman" w:eastAsia="Times New Roman" w:hint="default"/>
                      <w:sz w:val="16"/>
                      <w:szCs w:val="16"/>
                    </w:rPr>
                  </w:pPr>
                  <w:r>
                    <w:rPr>
                      <w:rFonts w:ascii="Times New Roman"/>
                      <w:b/>
                      <w:w w:val="99"/>
                      <w:sz w:val="16"/>
                    </w:rPr>
                  </w:r>
                  <w:r>
                    <w:rPr>
                      <w:rFonts w:ascii="Times New Roman"/>
                      <w:b/>
                      <w:w w:val="99"/>
                      <w:sz w:val="16"/>
                      <w:u w:val="single" w:color="000000"/>
                    </w:rPr>
                    <w:t> </w:t>
                  </w:r>
                  <w:r>
                    <w:rPr>
                      <w:rFonts w:ascii="Times New Roman"/>
                      <w:b/>
                      <w:sz w:val="16"/>
                      <w:u w:val="single" w:color="000000"/>
                    </w:rPr>
                    <w:tab/>
                  </w:r>
                  <w:r>
                    <w:rPr>
                      <w:rFonts w:ascii="Times New Roman"/>
                      <w:b/>
                      <w:sz w:val="16"/>
                    </w:rPr>
                  </w:r>
                  <w:r>
                    <w:rPr>
                      <w:rFonts w:ascii="Times New Roman"/>
                      <w:sz w:val="16"/>
                    </w:rPr>
                  </w:r>
                </w:p>
              </w:txbxContent>
            </v:textbox>
            <w10:wrap type="none"/>
          </v:shape>
        </w:pict>
      </w:r>
      <w:r>
        <w:rPr/>
        <w:pict>
          <v:shape style="position:absolute;margin-left:73.199997pt;margin-top:48.832794pt;width:455.2pt;height:130.4500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3"/>
                    <w:gridCol w:w="1025"/>
                    <w:gridCol w:w="729"/>
                    <w:gridCol w:w="739"/>
                    <w:gridCol w:w="595"/>
                    <w:gridCol w:w="1512"/>
                    <w:gridCol w:w="554"/>
                    <w:gridCol w:w="1337"/>
                  </w:tblGrid>
                  <w:tr>
                    <w:trPr>
                      <w:trHeight w:val="383" w:hRule="exact"/>
                    </w:trPr>
                    <w:tc>
                      <w:tcPr>
                        <w:tcW w:w="2613" w:type="dxa"/>
                        <w:tcBorders>
                          <w:top w:val="nil" w:sz="6" w:space="0" w:color="auto"/>
                          <w:left w:val="nil" w:sz="6" w:space="0" w:color="auto"/>
                          <w:bottom w:val="single" w:sz="4" w:space="0" w:color="000000"/>
                          <w:right w:val="nil" w:sz="6" w:space="0" w:color="auto"/>
                        </w:tcBorders>
                      </w:tcPr>
                      <w:p>
                        <w:pPr>
                          <w:pStyle w:val="TableParagraph"/>
                          <w:spacing w:line="198" w:lineRule="exact"/>
                          <w:ind w:right="266"/>
                          <w:jc w:val="right"/>
                          <w:rPr>
                            <w:rFonts w:ascii="宋体" w:hAnsi="宋体" w:cs="宋体" w:eastAsia="宋体" w:hint="default"/>
                            <w:sz w:val="16"/>
                            <w:szCs w:val="16"/>
                          </w:rPr>
                        </w:pPr>
                        <w:r>
                          <w:rPr>
                            <w:rFonts w:ascii="宋体" w:hAnsi="宋体" w:cs="宋体" w:eastAsia="宋体" w:hint="default"/>
                            <w:b/>
                            <w:bCs/>
                            <w:w w:val="95"/>
                            <w:sz w:val="16"/>
                            <w:szCs w:val="16"/>
                          </w:rPr>
                          <w:t>起始日</w:t>
                        </w:r>
                        <w:r>
                          <w:rPr>
                            <w:rFonts w:ascii="宋体" w:hAnsi="宋体" w:cs="宋体" w:eastAsia="宋体" w:hint="default"/>
                            <w:sz w:val="16"/>
                            <w:szCs w:val="16"/>
                          </w:rPr>
                        </w:r>
                      </w:p>
                    </w:tc>
                    <w:tc>
                      <w:tcPr>
                        <w:tcW w:w="1025" w:type="dxa"/>
                        <w:tcBorders>
                          <w:top w:val="nil" w:sz="6" w:space="0" w:color="auto"/>
                          <w:left w:val="nil" w:sz="6" w:space="0" w:color="auto"/>
                          <w:bottom w:val="single" w:sz="4" w:space="0" w:color="000000"/>
                          <w:right w:val="nil" w:sz="6" w:space="0" w:color="auto"/>
                        </w:tcBorders>
                      </w:tcPr>
                      <w:p>
                        <w:pPr>
                          <w:pStyle w:val="TableParagraph"/>
                          <w:spacing w:line="198" w:lineRule="exact"/>
                          <w:ind w:right="11"/>
                          <w:jc w:val="center"/>
                          <w:rPr>
                            <w:rFonts w:ascii="宋体" w:hAnsi="宋体" w:cs="宋体" w:eastAsia="宋体" w:hint="default"/>
                            <w:sz w:val="16"/>
                            <w:szCs w:val="16"/>
                          </w:rPr>
                        </w:pPr>
                        <w:r>
                          <w:rPr>
                            <w:rFonts w:ascii="宋体" w:hAnsi="宋体" w:cs="宋体" w:eastAsia="宋体" w:hint="default"/>
                            <w:b/>
                            <w:bCs/>
                            <w:sz w:val="16"/>
                            <w:szCs w:val="16"/>
                          </w:rPr>
                          <w:t>终止日</w:t>
                        </w:r>
                        <w:r>
                          <w:rPr>
                            <w:rFonts w:ascii="宋体" w:hAnsi="宋体" w:cs="宋体" w:eastAsia="宋体" w:hint="default"/>
                            <w:sz w:val="16"/>
                            <w:szCs w:val="16"/>
                          </w:rPr>
                        </w:r>
                      </w:p>
                    </w:tc>
                    <w:tc>
                      <w:tcPr>
                        <w:tcW w:w="729" w:type="dxa"/>
                        <w:tcBorders>
                          <w:top w:val="nil" w:sz="6" w:space="0" w:color="auto"/>
                          <w:left w:val="nil" w:sz="6" w:space="0" w:color="auto"/>
                          <w:bottom w:val="single" w:sz="4" w:space="0" w:color="000000"/>
                          <w:right w:val="nil" w:sz="6" w:space="0" w:color="auto"/>
                        </w:tcBorders>
                      </w:tcPr>
                      <w:p>
                        <w:pPr>
                          <w:pStyle w:val="TableParagraph"/>
                          <w:spacing w:line="97" w:lineRule="exact"/>
                          <w:ind w:right="34"/>
                          <w:jc w:val="center"/>
                          <w:rPr>
                            <w:rFonts w:ascii="宋体" w:hAnsi="宋体" w:cs="宋体" w:eastAsia="宋体" w:hint="default"/>
                            <w:sz w:val="16"/>
                            <w:szCs w:val="16"/>
                          </w:rPr>
                        </w:pPr>
                        <w:r>
                          <w:rPr>
                            <w:rFonts w:ascii="宋体" w:hAnsi="宋体" w:cs="宋体" w:eastAsia="宋体" w:hint="default"/>
                            <w:b/>
                            <w:bCs/>
                            <w:sz w:val="16"/>
                            <w:szCs w:val="16"/>
                          </w:rPr>
                          <w:t>币种</w:t>
                        </w:r>
                        <w:r>
                          <w:rPr>
                            <w:rFonts w:ascii="宋体" w:hAnsi="宋体" w:cs="宋体" w:eastAsia="宋体" w:hint="default"/>
                            <w:sz w:val="16"/>
                            <w:szCs w:val="16"/>
                          </w:rPr>
                        </w:r>
                      </w:p>
                    </w:tc>
                    <w:tc>
                      <w:tcPr>
                        <w:tcW w:w="739" w:type="dxa"/>
                        <w:tcBorders>
                          <w:top w:val="nil" w:sz="6" w:space="0" w:color="auto"/>
                          <w:left w:val="nil" w:sz="6" w:space="0" w:color="auto"/>
                          <w:bottom w:val="single" w:sz="4" w:space="0" w:color="000000"/>
                          <w:right w:val="nil" w:sz="6" w:space="0" w:color="auto"/>
                        </w:tcBorders>
                      </w:tcPr>
                      <w:p>
                        <w:pPr>
                          <w:pStyle w:val="TableParagraph"/>
                          <w:spacing w:line="97" w:lineRule="exact"/>
                          <w:ind w:left="82" w:right="0"/>
                          <w:jc w:val="left"/>
                          <w:rPr>
                            <w:rFonts w:ascii="宋体" w:hAnsi="宋体" w:cs="宋体" w:eastAsia="宋体" w:hint="default"/>
                            <w:sz w:val="16"/>
                            <w:szCs w:val="16"/>
                          </w:rPr>
                        </w:pPr>
                        <w:r>
                          <w:rPr>
                            <w:rFonts w:ascii="宋体" w:hAnsi="宋体" w:cs="宋体" w:eastAsia="宋体" w:hint="default"/>
                            <w:b/>
                            <w:bCs/>
                            <w:sz w:val="16"/>
                            <w:szCs w:val="16"/>
                          </w:rPr>
                          <w:t>利率</w:t>
                        </w:r>
                        <w:r>
                          <w:rPr>
                            <w:rFonts w:ascii="宋体" w:hAnsi="宋体" w:cs="宋体" w:eastAsia="宋体" w:hint="default"/>
                            <w:sz w:val="16"/>
                            <w:szCs w:val="16"/>
                          </w:rPr>
                        </w:r>
                      </w:p>
                    </w:tc>
                    <w:tc>
                      <w:tcPr>
                        <w:tcW w:w="595" w:type="dxa"/>
                        <w:tcBorders>
                          <w:top w:val="nil" w:sz="6" w:space="0" w:color="auto"/>
                          <w:left w:val="nil" w:sz="6" w:space="0" w:color="auto"/>
                          <w:bottom w:val="single" w:sz="4" w:space="0" w:color="000000"/>
                          <w:right w:val="nil" w:sz="6" w:space="0" w:color="auto"/>
                        </w:tcBorders>
                      </w:tcPr>
                      <w:p>
                        <w:pPr>
                          <w:pStyle w:val="TableParagraph"/>
                          <w:spacing w:line="155" w:lineRule="exact"/>
                          <w:ind w:left="126" w:right="0"/>
                          <w:jc w:val="left"/>
                          <w:rPr>
                            <w:rFonts w:ascii="宋体" w:hAnsi="宋体" w:cs="宋体" w:eastAsia="宋体" w:hint="default"/>
                            <w:sz w:val="16"/>
                            <w:szCs w:val="16"/>
                          </w:rPr>
                        </w:pPr>
                        <w:r>
                          <w:rPr>
                            <w:rFonts w:ascii="宋体" w:hAnsi="宋体" w:cs="宋体" w:eastAsia="宋体" w:hint="default"/>
                            <w:b/>
                            <w:bCs/>
                            <w:sz w:val="16"/>
                            <w:szCs w:val="16"/>
                          </w:rPr>
                          <w:t>外币</w:t>
                        </w:r>
                        <w:r>
                          <w:rPr>
                            <w:rFonts w:ascii="宋体" w:hAnsi="宋体" w:cs="宋体" w:eastAsia="宋体" w:hint="default"/>
                            <w:sz w:val="16"/>
                            <w:szCs w:val="16"/>
                          </w:rPr>
                        </w:r>
                      </w:p>
                      <w:p>
                        <w:pPr>
                          <w:pStyle w:val="TableParagraph"/>
                          <w:spacing w:line="205" w:lineRule="exact"/>
                          <w:ind w:left="126" w:right="0"/>
                          <w:jc w:val="left"/>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512" w:type="dxa"/>
                        <w:tcBorders>
                          <w:top w:val="nil" w:sz="6" w:space="0" w:color="auto"/>
                          <w:left w:val="nil" w:sz="6" w:space="0" w:color="auto"/>
                          <w:bottom w:val="single" w:sz="4" w:space="0" w:color="000000"/>
                          <w:right w:val="nil" w:sz="6" w:space="0" w:color="auto"/>
                        </w:tcBorders>
                      </w:tcPr>
                      <w:p>
                        <w:pPr>
                          <w:pStyle w:val="TableParagraph"/>
                          <w:spacing w:line="155" w:lineRule="exact"/>
                          <w:ind w:right="5"/>
                          <w:jc w:val="center"/>
                          <w:rPr>
                            <w:rFonts w:ascii="宋体" w:hAnsi="宋体" w:cs="宋体" w:eastAsia="宋体" w:hint="default"/>
                            <w:sz w:val="16"/>
                            <w:szCs w:val="16"/>
                          </w:rPr>
                        </w:pPr>
                        <w:r>
                          <w:rPr>
                            <w:rFonts w:ascii="宋体" w:hAnsi="宋体" w:cs="宋体" w:eastAsia="宋体" w:hint="default"/>
                            <w:b/>
                            <w:bCs/>
                            <w:sz w:val="16"/>
                            <w:szCs w:val="16"/>
                          </w:rPr>
                          <w:t>本币</w:t>
                        </w:r>
                        <w:r>
                          <w:rPr>
                            <w:rFonts w:ascii="宋体" w:hAnsi="宋体" w:cs="宋体" w:eastAsia="宋体" w:hint="default"/>
                            <w:sz w:val="16"/>
                            <w:szCs w:val="16"/>
                          </w:rPr>
                        </w:r>
                      </w:p>
                      <w:p>
                        <w:pPr>
                          <w:pStyle w:val="TableParagraph"/>
                          <w:spacing w:line="205" w:lineRule="exact"/>
                          <w:ind w:right="5"/>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554" w:type="dxa"/>
                        <w:tcBorders>
                          <w:top w:val="nil" w:sz="6" w:space="0" w:color="auto"/>
                          <w:left w:val="nil" w:sz="6" w:space="0" w:color="auto"/>
                          <w:bottom w:val="single" w:sz="4" w:space="0" w:color="000000"/>
                          <w:right w:val="nil" w:sz="6" w:space="0" w:color="auto"/>
                        </w:tcBorders>
                      </w:tcPr>
                      <w:p>
                        <w:pPr>
                          <w:pStyle w:val="TableParagraph"/>
                          <w:spacing w:line="155" w:lineRule="exact"/>
                          <w:ind w:left="112" w:right="0"/>
                          <w:jc w:val="left"/>
                          <w:rPr>
                            <w:rFonts w:ascii="宋体" w:hAnsi="宋体" w:cs="宋体" w:eastAsia="宋体" w:hint="default"/>
                            <w:sz w:val="16"/>
                            <w:szCs w:val="16"/>
                          </w:rPr>
                        </w:pPr>
                        <w:r>
                          <w:rPr>
                            <w:rFonts w:ascii="宋体" w:hAnsi="宋体" w:cs="宋体" w:eastAsia="宋体" w:hint="default"/>
                            <w:b/>
                            <w:bCs/>
                            <w:sz w:val="16"/>
                            <w:szCs w:val="16"/>
                          </w:rPr>
                          <w:t>外币</w:t>
                        </w:r>
                        <w:r>
                          <w:rPr>
                            <w:rFonts w:ascii="宋体" w:hAnsi="宋体" w:cs="宋体" w:eastAsia="宋体" w:hint="default"/>
                            <w:sz w:val="16"/>
                            <w:szCs w:val="16"/>
                          </w:rPr>
                        </w:r>
                      </w:p>
                      <w:p>
                        <w:pPr>
                          <w:pStyle w:val="TableParagraph"/>
                          <w:spacing w:line="205" w:lineRule="exact"/>
                          <w:ind w:left="112" w:right="0"/>
                          <w:jc w:val="left"/>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155" w:lineRule="exact"/>
                          <w:ind w:left="4" w:right="0"/>
                          <w:jc w:val="center"/>
                          <w:rPr>
                            <w:rFonts w:ascii="宋体" w:hAnsi="宋体" w:cs="宋体" w:eastAsia="宋体" w:hint="default"/>
                            <w:sz w:val="16"/>
                            <w:szCs w:val="16"/>
                          </w:rPr>
                        </w:pPr>
                        <w:r>
                          <w:rPr>
                            <w:rFonts w:ascii="宋体" w:hAnsi="宋体" w:cs="宋体" w:eastAsia="宋体" w:hint="default"/>
                            <w:b/>
                            <w:bCs/>
                            <w:sz w:val="16"/>
                            <w:szCs w:val="16"/>
                          </w:rPr>
                          <w:t>本币</w:t>
                        </w:r>
                        <w:r>
                          <w:rPr>
                            <w:rFonts w:ascii="宋体" w:hAnsi="宋体" w:cs="宋体" w:eastAsia="宋体" w:hint="default"/>
                            <w:sz w:val="16"/>
                            <w:szCs w:val="16"/>
                          </w:rPr>
                        </w:r>
                      </w:p>
                      <w:p>
                        <w:pPr>
                          <w:pStyle w:val="TableParagraph"/>
                          <w:spacing w:line="205" w:lineRule="exact"/>
                          <w:ind w:left="4"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319" w:hRule="exact"/>
                    </w:trPr>
                    <w:tc>
                      <w:tcPr>
                        <w:tcW w:w="2613" w:type="dxa"/>
                        <w:tcBorders>
                          <w:top w:val="single" w:sz="4" w:space="0" w:color="000000"/>
                          <w:left w:val="nil" w:sz="6" w:space="0" w:color="auto"/>
                          <w:bottom w:val="nil" w:sz="6" w:space="0" w:color="auto"/>
                          <w:right w:val="nil" w:sz="6" w:space="0" w:color="auto"/>
                        </w:tcBorders>
                      </w:tcPr>
                      <w:p>
                        <w:pPr>
                          <w:pStyle w:val="TableParagraph"/>
                          <w:tabs>
                            <w:tab w:pos="1705" w:val="left" w:leader="none"/>
                          </w:tabs>
                          <w:spacing w:line="240" w:lineRule="auto" w:before="13"/>
                          <w:ind w:left="-26" w:right="0"/>
                          <w:jc w:val="left"/>
                          <w:rPr>
                            <w:rFonts w:ascii="宋体" w:hAnsi="宋体" w:cs="宋体" w:eastAsia="宋体" w:hint="default"/>
                            <w:sz w:val="16"/>
                            <w:szCs w:val="16"/>
                          </w:rPr>
                        </w:pPr>
                        <w:r>
                          <w:rPr>
                            <w:rFonts w:ascii="宋体" w:hAnsi="宋体" w:cs="宋体" w:eastAsia="宋体" w:hint="default"/>
                            <w:w w:val="95"/>
                            <w:sz w:val="16"/>
                            <w:szCs w:val="16"/>
                          </w:rPr>
                          <w:t>建设银行清华园支行</w:t>
                          <w:tab/>
                        </w:r>
                        <w:r>
                          <w:rPr>
                            <w:rFonts w:ascii="宋体" w:hAnsi="宋体" w:cs="宋体" w:eastAsia="宋体" w:hint="default"/>
                            <w:sz w:val="16"/>
                            <w:szCs w:val="16"/>
                          </w:rPr>
                          <w:t>2010.03.31</w:t>
                        </w: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6"/>
                          <w:jc w:val="center"/>
                          <w:rPr>
                            <w:rFonts w:ascii="宋体" w:hAnsi="宋体" w:cs="宋体" w:eastAsia="宋体" w:hint="default"/>
                            <w:sz w:val="16"/>
                            <w:szCs w:val="16"/>
                          </w:rPr>
                        </w:pPr>
                        <w:r>
                          <w:rPr>
                            <w:rFonts w:ascii="宋体"/>
                            <w:sz w:val="16"/>
                          </w:rPr>
                          <w:t>2015.03.20</w:t>
                        </w:r>
                      </w:p>
                    </w:tc>
                    <w:tc>
                      <w:tcPr>
                        <w:tcW w:w="72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73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24"/>
                          <w:jc w:val="right"/>
                          <w:rPr>
                            <w:rFonts w:ascii="宋体" w:hAnsi="宋体" w:cs="宋体" w:eastAsia="宋体" w:hint="default"/>
                            <w:sz w:val="16"/>
                            <w:szCs w:val="16"/>
                          </w:rPr>
                        </w:pPr>
                        <w:r>
                          <w:rPr>
                            <w:rFonts w:ascii="宋体"/>
                            <w:spacing w:val="-1"/>
                            <w:sz w:val="16"/>
                          </w:rPr>
                          <w:t>5.620%</w:t>
                        </w:r>
                      </w:p>
                    </w:tc>
                    <w:tc>
                      <w:tcPr>
                        <w:tcW w:w="59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59" w:right="0"/>
                          <w:jc w:val="center"/>
                          <w:rPr>
                            <w:rFonts w:ascii="宋体" w:hAnsi="宋体" w:cs="宋体" w:eastAsia="宋体" w:hint="default"/>
                            <w:sz w:val="16"/>
                            <w:szCs w:val="16"/>
                          </w:rPr>
                        </w:pPr>
                        <w:r>
                          <w:rPr>
                            <w:rFonts w:ascii="宋体"/>
                            <w:sz w:val="16"/>
                          </w:rPr>
                          <w:t>0.00</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10"/>
                          <w:jc w:val="right"/>
                          <w:rPr>
                            <w:rFonts w:ascii="宋体" w:hAnsi="宋体" w:cs="宋体" w:eastAsia="宋体" w:hint="default"/>
                            <w:sz w:val="16"/>
                            <w:szCs w:val="16"/>
                          </w:rPr>
                        </w:pPr>
                        <w:r>
                          <w:rPr>
                            <w:rFonts w:ascii="宋体"/>
                            <w:spacing w:val="-1"/>
                            <w:sz w:val="16"/>
                          </w:rPr>
                          <w:t>500,000,000.00</w:t>
                        </w:r>
                      </w:p>
                    </w:tc>
                    <w:tc>
                      <w:tcPr>
                        <w:tcW w:w="55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37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96" w:lineRule="exact"/>
                          <w:ind w:left="-26" w:right="0"/>
                          <w:jc w:val="left"/>
                          <w:rPr>
                            <w:rFonts w:ascii="宋体" w:hAnsi="宋体" w:cs="宋体" w:eastAsia="宋体" w:hint="default"/>
                            <w:sz w:val="16"/>
                            <w:szCs w:val="16"/>
                          </w:rPr>
                        </w:pPr>
                        <w:r>
                          <w:rPr>
                            <w:rFonts w:ascii="宋体" w:hAnsi="宋体" w:cs="宋体" w:eastAsia="宋体" w:hint="default"/>
                            <w:spacing w:val="9"/>
                            <w:sz w:val="16"/>
                            <w:szCs w:val="16"/>
                          </w:rPr>
                          <w:t>中国银行中关村科技</w:t>
                        </w:r>
                        <w:r>
                          <w:rPr>
                            <w:rFonts w:ascii="宋体" w:hAnsi="宋体" w:cs="宋体" w:eastAsia="宋体" w:hint="default"/>
                            <w:sz w:val="16"/>
                            <w:szCs w:val="16"/>
                          </w:rPr>
                        </w:r>
                      </w:p>
                      <w:p>
                        <w:pPr>
                          <w:pStyle w:val="TableParagraph"/>
                          <w:tabs>
                            <w:tab w:pos="2505" w:val="right" w:leader="none"/>
                          </w:tabs>
                          <w:spacing w:line="254" w:lineRule="exact"/>
                          <w:ind w:left="-27" w:right="0"/>
                          <w:jc w:val="left"/>
                          <w:rPr>
                            <w:rFonts w:ascii="宋体" w:hAnsi="宋体" w:cs="宋体" w:eastAsia="宋体" w:hint="default"/>
                            <w:sz w:val="16"/>
                            <w:szCs w:val="16"/>
                          </w:rPr>
                        </w:pPr>
                        <w:r>
                          <w:rPr>
                            <w:rFonts w:ascii="宋体" w:hAnsi="宋体" w:cs="宋体" w:eastAsia="宋体" w:hint="default"/>
                            <w:position w:val="-9"/>
                            <w:sz w:val="16"/>
                            <w:szCs w:val="16"/>
                          </w:rPr>
                          <w:t>园支行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2010.03.31</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
                          <w:jc w:val="center"/>
                          <w:rPr>
                            <w:rFonts w:ascii="宋体" w:hAnsi="宋体" w:cs="宋体" w:eastAsia="宋体" w:hint="default"/>
                            <w:sz w:val="16"/>
                            <w:szCs w:val="16"/>
                          </w:rPr>
                        </w:pPr>
                        <w:r>
                          <w:rPr>
                            <w:rFonts w:ascii="宋体"/>
                            <w:sz w:val="16"/>
                          </w:rPr>
                          <w:t>2015.03.20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
                          <w:jc w:val="center"/>
                          <w:rPr>
                            <w:rFonts w:ascii="宋体" w:hAnsi="宋体" w:cs="宋体" w:eastAsia="宋体" w:hint="default"/>
                            <w:sz w:val="16"/>
                            <w:szCs w:val="16"/>
                          </w:rPr>
                        </w:pPr>
                        <w:r>
                          <w:rPr>
                            <w:rFonts w:ascii="宋体" w:hAnsi="宋体" w:cs="宋体" w:eastAsia="宋体" w:hint="default"/>
                            <w:sz w:val="16"/>
                            <w:szCs w:val="16"/>
                          </w:rPr>
                          <w:t>人民币</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5"/>
                          <w:jc w:val="right"/>
                          <w:rPr>
                            <w:rFonts w:ascii="宋体" w:hAnsi="宋体" w:cs="宋体" w:eastAsia="宋体" w:hint="default"/>
                            <w:sz w:val="16"/>
                            <w:szCs w:val="16"/>
                          </w:rPr>
                        </w:pPr>
                        <w:r>
                          <w:rPr>
                            <w:rFonts w:ascii="宋体"/>
                            <w:spacing w:val="-1"/>
                            <w:sz w:val="16"/>
                          </w:rPr>
                          <w:t>5.620%</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8" w:right="0"/>
                          <w:jc w:val="center"/>
                          <w:rPr>
                            <w:rFonts w:ascii="宋体" w:hAnsi="宋体" w:cs="宋体" w:eastAsia="宋体" w:hint="default"/>
                            <w:sz w:val="16"/>
                            <w:szCs w:val="16"/>
                          </w:rPr>
                        </w:pPr>
                        <w:r>
                          <w:rPr>
                            <w:rFonts w:ascii="宋体"/>
                            <w:sz w:val="16"/>
                          </w:rPr>
                          <w:t>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0"/>
                          <w:jc w:val="right"/>
                          <w:rPr>
                            <w:rFonts w:ascii="宋体" w:hAnsi="宋体" w:cs="宋体" w:eastAsia="宋体" w:hint="default"/>
                            <w:sz w:val="16"/>
                            <w:szCs w:val="16"/>
                          </w:rPr>
                        </w:pPr>
                        <w:r>
                          <w:rPr>
                            <w:rFonts w:ascii="宋体"/>
                            <w:spacing w:val="-1"/>
                            <w:sz w:val="16"/>
                          </w:rPr>
                          <w:t>400,000,000.00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40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125" w:lineRule="exact"/>
                          <w:ind w:left="-26" w:right="0"/>
                          <w:jc w:val="left"/>
                          <w:rPr>
                            <w:rFonts w:ascii="宋体" w:hAnsi="宋体" w:cs="宋体" w:eastAsia="宋体" w:hint="default"/>
                            <w:sz w:val="16"/>
                            <w:szCs w:val="16"/>
                          </w:rPr>
                        </w:pPr>
                        <w:r>
                          <w:rPr>
                            <w:rFonts w:ascii="宋体" w:hAnsi="宋体" w:cs="宋体" w:eastAsia="宋体" w:hint="default"/>
                            <w:spacing w:val="9"/>
                            <w:sz w:val="16"/>
                            <w:szCs w:val="16"/>
                          </w:rPr>
                          <w:t>中国进出口银行上海</w:t>
                        </w:r>
                        <w:r>
                          <w:rPr>
                            <w:rFonts w:ascii="宋体" w:hAnsi="宋体" w:cs="宋体" w:eastAsia="宋体" w:hint="default"/>
                            <w:sz w:val="16"/>
                            <w:szCs w:val="16"/>
                          </w:rPr>
                        </w:r>
                      </w:p>
                      <w:p>
                        <w:pPr>
                          <w:pStyle w:val="TableParagraph"/>
                          <w:tabs>
                            <w:tab w:pos="2505" w:val="right" w:leader="none"/>
                          </w:tabs>
                          <w:spacing w:line="254" w:lineRule="exact"/>
                          <w:ind w:left="-27" w:right="0"/>
                          <w:jc w:val="left"/>
                          <w:rPr>
                            <w:rFonts w:ascii="宋体" w:hAnsi="宋体" w:cs="宋体" w:eastAsia="宋体" w:hint="default"/>
                            <w:sz w:val="16"/>
                            <w:szCs w:val="16"/>
                          </w:rPr>
                        </w:pPr>
                        <w:r>
                          <w:rPr>
                            <w:rFonts w:ascii="宋体" w:hAnsi="宋体" w:cs="宋体" w:eastAsia="宋体" w:hint="default"/>
                            <w:position w:val="-9"/>
                            <w:sz w:val="16"/>
                            <w:szCs w:val="16"/>
                          </w:rPr>
                          <w:t>分行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2010.06.30</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
                          <w:jc w:val="center"/>
                          <w:rPr>
                            <w:rFonts w:ascii="宋体" w:hAnsi="宋体" w:cs="宋体" w:eastAsia="宋体" w:hint="default"/>
                            <w:sz w:val="16"/>
                            <w:szCs w:val="16"/>
                          </w:rPr>
                        </w:pPr>
                        <w:r>
                          <w:rPr>
                            <w:rFonts w:ascii="宋体"/>
                            <w:sz w:val="16"/>
                          </w:rPr>
                          <w:t>2013.06.30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
                          <w:jc w:val="center"/>
                          <w:rPr>
                            <w:rFonts w:ascii="宋体" w:hAnsi="宋体" w:cs="宋体" w:eastAsia="宋体" w:hint="default"/>
                            <w:sz w:val="16"/>
                            <w:szCs w:val="16"/>
                          </w:rPr>
                        </w:pPr>
                        <w:r>
                          <w:rPr>
                            <w:rFonts w:ascii="宋体" w:hAnsi="宋体" w:cs="宋体" w:eastAsia="宋体" w:hint="default"/>
                            <w:sz w:val="16"/>
                            <w:szCs w:val="16"/>
                          </w:rPr>
                          <w:t>人民币</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5"/>
                          <w:jc w:val="right"/>
                          <w:rPr>
                            <w:rFonts w:ascii="宋体" w:hAnsi="宋体" w:cs="宋体" w:eastAsia="宋体" w:hint="default"/>
                            <w:sz w:val="16"/>
                            <w:szCs w:val="16"/>
                          </w:rPr>
                        </w:pPr>
                        <w:r>
                          <w:rPr>
                            <w:rFonts w:ascii="宋体"/>
                            <w:spacing w:val="-1"/>
                            <w:sz w:val="16"/>
                          </w:rPr>
                          <w:t>3.51%</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center"/>
                          <w:rPr>
                            <w:rFonts w:ascii="宋体" w:hAnsi="宋体" w:cs="宋体" w:eastAsia="宋体" w:hint="default"/>
                            <w:sz w:val="16"/>
                            <w:szCs w:val="16"/>
                          </w:rPr>
                        </w:pPr>
                        <w:r>
                          <w:rPr>
                            <w:rFonts w:ascii="宋体"/>
                            <w:sz w:val="16"/>
                          </w:rPr>
                          <w:t>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0"/>
                          <w:jc w:val="right"/>
                          <w:rPr>
                            <w:rFonts w:ascii="宋体" w:hAnsi="宋体" w:cs="宋体" w:eastAsia="宋体" w:hint="default"/>
                            <w:sz w:val="16"/>
                            <w:szCs w:val="16"/>
                          </w:rPr>
                        </w:pPr>
                        <w:r>
                          <w:rPr>
                            <w:rFonts w:ascii="宋体"/>
                            <w:spacing w:val="-1"/>
                            <w:sz w:val="16"/>
                          </w:rPr>
                          <w:t>300,000,000.00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40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125" w:lineRule="exact"/>
                          <w:ind w:left="-26" w:right="0"/>
                          <w:jc w:val="left"/>
                          <w:rPr>
                            <w:rFonts w:ascii="宋体" w:hAnsi="宋体" w:cs="宋体" w:eastAsia="宋体" w:hint="default"/>
                            <w:sz w:val="16"/>
                            <w:szCs w:val="16"/>
                          </w:rPr>
                        </w:pPr>
                        <w:r>
                          <w:rPr>
                            <w:rFonts w:ascii="宋体" w:hAnsi="宋体" w:cs="宋体" w:eastAsia="宋体" w:hint="default"/>
                            <w:spacing w:val="9"/>
                            <w:sz w:val="16"/>
                            <w:szCs w:val="16"/>
                          </w:rPr>
                          <w:t>上海浦发银行知春路</w:t>
                        </w:r>
                        <w:r>
                          <w:rPr>
                            <w:rFonts w:ascii="宋体" w:hAnsi="宋体" w:cs="宋体" w:eastAsia="宋体" w:hint="default"/>
                            <w:sz w:val="16"/>
                            <w:szCs w:val="16"/>
                          </w:rPr>
                        </w:r>
                      </w:p>
                      <w:p>
                        <w:pPr>
                          <w:pStyle w:val="TableParagraph"/>
                          <w:tabs>
                            <w:tab w:pos="2505" w:val="right" w:leader="none"/>
                          </w:tabs>
                          <w:spacing w:line="254" w:lineRule="exact"/>
                          <w:ind w:left="-27" w:right="0"/>
                          <w:jc w:val="left"/>
                          <w:rPr>
                            <w:rFonts w:ascii="宋体" w:hAnsi="宋体" w:cs="宋体" w:eastAsia="宋体" w:hint="default"/>
                            <w:sz w:val="16"/>
                            <w:szCs w:val="16"/>
                          </w:rPr>
                        </w:pPr>
                        <w:r>
                          <w:rPr>
                            <w:rFonts w:ascii="宋体" w:hAnsi="宋体" w:cs="宋体" w:eastAsia="宋体" w:hint="default"/>
                            <w:position w:val="-9"/>
                            <w:sz w:val="16"/>
                            <w:szCs w:val="16"/>
                          </w:rPr>
                          <w:t>支行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2009.06.03</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
                          <w:jc w:val="center"/>
                          <w:rPr>
                            <w:rFonts w:ascii="宋体" w:hAnsi="宋体" w:cs="宋体" w:eastAsia="宋体" w:hint="default"/>
                            <w:sz w:val="16"/>
                            <w:szCs w:val="16"/>
                          </w:rPr>
                        </w:pPr>
                        <w:r>
                          <w:rPr>
                            <w:rFonts w:ascii="宋体"/>
                            <w:sz w:val="16"/>
                          </w:rPr>
                          <w:t>2014.05.15</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
                          <w:jc w:val="center"/>
                          <w:rPr>
                            <w:rFonts w:ascii="宋体" w:hAnsi="宋体" w:cs="宋体" w:eastAsia="宋体" w:hint="default"/>
                            <w:sz w:val="16"/>
                            <w:szCs w:val="16"/>
                          </w:rPr>
                        </w:pPr>
                        <w:r>
                          <w:rPr>
                            <w:rFonts w:ascii="宋体" w:hAnsi="宋体" w:cs="宋体" w:eastAsia="宋体" w:hint="default"/>
                            <w:sz w:val="16"/>
                            <w:szCs w:val="16"/>
                          </w:rPr>
                          <w:t>人民币</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5"/>
                          <w:jc w:val="right"/>
                          <w:rPr>
                            <w:rFonts w:ascii="宋体" w:hAnsi="宋体" w:cs="宋体" w:eastAsia="宋体" w:hint="default"/>
                            <w:sz w:val="16"/>
                            <w:szCs w:val="16"/>
                          </w:rPr>
                        </w:pPr>
                        <w:r>
                          <w:rPr>
                            <w:rFonts w:ascii="宋体"/>
                            <w:spacing w:val="-1"/>
                            <w:sz w:val="16"/>
                          </w:rPr>
                          <w:t>5.415%</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center"/>
                          <w:rPr>
                            <w:rFonts w:ascii="宋体" w:hAnsi="宋体" w:cs="宋体" w:eastAsia="宋体" w:hint="default"/>
                            <w:sz w:val="16"/>
                            <w:szCs w:val="16"/>
                          </w:rPr>
                        </w:pPr>
                        <w:r>
                          <w:rPr>
                            <w:rFonts w:ascii="宋体"/>
                            <w:sz w:val="16"/>
                          </w:rPr>
                          <w:t>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0"/>
                          <w:jc w:val="right"/>
                          <w:rPr>
                            <w:rFonts w:ascii="宋体" w:hAnsi="宋体" w:cs="宋体" w:eastAsia="宋体" w:hint="default"/>
                            <w:sz w:val="16"/>
                            <w:szCs w:val="16"/>
                          </w:rPr>
                        </w:pPr>
                        <w:r>
                          <w:rPr>
                            <w:rFonts w:ascii="宋体"/>
                            <w:spacing w:val="-1"/>
                            <w:sz w:val="16"/>
                          </w:rPr>
                          <w:t>100,000,000.00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8"/>
                          <w:jc w:val="right"/>
                          <w:rPr>
                            <w:rFonts w:ascii="宋体" w:hAnsi="宋体" w:cs="宋体" w:eastAsia="宋体" w:hint="default"/>
                            <w:sz w:val="16"/>
                            <w:szCs w:val="16"/>
                          </w:rPr>
                        </w:pPr>
                        <w:r>
                          <w:rPr>
                            <w:rFonts w:ascii="宋体"/>
                            <w:spacing w:val="-1"/>
                            <w:sz w:val="16"/>
                          </w:rPr>
                          <w:t>100,000,000.00</w:t>
                        </w:r>
                      </w:p>
                    </w:tc>
                  </w:tr>
                  <w:tr>
                    <w:trPr>
                      <w:trHeight w:val="403" w:hRule="exact"/>
                    </w:trPr>
                    <w:tc>
                      <w:tcPr>
                        <w:tcW w:w="2613" w:type="dxa"/>
                        <w:tcBorders>
                          <w:top w:val="nil" w:sz="6" w:space="0" w:color="auto"/>
                          <w:left w:val="nil" w:sz="6" w:space="0" w:color="auto"/>
                          <w:bottom w:val="single" w:sz="4" w:space="0" w:color="000000"/>
                          <w:right w:val="nil" w:sz="6" w:space="0" w:color="auto"/>
                        </w:tcBorders>
                      </w:tcPr>
                      <w:p>
                        <w:pPr>
                          <w:pStyle w:val="TableParagraph"/>
                          <w:spacing w:line="126" w:lineRule="exact"/>
                          <w:ind w:left="-26" w:right="0"/>
                          <w:jc w:val="left"/>
                          <w:rPr>
                            <w:rFonts w:ascii="宋体" w:hAnsi="宋体" w:cs="宋体" w:eastAsia="宋体" w:hint="default"/>
                            <w:sz w:val="16"/>
                            <w:szCs w:val="16"/>
                          </w:rPr>
                        </w:pPr>
                        <w:r>
                          <w:rPr>
                            <w:rFonts w:ascii="宋体" w:hAnsi="宋体" w:cs="宋体" w:eastAsia="宋体" w:hint="default"/>
                            <w:spacing w:val="9"/>
                            <w:sz w:val="16"/>
                            <w:szCs w:val="16"/>
                          </w:rPr>
                          <w:t>交通银行北京海淀支</w:t>
                        </w:r>
                        <w:r>
                          <w:rPr>
                            <w:rFonts w:ascii="宋体" w:hAnsi="宋体" w:cs="宋体" w:eastAsia="宋体" w:hint="default"/>
                            <w:sz w:val="16"/>
                            <w:szCs w:val="16"/>
                          </w:rPr>
                        </w:r>
                      </w:p>
                      <w:p>
                        <w:pPr>
                          <w:pStyle w:val="TableParagraph"/>
                          <w:tabs>
                            <w:tab w:pos="2505" w:val="right" w:leader="none"/>
                          </w:tabs>
                          <w:spacing w:line="254" w:lineRule="exact"/>
                          <w:ind w:left="-27" w:right="0"/>
                          <w:jc w:val="left"/>
                          <w:rPr>
                            <w:rFonts w:ascii="宋体" w:hAnsi="宋体" w:cs="宋体" w:eastAsia="宋体" w:hint="default"/>
                            <w:sz w:val="16"/>
                            <w:szCs w:val="16"/>
                          </w:rPr>
                        </w:pPr>
                        <w:r>
                          <w:rPr>
                            <w:rFonts w:ascii="宋体" w:hAnsi="宋体" w:cs="宋体" w:eastAsia="宋体" w:hint="default"/>
                            <w:position w:val="-9"/>
                            <w:sz w:val="16"/>
                            <w:szCs w:val="16"/>
                          </w:rPr>
                          <w:t>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2009.06.03</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9"/>
                          <w:jc w:val="center"/>
                          <w:rPr>
                            <w:rFonts w:ascii="宋体" w:hAnsi="宋体" w:cs="宋体" w:eastAsia="宋体" w:hint="default"/>
                            <w:sz w:val="16"/>
                            <w:szCs w:val="16"/>
                          </w:rPr>
                        </w:pPr>
                        <w:r>
                          <w:rPr>
                            <w:rFonts w:ascii="宋体"/>
                            <w:sz w:val="16"/>
                          </w:rPr>
                          <w:t>2014.05.15</w:t>
                        </w:r>
                      </w:p>
                    </w:tc>
                    <w:tc>
                      <w:tcPr>
                        <w:tcW w:w="72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3"/>
                          <w:jc w:val="center"/>
                          <w:rPr>
                            <w:rFonts w:ascii="宋体" w:hAnsi="宋体" w:cs="宋体" w:eastAsia="宋体" w:hint="default"/>
                            <w:sz w:val="16"/>
                            <w:szCs w:val="16"/>
                          </w:rPr>
                        </w:pPr>
                        <w:r>
                          <w:rPr>
                            <w:rFonts w:ascii="宋体" w:hAnsi="宋体" w:cs="宋体" w:eastAsia="宋体" w:hint="default"/>
                            <w:sz w:val="16"/>
                            <w:szCs w:val="16"/>
                          </w:rPr>
                          <w:t>人民币</w:t>
                        </w:r>
                      </w:p>
                    </w:tc>
                    <w:tc>
                      <w:tcPr>
                        <w:tcW w:w="73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25"/>
                          <w:jc w:val="right"/>
                          <w:rPr>
                            <w:rFonts w:ascii="宋体" w:hAnsi="宋体" w:cs="宋体" w:eastAsia="宋体" w:hint="default"/>
                            <w:sz w:val="16"/>
                            <w:szCs w:val="16"/>
                          </w:rPr>
                        </w:pPr>
                        <w:r>
                          <w:rPr>
                            <w:rFonts w:ascii="宋体"/>
                            <w:spacing w:val="-1"/>
                            <w:sz w:val="16"/>
                          </w:rPr>
                          <w:t>5.415%</w:t>
                        </w:r>
                      </w:p>
                    </w:tc>
                    <w:tc>
                      <w:tcPr>
                        <w:tcW w:w="595"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58" w:right="0"/>
                          <w:jc w:val="center"/>
                          <w:rPr>
                            <w:rFonts w:ascii="宋体" w:hAnsi="宋体" w:cs="宋体" w:eastAsia="宋体" w:hint="default"/>
                            <w:sz w:val="16"/>
                            <w:szCs w:val="16"/>
                          </w:rPr>
                        </w:pPr>
                        <w:r>
                          <w:rPr>
                            <w:rFonts w:ascii="宋体"/>
                            <w:sz w:val="16"/>
                          </w:rPr>
                          <w:t>0.00</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10"/>
                          <w:jc w:val="right"/>
                          <w:rPr>
                            <w:rFonts w:ascii="宋体" w:hAnsi="宋体" w:cs="宋体" w:eastAsia="宋体" w:hint="default"/>
                            <w:sz w:val="16"/>
                            <w:szCs w:val="16"/>
                          </w:rPr>
                        </w:pPr>
                        <w:r>
                          <w:rPr>
                            <w:rFonts w:ascii="宋体"/>
                            <w:spacing w:val="-1"/>
                            <w:sz w:val="16"/>
                          </w:rPr>
                          <w:t>100,000,000.00</w:t>
                        </w:r>
                      </w:p>
                    </w:tc>
                    <w:tc>
                      <w:tcPr>
                        <w:tcW w:w="55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98"/>
                          <w:jc w:val="right"/>
                          <w:rPr>
                            <w:rFonts w:ascii="宋体" w:hAnsi="宋体" w:cs="宋体" w:eastAsia="宋体" w:hint="default"/>
                            <w:sz w:val="16"/>
                            <w:szCs w:val="16"/>
                          </w:rPr>
                        </w:pPr>
                        <w:r>
                          <w:rPr>
                            <w:rFonts w:ascii="宋体"/>
                            <w:spacing w:val="-1"/>
                            <w:sz w:val="16"/>
                          </w:rPr>
                          <w:t>100,000,000.00</w:t>
                        </w:r>
                      </w:p>
                    </w:tc>
                  </w:tr>
                  <w:tr>
                    <w:trPr>
                      <w:trHeight w:val="303" w:hRule="exact"/>
                    </w:trPr>
                    <w:tc>
                      <w:tcPr>
                        <w:tcW w:w="2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0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025" w:type="dxa"/>
                        <w:tcBorders>
                          <w:top w:val="single" w:sz="4" w:space="0" w:color="000000"/>
                          <w:left w:val="nil" w:sz="6" w:space="0" w:color="auto"/>
                          <w:bottom w:val="single" w:sz="12" w:space="0" w:color="000000"/>
                          <w:right w:val="nil" w:sz="6" w:space="0" w:color="auto"/>
                        </w:tcBorders>
                      </w:tcPr>
                      <w:p>
                        <w:pPr/>
                      </w:p>
                    </w:tc>
                    <w:tc>
                      <w:tcPr>
                        <w:tcW w:w="729" w:type="dxa"/>
                        <w:tcBorders>
                          <w:top w:val="single" w:sz="4" w:space="0" w:color="000000"/>
                          <w:left w:val="nil" w:sz="6" w:space="0" w:color="auto"/>
                          <w:bottom w:val="single" w:sz="12" w:space="0" w:color="000000"/>
                          <w:right w:val="nil" w:sz="6" w:space="0" w:color="auto"/>
                        </w:tcBorders>
                      </w:tcPr>
                      <w:p>
                        <w:pPr/>
                      </w:p>
                    </w:tc>
                    <w:tc>
                      <w:tcPr>
                        <w:tcW w:w="739" w:type="dxa"/>
                        <w:tcBorders>
                          <w:top w:val="single" w:sz="4" w:space="0" w:color="000000"/>
                          <w:left w:val="nil" w:sz="6" w:space="0" w:color="auto"/>
                          <w:bottom w:val="single" w:sz="12" w:space="0" w:color="000000"/>
                          <w:right w:val="nil" w:sz="6" w:space="0" w:color="auto"/>
                        </w:tcBorders>
                      </w:tcPr>
                      <w:p>
                        <w:pPr/>
                      </w:p>
                    </w:tc>
                    <w:tc>
                      <w:tcPr>
                        <w:tcW w:w="595" w:type="dxa"/>
                        <w:tcBorders>
                          <w:top w:val="single" w:sz="4" w:space="0" w:color="000000"/>
                          <w:left w:val="nil" w:sz="6" w:space="0" w:color="auto"/>
                          <w:bottom w:val="single" w:sz="12" w:space="0" w:color="000000"/>
                          <w:right w:val="nil" w:sz="6" w:space="0" w:color="auto"/>
                        </w:tcBorders>
                      </w:tcPr>
                      <w:p>
                        <w:pPr/>
                      </w:p>
                    </w:tc>
                    <w:tc>
                      <w:tcPr>
                        <w:tcW w:w="1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12"/>
                          <w:jc w:val="right"/>
                          <w:rPr>
                            <w:rFonts w:ascii="宋体" w:hAnsi="宋体" w:cs="宋体" w:eastAsia="宋体" w:hint="default"/>
                            <w:sz w:val="16"/>
                            <w:szCs w:val="16"/>
                          </w:rPr>
                        </w:pPr>
                        <w:r>
                          <w:rPr>
                            <w:rFonts w:ascii="宋体"/>
                            <w:b/>
                            <w:w w:val="95"/>
                            <w:sz w:val="16"/>
                          </w:rPr>
                          <w:t>1,400,000,000.00</w:t>
                        </w:r>
                        <w:r>
                          <w:rPr>
                            <w:rFonts w:ascii="宋体"/>
                            <w:sz w:val="16"/>
                          </w:rPr>
                        </w:r>
                      </w:p>
                    </w:tc>
                    <w:tc>
                      <w:tcPr>
                        <w:tcW w:w="554" w:type="dxa"/>
                        <w:tcBorders>
                          <w:top w:val="single" w:sz="4" w:space="0" w:color="000000"/>
                          <w:left w:val="nil" w:sz="6" w:space="0" w:color="auto"/>
                          <w:bottom w:val="single" w:sz="12" w:space="0" w:color="000000"/>
                          <w:right w:val="nil" w:sz="6" w:space="0" w:color="auto"/>
                        </w:tcBorders>
                      </w:tcPr>
                      <w:p>
                        <w:pP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98"/>
                          <w:jc w:val="right"/>
                          <w:rPr>
                            <w:rFonts w:ascii="宋体" w:hAnsi="宋体" w:cs="宋体" w:eastAsia="宋体" w:hint="default"/>
                            <w:sz w:val="16"/>
                            <w:szCs w:val="16"/>
                          </w:rPr>
                        </w:pPr>
                        <w:r>
                          <w:rPr>
                            <w:rFonts w:ascii="宋体"/>
                            <w:b/>
                            <w:w w:val="95"/>
                            <w:sz w:val="16"/>
                          </w:rPr>
                          <w:t>200,000,000.00</w:t>
                        </w:r>
                        <w:r>
                          <w:rPr>
                            <w:rFonts w:ascii="宋体"/>
                            <w:sz w:val="16"/>
                          </w:rPr>
                        </w:r>
                      </w:p>
                    </w:tc>
                  </w:tr>
                </w:tbl>
                <w:p>
                  <w:pPr/>
                </w:p>
              </w:txbxContent>
            </v:textbox>
            <w10:wrap type="none"/>
          </v:shape>
        </w:pict>
      </w: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金额前五名的长期借款</w:t>
      </w:r>
    </w:p>
    <w:p>
      <w:pPr>
        <w:spacing w:line="240" w:lineRule="auto" w:before="6"/>
        <w:rPr>
          <w:rFonts w:ascii="宋体" w:hAnsi="宋体" w:cs="宋体" w:eastAsia="宋体" w:hint="default"/>
          <w:sz w:val="12"/>
          <w:szCs w:val="12"/>
        </w:rPr>
      </w:pPr>
    </w:p>
    <w:p>
      <w:pPr>
        <w:spacing w:line="30" w:lineRule="exact"/>
        <w:ind w:left="17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6.3pt;height:1.5pt;mso-position-horizontal-relative:char;mso-position-vertical-relative:line" coordorigin="0,0" coordsize="9126,30">
            <v:group style="position:absolute;left:15;top:15;width:5102;height:2" coordorigin="15,15" coordsize="5102,2">
              <v:shape style="position:absolute;left:15;top:15;width:5102;height:2" coordorigin="15,15" coordsize="5102,0" path="m15,15l5116,15e" filled="false" stroked="true" strokeweight="1.5pt" strokecolor="#000000">
                <v:path arrowok="t"/>
              </v:shape>
            </v:group>
            <v:group style="position:absolute;left:5116;top:15;width:2091;height:2" coordorigin="5116,15" coordsize="2091,2">
              <v:shape style="position:absolute;left:5116;top:15;width:2091;height:2" coordorigin="5116,15" coordsize="2091,0" path="m5116,15l7207,15e" filled="false" stroked="true" strokeweight="1.5pt" strokecolor="#000000">
                <v:path arrowok="t"/>
              </v:shape>
            </v:group>
            <v:group style="position:absolute;left:7207;top:15;width:1905;height:2" coordorigin="7207,15" coordsize="1905,2">
              <v:shape style="position:absolute;left:7207;top:15;width:1905;height:2" coordorigin="7207,15" coordsize="1905,0" path="m7207,15l911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tabs>
          <w:tab w:pos="2126" w:val="left" w:leader="none"/>
        </w:tabs>
        <w:spacing w:before="103"/>
        <w:ind w:left="291" w:right="-19" w:firstLine="0"/>
        <w:jc w:val="left"/>
        <w:rPr>
          <w:rFonts w:ascii="宋体" w:hAnsi="宋体" w:cs="宋体" w:eastAsia="宋体" w:hint="default"/>
          <w:sz w:val="16"/>
          <w:szCs w:val="16"/>
        </w:rPr>
      </w:pPr>
      <w:r>
        <w:rPr>
          <w:rFonts w:ascii="宋体" w:hAnsi="宋体" w:cs="宋体" w:eastAsia="宋体" w:hint="default"/>
          <w:b/>
          <w:bCs/>
          <w:w w:val="95"/>
          <w:sz w:val="16"/>
          <w:szCs w:val="16"/>
        </w:rPr>
        <w:t>贷款单位</w:t>
        <w:tab/>
      </w:r>
      <w:r>
        <w:rPr>
          <w:rFonts w:ascii="宋体" w:hAnsi="宋体" w:cs="宋体" w:eastAsia="宋体" w:hint="default"/>
          <w:b/>
          <w:bCs/>
          <w:position w:val="10"/>
          <w:sz w:val="16"/>
          <w:szCs w:val="16"/>
        </w:rPr>
        <w:t>借款</w:t>
      </w:r>
      <w:r>
        <w:rPr>
          <w:rFonts w:ascii="宋体" w:hAnsi="宋体" w:cs="宋体" w:eastAsia="宋体" w:hint="default"/>
          <w:sz w:val="16"/>
          <w:szCs w:val="16"/>
        </w:rPr>
      </w:r>
    </w:p>
    <w:p>
      <w:pPr>
        <w:tabs>
          <w:tab w:pos="3237" w:val="left" w:leader="none"/>
          <w:tab w:pos="5250" w:val="left" w:leader="none"/>
        </w:tabs>
        <w:spacing w:before="13"/>
        <w:ind w:left="291"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position w:val="-8"/>
          <w:sz w:val="16"/>
          <w:szCs w:val="16"/>
        </w:rPr>
        <w:t>借款</w:t>
        <w:tab/>
      </w:r>
      <w:r>
        <w:rPr>
          <w:rFonts w:ascii="宋体" w:hAnsi="宋体" w:cs="宋体" w:eastAsia="宋体" w:hint="default"/>
          <w:b/>
          <w:bCs/>
          <w:w w:val="95"/>
          <w:sz w:val="16"/>
          <w:szCs w:val="16"/>
        </w:rPr>
        <w:t>期末数</w:t>
        <w:tab/>
      </w:r>
      <w:r>
        <w:rPr>
          <w:rFonts w:ascii="宋体" w:hAnsi="宋体" w:cs="宋体" w:eastAsia="宋体" w:hint="default"/>
          <w:b/>
          <w:bCs/>
          <w:sz w:val="16"/>
          <w:szCs w:val="16"/>
        </w:rPr>
        <w:t>期初数</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280" w:left="1280" w:right="1140"/>
          <w:cols w:num="2" w:equalWidth="0">
            <w:col w:w="2449" w:space="401"/>
            <w:col w:w="6640"/>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416" w:type="dxa"/>
        <w:tblLayout w:type="fixed"/>
        <w:tblCellMar>
          <w:top w:w="0" w:type="dxa"/>
          <w:left w:w="0" w:type="dxa"/>
          <w:bottom w:w="0" w:type="dxa"/>
          <w:right w:w="0" w:type="dxa"/>
        </w:tblCellMar>
        <w:tblLook w:val="01E0"/>
      </w:tblPr>
      <w:tblGrid>
        <w:gridCol w:w="3125"/>
        <w:gridCol w:w="3688"/>
        <w:gridCol w:w="1825"/>
      </w:tblGrid>
      <w:tr>
        <w:trPr>
          <w:trHeight w:val="498" w:hRule="exact"/>
        </w:trPr>
        <w:tc>
          <w:tcPr>
            <w:tcW w:w="312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35.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应付债券</w:t>
            </w:r>
          </w:p>
        </w:tc>
        <w:tc>
          <w:tcPr>
            <w:tcW w:w="5513"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12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68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96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2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9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12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68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797"/>
              <w:jc w:val="right"/>
              <w:rPr>
                <w:rFonts w:ascii="宋体" w:hAnsi="宋体" w:cs="宋体" w:eastAsia="宋体" w:hint="default"/>
                <w:sz w:val="18"/>
                <w:szCs w:val="18"/>
              </w:rPr>
            </w:pPr>
            <w:r>
              <w:rPr>
                <w:rFonts w:ascii="宋体"/>
                <w:sz w:val="18"/>
              </w:rPr>
              <w:t>489,263,173.51</w:t>
            </w:r>
          </w:p>
        </w:tc>
        <w:tc>
          <w:tcPr>
            <w:tcW w:w="182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312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68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99"/>
              <w:jc w:val="right"/>
              <w:rPr>
                <w:rFonts w:ascii="宋体" w:hAnsi="宋体" w:cs="宋体" w:eastAsia="宋体" w:hint="default"/>
                <w:sz w:val="18"/>
                <w:szCs w:val="18"/>
              </w:rPr>
            </w:pPr>
            <w:r>
              <w:rPr>
                <w:rFonts w:ascii="宋体"/>
                <w:b/>
                <w:w w:val="95"/>
                <w:sz w:val="18"/>
              </w:rPr>
              <w:t>489,263,173.51</w:t>
            </w:r>
            <w:r>
              <w:rPr>
                <w:rFonts w:ascii="宋体"/>
                <w:sz w:val="18"/>
              </w:rPr>
            </w:r>
          </w:p>
        </w:tc>
        <w:tc>
          <w:tcPr>
            <w:tcW w:w="182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0.00</w:t>
            </w:r>
            <w:r>
              <w:rPr>
                <w:rFonts w:ascii="宋体"/>
                <w:sz w:val="18"/>
              </w:rPr>
            </w:r>
          </w:p>
        </w:tc>
      </w:tr>
    </w:tbl>
    <w:p>
      <w:pPr>
        <w:spacing w:before="79"/>
        <w:ind w:left="578" w:right="0" w:firstLine="0"/>
        <w:jc w:val="left"/>
        <w:rPr>
          <w:rFonts w:ascii="宋体" w:hAnsi="宋体" w:cs="宋体" w:eastAsia="宋体" w:hint="default"/>
          <w:sz w:val="22"/>
          <w:szCs w:val="22"/>
        </w:rPr>
      </w:pPr>
      <w:r>
        <w:rPr>
          <w:rFonts w:ascii="宋体" w:hAnsi="宋体" w:cs="宋体" w:eastAsia="宋体" w:hint="default"/>
          <w:sz w:val="22"/>
          <w:szCs w:val="22"/>
        </w:rPr>
        <w:t>年末金额主要系本公司之控股子公司泰豪科技股份有限公司本年发行的</w:t>
      </w:r>
      <w:r>
        <w:rPr>
          <w:rFonts w:ascii="宋体" w:hAnsi="宋体" w:cs="宋体" w:eastAsia="宋体" w:hint="default"/>
          <w:spacing w:val="-76"/>
          <w:sz w:val="22"/>
          <w:szCs w:val="22"/>
        </w:rPr>
        <w:t> </w:t>
      </w:r>
      <w:r>
        <w:rPr>
          <w:rFonts w:ascii="宋体" w:hAnsi="宋体" w:cs="宋体" w:eastAsia="宋体" w:hint="default"/>
          <w:sz w:val="22"/>
          <w:szCs w:val="22"/>
        </w:rPr>
        <w:t>5</w:t>
      </w:r>
      <w:r>
        <w:rPr>
          <w:rFonts w:ascii="宋体" w:hAnsi="宋体" w:cs="宋体" w:eastAsia="宋体" w:hint="default"/>
          <w:spacing w:val="-76"/>
          <w:sz w:val="22"/>
          <w:szCs w:val="22"/>
        </w:rPr>
        <w:t> </w:t>
      </w:r>
      <w:r>
        <w:rPr>
          <w:rFonts w:ascii="宋体" w:hAnsi="宋体" w:cs="宋体" w:eastAsia="宋体" w:hint="default"/>
          <w:sz w:val="22"/>
          <w:szCs w:val="22"/>
        </w:rPr>
        <w:t>亿元五年期公司债</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券，债券票面年利率为</w:t>
      </w:r>
      <w:r>
        <w:rPr>
          <w:rFonts w:ascii="宋体" w:hAnsi="宋体" w:cs="宋体" w:eastAsia="宋体" w:hint="default"/>
          <w:spacing w:val="-56"/>
          <w:sz w:val="22"/>
          <w:szCs w:val="22"/>
        </w:rPr>
        <w:t> </w:t>
      </w:r>
      <w:r>
        <w:rPr>
          <w:rFonts w:ascii="宋体" w:hAnsi="宋体" w:cs="宋体" w:eastAsia="宋体" w:hint="default"/>
          <w:sz w:val="22"/>
          <w:szCs w:val="22"/>
        </w:rPr>
        <w:t>5.3%，计息期限为</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9</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27</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7"/>
          <w:sz w:val="22"/>
          <w:szCs w:val="22"/>
        </w:rPr>
        <w:t> </w:t>
      </w:r>
      <w:r>
        <w:rPr>
          <w:rFonts w:ascii="宋体" w:hAnsi="宋体" w:cs="宋体" w:eastAsia="宋体" w:hint="default"/>
          <w:sz w:val="22"/>
          <w:szCs w:val="22"/>
        </w:rPr>
        <w:t>2015</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9</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26</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after="0"/>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931" w:right="47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36.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长期应付款</w:t>
      </w:r>
    </w:p>
    <w:p>
      <w:pPr>
        <w:spacing w:line="240" w:lineRule="auto" w:before="4"/>
        <w:rPr>
          <w:rFonts w:ascii="宋体" w:hAnsi="宋体" w:cs="宋体" w:eastAsia="宋体" w:hint="default"/>
          <w:sz w:val="12"/>
          <w:szCs w:val="12"/>
        </w:rPr>
      </w:pPr>
    </w:p>
    <w:tbl>
      <w:tblPr>
        <w:tblW w:w="0" w:type="auto"/>
        <w:jc w:val="left"/>
        <w:tblInd w:w="462" w:type="dxa"/>
        <w:tblLayout w:type="fixed"/>
        <w:tblCellMar>
          <w:top w:w="0" w:type="dxa"/>
          <w:left w:w="0" w:type="dxa"/>
          <w:bottom w:w="0" w:type="dxa"/>
          <w:right w:w="0" w:type="dxa"/>
        </w:tblCellMar>
        <w:tblLook w:val="01E0"/>
      </w:tblPr>
      <w:tblGrid>
        <w:gridCol w:w="3694"/>
        <w:gridCol w:w="3050"/>
        <w:gridCol w:w="1905"/>
      </w:tblGrid>
      <w:tr>
        <w:trPr>
          <w:trHeight w:val="303" w:hRule="exact"/>
        </w:trPr>
        <w:tc>
          <w:tcPr>
            <w:tcW w:w="369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05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0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0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7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3694" w:type="dxa"/>
            <w:tcBorders>
              <w:top w:val="single" w:sz="4" w:space="0" w:color="000000"/>
              <w:left w:val="nil" w:sz="6" w:space="0" w:color="auto"/>
              <w:bottom w:val="nil" w:sz="6" w:space="0" w:color="auto"/>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土地出让金（泰豪科技并入）</w:t>
            </w:r>
          </w:p>
        </w:tc>
        <w:tc>
          <w:tcPr>
            <w:tcW w:w="3050" w:type="dxa"/>
            <w:tcBorders>
              <w:top w:val="single" w:sz="4" w:space="0" w:color="000000"/>
              <w:left w:val="nil" w:sz="6" w:space="0" w:color="auto"/>
              <w:bottom w:val="nil" w:sz="6" w:space="0" w:color="auto"/>
              <w:right w:val="nil" w:sz="6" w:space="0" w:color="auto"/>
            </w:tcBorders>
          </w:tcPr>
          <w:p>
            <w:pPr>
              <w:pStyle w:val="TableParagraph"/>
              <w:spacing w:line="226" w:lineRule="exact"/>
              <w:ind w:right="714"/>
              <w:jc w:val="right"/>
              <w:rPr>
                <w:rFonts w:ascii="宋体" w:hAnsi="宋体" w:cs="宋体" w:eastAsia="宋体" w:hint="default"/>
                <w:sz w:val="18"/>
                <w:szCs w:val="18"/>
              </w:rPr>
            </w:pPr>
            <w:r>
              <w:rPr>
                <w:rFonts w:ascii="宋体"/>
                <w:sz w:val="18"/>
              </w:rPr>
              <w:t>3,311,000.00</w:t>
            </w:r>
          </w:p>
        </w:tc>
        <w:tc>
          <w:tcPr>
            <w:tcW w:w="1905"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3,311,000.00</w:t>
            </w:r>
          </w:p>
        </w:tc>
      </w:tr>
      <w:tr>
        <w:trPr>
          <w:trHeight w:val="283"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改制借款（泰豪科技并入）</w:t>
            </w:r>
          </w:p>
        </w:tc>
        <w:tc>
          <w:tcPr>
            <w:tcW w:w="3050" w:type="dxa"/>
            <w:tcBorders>
              <w:top w:val="nil" w:sz="6" w:space="0" w:color="auto"/>
              <w:left w:val="nil" w:sz="6" w:space="0" w:color="auto"/>
              <w:bottom w:val="nil" w:sz="6" w:space="0" w:color="auto"/>
              <w:right w:val="nil" w:sz="6" w:space="0" w:color="auto"/>
            </w:tcBorders>
          </w:tcPr>
          <w:p>
            <w:pPr>
              <w:pStyle w:val="TableParagraph"/>
              <w:spacing w:line="232" w:lineRule="exact"/>
              <w:ind w:right="714"/>
              <w:jc w:val="right"/>
              <w:rPr>
                <w:rFonts w:ascii="宋体" w:hAnsi="宋体" w:cs="宋体" w:eastAsia="宋体" w:hint="default"/>
                <w:sz w:val="18"/>
                <w:szCs w:val="18"/>
              </w:rPr>
            </w:pPr>
            <w:r>
              <w:rPr>
                <w:rFonts w:ascii="宋体"/>
                <w:sz w:val="18"/>
              </w:rPr>
              <w:t>2,000,000.00</w:t>
            </w:r>
          </w:p>
        </w:tc>
        <w:tc>
          <w:tcPr>
            <w:tcW w:w="190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2,000,000.00</w:t>
            </w:r>
          </w:p>
        </w:tc>
      </w:tr>
      <w:tr>
        <w:trPr>
          <w:trHeight w:val="294" w:hRule="exact"/>
        </w:trPr>
        <w:tc>
          <w:tcPr>
            <w:tcW w:w="3694" w:type="dxa"/>
            <w:tcBorders>
              <w:top w:val="nil" w:sz="6" w:space="0" w:color="auto"/>
              <w:left w:val="nil" w:sz="6" w:space="0" w:color="auto"/>
              <w:bottom w:val="single" w:sz="4" w:space="0" w:color="000000"/>
              <w:right w:val="nil" w:sz="6" w:space="0" w:color="auto"/>
            </w:tcBorders>
          </w:tcPr>
          <w:p>
            <w:pPr>
              <w:pStyle w:val="TableParagraph"/>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0" w:type="dxa"/>
            <w:tcBorders>
              <w:top w:val="nil" w:sz="6" w:space="0" w:color="auto"/>
              <w:left w:val="nil" w:sz="6" w:space="0" w:color="auto"/>
              <w:bottom w:val="single" w:sz="4" w:space="0" w:color="000000"/>
              <w:right w:val="nil" w:sz="6" w:space="0" w:color="auto"/>
            </w:tcBorders>
          </w:tcPr>
          <w:p>
            <w:pPr>
              <w:pStyle w:val="TableParagraph"/>
              <w:spacing w:line="232" w:lineRule="exact"/>
              <w:ind w:right="714"/>
              <w:jc w:val="right"/>
              <w:rPr>
                <w:rFonts w:ascii="宋体" w:hAnsi="宋体" w:cs="宋体" w:eastAsia="宋体" w:hint="default"/>
                <w:sz w:val="18"/>
                <w:szCs w:val="18"/>
              </w:rPr>
            </w:pPr>
            <w:r>
              <w:rPr>
                <w:rFonts w:ascii="宋体"/>
                <w:sz w:val="18"/>
              </w:rPr>
              <w:t>232,094.08</w:t>
            </w:r>
          </w:p>
        </w:tc>
        <w:tc>
          <w:tcPr>
            <w:tcW w:w="1905"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232,094.08</w:t>
            </w:r>
          </w:p>
        </w:tc>
      </w:tr>
      <w:tr>
        <w:trPr>
          <w:trHeight w:val="303" w:hRule="exact"/>
        </w:trPr>
        <w:tc>
          <w:tcPr>
            <w:tcW w:w="369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05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b/>
                <w:w w:val="95"/>
                <w:sz w:val="18"/>
              </w:rPr>
              <w:t>5,543,094.08</w:t>
            </w:r>
            <w:r>
              <w:rPr>
                <w:rFonts w:ascii="宋体"/>
                <w:sz w:val="18"/>
              </w:rPr>
            </w:r>
          </w:p>
        </w:tc>
        <w:tc>
          <w:tcPr>
            <w:tcW w:w="190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5,543,094.08</w:t>
            </w:r>
            <w:r>
              <w:rPr>
                <w:rFonts w:ascii="宋体"/>
                <w:sz w:val="18"/>
              </w:rPr>
            </w:r>
          </w:p>
        </w:tc>
      </w:tr>
    </w:tbl>
    <w:p>
      <w:pPr>
        <w:spacing w:line="324" w:lineRule="auto" w:before="79"/>
        <w:ind w:left="478" w:right="471" w:firstLine="440"/>
        <w:jc w:val="left"/>
        <w:rPr>
          <w:rFonts w:ascii="宋体" w:hAnsi="宋体" w:cs="宋体" w:eastAsia="宋体" w:hint="default"/>
          <w:sz w:val="22"/>
          <w:szCs w:val="22"/>
        </w:rPr>
      </w:pPr>
      <w:r>
        <w:rPr>
          <w:rFonts w:ascii="宋体" w:hAnsi="宋体" w:cs="宋体" w:eastAsia="宋体" w:hint="default"/>
          <w:spacing w:val="5"/>
          <w:w w:val="95"/>
          <w:sz w:val="22"/>
          <w:szCs w:val="22"/>
        </w:rPr>
        <w:t>土地出让金系本公司所属子公司泰豪科技股份有限公司的控股子公司衡阳泰豪通信车辆有</w:t>
      </w:r>
      <w:r>
        <w:rPr>
          <w:rFonts w:ascii="宋体" w:hAnsi="宋体" w:cs="宋体" w:eastAsia="宋体" w:hint="default"/>
          <w:spacing w:val="5"/>
          <w:w w:val="99"/>
          <w:sz w:val="22"/>
          <w:szCs w:val="22"/>
        </w:rPr>
        <w:t> </w:t>
      </w:r>
      <w:r>
        <w:rPr>
          <w:rFonts w:ascii="宋体" w:hAnsi="宋体" w:cs="宋体" w:eastAsia="宋体" w:hint="default"/>
          <w:sz w:val="22"/>
          <w:szCs w:val="22"/>
        </w:rPr>
        <w:t>限公司应付衡阳市政府的土地出让金等相关费用。</w:t>
      </w:r>
    </w:p>
    <w:p>
      <w:pPr>
        <w:spacing w:line="324" w:lineRule="auto" w:before="103"/>
        <w:ind w:left="478" w:right="471" w:firstLine="440"/>
        <w:jc w:val="left"/>
        <w:rPr>
          <w:rFonts w:ascii="宋体" w:hAnsi="宋体" w:cs="宋体" w:eastAsia="宋体" w:hint="default"/>
          <w:sz w:val="22"/>
          <w:szCs w:val="22"/>
        </w:rPr>
      </w:pPr>
      <w:r>
        <w:rPr>
          <w:rFonts w:ascii="宋体" w:hAnsi="宋体" w:cs="宋体" w:eastAsia="宋体" w:hint="default"/>
          <w:spacing w:val="5"/>
          <w:w w:val="95"/>
          <w:sz w:val="22"/>
          <w:szCs w:val="22"/>
        </w:rPr>
        <w:t>改制借款系本公司所属子公司泰豪科技股份有限公司的控股子公司山东吉美乐有限公司应</w:t>
      </w:r>
      <w:r>
        <w:rPr>
          <w:rFonts w:ascii="宋体" w:hAnsi="宋体" w:cs="宋体" w:eastAsia="宋体" w:hint="default"/>
          <w:spacing w:val="5"/>
          <w:w w:val="99"/>
          <w:sz w:val="22"/>
          <w:szCs w:val="22"/>
        </w:rPr>
        <w:t> </w:t>
      </w:r>
      <w:r>
        <w:rPr>
          <w:rFonts w:ascii="宋体" w:hAnsi="宋体" w:cs="宋体" w:eastAsia="宋体" w:hint="default"/>
          <w:sz w:val="22"/>
          <w:szCs w:val="22"/>
        </w:rPr>
        <w:t>付济南市国有资产管理委员会的借款。</w:t>
      </w:r>
    </w:p>
    <w:p>
      <w:pPr>
        <w:spacing w:line="240" w:lineRule="auto" w:before="6"/>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070"/>
        <w:gridCol w:w="1620"/>
        <w:gridCol w:w="1246"/>
        <w:gridCol w:w="1366"/>
        <w:gridCol w:w="1387"/>
      </w:tblGrid>
      <w:tr>
        <w:trPr>
          <w:trHeight w:val="498" w:hRule="exact"/>
        </w:trPr>
        <w:tc>
          <w:tcPr>
            <w:tcW w:w="4070"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814"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37.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专项应付款</w:t>
            </w:r>
          </w:p>
        </w:tc>
        <w:tc>
          <w:tcPr>
            <w:tcW w:w="5619" w:type="dxa"/>
            <w:gridSpan w:val="4"/>
            <w:tcBorders>
              <w:top w:val="nil" w:sz="6" w:space="0" w:color="auto"/>
              <w:left w:val="nil" w:sz="6" w:space="0" w:color="auto"/>
              <w:bottom w:val="single" w:sz="12" w:space="0" w:color="000000"/>
              <w:right w:val="nil" w:sz="6" w:space="0" w:color="auto"/>
            </w:tcBorders>
          </w:tcPr>
          <w:p>
            <w:pPr/>
          </w:p>
        </w:tc>
      </w:tr>
      <w:tr>
        <w:trPr>
          <w:trHeight w:val="332" w:hRule="exact"/>
        </w:trPr>
        <w:tc>
          <w:tcPr>
            <w:tcW w:w="4070"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310"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620" w:type="dxa"/>
            <w:tcBorders>
              <w:top w:val="single" w:sz="12" w:space="0" w:color="000000"/>
              <w:left w:val="nil" w:sz="6" w:space="0" w:color="auto"/>
              <w:bottom w:val="single" w:sz="4" w:space="0" w:color="000000"/>
              <w:right w:val="nil" w:sz="6" w:space="0" w:color="auto"/>
            </w:tcBorders>
          </w:tcPr>
          <w:p>
            <w:pPr>
              <w:pStyle w:val="TableParagraph"/>
              <w:spacing w:line="275" w:lineRule="exact"/>
              <w:ind w:right="155"/>
              <w:jc w:val="right"/>
              <w:rPr>
                <w:rFonts w:ascii="宋体" w:hAnsi="宋体" w:cs="宋体" w:eastAsia="宋体" w:hint="default"/>
                <w:sz w:val="24"/>
                <w:szCs w:val="24"/>
              </w:rPr>
            </w:pPr>
            <w:r>
              <w:rPr>
                <w:rFonts w:ascii="宋体" w:hAnsi="宋体" w:cs="宋体" w:eastAsia="宋体" w:hint="default"/>
                <w:b/>
                <w:bCs/>
                <w:sz w:val="24"/>
                <w:szCs w:val="24"/>
              </w:rPr>
              <w:t>年初金额</w:t>
            </w:r>
            <w:r>
              <w:rPr>
                <w:rFonts w:ascii="宋体" w:hAnsi="宋体" w:cs="宋体" w:eastAsia="宋体" w:hint="default"/>
                <w:sz w:val="24"/>
                <w:szCs w:val="24"/>
              </w:rPr>
            </w:r>
          </w:p>
        </w:tc>
        <w:tc>
          <w:tcPr>
            <w:tcW w:w="1246" w:type="dxa"/>
            <w:tcBorders>
              <w:top w:val="single" w:sz="12" w:space="0" w:color="000000"/>
              <w:left w:val="nil" w:sz="6" w:space="0" w:color="auto"/>
              <w:bottom w:val="single" w:sz="4" w:space="0" w:color="000000"/>
              <w:right w:val="nil" w:sz="6" w:space="0" w:color="auto"/>
            </w:tcBorders>
          </w:tcPr>
          <w:p>
            <w:pPr>
              <w:pStyle w:val="TableParagraph"/>
              <w:spacing w:line="275" w:lineRule="exact"/>
              <w:ind w:right="110"/>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366"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15" w:right="0"/>
              <w:jc w:val="left"/>
              <w:rPr>
                <w:rFonts w:ascii="宋体" w:hAnsi="宋体" w:cs="宋体" w:eastAsia="宋体" w:hint="default"/>
                <w:sz w:val="24"/>
                <w:szCs w:val="24"/>
              </w:rPr>
            </w:pPr>
            <w:r>
              <w:rPr>
                <w:rFonts w:ascii="宋体" w:hAnsi="宋体" w:cs="宋体" w:eastAsia="宋体" w:hint="default"/>
                <w:b/>
                <w:bCs/>
                <w:sz w:val="24"/>
                <w:szCs w:val="24"/>
              </w:rPr>
              <w:t>本期结转</w:t>
            </w:r>
            <w:r>
              <w:rPr>
                <w:rFonts w:ascii="宋体" w:hAnsi="宋体" w:cs="宋体" w:eastAsia="宋体" w:hint="default"/>
                <w:sz w:val="24"/>
                <w:szCs w:val="24"/>
              </w:rPr>
            </w:r>
          </w:p>
        </w:tc>
        <w:tc>
          <w:tcPr>
            <w:tcW w:w="1387"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14" w:right="0"/>
              <w:jc w:val="left"/>
              <w:rPr>
                <w:rFonts w:ascii="宋体" w:hAnsi="宋体" w:cs="宋体" w:eastAsia="宋体" w:hint="default"/>
                <w:sz w:val="24"/>
                <w:szCs w:val="24"/>
              </w:rPr>
            </w:pPr>
            <w:r>
              <w:rPr>
                <w:rFonts w:ascii="宋体" w:hAnsi="宋体" w:cs="宋体" w:eastAsia="宋体" w:hint="default"/>
                <w:b/>
                <w:bCs/>
                <w:sz w:val="24"/>
                <w:szCs w:val="24"/>
              </w:rPr>
              <w:t>年末金额</w:t>
            </w:r>
            <w:r>
              <w:rPr>
                <w:rFonts w:ascii="宋体" w:hAnsi="宋体" w:cs="宋体" w:eastAsia="宋体" w:hint="default"/>
                <w:sz w:val="24"/>
                <w:szCs w:val="24"/>
              </w:rPr>
            </w:r>
          </w:p>
        </w:tc>
      </w:tr>
      <w:tr>
        <w:trPr>
          <w:trHeight w:val="269" w:hRule="exact"/>
        </w:trPr>
        <w:tc>
          <w:tcPr>
            <w:tcW w:w="4070" w:type="dxa"/>
            <w:tcBorders>
              <w:top w:val="single" w:sz="4" w:space="0" w:color="000000"/>
              <w:left w:val="nil" w:sz="6" w:space="0" w:color="auto"/>
              <w:bottom w:val="nil" w:sz="6" w:space="0" w:color="auto"/>
              <w:right w:val="nil" w:sz="6" w:space="0" w:color="auto"/>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信息产业部电子基金拨款</w:t>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76"/>
              <w:jc w:val="right"/>
              <w:rPr>
                <w:rFonts w:ascii="宋体" w:hAnsi="宋体" w:cs="宋体" w:eastAsia="宋体" w:hint="default"/>
                <w:sz w:val="18"/>
                <w:szCs w:val="18"/>
              </w:rPr>
            </w:pPr>
            <w:r>
              <w:rPr>
                <w:rFonts w:ascii="宋体"/>
                <w:sz w:val="18"/>
              </w:rPr>
              <w:t>2,300,000.00</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7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z w:val="18"/>
              </w:rPr>
              <w:t>0.00</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2,300,000.00</w:t>
            </w:r>
          </w:p>
        </w:tc>
      </w:tr>
      <w:tr>
        <w:trPr>
          <w:trHeight w:val="256"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信息产业部集成电路挖潜改造拨款</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2,000,000.00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北京市经委集成电路设计研发专项基金</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2,000,000.00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数字电视产业化项目资金</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1,500,000.00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1,500,000.00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数字电视发射、转发及终端设备研制</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1,000,000.00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千兆线速防火墙财政拨款</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500,000.00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500,000.00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公安部第二代身份证专用芯片技术研究</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1,000,000.00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200,000.00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北京市科学技术委员会长风</w:t>
            </w:r>
            <w:r>
              <w:rPr>
                <w:rFonts w:ascii="宋体" w:hAnsi="宋体" w:cs="宋体" w:eastAsia="宋体" w:hint="default"/>
                <w:spacing w:val="-46"/>
                <w:sz w:val="18"/>
                <w:szCs w:val="18"/>
              </w:rPr>
              <w:t> </w:t>
            </w:r>
            <w:r>
              <w:rPr>
                <w:rFonts w:ascii="宋体" w:hAnsi="宋体" w:cs="宋体" w:eastAsia="宋体" w:hint="default"/>
                <w:sz w:val="18"/>
                <w:szCs w:val="18"/>
              </w:rPr>
              <w:t>PC</w:t>
            </w:r>
            <w:r>
              <w:rPr>
                <w:rFonts w:ascii="宋体" w:hAnsi="宋体" w:cs="宋体" w:eastAsia="宋体" w:hint="default"/>
                <w:spacing w:val="-46"/>
                <w:sz w:val="18"/>
                <w:szCs w:val="18"/>
              </w:rPr>
              <w:t> </w:t>
            </w:r>
            <w:r>
              <w:rPr>
                <w:rFonts w:ascii="宋体" w:hAnsi="宋体" w:cs="宋体" w:eastAsia="宋体" w:hint="default"/>
                <w:sz w:val="18"/>
                <w:szCs w:val="18"/>
              </w:rPr>
              <w:t>研发</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11,970,000.00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11,970,000.00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北京工促局非接触式智能卡项目补助</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1,000,000.00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放射性治疗及与影像定位一体化技术装置研制</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600,000.00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600,000.00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国资委科技专项资金</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5,000,000.00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5,000,000.00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北京工促局拨款</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1,000,000.00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信息产业部发展基金计划项目经费</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3,000,000.00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信息产业部集成电路专项款</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8,000,000.00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8,000,000.00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清芯光电专项拨款</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1,000,000.00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军方</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104,400.40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104,400.40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科学技术部</w:t>
            </w:r>
            <w:r>
              <w:rPr>
                <w:rFonts w:ascii="宋体" w:hAnsi="宋体" w:cs="宋体" w:eastAsia="宋体" w:hint="default"/>
                <w:spacing w:val="-46"/>
                <w:sz w:val="18"/>
                <w:szCs w:val="18"/>
              </w:rPr>
              <w:t> </w:t>
            </w:r>
            <w:r>
              <w:rPr>
                <w:rFonts w:ascii="宋体" w:hAnsi="宋体" w:cs="宋体" w:eastAsia="宋体" w:hint="default"/>
                <w:sz w:val="18"/>
                <w:szCs w:val="18"/>
              </w:rPr>
              <w:t>863</w:t>
            </w:r>
            <w:r>
              <w:rPr>
                <w:rFonts w:ascii="宋体" w:hAnsi="宋体" w:cs="宋体" w:eastAsia="宋体" w:hint="default"/>
                <w:spacing w:val="-46"/>
                <w:sz w:val="18"/>
                <w:szCs w:val="18"/>
              </w:rPr>
              <w:t> </w:t>
            </w:r>
            <w:r>
              <w:rPr>
                <w:rFonts w:ascii="宋体" w:hAnsi="宋体" w:cs="宋体" w:eastAsia="宋体" w:hint="default"/>
                <w:sz w:val="18"/>
                <w:szCs w:val="18"/>
              </w:rPr>
              <w:t>经费</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900,000.00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100,000.00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160,000.00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840,000.00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6,000,000.00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6,000,000.00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新型微波介质陶瓷天线和材料</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5,903,689.84</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4,826,747.79</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1,076,942.05</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信息产业部卡芯片系列产业化</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6,500,000.00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6,500,000.00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有限数字电视前端系统设备高科技产业化项目</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1,500,000.00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卡芯片项目</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3,650,000.00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3,650,000.00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出口机电产品研究开发清算资金</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200,000.00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超高频</w:t>
            </w:r>
            <w:r>
              <w:rPr>
                <w:rFonts w:ascii="宋体" w:hAnsi="宋体" w:cs="宋体" w:eastAsia="宋体" w:hint="default"/>
                <w:spacing w:val="-46"/>
                <w:sz w:val="18"/>
                <w:szCs w:val="18"/>
              </w:rPr>
              <w:t> </w:t>
            </w:r>
            <w:r>
              <w:rPr>
                <w:rFonts w:ascii="宋体" w:hAnsi="宋体" w:cs="宋体" w:eastAsia="宋体" w:hint="default"/>
                <w:sz w:val="18"/>
                <w:szCs w:val="18"/>
              </w:rPr>
              <w:t>UHF</w:t>
            </w:r>
            <w:r>
              <w:rPr>
                <w:rFonts w:ascii="宋体" w:hAnsi="宋体" w:cs="宋体" w:eastAsia="宋体" w:hint="default"/>
                <w:spacing w:val="-46"/>
                <w:sz w:val="18"/>
                <w:szCs w:val="18"/>
              </w:rPr>
              <w:t> </w:t>
            </w:r>
            <w:r>
              <w:rPr>
                <w:rFonts w:ascii="宋体" w:hAnsi="宋体" w:cs="宋体" w:eastAsia="宋体" w:hint="default"/>
                <w:sz w:val="18"/>
                <w:szCs w:val="18"/>
              </w:rPr>
              <w:t>读写芯片研发及产业化项目</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576,000.00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576,000.00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唐山市科学技术局科研项目经费</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170,000.00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国家及省科研计划项目与经费</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300,000.00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300,000.00</w:t>
            </w:r>
          </w:p>
        </w:tc>
      </w:tr>
      <w:tr>
        <w:trPr>
          <w:trHeight w:val="255"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高安全非接触式</w:t>
            </w:r>
            <w:r>
              <w:rPr>
                <w:rFonts w:ascii="宋体" w:hAnsi="宋体" w:cs="宋体" w:eastAsia="宋体" w:hint="default"/>
                <w:spacing w:val="-46"/>
                <w:sz w:val="18"/>
                <w:szCs w:val="18"/>
              </w:rPr>
              <w:t> </w:t>
            </w: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卡芯片研发及产业化项目</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1,500,000.00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1,500,000.00</w:t>
            </w:r>
          </w:p>
        </w:tc>
      </w:tr>
      <w:tr>
        <w:trPr>
          <w:trHeight w:val="259"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海淀区中小企业发展专项拟支持项目拨款</w:t>
            </w:r>
          </w:p>
        </w:tc>
        <w:tc>
          <w:tcPr>
            <w:tcW w:w="1620" w:type="dxa"/>
            <w:tcBorders>
              <w:top w:val="nil" w:sz="6" w:space="0" w:color="auto"/>
              <w:left w:val="nil" w:sz="6" w:space="0" w:color="auto"/>
              <w:bottom w:val="nil" w:sz="6" w:space="0" w:color="auto"/>
              <w:right w:val="nil" w:sz="6" w:space="0" w:color="auto"/>
            </w:tcBorders>
          </w:tcPr>
          <w:p>
            <w:pPr>
              <w:pStyle w:val="TableParagraph"/>
              <w:spacing w:line="231" w:lineRule="exact"/>
              <w:ind w:right="76"/>
              <w:jc w:val="right"/>
              <w:rPr>
                <w:rFonts w:ascii="宋体" w:hAnsi="宋体" w:cs="宋体" w:eastAsia="宋体" w:hint="default"/>
                <w:sz w:val="18"/>
                <w:szCs w:val="18"/>
              </w:rPr>
            </w:pPr>
            <w:r>
              <w:rPr>
                <w:rFonts w:ascii="宋体"/>
                <w:sz w:val="18"/>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400,000.00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0.00</w:t>
            </w:r>
          </w:p>
        </w:tc>
        <w:tc>
          <w:tcPr>
            <w:tcW w:w="1387"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400,000.00</w:t>
            </w:r>
          </w:p>
        </w:tc>
      </w:tr>
      <w:tr>
        <w:trPr>
          <w:trHeight w:val="268"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6"/>
              <w:jc w:val="right"/>
              <w:rPr>
                <w:rFonts w:ascii="宋体" w:hAnsi="宋体" w:cs="宋体" w:eastAsia="宋体" w:hint="default"/>
                <w:sz w:val="18"/>
                <w:szCs w:val="18"/>
              </w:rPr>
            </w:pPr>
            <w:r>
              <w:rPr>
                <w:rFonts w:ascii="宋体"/>
                <w:sz w:val="18"/>
              </w:rPr>
              <w:t>4,699,324.01</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8"/>
              <w:jc w:val="right"/>
              <w:rPr>
                <w:rFonts w:ascii="宋体" w:hAnsi="宋体" w:cs="宋体" w:eastAsia="宋体" w:hint="default"/>
                <w:sz w:val="18"/>
                <w:szCs w:val="18"/>
              </w:rPr>
            </w:pPr>
            <w:r>
              <w:rPr>
                <w:rFonts w:ascii="宋体"/>
                <w:sz w:val="18"/>
              </w:rPr>
              <w:t>180,000.00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699,500.00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宋体" w:hAnsi="宋体" w:cs="宋体" w:eastAsia="宋体" w:hint="default"/>
                <w:sz w:val="18"/>
                <w:szCs w:val="18"/>
              </w:rPr>
            </w:pPr>
            <w:r>
              <w:rPr>
                <w:rFonts w:ascii="宋体"/>
                <w:sz w:val="18"/>
              </w:rPr>
              <w:t>4,179,824.01</w:t>
            </w:r>
          </w:p>
        </w:tc>
      </w:tr>
      <w:tr>
        <w:trPr>
          <w:trHeight w:val="318" w:hRule="exact"/>
        </w:trPr>
        <w:tc>
          <w:tcPr>
            <w:tcW w:w="4070" w:type="dxa"/>
            <w:tcBorders>
              <w:top w:val="nil" w:sz="6" w:space="0" w:color="auto"/>
              <w:left w:val="nil" w:sz="6" w:space="0" w:color="auto"/>
              <w:bottom w:val="single" w:sz="12" w:space="0" w:color="000000"/>
              <w:right w:val="nil" w:sz="6" w:space="0" w:color="auto"/>
            </w:tcBorders>
          </w:tcPr>
          <w:p>
            <w:pPr>
              <w:pStyle w:val="TableParagraph"/>
              <w:spacing w:line="266" w:lineRule="exact"/>
              <w:ind w:left="310" w:right="0"/>
              <w:jc w:val="center"/>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1620"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75"/>
              <w:jc w:val="right"/>
              <w:rPr>
                <w:rFonts w:ascii="宋体" w:hAnsi="宋体" w:cs="宋体" w:eastAsia="宋体" w:hint="default"/>
                <w:sz w:val="18"/>
                <w:szCs w:val="18"/>
              </w:rPr>
            </w:pPr>
            <w:r>
              <w:rPr>
                <w:rFonts w:ascii="宋体"/>
                <w:b/>
                <w:w w:val="95"/>
                <w:sz w:val="18"/>
              </w:rPr>
              <w:t>65,977,414.25</w:t>
            </w:r>
            <w:r>
              <w:rPr>
                <w:rFonts w:ascii="宋体"/>
                <w:sz w:val="18"/>
              </w:rPr>
            </w:r>
          </w:p>
        </w:tc>
        <w:tc>
          <w:tcPr>
            <w:tcW w:w="124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77"/>
              <w:jc w:val="right"/>
              <w:rPr>
                <w:rFonts w:ascii="宋体" w:hAnsi="宋体" w:cs="宋体" w:eastAsia="宋体" w:hint="default"/>
                <w:sz w:val="18"/>
                <w:szCs w:val="18"/>
              </w:rPr>
            </w:pPr>
            <w:r>
              <w:rPr>
                <w:rFonts w:ascii="宋体"/>
                <w:b/>
                <w:w w:val="95"/>
                <w:sz w:val="18"/>
              </w:rPr>
              <w:t>8,576,000.00</w:t>
            </w:r>
            <w:r>
              <w:rPr>
                <w:rFonts w:ascii="宋体"/>
                <w:sz w:val="18"/>
              </w:rPr>
            </w:r>
          </w:p>
        </w:tc>
        <w:tc>
          <w:tcPr>
            <w:tcW w:w="136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104"/>
              <w:jc w:val="right"/>
              <w:rPr>
                <w:rFonts w:ascii="宋体" w:hAnsi="宋体" w:cs="宋体" w:eastAsia="宋体" w:hint="default"/>
                <w:sz w:val="18"/>
                <w:szCs w:val="18"/>
              </w:rPr>
            </w:pPr>
            <w:r>
              <w:rPr>
                <w:rFonts w:ascii="宋体"/>
                <w:b/>
                <w:w w:val="95"/>
                <w:sz w:val="18"/>
              </w:rPr>
              <w:t>24,856,247.79</w:t>
            </w:r>
            <w:r>
              <w:rPr>
                <w:rFonts w:ascii="宋体"/>
                <w:sz w:val="18"/>
              </w:rPr>
            </w:r>
          </w:p>
        </w:tc>
        <w:tc>
          <w:tcPr>
            <w:tcW w:w="138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98"/>
              <w:jc w:val="right"/>
              <w:rPr>
                <w:rFonts w:ascii="宋体" w:hAnsi="宋体" w:cs="宋体" w:eastAsia="宋体" w:hint="default"/>
                <w:sz w:val="18"/>
                <w:szCs w:val="18"/>
              </w:rPr>
            </w:pPr>
            <w:r>
              <w:rPr>
                <w:rFonts w:ascii="宋体"/>
                <w:b/>
                <w:w w:val="95"/>
                <w:sz w:val="18"/>
              </w:rPr>
              <w:t>49,697,166.46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610" w:footer="784" w:top="1080" w:bottom="980" w:left="94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111"/>
        <w:gridCol w:w="1400"/>
        <w:gridCol w:w="1396"/>
        <w:gridCol w:w="1305"/>
        <w:gridCol w:w="1434"/>
        <w:gridCol w:w="1764"/>
      </w:tblGrid>
      <w:tr>
        <w:trPr>
          <w:trHeight w:val="497" w:hRule="exact"/>
        </w:trPr>
        <w:tc>
          <w:tcPr>
            <w:tcW w:w="2111"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38.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预计负债</w:t>
            </w:r>
          </w:p>
        </w:tc>
        <w:tc>
          <w:tcPr>
            <w:tcW w:w="7300" w:type="dxa"/>
            <w:gridSpan w:val="5"/>
            <w:tcBorders>
              <w:top w:val="nil" w:sz="6" w:space="0" w:color="auto"/>
              <w:left w:val="nil" w:sz="6" w:space="0" w:color="auto"/>
              <w:bottom w:val="single" w:sz="12" w:space="0" w:color="000000"/>
              <w:right w:val="nil" w:sz="6" w:space="0" w:color="auto"/>
            </w:tcBorders>
          </w:tcPr>
          <w:p>
            <w:pPr/>
          </w:p>
        </w:tc>
      </w:tr>
      <w:tr>
        <w:trPr>
          <w:trHeight w:val="303" w:hRule="exact"/>
        </w:trPr>
        <w:tc>
          <w:tcPr>
            <w:tcW w:w="211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0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9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0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本年结转</w:t>
            </w:r>
            <w:r>
              <w:rPr>
                <w:rFonts w:ascii="宋体" w:hAnsi="宋体" w:cs="宋体" w:eastAsia="宋体" w:hint="default"/>
                <w:sz w:val="18"/>
                <w:szCs w:val="18"/>
              </w:rPr>
            </w:r>
          </w:p>
        </w:tc>
        <w:tc>
          <w:tcPr>
            <w:tcW w:w="14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6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1"/>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82" w:hRule="exact"/>
        </w:trPr>
        <w:tc>
          <w:tcPr>
            <w:tcW w:w="2111"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1400"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1,365,640.00</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5,949,779.63</w:t>
            </w:r>
          </w:p>
        </w:tc>
        <w:tc>
          <w:tcPr>
            <w:tcW w:w="1305"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1,027,316.02</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26" w:lineRule="exact"/>
              <w:ind w:right="143"/>
              <w:jc w:val="right"/>
              <w:rPr>
                <w:rFonts w:ascii="宋体" w:hAnsi="宋体" w:cs="宋体" w:eastAsia="宋体" w:hint="default"/>
                <w:sz w:val="18"/>
                <w:szCs w:val="18"/>
              </w:rPr>
            </w:pPr>
            <w:r>
              <w:rPr>
                <w:rFonts w:ascii="宋体"/>
                <w:sz w:val="18"/>
              </w:rPr>
              <w:t>6,288,103.61</w:t>
            </w:r>
          </w:p>
        </w:tc>
        <w:tc>
          <w:tcPr>
            <w:tcW w:w="1764" w:type="dxa"/>
            <w:tcBorders>
              <w:top w:val="single" w:sz="4" w:space="0" w:color="000000"/>
              <w:left w:val="nil" w:sz="6" w:space="0" w:color="auto"/>
              <w:bottom w:val="nil" w:sz="6" w:space="0" w:color="auto"/>
              <w:right w:val="nil" w:sz="6" w:space="0" w:color="auto"/>
            </w:tcBorders>
          </w:tcPr>
          <w:p>
            <w:pPr>
              <w:pStyle w:val="TableParagraph"/>
              <w:spacing w:line="226" w:lineRule="exact"/>
              <w:ind w:right="31"/>
              <w:jc w:val="center"/>
              <w:rPr>
                <w:rFonts w:ascii="宋体" w:hAnsi="宋体" w:cs="宋体" w:eastAsia="宋体" w:hint="default"/>
                <w:sz w:val="18"/>
                <w:szCs w:val="18"/>
              </w:rPr>
            </w:pPr>
            <w:r>
              <w:rPr>
                <w:rFonts w:ascii="宋体" w:hAnsi="宋体" w:cs="宋体" w:eastAsia="宋体" w:hint="default"/>
                <w:sz w:val="18"/>
                <w:szCs w:val="18"/>
              </w:rPr>
              <w:t>计提的船舶维修费</w:t>
            </w:r>
          </w:p>
        </w:tc>
      </w:tr>
      <w:tr>
        <w:trPr>
          <w:trHeight w:val="294" w:hRule="exact"/>
        </w:trPr>
        <w:tc>
          <w:tcPr>
            <w:tcW w:w="211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担保损失（泰豪并入）</w:t>
            </w:r>
          </w:p>
        </w:tc>
        <w:tc>
          <w:tcPr>
            <w:tcW w:w="1400"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32" w:lineRule="exact"/>
              <w:ind w:left="9" w:right="0"/>
              <w:jc w:val="center"/>
              <w:rPr>
                <w:rFonts w:ascii="宋体" w:hAnsi="宋体" w:cs="宋体" w:eastAsia="宋体" w:hint="default"/>
                <w:sz w:val="18"/>
                <w:szCs w:val="18"/>
              </w:rPr>
            </w:pPr>
            <w:r>
              <w:rPr>
                <w:rFonts w:ascii="宋体"/>
                <w:sz w:val="18"/>
              </w:rPr>
              <w:t>16,090,744.00</w:t>
            </w:r>
          </w:p>
        </w:tc>
        <w:tc>
          <w:tcPr>
            <w:tcW w:w="1305"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z w:val="18"/>
              </w:rPr>
              <w:t>16,090,744.00</w:t>
            </w:r>
          </w:p>
        </w:tc>
        <w:tc>
          <w:tcPr>
            <w:tcW w:w="1764" w:type="dxa"/>
            <w:tcBorders>
              <w:top w:val="nil" w:sz="6" w:space="0" w:color="auto"/>
              <w:left w:val="nil" w:sz="6" w:space="0" w:color="auto"/>
              <w:bottom w:val="single" w:sz="4" w:space="0" w:color="000000"/>
              <w:right w:val="nil" w:sz="6" w:space="0" w:color="auto"/>
            </w:tcBorders>
          </w:tcPr>
          <w:p>
            <w:pPr/>
          </w:p>
        </w:tc>
      </w:tr>
      <w:tr>
        <w:trPr>
          <w:trHeight w:val="303" w:hRule="exact"/>
        </w:trPr>
        <w:tc>
          <w:tcPr>
            <w:tcW w:w="2111"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1,365,640.00</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b/>
                <w:sz w:val="18"/>
              </w:rPr>
              <w:t>22,040,523.63</w:t>
            </w:r>
            <w:r>
              <w:rPr>
                <w:rFonts w:ascii="宋体"/>
                <w:sz w:val="18"/>
              </w:rPr>
            </w:r>
          </w:p>
        </w:tc>
        <w:tc>
          <w:tcPr>
            <w:tcW w:w="130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1,027,316.02</w:t>
            </w:r>
            <w:r>
              <w:rPr>
                <w:rFonts w:ascii="宋体"/>
                <w:sz w:val="18"/>
              </w:rPr>
            </w: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43"/>
              <w:jc w:val="right"/>
              <w:rPr>
                <w:rFonts w:ascii="宋体" w:hAnsi="宋体" w:cs="宋体" w:eastAsia="宋体" w:hint="default"/>
                <w:sz w:val="18"/>
                <w:szCs w:val="18"/>
              </w:rPr>
            </w:pPr>
            <w:r>
              <w:rPr>
                <w:rFonts w:ascii="宋体"/>
                <w:b/>
                <w:w w:val="95"/>
                <w:sz w:val="18"/>
              </w:rPr>
              <w:t>22,378,847.61</w:t>
            </w:r>
            <w:r>
              <w:rPr>
                <w:rFonts w:ascii="宋体"/>
                <w:sz w:val="18"/>
              </w:rPr>
            </w:r>
          </w:p>
        </w:tc>
        <w:tc>
          <w:tcPr>
            <w:tcW w:w="1764" w:type="dxa"/>
            <w:tcBorders>
              <w:top w:val="single" w:sz="4" w:space="0" w:color="000000"/>
              <w:left w:val="nil" w:sz="6" w:space="0" w:color="auto"/>
              <w:bottom w:val="single" w:sz="12" w:space="0" w:color="000000"/>
              <w:right w:val="nil" w:sz="6" w:space="0" w:color="auto"/>
            </w:tcBorders>
          </w:tcPr>
          <w:p>
            <w:pPr/>
          </w:p>
        </w:tc>
      </w:tr>
    </w:tbl>
    <w:p>
      <w:pPr>
        <w:spacing w:before="79"/>
        <w:ind w:left="641" w:right="0" w:firstLine="0"/>
        <w:jc w:val="left"/>
        <w:rPr>
          <w:rFonts w:ascii="宋体" w:hAnsi="宋体" w:cs="宋体" w:eastAsia="宋体" w:hint="default"/>
          <w:sz w:val="22"/>
          <w:szCs w:val="22"/>
        </w:rPr>
      </w:pPr>
      <w:r>
        <w:rPr>
          <w:rFonts w:ascii="宋体" w:hAnsi="宋体" w:cs="宋体" w:eastAsia="宋体" w:hint="default"/>
          <w:spacing w:val="-9"/>
          <w:sz w:val="22"/>
          <w:szCs w:val="22"/>
        </w:rPr>
        <w:t>预计负债增加主要系公司所属子公司泰豪科技股份有限公司本期预计的对外担保损失。</w:t>
      </w:r>
      <w:r>
        <w:rPr>
          <w:rFonts w:ascii="宋体" w:hAnsi="宋体" w:cs="宋体" w:eastAsia="宋体" w:hint="default"/>
          <w:sz w:val="22"/>
          <w:szCs w:val="22"/>
        </w:rPr>
      </w:r>
    </w:p>
    <w:p>
      <w:pPr>
        <w:spacing w:before="180"/>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39.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其他非流动负债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tabs>
          <w:tab w:pos="6173" w:val="left" w:leader="none"/>
          <w:tab w:pos="8289" w:val="left" w:leader="none"/>
          <w:tab w:pos="8901" w:val="left" w:leader="none"/>
        </w:tabs>
        <w:spacing w:line="302" w:lineRule="exact" w:before="13"/>
        <w:ind w:left="171" w:right="316" w:firstLine="0"/>
        <w:jc w:val="left"/>
        <w:rPr>
          <w:rFonts w:ascii="宋体" w:hAnsi="宋体" w:cs="宋体" w:eastAsia="宋体" w:hint="default"/>
          <w:sz w:val="18"/>
          <w:szCs w:val="18"/>
        </w:rPr>
      </w:pPr>
      <w:r>
        <w:rPr/>
        <w:pict>
          <v:shape style="position:absolute;margin-left:66.830002pt;margin-top:-299.215698pt;width:465.35pt;height:308.25pt;mso-position-horizontal-relative:page;mso-position-vertical-relative:paragraph;z-index:5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56"/>
                    <w:gridCol w:w="1584"/>
                    <w:gridCol w:w="1499"/>
                    <w:gridCol w:w="667"/>
                  </w:tblGrid>
                  <w:tr>
                    <w:trPr>
                      <w:trHeight w:val="275" w:hRule="exact"/>
                    </w:trPr>
                    <w:tc>
                      <w:tcPr>
                        <w:tcW w:w="5556"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84"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99"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667" w:type="dxa"/>
                        <w:tcBorders>
                          <w:top w:val="single" w:sz="12" w:space="0" w:color="000000"/>
                          <w:left w:val="nil" w:sz="6" w:space="0" w:color="auto"/>
                          <w:bottom w:val="single" w:sz="4" w:space="0" w:color="000000"/>
                          <w:right w:val="nil" w:sz="6" w:space="0" w:color="auto"/>
                        </w:tcBorders>
                      </w:tcPr>
                      <w:p>
                        <w:pPr>
                          <w:pStyle w:val="TableParagraph"/>
                          <w:spacing w:line="213" w:lineRule="exact"/>
                          <w:ind w:right="112"/>
                          <w:jc w:val="righ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r>
                  <w:tr>
                    <w:trPr>
                      <w:trHeight w:val="262" w:hRule="exact"/>
                    </w:trPr>
                    <w:tc>
                      <w:tcPr>
                        <w:tcW w:w="5556" w:type="dxa"/>
                        <w:tcBorders>
                          <w:top w:val="single" w:sz="4" w:space="0" w:color="000000"/>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年度第三批工业发展资金计划</w:t>
                        </w:r>
                      </w:p>
                    </w:tc>
                    <w:tc>
                      <w:tcPr>
                        <w:tcW w:w="1584" w:type="dxa"/>
                        <w:tcBorders>
                          <w:top w:val="single" w:sz="4" w:space="0" w:color="000000"/>
                          <w:left w:val="nil" w:sz="6" w:space="0" w:color="auto"/>
                          <w:bottom w:val="nil" w:sz="6" w:space="0" w:color="auto"/>
                          <w:right w:val="nil" w:sz="6" w:space="0" w:color="auto"/>
                        </w:tcBorders>
                      </w:tcPr>
                      <w:p>
                        <w:pPr>
                          <w:pStyle w:val="TableParagraph"/>
                          <w:spacing w:line="213" w:lineRule="exact"/>
                          <w:ind w:right="200"/>
                          <w:jc w:val="right"/>
                          <w:rPr>
                            <w:rFonts w:ascii="宋体" w:hAnsi="宋体" w:cs="宋体" w:eastAsia="宋体" w:hint="default"/>
                            <w:sz w:val="18"/>
                            <w:szCs w:val="18"/>
                          </w:rPr>
                        </w:pPr>
                        <w:r>
                          <w:rPr>
                            <w:rFonts w:ascii="宋体"/>
                            <w:sz w:val="18"/>
                          </w:rPr>
                          <w:t>2,000,000.00</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13" w:lineRule="exact"/>
                          <w:ind w:right="125"/>
                          <w:jc w:val="right"/>
                          <w:rPr>
                            <w:rFonts w:ascii="宋体" w:hAnsi="宋体" w:cs="宋体" w:eastAsia="宋体" w:hint="default"/>
                            <w:sz w:val="18"/>
                            <w:szCs w:val="18"/>
                          </w:rPr>
                        </w:pPr>
                        <w:r>
                          <w:rPr>
                            <w:rFonts w:ascii="宋体"/>
                            <w:sz w:val="18"/>
                          </w:rPr>
                          <w:t>2,000,000.00</w:t>
                        </w:r>
                      </w:p>
                    </w:tc>
                    <w:tc>
                      <w:tcPr>
                        <w:tcW w:w="667" w:type="dxa"/>
                        <w:tcBorders>
                          <w:top w:val="single" w:sz="4" w:space="0" w:color="000000"/>
                          <w:left w:val="nil" w:sz="6" w:space="0" w:color="auto"/>
                          <w:bottom w:val="nil" w:sz="6" w:space="0" w:color="auto"/>
                          <w:right w:val="nil" w:sz="6" w:space="0" w:color="auto"/>
                        </w:tcBorders>
                      </w:tcPr>
                      <w:p>
                        <w:pPr>
                          <w:pStyle w:val="TableParagraph"/>
                          <w:spacing w:line="213"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77"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DTMB</w:t>
                        </w:r>
                        <w:r>
                          <w:rPr>
                            <w:rFonts w:ascii="宋体" w:hAnsi="宋体" w:cs="宋体" w:eastAsia="宋体" w:hint="default"/>
                            <w:spacing w:val="-46"/>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DVB-C</w:t>
                        </w:r>
                        <w:r>
                          <w:rPr>
                            <w:rFonts w:ascii="宋体" w:hAnsi="宋体" w:cs="宋体" w:eastAsia="宋体" w:hint="default"/>
                            <w:spacing w:val="-45"/>
                            <w:sz w:val="18"/>
                            <w:szCs w:val="18"/>
                          </w:rPr>
                          <w:t> </w:t>
                        </w:r>
                        <w:r>
                          <w:rPr>
                            <w:rFonts w:ascii="宋体" w:hAnsi="宋体" w:cs="宋体" w:eastAsia="宋体" w:hint="default"/>
                            <w:sz w:val="18"/>
                            <w:szCs w:val="18"/>
                          </w:rPr>
                          <w:t>标准数字电视信道解调单芯片项目款</w:t>
                        </w:r>
                      </w:p>
                    </w:tc>
                    <w:tc>
                      <w:tcPr>
                        <w:tcW w:w="1584" w:type="dxa"/>
                        <w:tcBorders>
                          <w:top w:val="nil" w:sz="6" w:space="0" w:color="auto"/>
                          <w:left w:val="nil" w:sz="6" w:space="0" w:color="auto"/>
                          <w:bottom w:val="nil" w:sz="6" w:space="0" w:color="auto"/>
                          <w:right w:val="nil" w:sz="6" w:space="0" w:color="auto"/>
                        </w:tcBorders>
                      </w:tcPr>
                      <w:p>
                        <w:pPr>
                          <w:pStyle w:val="TableParagraph"/>
                          <w:spacing w:line="225" w:lineRule="exact"/>
                          <w:ind w:right="200"/>
                          <w:jc w:val="right"/>
                          <w:rPr>
                            <w:rFonts w:ascii="宋体" w:hAnsi="宋体" w:cs="宋体" w:eastAsia="宋体" w:hint="default"/>
                            <w:sz w:val="18"/>
                            <w:szCs w:val="18"/>
                          </w:rPr>
                        </w:pPr>
                        <w:r>
                          <w:rPr>
                            <w:rFonts w:ascii="宋体"/>
                            <w:sz w:val="18"/>
                          </w:rPr>
                          <w:t>1,500,000.00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25" w:lineRule="exact"/>
                          <w:ind w:right="125"/>
                          <w:jc w:val="right"/>
                          <w:rPr>
                            <w:rFonts w:ascii="宋体" w:hAnsi="宋体" w:cs="宋体" w:eastAsia="宋体" w:hint="default"/>
                            <w:sz w:val="18"/>
                            <w:szCs w:val="18"/>
                          </w:rPr>
                        </w:pPr>
                        <w:r>
                          <w:rPr>
                            <w:rFonts w:ascii="宋体"/>
                            <w:sz w:val="18"/>
                          </w:rPr>
                          <w:t>1,500,000.00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25"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28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高亮度发光二极管(LED)外延片、芯片产业化工程</w:t>
                        </w:r>
                      </w:p>
                    </w:tc>
                    <w:tc>
                      <w:tcPr>
                        <w:tcW w:w="1584" w:type="dxa"/>
                        <w:tcBorders>
                          <w:top w:val="nil" w:sz="6" w:space="0" w:color="auto"/>
                          <w:left w:val="nil" w:sz="6" w:space="0" w:color="auto"/>
                          <w:bottom w:val="nil" w:sz="6" w:space="0" w:color="auto"/>
                          <w:right w:val="nil" w:sz="6" w:space="0" w:color="auto"/>
                        </w:tcBorders>
                      </w:tcPr>
                      <w:p>
                        <w:pPr>
                          <w:pStyle w:val="TableParagraph"/>
                          <w:spacing w:line="232" w:lineRule="exact"/>
                          <w:ind w:right="200"/>
                          <w:jc w:val="right"/>
                          <w:rPr>
                            <w:rFonts w:ascii="宋体" w:hAnsi="宋体" w:cs="宋体" w:eastAsia="宋体" w:hint="default"/>
                            <w:sz w:val="18"/>
                            <w:szCs w:val="18"/>
                          </w:rPr>
                        </w:pPr>
                        <w:r>
                          <w:rPr>
                            <w:rFonts w:ascii="宋体"/>
                            <w:sz w:val="18"/>
                          </w:rPr>
                          <w:t>30,000,000.00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sz w:val="18"/>
                          </w:rPr>
                          <w:t>30,000,000.00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278"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中国科学院计算技术研究所课题拨款</w:t>
                        </w:r>
                      </w:p>
                    </w:tc>
                    <w:tc>
                      <w:tcPr>
                        <w:tcW w:w="1584" w:type="dxa"/>
                        <w:tcBorders>
                          <w:top w:val="nil" w:sz="6" w:space="0" w:color="auto"/>
                          <w:left w:val="nil" w:sz="6" w:space="0" w:color="auto"/>
                          <w:bottom w:val="nil" w:sz="6" w:space="0" w:color="auto"/>
                          <w:right w:val="nil" w:sz="6" w:space="0" w:color="auto"/>
                        </w:tcBorders>
                      </w:tcPr>
                      <w:p>
                        <w:pPr>
                          <w:pStyle w:val="TableParagraph"/>
                          <w:spacing w:line="233" w:lineRule="exact"/>
                          <w:ind w:right="200"/>
                          <w:jc w:val="right"/>
                          <w:rPr>
                            <w:rFonts w:ascii="宋体" w:hAnsi="宋体" w:cs="宋体" w:eastAsia="宋体" w:hint="default"/>
                            <w:sz w:val="18"/>
                            <w:szCs w:val="18"/>
                          </w:rPr>
                        </w:pPr>
                        <w:r>
                          <w:rPr>
                            <w:rFonts w:ascii="宋体"/>
                            <w:sz w:val="18"/>
                          </w:rPr>
                          <w:t>2,510,000.00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sz w:val="18"/>
                          </w:rPr>
                          <w:t>0.00</w:t>
                        </w:r>
                      </w:p>
                    </w:tc>
                    <w:tc>
                      <w:tcPr>
                        <w:tcW w:w="667" w:type="dxa"/>
                        <w:tcBorders>
                          <w:top w:val="nil" w:sz="6" w:space="0" w:color="auto"/>
                          <w:left w:val="nil" w:sz="6" w:space="0" w:color="auto"/>
                          <w:bottom w:val="nil" w:sz="6" w:space="0" w:color="auto"/>
                          <w:right w:val="nil" w:sz="6" w:space="0" w:color="auto"/>
                        </w:tcBorders>
                      </w:tcPr>
                      <w:p>
                        <w:pPr>
                          <w:pStyle w:val="TableParagraph"/>
                          <w:spacing w:line="233"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263"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电子信息产业发展基金资助项目.高清光盘数字版权保护系统及应用</w:t>
                        </w:r>
                      </w:p>
                    </w:tc>
                    <w:tc>
                      <w:tcPr>
                        <w:tcW w:w="1584" w:type="dxa"/>
                        <w:tcBorders>
                          <w:top w:val="nil" w:sz="6" w:space="0" w:color="auto"/>
                          <w:left w:val="nil" w:sz="6" w:space="0" w:color="auto"/>
                          <w:bottom w:val="nil" w:sz="6" w:space="0" w:color="auto"/>
                          <w:right w:val="nil" w:sz="6" w:space="0" w:color="auto"/>
                        </w:tcBorders>
                      </w:tcPr>
                      <w:p>
                        <w:pPr>
                          <w:pStyle w:val="TableParagraph"/>
                          <w:spacing w:line="225" w:lineRule="exact"/>
                          <w:ind w:right="200"/>
                          <w:jc w:val="right"/>
                          <w:rPr>
                            <w:rFonts w:ascii="宋体" w:hAnsi="宋体" w:cs="宋体" w:eastAsia="宋体" w:hint="default"/>
                            <w:sz w:val="18"/>
                            <w:szCs w:val="18"/>
                          </w:rPr>
                        </w:pPr>
                        <w:r>
                          <w:rPr>
                            <w:rFonts w:ascii="宋体"/>
                            <w:sz w:val="18"/>
                          </w:rPr>
                          <w:t>0.00</w:t>
                        </w:r>
                      </w:p>
                    </w:tc>
                    <w:tc>
                      <w:tcPr>
                        <w:tcW w:w="1499" w:type="dxa"/>
                        <w:tcBorders>
                          <w:top w:val="nil" w:sz="6" w:space="0" w:color="auto"/>
                          <w:left w:val="nil" w:sz="6" w:space="0" w:color="auto"/>
                          <w:bottom w:val="nil" w:sz="6" w:space="0" w:color="auto"/>
                          <w:right w:val="nil" w:sz="6" w:space="0" w:color="auto"/>
                        </w:tcBorders>
                      </w:tcPr>
                      <w:p>
                        <w:pPr>
                          <w:pStyle w:val="TableParagraph"/>
                          <w:spacing w:line="225" w:lineRule="exact"/>
                          <w:ind w:right="125"/>
                          <w:jc w:val="right"/>
                          <w:rPr>
                            <w:rFonts w:ascii="宋体" w:hAnsi="宋体" w:cs="宋体" w:eastAsia="宋体" w:hint="default"/>
                            <w:sz w:val="18"/>
                            <w:szCs w:val="18"/>
                          </w:rPr>
                        </w:pPr>
                        <w:r>
                          <w:rPr>
                            <w:rFonts w:ascii="宋体"/>
                            <w:sz w:val="18"/>
                          </w:rPr>
                          <w:t>750,000.00</w:t>
                        </w:r>
                      </w:p>
                    </w:tc>
                    <w:tc>
                      <w:tcPr>
                        <w:tcW w:w="667" w:type="dxa"/>
                        <w:tcBorders>
                          <w:top w:val="nil" w:sz="6" w:space="0" w:color="auto"/>
                          <w:left w:val="nil" w:sz="6" w:space="0" w:color="auto"/>
                          <w:bottom w:val="nil" w:sz="6" w:space="0" w:color="auto"/>
                          <w:right w:val="nil" w:sz="6" w:space="0" w:color="auto"/>
                        </w:tcBorders>
                      </w:tcPr>
                      <w:p>
                        <w:pP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高新工程人才特殊津贴（泰豪科技并入）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639,039.00</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639,039.00</w:t>
                        </w:r>
                      </w:p>
                    </w:tc>
                    <w:tc>
                      <w:tcPr>
                        <w:tcW w:w="667" w:type="dxa"/>
                        <w:tcBorders>
                          <w:top w:val="nil" w:sz="6" w:space="0" w:color="auto"/>
                          <w:left w:val="nil" w:sz="6" w:space="0" w:color="auto"/>
                          <w:bottom w:val="nil" w:sz="6" w:space="0" w:color="auto"/>
                          <w:right w:val="nil" w:sz="6" w:space="0" w:color="auto"/>
                        </w:tcBorders>
                      </w:tcPr>
                      <w:p>
                        <w:pP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现场总线智能控制器项目（泰豪科技并入）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1,134,000.00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5"/>
                          <w:jc w:val="right"/>
                          <w:rPr>
                            <w:rFonts w:ascii="宋体" w:hAnsi="宋体" w:cs="宋体" w:eastAsia="宋体" w:hint="default"/>
                            <w:sz w:val="18"/>
                            <w:szCs w:val="18"/>
                          </w:rPr>
                        </w:pPr>
                        <w:r>
                          <w:rPr>
                            <w:rFonts w:ascii="宋体"/>
                            <w:sz w:val="18"/>
                          </w:rPr>
                          <w:t>1,296,000.00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17"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万台（套）静音电源项目（泰豪科技并入）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6,000,000.00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6,000,000.00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18"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071</w:t>
                        </w:r>
                        <w:r>
                          <w:rPr>
                            <w:rFonts w:ascii="宋体" w:hAnsi="宋体" w:cs="宋体" w:eastAsia="宋体" w:hint="default"/>
                            <w:spacing w:val="-46"/>
                            <w:sz w:val="18"/>
                            <w:szCs w:val="18"/>
                          </w:rPr>
                          <w:t> </w:t>
                        </w:r>
                        <w:r>
                          <w:rPr>
                            <w:rFonts w:ascii="宋体" w:hAnsi="宋体" w:cs="宋体" w:eastAsia="宋体" w:hint="default"/>
                            <w:sz w:val="18"/>
                            <w:szCs w:val="18"/>
                          </w:rPr>
                          <w:t>工程（泰豪科技并入）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5,000,000.00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5"/>
                          <w:jc w:val="right"/>
                          <w:rPr>
                            <w:rFonts w:ascii="宋体" w:hAnsi="宋体" w:cs="宋体" w:eastAsia="宋体" w:hint="default"/>
                            <w:sz w:val="18"/>
                            <w:szCs w:val="18"/>
                          </w:rPr>
                        </w:pPr>
                        <w:r>
                          <w:rPr>
                            <w:rFonts w:ascii="宋体"/>
                            <w:sz w:val="18"/>
                          </w:rPr>
                          <w:t>5,000,000.00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17"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特种电站虚拟仿真平台（泰豪科技并入）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3,000,000.00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3,000,000.00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18"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低温空气源项目（泰豪科技并入）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3,040,000.00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5"/>
                          <w:jc w:val="right"/>
                          <w:rPr>
                            <w:rFonts w:ascii="宋体" w:hAnsi="宋体" w:cs="宋体" w:eastAsia="宋体" w:hint="default"/>
                            <w:sz w:val="18"/>
                            <w:szCs w:val="18"/>
                          </w:rPr>
                        </w:pPr>
                        <w:r>
                          <w:rPr>
                            <w:rFonts w:ascii="宋体"/>
                            <w:sz w:val="18"/>
                          </w:rPr>
                          <w:t>4,560,000.00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17"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大脉冲负载小型发电机研制款（泰豪科技并入）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400,000.00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0.00</w:t>
                        </w:r>
                      </w:p>
                    </w:tc>
                    <w:tc>
                      <w:tcPr>
                        <w:tcW w:w="667" w:type="dxa"/>
                        <w:tcBorders>
                          <w:top w:val="nil" w:sz="6" w:space="0" w:color="auto"/>
                          <w:left w:val="nil" w:sz="6" w:space="0" w:color="auto"/>
                          <w:bottom w:val="nil" w:sz="6" w:space="0" w:color="auto"/>
                          <w:right w:val="nil" w:sz="6" w:space="0" w:color="auto"/>
                        </w:tcBorders>
                      </w:tcPr>
                      <w:p>
                        <w:pP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高成长企业水地源项目（泰豪科技并入）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200,000.00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5"/>
                          <w:jc w:val="right"/>
                          <w:rPr>
                            <w:rFonts w:ascii="宋体" w:hAnsi="宋体" w:cs="宋体" w:eastAsia="宋体" w:hint="default"/>
                            <w:sz w:val="18"/>
                            <w:szCs w:val="18"/>
                          </w:rPr>
                        </w:pPr>
                        <w:r>
                          <w:rPr>
                            <w:rFonts w:ascii="宋体"/>
                            <w:sz w:val="18"/>
                          </w:rPr>
                          <w:t>300,000.00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17" w:lineRule="exact"/>
                          <w:ind w:right="17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新型微波介质陶瓷天线和材料的产业化项目（山东鲁颖并入）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4,794,920.20</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0.00</w:t>
                        </w:r>
                      </w:p>
                    </w:tc>
                    <w:tc>
                      <w:tcPr>
                        <w:tcW w:w="667"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海淀区财政局重大产业专项款（软件股份并入）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800,000.00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5"/>
                          <w:jc w:val="right"/>
                          <w:rPr>
                            <w:rFonts w:ascii="宋体" w:hAnsi="宋体" w:cs="宋体" w:eastAsia="宋体" w:hint="default"/>
                            <w:sz w:val="18"/>
                            <w:szCs w:val="18"/>
                          </w:rPr>
                        </w:pPr>
                        <w:r>
                          <w:rPr>
                            <w:rFonts w:ascii="宋体"/>
                            <w:sz w:val="18"/>
                          </w:rPr>
                          <w:t>800,000.00</w:t>
                        </w:r>
                      </w:p>
                    </w:tc>
                    <w:tc>
                      <w:tcPr>
                        <w:tcW w:w="667" w:type="dxa"/>
                        <w:tcBorders>
                          <w:top w:val="nil" w:sz="6" w:space="0" w:color="auto"/>
                          <w:left w:val="nil" w:sz="6" w:space="0" w:color="auto"/>
                          <w:bottom w:val="nil" w:sz="6" w:space="0" w:color="auto"/>
                          <w:right w:val="nil" w:sz="6" w:space="0" w:color="auto"/>
                        </w:tcBorders>
                      </w:tcPr>
                      <w:p>
                        <w:pP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信息产业发展基金工业和信息化部项目款（软件股份并入）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1,000,000.00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1,000,000.00</w:t>
                        </w:r>
                      </w:p>
                    </w:tc>
                    <w:tc>
                      <w:tcPr>
                        <w:tcW w:w="667"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11</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北京市科委智能设备管理通用构件平台开发费（软件股份并入）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5"/>
                          <w:jc w:val="right"/>
                          <w:rPr>
                            <w:rFonts w:ascii="宋体" w:hAnsi="宋体" w:cs="宋体" w:eastAsia="宋体" w:hint="default"/>
                            <w:sz w:val="18"/>
                            <w:szCs w:val="18"/>
                          </w:rPr>
                        </w:pPr>
                        <w:r>
                          <w:rPr>
                            <w:rFonts w:ascii="宋体"/>
                            <w:sz w:val="18"/>
                          </w:rPr>
                          <w:t>1,500,000.00</w:t>
                        </w:r>
                      </w:p>
                    </w:tc>
                    <w:tc>
                      <w:tcPr>
                        <w:tcW w:w="667" w:type="dxa"/>
                        <w:tcBorders>
                          <w:top w:val="nil" w:sz="6" w:space="0" w:color="auto"/>
                          <w:left w:val="nil" w:sz="6" w:space="0" w:color="auto"/>
                          <w:bottom w:val="nil" w:sz="6" w:space="0" w:color="auto"/>
                          <w:right w:val="nil" w:sz="6" w:space="0" w:color="auto"/>
                        </w:tcBorders>
                      </w:tcPr>
                      <w:p>
                        <w:pP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土地出让金（碳素并入）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1,300,545.12</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1,327,734.24</w:t>
                        </w:r>
                      </w:p>
                    </w:tc>
                    <w:tc>
                      <w:tcPr>
                        <w:tcW w:w="667" w:type="dxa"/>
                        <w:tcBorders>
                          <w:top w:val="nil" w:sz="6" w:space="0" w:color="auto"/>
                          <w:left w:val="nil" w:sz="6" w:space="0" w:color="auto"/>
                          <w:bottom w:val="nil" w:sz="6" w:space="0" w:color="auto"/>
                          <w:right w:val="nil" w:sz="6" w:space="0" w:color="auto"/>
                        </w:tcBorders>
                      </w:tcPr>
                      <w:p>
                        <w:pP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新型片式石英晶体元器件产业化项目（晶源电子并入）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6,442,492.00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5"/>
                          <w:jc w:val="right"/>
                          <w:rPr>
                            <w:rFonts w:ascii="宋体" w:hAnsi="宋体" w:cs="宋体" w:eastAsia="宋体" w:hint="default"/>
                            <w:sz w:val="18"/>
                            <w:szCs w:val="18"/>
                          </w:rPr>
                        </w:pPr>
                        <w:r>
                          <w:rPr>
                            <w:rFonts w:ascii="宋体"/>
                            <w:sz w:val="18"/>
                          </w:rPr>
                          <w:t>0.00</w:t>
                        </w:r>
                      </w:p>
                    </w:tc>
                    <w:tc>
                      <w:tcPr>
                        <w:tcW w:w="667"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进口设备贴息（晶源电子并入）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1,673,309.31</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4"/>
                          <w:jc w:val="right"/>
                          <w:rPr>
                            <w:rFonts w:ascii="宋体" w:hAnsi="宋体" w:cs="宋体" w:eastAsia="宋体" w:hint="default"/>
                            <w:sz w:val="18"/>
                            <w:szCs w:val="18"/>
                          </w:rPr>
                        </w:pPr>
                        <w:r>
                          <w:rPr>
                            <w:rFonts w:ascii="宋体"/>
                            <w:sz w:val="18"/>
                          </w:rPr>
                          <w:t>0.00</w:t>
                        </w:r>
                      </w:p>
                    </w:tc>
                    <w:tc>
                      <w:tcPr>
                        <w:tcW w:w="667"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13</w:t>
                        </w:r>
                      </w:p>
                    </w:tc>
                  </w:tr>
                  <w:tr>
                    <w:trPr>
                      <w:trHeight w:val="255"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纳税奖励（晶源电子并入）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85,000.00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17" w:lineRule="exact"/>
                          <w:ind w:right="124"/>
                          <w:jc w:val="right"/>
                          <w:rPr>
                            <w:rFonts w:ascii="宋体" w:hAnsi="宋体" w:cs="宋体" w:eastAsia="宋体" w:hint="default"/>
                            <w:sz w:val="18"/>
                            <w:szCs w:val="18"/>
                          </w:rPr>
                        </w:pPr>
                        <w:r>
                          <w:rPr>
                            <w:rFonts w:ascii="宋体"/>
                            <w:sz w:val="18"/>
                          </w:rPr>
                          <w:t>0.00</w:t>
                        </w:r>
                      </w:p>
                    </w:tc>
                    <w:tc>
                      <w:tcPr>
                        <w:tcW w:w="667"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14</w:t>
                        </w:r>
                      </w:p>
                    </w:tc>
                  </w:tr>
                  <w:tr>
                    <w:trPr>
                      <w:trHeight w:val="218"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唐山市财政局信息产业化项目（晶源电子并入）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4,449,999.96</w:t>
                        </w:r>
                      </w:p>
                    </w:tc>
                    <w:tc>
                      <w:tcPr>
                        <w:tcW w:w="1499" w:type="dxa"/>
                        <w:tcBorders>
                          <w:top w:val="nil" w:sz="6" w:space="0" w:color="auto"/>
                          <w:left w:val="nil" w:sz="6" w:space="0" w:color="auto"/>
                          <w:bottom w:val="nil" w:sz="6" w:space="0" w:color="auto"/>
                          <w:right w:val="nil" w:sz="6" w:space="0" w:color="auto"/>
                        </w:tcBorders>
                      </w:tcPr>
                      <w:p>
                        <w:pPr>
                          <w:pStyle w:val="TableParagraph"/>
                          <w:spacing w:line="218" w:lineRule="exact"/>
                          <w:ind w:right="125"/>
                          <w:jc w:val="right"/>
                          <w:rPr>
                            <w:rFonts w:ascii="宋体" w:hAnsi="宋体" w:cs="宋体" w:eastAsia="宋体" w:hint="default"/>
                            <w:sz w:val="18"/>
                            <w:szCs w:val="18"/>
                          </w:rPr>
                        </w:pPr>
                        <w:r>
                          <w:rPr>
                            <w:rFonts w:ascii="宋体"/>
                            <w:sz w:val="18"/>
                          </w:rPr>
                          <w:t>0.00</w:t>
                        </w:r>
                      </w:p>
                    </w:tc>
                    <w:tc>
                      <w:tcPr>
                        <w:tcW w:w="667"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15</w:t>
                        </w:r>
                      </w:p>
                    </w:tc>
                  </w:tr>
                  <w:tr>
                    <w:trPr>
                      <w:trHeight w:val="227"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唐山市财政局小型高稳石英晶体元器件产业化项目</w:t>
                        </w:r>
                      </w:p>
                    </w:tc>
                    <w:tc>
                      <w:tcPr>
                        <w:tcW w:w="158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9"/>
          <w:sz w:val="18"/>
          <w:szCs w:val="18"/>
        </w:rPr>
        <w:t>（晶源电子并入）</w:t>
        <w:tab/>
      </w:r>
      <w:r>
        <w:rPr>
          <w:rFonts w:ascii="宋体" w:hAnsi="宋体" w:cs="宋体" w:eastAsia="宋体" w:hint="default"/>
          <w:sz w:val="18"/>
          <w:szCs w:val="18"/>
        </w:rPr>
        <w:t>449,999.96</w:t>
        <w:tab/>
        <w:t>0.00</w:t>
        <w:tab/>
        <w:t>注</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z w:val="18"/>
          <w:szCs w:val="18"/>
        </w:rPr>
        <w:t> 唐山市商务局</w:t>
      </w:r>
      <w:r>
        <w:rPr>
          <w:rFonts w:ascii="宋体" w:hAnsi="宋体" w:cs="宋体" w:eastAsia="宋体" w:hint="default"/>
          <w:spacing w:val="-46"/>
          <w:sz w:val="18"/>
          <w:szCs w:val="18"/>
        </w:rPr>
        <w:t> </w:t>
      </w:r>
      <w:r>
        <w:rPr>
          <w:rFonts w:ascii="宋体" w:hAnsi="宋体" w:cs="宋体" w:eastAsia="宋体" w:hint="default"/>
          <w:sz w:val="18"/>
          <w:szCs w:val="18"/>
        </w:rPr>
        <w:t>XO3225</w:t>
      </w:r>
      <w:r>
        <w:rPr>
          <w:rFonts w:ascii="宋体" w:hAnsi="宋体" w:cs="宋体" w:eastAsia="宋体" w:hint="default"/>
          <w:spacing w:val="-46"/>
          <w:sz w:val="18"/>
          <w:szCs w:val="18"/>
        </w:rPr>
        <w:t> </w:t>
      </w:r>
      <w:r>
        <w:rPr>
          <w:rFonts w:ascii="宋体" w:hAnsi="宋体" w:cs="宋体" w:eastAsia="宋体" w:hint="default"/>
          <w:sz w:val="18"/>
          <w:szCs w:val="18"/>
        </w:rPr>
        <w:t>型片式石英振荡器研发项目</w:t>
      </w:r>
    </w:p>
    <w:p>
      <w:pPr>
        <w:tabs>
          <w:tab w:pos="6173" w:val="left" w:leader="none"/>
          <w:tab w:pos="8289" w:val="left" w:leader="none"/>
          <w:tab w:pos="8901" w:val="left" w:leader="none"/>
        </w:tabs>
        <w:spacing w:line="161" w:lineRule="exact" w:before="0"/>
        <w:ind w:left="171" w:right="0" w:firstLine="0"/>
        <w:jc w:val="left"/>
        <w:rPr>
          <w:rFonts w:ascii="宋体" w:hAnsi="宋体" w:cs="宋体" w:eastAsia="宋体" w:hint="default"/>
          <w:sz w:val="18"/>
          <w:szCs w:val="18"/>
        </w:rPr>
      </w:pPr>
      <w:r>
        <w:rPr>
          <w:rFonts w:ascii="宋体" w:hAnsi="宋体" w:cs="宋体" w:eastAsia="宋体" w:hint="default"/>
          <w:position w:val="-9"/>
          <w:sz w:val="18"/>
          <w:szCs w:val="18"/>
        </w:rPr>
        <w:t>（晶源电子并入）</w:t>
        <w:tab/>
      </w:r>
      <w:r>
        <w:rPr>
          <w:rFonts w:ascii="宋体" w:hAnsi="宋体" w:cs="宋体" w:eastAsia="宋体" w:hint="default"/>
          <w:sz w:val="18"/>
          <w:szCs w:val="18"/>
        </w:rPr>
        <w:t>380,000.02</w:t>
        <w:tab/>
        <w:t>0.00</w:t>
        <w:tab/>
        <w:t>注</w:t>
      </w:r>
      <w:r>
        <w:rPr>
          <w:rFonts w:ascii="宋体" w:hAnsi="宋体" w:cs="宋体" w:eastAsia="宋体" w:hint="default"/>
          <w:spacing w:val="-46"/>
          <w:sz w:val="18"/>
          <w:szCs w:val="18"/>
        </w:rPr>
        <w:t> </w:t>
      </w:r>
      <w:r>
        <w:rPr>
          <w:rFonts w:ascii="宋体" w:hAnsi="宋体" w:cs="宋体" w:eastAsia="宋体" w:hint="default"/>
          <w:sz w:val="18"/>
          <w:szCs w:val="18"/>
        </w:rPr>
        <w:t>17</w:t>
      </w:r>
    </w:p>
    <w:p>
      <w:pPr>
        <w:tabs>
          <w:tab w:pos="5993" w:val="left" w:leader="none"/>
          <w:tab w:pos="7569" w:val="left" w:leader="none"/>
          <w:tab w:pos="8901" w:val="left" w:leader="none"/>
        </w:tabs>
        <w:spacing w:line="232" w:lineRule="exact" w:before="0"/>
        <w:ind w:left="171" w:right="0" w:firstLine="0"/>
        <w:jc w:val="left"/>
        <w:rPr>
          <w:rFonts w:ascii="宋体" w:hAnsi="宋体" w:cs="宋体" w:eastAsia="宋体" w:hint="default"/>
          <w:sz w:val="18"/>
          <w:szCs w:val="18"/>
        </w:rPr>
      </w:pPr>
      <w:r>
        <w:rPr>
          <w:rFonts w:ascii="宋体" w:hAnsi="宋体" w:cs="宋体" w:eastAsia="宋体" w:hint="default"/>
          <w:sz w:val="18"/>
          <w:szCs w:val="18"/>
        </w:rPr>
        <w:t>先进特异物资检测技术产业化项目（威视股份并入）</w:t>
        <w:tab/>
        <w:t>6,000,000.00</w:t>
        <w:tab/>
        <w:t>6,000,000.00</w:t>
        <w:tab/>
        <w:t>注</w:t>
      </w:r>
      <w:r>
        <w:rPr>
          <w:rFonts w:ascii="宋体" w:hAnsi="宋体" w:cs="宋体" w:eastAsia="宋体" w:hint="default"/>
          <w:spacing w:val="-46"/>
          <w:sz w:val="18"/>
          <w:szCs w:val="18"/>
        </w:rPr>
        <w:t> </w:t>
      </w:r>
      <w:r>
        <w:rPr>
          <w:rFonts w:ascii="宋体" w:hAnsi="宋体" w:cs="宋体" w:eastAsia="宋体" w:hint="default"/>
          <w:sz w:val="18"/>
          <w:szCs w:val="18"/>
        </w:rPr>
        <w:t>18</w:t>
      </w:r>
    </w:p>
    <w:p>
      <w:pPr>
        <w:tabs>
          <w:tab w:pos="5994" w:val="left" w:leader="none"/>
          <w:tab w:pos="8289" w:val="left" w:leader="none"/>
        </w:tabs>
        <w:spacing w:before="18"/>
        <w:ind w:left="171" w:right="0" w:firstLine="0"/>
        <w:jc w:val="left"/>
        <w:rPr>
          <w:rFonts w:ascii="宋体" w:hAnsi="宋体" w:cs="宋体" w:eastAsia="宋体" w:hint="default"/>
          <w:sz w:val="18"/>
          <w:szCs w:val="18"/>
        </w:rPr>
      </w:pPr>
      <w:r>
        <w:rPr>
          <w:rFonts w:ascii="宋体" w:hAnsi="宋体" w:cs="宋体" w:eastAsia="宋体" w:hint="default"/>
          <w:sz w:val="18"/>
          <w:szCs w:val="18"/>
        </w:rPr>
        <w:t>双能</w:t>
      </w:r>
      <w:r>
        <w:rPr>
          <w:rFonts w:ascii="宋体" w:hAnsi="宋体" w:cs="宋体" w:eastAsia="宋体" w:hint="default"/>
          <w:spacing w:val="-46"/>
          <w:sz w:val="18"/>
          <w:szCs w:val="18"/>
        </w:rPr>
        <w:t> </w:t>
      </w:r>
      <w:r>
        <w:rPr>
          <w:rFonts w:ascii="宋体" w:hAnsi="宋体" w:cs="宋体" w:eastAsia="宋体" w:hint="default"/>
          <w:sz w:val="18"/>
          <w:szCs w:val="18"/>
        </w:rPr>
        <w:t>CT</w:t>
      </w:r>
      <w:r>
        <w:rPr>
          <w:rFonts w:ascii="宋体" w:hAnsi="宋体" w:cs="宋体" w:eastAsia="宋体" w:hint="default"/>
          <w:spacing w:val="-46"/>
          <w:sz w:val="18"/>
          <w:szCs w:val="18"/>
        </w:rPr>
        <w:t> </w:t>
      </w:r>
      <w:r>
        <w:rPr>
          <w:rFonts w:ascii="宋体" w:hAnsi="宋体" w:cs="宋体" w:eastAsia="宋体" w:hint="default"/>
          <w:sz w:val="18"/>
          <w:szCs w:val="18"/>
        </w:rPr>
        <w:t>型物品识别安全检查系统（威视股份并入）</w:t>
        <w:tab/>
        <w:t>5,000,000.00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5993" w:val="left" w:leader="none"/>
          <w:tab w:pos="8289" w:val="left" w:leader="none"/>
        </w:tabs>
        <w:spacing w:before="20"/>
        <w:ind w:left="171"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年度海淀区重大科技成果产业化资助项目（威视股份并入）</w:t>
        <w:tab/>
        <w:t>3,000,000.00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5993" w:val="left" w:leader="none"/>
          <w:tab w:pos="8289" w:val="left" w:leader="none"/>
        </w:tabs>
        <w:spacing w:before="18"/>
        <w:ind w:left="171" w:right="0" w:firstLine="0"/>
        <w:jc w:val="left"/>
        <w:rPr>
          <w:rFonts w:ascii="宋体" w:hAnsi="宋体" w:cs="宋体" w:eastAsia="宋体" w:hint="default"/>
          <w:sz w:val="18"/>
          <w:szCs w:val="18"/>
        </w:rPr>
      </w:pPr>
      <w:r>
        <w:rPr>
          <w:rFonts w:ascii="宋体" w:hAnsi="宋体" w:cs="宋体" w:eastAsia="宋体" w:hint="default"/>
          <w:sz w:val="18"/>
          <w:szCs w:val="18"/>
        </w:rPr>
        <w:t>双能探测器小车检查系统（威视股份并入）</w:t>
        <w:tab/>
        <w:t>2,850,000.00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5993" w:val="left" w:leader="none"/>
          <w:tab w:pos="8289" w:val="left" w:leader="none"/>
        </w:tabs>
        <w:spacing w:before="20"/>
        <w:ind w:left="171" w:right="0" w:firstLine="0"/>
        <w:jc w:val="left"/>
        <w:rPr>
          <w:rFonts w:ascii="宋体" w:hAnsi="宋体" w:cs="宋体" w:eastAsia="宋体" w:hint="default"/>
          <w:sz w:val="18"/>
          <w:szCs w:val="18"/>
        </w:rPr>
      </w:pPr>
      <w:r>
        <w:rPr>
          <w:rFonts w:ascii="宋体" w:hAnsi="宋体" w:cs="宋体" w:eastAsia="宋体" w:hint="default"/>
          <w:sz w:val="18"/>
          <w:szCs w:val="18"/>
        </w:rPr>
        <w:t>联合研究所办公室-探测技术联合研究项目（威视股份并入）</w:t>
        <w:tab/>
        <w:t>2,180,000.00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5993" w:val="left" w:leader="none"/>
          <w:tab w:pos="7569" w:val="left" w:leader="none"/>
          <w:tab w:pos="8901" w:val="left" w:leader="none"/>
        </w:tabs>
        <w:spacing w:before="18"/>
        <w:ind w:left="171" w:right="0" w:firstLine="0"/>
        <w:jc w:val="left"/>
        <w:rPr>
          <w:rFonts w:ascii="宋体" w:hAnsi="宋体" w:cs="宋体" w:eastAsia="宋体" w:hint="default"/>
          <w:sz w:val="18"/>
          <w:szCs w:val="18"/>
        </w:rPr>
      </w:pPr>
      <w:r>
        <w:rPr>
          <w:rFonts w:ascii="宋体" w:hAnsi="宋体" w:cs="宋体" w:eastAsia="宋体" w:hint="default"/>
          <w:sz w:val="18"/>
          <w:szCs w:val="18"/>
        </w:rPr>
        <w:t>信息产业发展基金（LS</w:t>
      </w:r>
      <w:r>
        <w:rPr>
          <w:rFonts w:ascii="宋体" w:hAnsi="宋体" w:cs="宋体" w:eastAsia="宋体" w:hint="default"/>
          <w:spacing w:val="-46"/>
          <w:sz w:val="18"/>
          <w:szCs w:val="18"/>
        </w:rPr>
        <w:t> </w:t>
      </w:r>
      <w:r>
        <w:rPr>
          <w:rFonts w:ascii="宋体" w:hAnsi="宋体" w:cs="宋体" w:eastAsia="宋体" w:hint="default"/>
          <w:sz w:val="18"/>
          <w:szCs w:val="18"/>
        </w:rPr>
        <w:t>产业化补助</w:t>
      </w:r>
      <w:r>
        <w:rPr>
          <w:rFonts w:ascii="宋体" w:hAnsi="宋体" w:cs="宋体" w:eastAsia="宋体" w:hint="default"/>
          <w:spacing w:val="-90"/>
          <w:sz w:val="18"/>
          <w:szCs w:val="18"/>
        </w:rPr>
        <w:t>）</w:t>
      </w:r>
      <w:r>
        <w:rPr>
          <w:rFonts w:ascii="宋体" w:hAnsi="宋体" w:cs="宋体" w:eastAsia="宋体" w:hint="default"/>
          <w:sz w:val="18"/>
          <w:szCs w:val="18"/>
        </w:rPr>
        <w:t>（威视股份并入）</w:t>
        <w:tab/>
        <w:t>2,000,000.00</w:t>
        <w:tab/>
        <w:t>2,000,000.00</w:t>
        <w:tab/>
        <w:t>注</w:t>
      </w:r>
      <w:r>
        <w:rPr>
          <w:rFonts w:ascii="宋体" w:hAnsi="宋体" w:cs="宋体" w:eastAsia="宋体" w:hint="default"/>
          <w:spacing w:val="-46"/>
          <w:sz w:val="18"/>
          <w:szCs w:val="18"/>
        </w:rPr>
        <w:t> </w:t>
      </w:r>
      <w:r>
        <w:rPr>
          <w:rFonts w:ascii="宋体" w:hAnsi="宋体" w:cs="宋体" w:eastAsia="宋体" w:hint="default"/>
          <w:sz w:val="18"/>
          <w:szCs w:val="18"/>
        </w:rPr>
        <w:t>19</w:t>
      </w:r>
    </w:p>
    <w:p>
      <w:pPr>
        <w:tabs>
          <w:tab w:pos="5993" w:val="left" w:leader="none"/>
          <w:tab w:pos="7569" w:val="left" w:leader="none"/>
          <w:tab w:pos="8901" w:val="left" w:leader="none"/>
        </w:tabs>
        <w:spacing w:before="20"/>
        <w:ind w:left="171"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高新技术出口产品研发资金（威视股份并入）</w:t>
        <w:tab/>
        <w:t>1,000,000.00</w:t>
        <w:tab/>
        <w:t>1,000,000.00</w:t>
        <w:tab/>
        <w:t>注</w:t>
      </w:r>
      <w:r>
        <w:rPr>
          <w:rFonts w:ascii="宋体" w:hAnsi="宋体" w:cs="宋体" w:eastAsia="宋体" w:hint="default"/>
          <w:spacing w:val="-46"/>
          <w:sz w:val="18"/>
          <w:szCs w:val="18"/>
        </w:rPr>
        <w:t> </w:t>
      </w:r>
      <w:r>
        <w:rPr>
          <w:rFonts w:ascii="宋体" w:hAnsi="宋体" w:cs="宋体" w:eastAsia="宋体" w:hint="default"/>
          <w:sz w:val="18"/>
          <w:szCs w:val="18"/>
        </w:rPr>
        <w:t>20</w:t>
      </w:r>
    </w:p>
    <w:p>
      <w:pPr>
        <w:tabs>
          <w:tab w:pos="5993" w:val="left" w:leader="none"/>
          <w:tab w:pos="7569" w:val="left" w:leader="none"/>
          <w:tab w:pos="8901" w:val="left" w:leader="none"/>
        </w:tabs>
        <w:spacing w:before="18"/>
        <w:ind w:left="171" w:right="0" w:firstLine="0"/>
        <w:jc w:val="left"/>
        <w:rPr>
          <w:rFonts w:ascii="宋体" w:hAnsi="宋体" w:cs="宋体" w:eastAsia="宋体" w:hint="default"/>
          <w:sz w:val="18"/>
          <w:szCs w:val="18"/>
        </w:rPr>
      </w:pPr>
      <w:r>
        <w:rPr>
          <w:rFonts w:ascii="宋体" w:hAnsi="宋体" w:cs="宋体" w:eastAsia="宋体" w:hint="default"/>
          <w:sz w:val="18"/>
          <w:szCs w:val="18"/>
        </w:rPr>
        <w:t>中小企业专项资金（威视股份并入）</w:t>
        <w:tab/>
        <w:t>1,000,000.00</w:t>
        <w:tab/>
        <w:t>1,000,000.00</w:t>
        <w:tab/>
        <w:t>注</w:t>
      </w:r>
      <w:r>
        <w:rPr>
          <w:rFonts w:ascii="宋体" w:hAnsi="宋体" w:cs="宋体" w:eastAsia="宋体" w:hint="default"/>
          <w:spacing w:val="-46"/>
          <w:sz w:val="18"/>
          <w:szCs w:val="18"/>
        </w:rPr>
        <w:t> </w:t>
      </w:r>
      <w:r>
        <w:rPr>
          <w:rFonts w:ascii="宋体" w:hAnsi="宋体" w:cs="宋体" w:eastAsia="宋体" w:hint="default"/>
          <w:sz w:val="18"/>
          <w:szCs w:val="18"/>
        </w:rPr>
        <w:t>21</w:t>
      </w:r>
    </w:p>
    <w:p>
      <w:pPr>
        <w:tabs>
          <w:tab w:pos="6173" w:val="left" w:leader="none"/>
          <w:tab w:pos="7569" w:val="left" w:leader="none"/>
          <w:tab w:pos="8901" w:val="left" w:leader="none"/>
        </w:tabs>
        <w:spacing w:before="20"/>
        <w:ind w:left="171" w:right="0" w:firstLine="0"/>
        <w:jc w:val="left"/>
        <w:rPr>
          <w:rFonts w:ascii="宋体" w:hAnsi="宋体" w:cs="宋体" w:eastAsia="宋体" w:hint="default"/>
          <w:sz w:val="18"/>
          <w:szCs w:val="18"/>
        </w:rPr>
      </w:pPr>
      <w:r>
        <w:rPr>
          <w:rFonts w:ascii="宋体" w:hAnsi="宋体" w:cs="宋体" w:eastAsia="宋体" w:hint="default"/>
          <w:sz w:val="18"/>
          <w:szCs w:val="18"/>
        </w:rPr>
        <w:t>高成长专项资金（威视股份并入）</w:t>
        <w:tab/>
        <w:t>966,666.67</w:t>
        <w:tab/>
        <w:t>1,000,000.00</w:t>
        <w:tab/>
        <w:t>注</w:t>
      </w:r>
      <w:r>
        <w:rPr>
          <w:rFonts w:ascii="宋体" w:hAnsi="宋体" w:cs="宋体" w:eastAsia="宋体" w:hint="default"/>
          <w:spacing w:val="-46"/>
          <w:sz w:val="18"/>
          <w:szCs w:val="18"/>
        </w:rPr>
        <w:t> </w:t>
      </w:r>
      <w:r>
        <w:rPr>
          <w:rFonts w:ascii="宋体" w:hAnsi="宋体" w:cs="宋体" w:eastAsia="宋体" w:hint="default"/>
          <w:sz w:val="18"/>
          <w:szCs w:val="18"/>
        </w:rPr>
        <w:t>22</w:t>
      </w:r>
    </w:p>
    <w:p>
      <w:pPr>
        <w:tabs>
          <w:tab w:pos="6173" w:val="left" w:leader="none"/>
          <w:tab w:pos="7749" w:val="left" w:leader="none"/>
        </w:tabs>
        <w:spacing w:before="18"/>
        <w:ind w:left="171"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年海淀科技园国际化经营促进支持资金（威视股份并入）</w:t>
        <w:tab/>
        <w:t>700,000.00</w:t>
        <w:tab/>
        <w:t>700,000.00</w:t>
      </w:r>
    </w:p>
    <w:p>
      <w:pPr>
        <w:tabs>
          <w:tab w:pos="6173" w:val="left" w:leader="none"/>
          <w:tab w:pos="7749" w:val="left" w:leader="none"/>
        </w:tabs>
        <w:spacing w:before="20"/>
        <w:ind w:left="171" w:right="0" w:firstLine="0"/>
        <w:jc w:val="left"/>
        <w:rPr>
          <w:rFonts w:ascii="宋体" w:hAnsi="宋体" w:cs="宋体" w:eastAsia="宋体" w:hint="default"/>
          <w:sz w:val="18"/>
          <w:szCs w:val="18"/>
        </w:rPr>
      </w:pPr>
      <w:r>
        <w:rPr>
          <w:rFonts w:ascii="宋体" w:hAnsi="宋体" w:cs="宋体" w:eastAsia="宋体" w:hint="default"/>
          <w:sz w:val="18"/>
          <w:szCs w:val="18"/>
        </w:rPr>
        <w:t>具有核素识别功能的放射性物质监测设备的研发（威视股份并入）</w:t>
        <w:tab/>
        <w:t>700,000.00</w:t>
        <w:tab/>
        <w:t>700,000.00</w:t>
      </w:r>
    </w:p>
    <w:p>
      <w:pPr>
        <w:tabs>
          <w:tab w:pos="6173" w:val="left" w:leader="none"/>
          <w:tab w:pos="7749" w:val="left" w:leader="none"/>
        </w:tabs>
        <w:spacing w:before="18"/>
        <w:ind w:left="171" w:right="0" w:firstLine="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年北京科技奖企业创新专项资金（威视股份并入）</w:t>
        <w:tab/>
        <w:t>600,000.00</w:t>
        <w:tab/>
        <w:t>600,000.00</w:t>
      </w:r>
    </w:p>
    <w:p>
      <w:pPr>
        <w:tabs>
          <w:tab w:pos="6173" w:val="left" w:leader="none"/>
          <w:tab w:pos="7749" w:val="left" w:leader="none"/>
        </w:tabs>
        <w:spacing w:before="20"/>
        <w:ind w:left="171" w:right="0" w:firstLine="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年产学研合作专项资金（威视股份并入）</w:t>
        <w:tab/>
        <w:t>500,000.00</w:t>
        <w:tab/>
        <w:t>500,000.00</w:t>
      </w:r>
    </w:p>
    <w:p>
      <w:pPr>
        <w:tabs>
          <w:tab w:pos="6173" w:val="left" w:leader="none"/>
          <w:tab w:pos="7749" w:val="left" w:leader="none"/>
        </w:tabs>
        <w:spacing w:line="228" w:lineRule="exact" w:before="46"/>
        <w:ind w:left="171" w:right="972" w:firstLine="0"/>
        <w:jc w:val="left"/>
        <w:rPr>
          <w:rFonts w:ascii="宋体" w:hAnsi="宋体" w:cs="宋体" w:eastAsia="宋体" w:hint="default"/>
          <w:sz w:val="18"/>
          <w:szCs w:val="18"/>
        </w:rPr>
      </w:pPr>
      <w:r>
        <w:rPr>
          <w:rFonts w:ascii="宋体" w:hAnsi="宋体" w:cs="宋体" w:eastAsia="宋体" w:hint="default"/>
          <w:sz w:val="18"/>
          <w:szCs w:val="18"/>
        </w:rPr>
        <w:t>非接触式人体安检探测技术与样机研制（威视股份并入）</w:t>
        <w:tab/>
        <w:t>500,000.00</w:t>
        <w:tab/>
        <w:t>500,000.00 联合研究所办公室-特异物质辐射探测技术研究及样机研制</w:t>
      </w:r>
    </w:p>
    <w:p>
      <w:pPr>
        <w:tabs>
          <w:tab w:pos="6173" w:val="left" w:leader="none"/>
          <w:tab w:pos="8289" w:val="left" w:leader="none"/>
        </w:tabs>
        <w:spacing w:line="179" w:lineRule="exact" w:before="0"/>
        <w:ind w:left="171" w:right="0" w:firstLine="0"/>
        <w:jc w:val="left"/>
        <w:rPr>
          <w:rFonts w:ascii="宋体" w:hAnsi="宋体" w:cs="宋体" w:eastAsia="宋体" w:hint="default"/>
          <w:sz w:val="18"/>
          <w:szCs w:val="18"/>
        </w:rPr>
      </w:pPr>
      <w:r>
        <w:rPr>
          <w:rFonts w:ascii="宋体" w:hAnsi="宋体" w:cs="宋体" w:eastAsia="宋体" w:hint="default"/>
          <w:position w:val="-9"/>
          <w:sz w:val="18"/>
          <w:szCs w:val="18"/>
        </w:rPr>
        <w:t>（威视股份并入）</w:t>
        <w:tab/>
      </w:r>
      <w:r>
        <w:rPr>
          <w:rFonts w:ascii="宋体" w:hAnsi="宋体" w:cs="宋体" w:eastAsia="宋体" w:hint="default"/>
          <w:sz w:val="18"/>
          <w:szCs w:val="18"/>
        </w:rPr>
        <w:t>500,000.00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30" w:lineRule="exact"/>
        <w:ind w:left="15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5.3pt;height:1.5pt;mso-position-horizontal-relative:char;mso-position-vertical-relative:line" coordorigin="0,0" coordsize="9306,30">
            <v:group style="position:absolute;left:15;top:15;width:5344;height:2" coordorigin="15,15" coordsize="5344,2">
              <v:shape style="position:absolute;left:15;top:15;width:5344;height:2" coordorigin="15,15" coordsize="5344,0" path="m15,15l5359,15e" filled="false" stroked="true" strokeweight="1.5pt" strokecolor="#000000">
                <v:path arrowok="t"/>
              </v:shape>
            </v:group>
            <v:group style="position:absolute;left:5344;top:15;width:1679;height:2" coordorigin="5344,15" coordsize="1679,2">
              <v:shape style="position:absolute;left:5344;top:15;width:1679;height:2" coordorigin="5344,15" coordsize="1679,0" path="m5344,15l7023,15e" filled="false" stroked="true" strokeweight="1.5pt" strokecolor="#000000">
                <v:path arrowok="t"/>
              </v:shape>
            </v:group>
            <v:group style="position:absolute;left:7009;top:15;width:30;height:2" coordorigin="7009,15" coordsize="30,2">
              <v:shape style="position:absolute;left:7009;top:15;width:30;height:2" coordorigin="7009,15" coordsize="30,0" path="m7009,15l7039,15e" filled="false" stroked="true" strokeweight="1.5pt" strokecolor="#000000">
                <v:path arrowok="t"/>
              </v:shape>
            </v:group>
            <v:group style="position:absolute;left:7039;top:15;width:1562;height:2" coordorigin="7039,15" coordsize="1562,2">
              <v:shape style="position:absolute;left:7039;top:15;width:1562;height:2" coordorigin="7039,15" coordsize="1562,0" path="m7039,15l8600,15e" filled="false" stroked="true" strokeweight="1.5pt" strokecolor="#000000">
                <v:path arrowok="t"/>
              </v:shape>
            </v:group>
            <v:group style="position:absolute;left:8585;top:15;width:706;height:2" coordorigin="8585,15" coordsize="706,2">
              <v:shape style="position:absolute;left:8585;top:15;width:706;height:2" coordorigin="8585,15" coordsize="706,0" path="m8585,15l929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0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303"/>
        <w:gridCol w:w="1832"/>
        <w:gridCol w:w="1536"/>
        <w:gridCol w:w="634"/>
      </w:tblGrid>
      <w:tr>
        <w:trPr>
          <w:trHeight w:val="274" w:hRule="exact"/>
        </w:trPr>
        <w:tc>
          <w:tcPr>
            <w:tcW w:w="5303"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832"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71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536"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634"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r>
      <w:tr>
        <w:trPr>
          <w:trHeight w:val="255" w:hRule="exact"/>
        </w:trPr>
        <w:tc>
          <w:tcPr>
            <w:tcW w:w="5303" w:type="dxa"/>
            <w:tcBorders>
              <w:top w:val="single" w:sz="4" w:space="0" w:color="000000"/>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北京市海淀区财政局专项创新基金（威视股份并入）</w:t>
            </w:r>
          </w:p>
        </w:tc>
        <w:tc>
          <w:tcPr>
            <w:tcW w:w="1832" w:type="dxa"/>
            <w:tcBorders>
              <w:top w:val="single" w:sz="4" w:space="0" w:color="000000"/>
              <w:left w:val="nil" w:sz="6" w:space="0" w:color="auto"/>
              <w:bottom w:val="nil" w:sz="6" w:space="0" w:color="auto"/>
              <w:right w:val="nil" w:sz="6" w:space="0" w:color="auto"/>
            </w:tcBorders>
          </w:tcPr>
          <w:p>
            <w:pPr>
              <w:pStyle w:val="TableParagraph"/>
              <w:spacing w:line="213" w:lineRule="exact"/>
              <w:ind w:right="195"/>
              <w:jc w:val="right"/>
              <w:rPr>
                <w:rFonts w:ascii="宋体" w:hAnsi="宋体" w:cs="宋体" w:eastAsia="宋体" w:hint="default"/>
                <w:sz w:val="18"/>
                <w:szCs w:val="18"/>
              </w:rPr>
            </w:pPr>
            <w:r>
              <w:rPr>
                <w:rFonts w:ascii="宋体"/>
                <w:sz w:val="18"/>
              </w:rPr>
              <w:t>350,000.00</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13" w:lineRule="exact"/>
              <w:ind w:right="156"/>
              <w:jc w:val="right"/>
              <w:rPr>
                <w:rFonts w:ascii="宋体" w:hAnsi="宋体" w:cs="宋体" w:eastAsia="宋体" w:hint="default"/>
                <w:sz w:val="18"/>
                <w:szCs w:val="18"/>
              </w:rPr>
            </w:pPr>
            <w:r>
              <w:rPr>
                <w:rFonts w:ascii="宋体"/>
                <w:sz w:val="18"/>
              </w:rPr>
              <w:t>0.00</w:t>
            </w:r>
          </w:p>
        </w:tc>
        <w:tc>
          <w:tcPr>
            <w:tcW w:w="634" w:type="dxa"/>
            <w:tcBorders>
              <w:top w:val="single" w:sz="4" w:space="0" w:color="000000"/>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集装箱/车辆快速检查系统（威视股份并入）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8" w:lineRule="exact"/>
              <w:ind w:right="195"/>
              <w:jc w:val="right"/>
              <w:rPr>
                <w:rFonts w:ascii="宋体" w:hAnsi="宋体" w:cs="宋体" w:eastAsia="宋体" w:hint="default"/>
                <w:sz w:val="18"/>
                <w:szCs w:val="18"/>
              </w:rPr>
            </w:pPr>
            <w:r>
              <w:rPr>
                <w:rFonts w:ascii="宋体"/>
                <w:sz w:val="18"/>
              </w:rPr>
              <w:t>300,000.00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8" w:lineRule="exact"/>
              <w:ind w:right="156"/>
              <w:jc w:val="right"/>
              <w:rPr>
                <w:rFonts w:ascii="宋体" w:hAnsi="宋体" w:cs="宋体" w:eastAsia="宋体" w:hint="default"/>
                <w:sz w:val="18"/>
                <w:szCs w:val="18"/>
              </w:rPr>
            </w:pPr>
            <w:r>
              <w:rPr>
                <w:rFonts w:ascii="宋体"/>
                <w:sz w:val="18"/>
              </w:rPr>
              <w:t>300,000.00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年度海淀园企业实施专利战略专项资助（威视股份并入）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7" w:lineRule="exact"/>
              <w:ind w:right="195"/>
              <w:jc w:val="right"/>
              <w:rPr>
                <w:rFonts w:ascii="宋体" w:hAnsi="宋体" w:cs="宋体" w:eastAsia="宋体" w:hint="default"/>
                <w:sz w:val="18"/>
                <w:szCs w:val="18"/>
              </w:rPr>
            </w:pPr>
            <w:r>
              <w:rPr>
                <w:rFonts w:ascii="宋体"/>
                <w:sz w:val="18"/>
              </w:rPr>
              <w:t>250,000.00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7" w:lineRule="exact"/>
              <w:ind w:right="156"/>
              <w:jc w:val="right"/>
              <w:rPr>
                <w:rFonts w:ascii="宋体" w:hAnsi="宋体" w:cs="宋体" w:eastAsia="宋体" w:hint="default"/>
                <w:sz w:val="18"/>
                <w:szCs w:val="18"/>
              </w:rPr>
            </w:pPr>
            <w:r>
              <w:rPr>
                <w:rFonts w:ascii="宋体"/>
                <w:sz w:val="18"/>
              </w:rPr>
              <w:t>250,000.00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双能成像技术的集装箱货物检查系统开发（威视股份并入）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8" w:lineRule="exact"/>
              <w:ind w:right="195"/>
              <w:jc w:val="right"/>
              <w:rPr>
                <w:rFonts w:ascii="宋体" w:hAnsi="宋体" w:cs="宋体" w:eastAsia="宋体" w:hint="default"/>
                <w:sz w:val="18"/>
                <w:szCs w:val="18"/>
              </w:rPr>
            </w:pPr>
            <w:r>
              <w:rPr>
                <w:rFonts w:ascii="宋体"/>
                <w:sz w:val="18"/>
              </w:rPr>
              <w:t>150,000.00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8" w:lineRule="exact"/>
              <w:ind w:right="156"/>
              <w:jc w:val="right"/>
              <w:rPr>
                <w:rFonts w:ascii="宋体" w:hAnsi="宋体" w:cs="宋体" w:eastAsia="宋体" w:hint="default"/>
                <w:sz w:val="18"/>
                <w:szCs w:val="18"/>
              </w:rPr>
            </w:pPr>
            <w:r>
              <w:rPr>
                <w:rFonts w:ascii="宋体"/>
                <w:sz w:val="18"/>
              </w:rPr>
              <w:t>150,000.00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年度海淀园标准化专项资金（威视股份并入）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7" w:lineRule="exact"/>
              <w:ind w:right="195"/>
              <w:jc w:val="right"/>
              <w:rPr>
                <w:rFonts w:ascii="宋体" w:hAnsi="宋体" w:cs="宋体" w:eastAsia="宋体" w:hint="default"/>
                <w:sz w:val="18"/>
                <w:szCs w:val="18"/>
              </w:rPr>
            </w:pPr>
            <w:r>
              <w:rPr>
                <w:rFonts w:ascii="宋体"/>
                <w:sz w:val="18"/>
              </w:rPr>
              <w:t>150,000.00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7" w:lineRule="exact"/>
              <w:ind w:right="156"/>
              <w:jc w:val="right"/>
              <w:rPr>
                <w:rFonts w:ascii="宋体" w:hAnsi="宋体" w:cs="宋体" w:eastAsia="宋体" w:hint="default"/>
                <w:sz w:val="18"/>
                <w:szCs w:val="18"/>
              </w:rPr>
            </w:pPr>
            <w:r>
              <w:rPr>
                <w:rFonts w:ascii="宋体"/>
                <w:sz w:val="18"/>
              </w:rPr>
              <w:t>150,000.00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科技成果转化服务拨款（威视股份并入）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8" w:lineRule="exact"/>
              <w:ind w:right="195"/>
              <w:jc w:val="right"/>
              <w:rPr>
                <w:rFonts w:ascii="宋体" w:hAnsi="宋体" w:cs="宋体" w:eastAsia="宋体" w:hint="default"/>
                <w:sz w:val="18"/>
                <w:szCs w:val="18"/>
              </w:rPr>
            </w:pPr>
            <w:r>
              <w:rPr>
                <w:rFonts w:ascii="宋体"/>
                <w:sz w:val="18"/>
              </w:rPr>
              <w:t>100,000.00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8" w:lineRule="exact"/>
              <w:ind w:right="156"/>
              <w:jc w:val="right"/>
              <w:rPr>
                <w:rFonts w:ascii="宋体" w:hAnsi="宋体" w:cs="宋体" w:eastAsia="宋体" w:hint="default"/>
                <w:sz w:val="18"/>
                <w:szCs w:val="18"/>
              </w:rPr>
            </w:pPr>
            <w:r>
              <w:rPr>
                <w:rFonts w:ascii="宋体"/>
                <w:sz w:val="18"/>
              </w:rPr>
              <w:t>100,000.00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科技部科技热点监测项目（光盘杂志社转入）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7" w:lineRule="exact"/>
              <w:ind w:right="195"/>
              <w:jc w:val="right"/>
              <w:rPr>
                <w:rFonts w:ascii="宋体" w:hAnsi="宋体" w:cs="宋体" w:eastAsia="宋体" w:hint="default"/>
                <w:sz w:val="18"/>
                <w:szCs w:val="18"/>
              </w:rPr>
            </w:pPr>
            <w:r>
              <w:rPr>
                <w:rFonts w:ascii="宋体"/>
                <w:sz w:val="18"/>
              </w:rPr>
              <w:t>3,500,000.00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7" w:lineRule="exact"/>
              <w:ind w:right="156"/>
              <w:jc w:val="right"/>
              <w:rPr>
                <w:rFonts w:ascii="宋体" w:hAnsi="宋体" w:cs="宋体" w:eastAsia="宋体" w:hint="default"/>
                <w:sz w:val="18"/>
                <w:szCs w:val="18"/>
              </w:rPr>
            </w:pPr>
            <w:r>
              <w:rPr>
                <w:rFonts w:ascii="宋体"/>
                <w:sz w:val="18"/>
              </w:rPr>
              <w:t>0.00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北京高技术创业服务中心自主创新科技专项资金（鼎欣并入）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8" w:lineRule="exact"/>
              <w:ind w:right="195"/>
              <w:jc w:val="right"/>
              <w:rPr>
                <w:rFonts w:ascii="宋体" w:hAnsi="宋体" w:cs="宋体" w:eastAsia="宋体" w:hint="default"/>
                <w:sz w:val="18"/>
                <w:szCs w:val="18"/>
              </w:rPr>
            </w:pPr>
            <w:r>
              <w:rPr>
                <w:rFonts w:ascii="宋体"/>
                <w:sz w:val="18"/>
              </w:rPr>
              <w:t>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8" w:lineRule="exact"/>
              <w:ind w:right="156"/>
              <w:jc w:val="right"/>
              <w:rPr>
                <w:rFonts w:ascii="宋体" w:hAnsi="宋体" w:cs="宋体" w:eastAsia="宋体" w:hint="default"/>
                <w:sz w:val="18"/>
                <w:szCs w:val="18"/>
              </w:rPr>
            </w:pPr>
            <w:r>
              <w:rPr>
                <w:rFonts w:ascii="宋体"/>
                <w:sz w:val="18"/>
              </w:rPr>
              <w:t>379,285.72</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厂房改造及外线工程项目（鞍山科技园并入）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17" w:lineRule="exact"/>
              <w:ind w:right="195"/>
              <w:jc w:val="right"/>
              <w:rPr>
                <w:rFonts w:ascii="宋体" w:hAnsi="宋体" w:cs="宋体" w:eastAsia="宋体" w:hint="default"/>
                <w:sz w:val="18"/>
                <w:szCs w:val="18"/>
              </w:rPr>
            </w:pPr>
            <w:r>
              <w:rPr>
                <w:rFonts w:ascii="宋体"/>
                <w:sz w:val="18"/>
              </w:rPr>
              <w:t>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7" w:lineRule="exact"/>
              <w:ind w:right="156"/>
              <w:jc w:val="right"/>
              <w:rPr>
                <w:rFonts w:ascii="宋体" w:hAnsi="宋体" w:cs="宋体" w:eastAsia="宋体" w:hint="default"/>
                <w:sz w:val="18"/>
                <w:szCs w:val="18"/>
              </w:rPr>
            </w:pPr>
            <w:r>
              <w:rPr>
                <w:rFonts w:ascii="宋体"/>
                <w:sz w:val="18"/>
              </w:rPr>
              <w:t>1,773,417.00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安全电脑研发及产业化项目</w:t>
            </w:r>
          </w:p>
        </w:tc>
        <w:tc>
          <w:tcPr>
            <w:tcW w:w="1832" w:type="dxa"/>
            <w:tcBorders>
              <w:top w:val="nil" w:sz="6" w:space="0" w:color="auto"/>
              <w:left w:val="nil" w:sz="6" w:space="0" w:color="auto"/>
              <w:bottom w:val="nil" w:sz="6" w:space="0" w:color="auto"/>
              <w:right w:val="nil" w:sz="6" w:space="0" w:color="auto"/>
            </w:tcBorders>
          </w:tcPr>
          <w:p>
            <w:pPr>
              <w:pStyle w:val="TableParagraph"/>
              <w:spacing w:line="218" w:lineRule="exact"/>
              <w:ind w:right="195"/>
              <w:jc w:val="right"/>
              <w:rPr>
                <w:rFonts w:ascii="宋体" w:hAnsi="宋体" w:cs="宋体" w:eastAsia="宋体" w:hint="default"/>
                <w:sz w:val="18"/>
                <w:szCs w:val="18"/>
              </w:rPr>
            </w:pPr>
            <w:r>
              <w:rPr>
                <w:rFonts w:ascii="宋体"/>
                <w:sz w:val="18"/>
              </w:rPr>
              <w:t>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8" w:lineRule="exact"/>
              <w:ind w:right="156"/>
              <w:jc w:val="right"/>
              <w:rPr>
                <w:rFonts w:ascii="宋体" w:hAnsi="宋体" w:cs="宋体" w:eastAsia="宋体" w:hint="default"/>
                <w:sz w:val="18"/>
                <w:szCs w:val="18"/>
              </w:rPr>
            </w:pPr>
            <w:r>
              <w:rPr>
                <w:rFonts w:ascii="宋体"/>
                <w:sz w:val="18"/>
              </w:rPr>
              <w:t>3,250,000.00</w:t>
            </w:r>
          </w:p>
        </w:tc>
        <w:tc>
          <w:tcPr>
            <w:tcW w:w="634" w:type="dxa"/>
            <w:tcBorders>
              <w:top w:val="nil" w:sz="6" w:space="0" w:color="auto"/>
              <w:left w:val="nil" w:sz="6" w:space="0" w:color="auto"/>
              <w:bottom w:val="nil" w:sz="6" w:space="0" w:color="auto"/>
              <w:right w:val="nil" w:sz="6" w:space="0" w:color="auto"/>
            </w:tcBorders>
          </w:tcPr>
          <w:p>
            <w:pPr/>
          </w:p>
        </w:tc>
      </w:tr>
      <w:tr>
        <w:trPr>
          <w:trHeight w:val="25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可信支付终端</w:t>
            </w:r>
          </w:p>
        </w:tc>
        <w:tc>
          <w:tcPr>
            <w:tcW w:w="1832" w:type="dxa"/>
            <w:tcBorders>
              <w:top w:val="nil" w:sz="6" w:space="0" w:color="auto"/>
              <w:left w:val="nil" w:sz="6" w:space="0" w:color="auto"/>
              <w:bottom w:val="nil" w:sz="6" w:space="0" w:color="auto"/>
              <w:right w:val="nil" w:sz="6" w:space="0" w:color="auto"/>
            </w:tcBorders>
          </w:tcPr>
          <w:p>
            <w:pPr>
              <w:pStyle w:val="TableParagraph"/>
              <w:spacing w:line="217" w:lineRule="exact"/>
              <w:ind w:right="195"/>
              <w:jc w:val="right"/>
              <w:rPr>
                <w:rFonts w:ascii="宋体" w:hAnsi="宋体" w:cs="宋体" w:eastAsia="宋体" w:hint="default"/>
                <w:sz w:val="18"/>
                <w:szCs w:val="18"/>
              </w:rPr>
            </w:pPr>
            <w:r>
              <w:rPr>
                <w:rFonts w:ascii="宋体"/>
                <w:sz w:val="18"/>
              </w:rPr>
              <w:t>0.00</w:t>
            </w:r>
          </w:p>
        </w:tc>
        <w:tc>
          <w:tcPr>
            <w:tcW w:w="1536" w:type="dxa"/>
            <w:tcBorders>
              <w:top w:val="nil" w:sz="6" w:space="0" w:color="auto"/>
              <w:left w:val="nil" w:sz="6" w:space="0" w:color="auto"/>
              <w:bottom w:val="nil" w:sz="6" w:space="0" w:color="auto"/>
              <w:right w:val="nil" w:sz="6" w:space="0" w:color="auto"/>
            </w:tcBorders>
          </w:tcPr>
          <w:p>
            <w:pPr>
              <w:pStyle w:val="TableParagraph"/>
              <w:spacing w:line="217" w:lineRule="exact"/>
              <w:ind w:right="156"/>
              <w:jc w:val="right"/>
              <w:rPr>
                <w:rFonts w:ascii="宋体" w:hAnsi="宋体" w:cs="宋体" w:eastAsia="宋体" w:hint="default"/>
                <w:sz w:val="18"/>
                <w:szCs w:val="18"/>
              </w:rPr>
            </w:pPr>
            <w:r>
              <w:rPr>
                <w:rFonts w:ascii="宋体"/>
                <w:sz w:val="18"/>
              </w:rPr>
              <w:t>5,000,000.00</w:t>
            </w:r>
          </w:p>
        </w:tc>
        <w:tc>
          <w:tcPr>
            <w:tcW w:w="634" w:type="dxa"/>
            <w:tcBorders>
              <w:top w:val="nil" w:sz="6" w:space="0" w:color="auto"/>
              <w:left w:val="nil" w:sz="6" w:space="0" w:color="auto"/>
              <w:bottom w:val="nil" w:sz="6" w:space="0" w:color="auto"/>
              <w:right w:val="nil" w:sz="6" w:space="0" w:color="auto"/>
            </w:tcBorders>
          </w:tcPr>
          <w:p>
            <w:pPr/>
          </w:p>
        </w:tc>
      </w:tr>
      <w:tr>
        <w:trPr>
          <w:trHeight w:val="265" w:hRule="exact"/>
        </w:trPr>
        <w:tc>
          <w:tcPr>
            <w:tcW w:w="5303" w:type="dxa"/>
            <w:tcBorders>
              <w:top w:val="nil" w:sz="6" w:space="0" w:color="auto"/>
              <w:left w:val="nil" w:sz="6" w:space="0" w:color="auto"/>
              <w:bottom w:val="single" w:sz="4" w:space="0" w:color="000000"/>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218" w:lineRule="exact"/>
              <w:ind w:right="195"/>
              <w:jc w:val="right"/>
              <w:rPr>
                <w:rFonts w:ascii="宋体" w:hAnsi="宋体" w:cs="宋体" w:eastAsia="宋体" w:hint="default"/>
                <w:sz w:val="18"/>
                <w:szCs w:val="18"/>
              </w:rPr>
            </w:pPr>
            <w:r>
              <w:rPr>
                <w:rFonts w:ascii="宋体"/>
                <w:sz w:val="18"/>
              </w:rPr>
              <w:t>0.00</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218" w:lineRule="exact"/>
              <w:ind w:right="156"/>
              <w:jc w:val="right"/>
              <w:rPr>
                <w:rFonts w:ascii="宋体" w:hAnsi="宋体" w:cs="宋体" w:eastAsia="宋体" w:hint="default"/>
                <w:sz w:val="18"/>
                <w:szCs w:val="18"/>
              </w:rPr>
            </w:pPr>
            <w:r>
              <w:rPr>
                <w:rFonts w:ascii="宋体"/>
                <w:sz w:val="18"/>
              </w:rPr>
              <w:t>409,692.00</w:t>
            </w:r>
          </w:p>
        </w:tc>
        <w:tc>
          <w:tcPr>
            <w:tcW w:w="634" w:type="dxa"/>
            <w:tcBorders>
              <w:top w:val="nil" w:sz="6" w:space="0" w:color="auto"/>
              <w:left w:val="nil" w:sz="6" w:space="0" w:color="auto"/>
              <w:bottom w:val="single" w:sz="4" w:space="0" w:color="000000"/>
              <w:right w:val="nil" w:sz="6" w:space="0" w:color="auto"/>
            </w:tcBorders>
          </w:tcPr>
          <w:p>
            <w:pPr/>
          </w:p>
        </w:tc>
      </w:tr>
      <w:tr>
        <w:trPr>
          <w:trHeight w:val="275" w:hRule="exact"/>
        </w:trPr>
        <w:tc>
          <w:tcPr>
            <w:tcW w:w="5303"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2" w:type="dxa"/>
            <w:tcBorders>
              <w:top w:val="single" w:sz="4" w:space="0" w:color="000000"/>
              <w:left w:val="nil" w:sz="6" w:space="0" w:color="auto"/>
              <w:bottom w:val="single" w:sz="12" w:space="0" w:color="000000"/>
              <w:right w:val="nil" w:sz="6" w:space="0" w:color="auto"/>
            </w:tcBorders>
          </w:tcPr>
          <w:p>
            <w:pPr>
              <w:pStyle w:val="TableParagraph"/>
              <w:spacing w:line="212" w:lineRule="exact"/>
              <w:ind w:right="197"/>
              <w:jc w:val="right"/>
              <w:rPr>
                <w:rFonts w:ascii="宋体" w:hAnsi="宋体" w:cs="宋体" w:eastAsia="宋体" w:hint="default"/>
                <w:sz w:val="18"/>
                <w:szCs w:val="18"/>
              </w:rPr>
            </w:pPr>
            <w:r>
              <w:rPr>
                <w:rFonts w:ascii="宋体"/>
                <w:b/>
                <w:w w:val="95"/>
                <w:sz w:val="18"/>
              </w:rPr>
              <w:t>109,095,972.24</w:t>
            </w:r>
            <w:r>
              <w:rPr>
                <w:rFonts w:ascii="宋体"/>
                <w:sz w:val="18"/>
              </w:rPr>
            </w:r>
          </w:p>
        </w:tc>
        <w:tc>
          <w:tcPr>
            <w:tcW w:w="1536" w:type="dxa"/>
            <w:tcBorders>
              <w:top w:val="single" w:sz="4" w:space="0" w:color="000000"/>
              <w:left w:val="nil" w:sz="6" w:space="0" w:color="auto"/>
              <w:bottom w:val="single" w:sz="12" w:space="0" w:color="000000"/>
              <w:right w:val="nil" w:sz="6" w:space="0" w:color="auto"/>
            </w:tcBorders>
          </w:tcPr>
          <w:p>
            <w:pPr>
              <w:pStyle w:val="TableParagraph"/>
              <w:spacing w:line="212" w:lineRule="exact"/>
              <w:ind w:right="156"/>
              <w:jc w:val="right"/>
              <w:rPr>
                <w:rFonts w:ascii="宋体" w:hAnsi="宋体" w:cs="宋体" w:eastAsia="宋体" w:hint="default"/>
                <w:sz w:val="18"/>
                <w:szCs w:val="18"/>
              </w:rPr>
            </w:pPr>
            <w:r>
              <w:rPr>
                <w:rFonts w:ascii="宋体"/>
                <w:b/>
                <w:w w:val="95"/>
                <w:sz w:val="18"/>
              </w:rPr>
              <w:t>85,435,167.96</w:t>
            </w:r>
            <w:r>
              <w:rPr>
                <w:rFonts w:ascii="宋体"/>
                <w:sz w:val="18"/>
              </w:rPr>
            </w:r>
          </w:p>
        </w:tc>
        <w:tc>
          <w:tcPr>
            <w:tcW w:w="634" w:type="dxa"/>
            <w:tcBorders>
              <w:top w:val="single" w:sz="4" w:space="0" w:color="000000"/>
              <w:left w:val="nil" w:sz="6" w:space="0" w:color="auto"/>
              <w:bottom w:val="single" w:sz="12" w:space="0" w:color="000000"/>
              <w:right w:val="nil" w:sz="6" w:space="0" w:color="auto"/>
            </w:tcBorders>
          </w:tcPr>
          <w:p>
            <w:pPr/>
          </w:p>
        </w:tc>
      </w:tr>
    </w:tbl>
    <w:p>
      <w:pPr>
        <w:spacing w:before="79"/>
        <w:ind w:left="638" w:right="129"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0"/>
          <w:sz w:val="22"/>
          <w:szCs w:val="22"/>
        </w:rPr>
        <w:t> </w:t>
      </w:r>
      <w:r>
        <w:rPr>
          <w:rFonts w:ascii="宋体" w:hAnsi="宋体" w:cs="宋体" w:eastAsia="宋体" w:hint="default"/>
          <w:sz w:val="22"/>
          <w:szCs w:val="22"/>
        </w:rPr>
        <w:t>1：本公司收到北京市工业促进局拨付企业技术中心专项补助款</w:t>
      </w:r>
      <w:r>
        <w:rPr>
          <w:rFonts w:ascii="宋体" w:hAnsi="宋体" w:cs="宋体" w:eastAsia="宋体" w:hint="default"/>
          <w:spacing w:val="-60"/>
          <w:sz w:val="22"/>
          <w:szCs w:val="22"/>
        </w:rPr>
        <w:t> </w:t>
      </w:r>
      <w:r>
        <w:rPr>
          <w:rFonts w:ascii="宋体" w:hAnsi="宋体" w:cs="宋体" w:eastAsia="宋体" w:hint="default"/>
          <w:sz w:val="22"/>
          <w:szCs w:val="22"/>
        </w:rPr>
        <w:t>2,000,000.00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24" w:lineRule="auto" w:before="180"/>
        <w:ind w:left="198" w:right="129"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5"/>
          <w:w w:val="99"/>
          <w:sz w:val="22"/>
          <w:szCs w:val="22"/>
        </w:rPr>
        <w:t> </w:t>
      </w:r>
      <w:r>
        <w:rPr>
          <w:rFonts w:ascii="宋体" w:hAnsi="宋体" w:cs="宋体" w:eastAsia="宋体" w:hint="default"/>
          <w:spacing w:val="-4"/>
          <w:w w:val="99"/>
          <w:sz w:val="22"/>
          <w:szCs w:val="22"/>
        </w:rPr>
        <w:t>2：本公司收到中华人民共和国工业和信息化部拨付的</w:t>
      </w:r>
      <w:r>
        <w:rPr>
          <w:rFonts w:ascii="宋体" w:hAnsi="宋体" w:cs="宋体" w:eastAsia="宋体" w:hint="default"/>
          <w:spacing w:val="-55"/>
          <w:w w:val="99"/>
          <w:sz w:val="22"/>
          <w:szCs w:val="22"/>
        </w:rPr>
        <w:t> </w:t>
      </w:r>
      <w:r>
        <w:rPr>
          <w:rFonts w:ascii="宋体" w:hAnsi="宋体" w:cs="宋体" w:eastAsia="宋体" w:hint="default"/>
          <w:w w:val="99"/>
          <w:sz w:val="22"/>
          <w:szCs w:val="22"/>
        </w:rPr>
        <w:t>DTMB</w:t>
      </w:r>
      <w:r>
        <w:rPr>
          <w:rFonts w:ascii="宋体" w:hAnsi="宋体" w:cs="宋体" w:eastAsia="宋体" w:hint="default"/>
          <w:spacing w:val="-55"/>
          <w:w w:val="99"/>
          <w:sz w:val="22"/>
          <w:szCs w:val="22"/>
        </w:rPr>
        <w:t> </w:t>
      </w:r>
      <w:r>
        <w:rPr>
          <w:rFonts w:ascii="宋体" w:hAnsi="宋体" w:cs="宋体" w:eastAsia="宋体" w:hint="default"/>
          <w:w w:val="99"/>
          <w:sz w:val="22"/>
          <w:szCs w:val="22"/>
        </w:rPr>
        <w:t>和</w:t>
      </w:r>
      <w:r>
        <w:rPr>
          <w:rFonts w:ascii="宋体" w:hAnsi="宋体" w:cs="宋体" w:eastAsia="宋体" w:hint="default"/>
          <w:spacing w:val="-55"/>
          <w:w w:val="99"/>
          <w:sz w:val="22"/>
          <w:szCs w:val="22"/>
        </w:rPr>
        <w:t> </w:t>
      </w:r>
      <w:r>
        <w:rPr>
          <w:rFonts w:ascii="宋体" w:hAnsi="宋体" w:cs="宋体" w:eastAsia="宋体" w:hint="default"/>
          <w:w w:val="99"/>
          <w:sz w:val="22"/>
          <w:szCs w:val="22"/>
        </w:rPr>
        <w:t>DVB-C</w:t>
      </w:r>
      <w:r>
        <w:rPr>
          <w:rFonts w:ascii="宋体" w:hAnsi="宋体" w:cs="宋体" w:eastAsia="宋体" w:hint="default"/>
          <w:spacing w:val="-56"/>
          <w:w w:val="99"/>
          <w:sz w:val="22"/>
          <w:szCs w:val="22"/>
        </w:rPr>
        <w:t> </w:t>
      </w:r>
      <w:r>
        <w:rPr>
          <w:rFonts w:ascii="宋体" w:hAnsi="宋体" w:cs="宋体" w:eastAsia="宋体" w:hint="default"/>
          <w:w w:val="99"/>
          <w:sz w:val="22"/>
          <w:szCs w:val="22"/>
        </w:rPr>
        <w:t>标准数字电视信道解</w:t>
      </w:r>
      <w:r>
        <w:rPr>
          <w:rFonts w:ascii="宋体" w:hAnsi="宋体" w:cs="宋体" w:eastAsia="宋体" w:hint="default"/>
          <w:w w:val="99"/>
          <w:sz w:val="22"/>
          <w:szCs w:val="22"/>
        </w:rPr>
        <w:t> </w:t>
      </w:r>
      <w:r>
        <w:rPr>
          <w:rFonts w:ascii="宋体" w:hAnsi="宋体" w:cs="宋体" w:eastAsia="宋体" w:hint="default"/>
          <w:sz w:val="22"/>
          <w:szCs w:val="22"/>
        </w:rPr>
        <w:t>调单芯片项目资金</w:t>
      </w:r>
      <w:r>
        <w:rPr>
          <w:rFonts w:ascii="宋体" w:hAnsi="宋体" w:cs="宋体" w:eastAsia="宋体" w:hint="default"/>
          <w:spacing w:val="-61"/>
          <w:sz w:val="22"/>
          <w:szCs w:val="22"/>
        </w:rPr>
        <w:t> </w:t>
      </w:r>
      <w:r>
        <w:rPr>
          <w:rFonts w:ascii="宋体" w:hAnsi="宋体" w:cs="宋体" w:eastAsia="宋体" w:hint="default"/>
          <w:sz w:val="22"/>
          <w:szCs w:val="22"/>
        </w:rPr>
        <w:t>1,500,000.00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24" w:lineRule="auto" w:before="103"/>
        <w:ind w:left="198" w:right="129"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8"/>
          <w:sz w:val="22"/>
          <w:szCs w:val="22"/>
        </w:rPr>
        <w:t> </w:t>
      </w:r>
      <w:r>
        <w:rPr>
          <w:rFonts w:ascii="宋体" w:hAnsi="宋体" w:cs="宋体" w:eastAsia="宋体" w:hint="default"/>
          <w:spacing w:val="-3"/>
          <w:sz w:val="22"/>
          <w:szCs w:val="22"/>
        </w:rPr>
        <w:t>3：本公司收到北京市发展和改革委员会拨付的高亮度发光二极管（LED）外延片、芯片产</w:t>
      </w:r>
      <w:r>
        <w:rPr>
          <w:rFonts w:ascii="宋体" w:hAnsi="宋体" w:cs="宋体" w:eastAsia="宋体" w:hint="default"/>
          <w:w w:val="99"/>
          <w:sz w:val="22"/>
          <w:szCs w:val="22"/>
        </w:rPr>
        <w:t> </w:t>
      </w:r>
      <w:r>
        <w:rPr>
          <w:rFonts w:ascii="宋体" w:hAnsi="宋体" w:cs="宋体" w:eastAsia="宋体" w:hint="default"/>
          <w:sz w:val="22"/>
          <w:szCs w:val="22"/>
        </w:rPr>
        <w:t>业化项目资金</w:t>
      </w:r>
      <w:r>
        <w:rPr>
          <w:rFonts w:ascii="宋体" w:hAnsi="宋体" w:cs="宋体" w:eastAsia="宋体" w:hint="default"/>
          <w:spacing w:val="-60"/>
          <w:sz w:val="22"/>
          <w:szCs w:val="22"/>
        </w:rPr>
        <w:t> </w:t>
      </w:r>
      <w:r>
        <w:rPr>
          <w:rFonts w:ascii="宋体" w:hAnsi="宋体" w:cs="宋体" w:eastAsia="宋体" w:hint="default"/>
          <w:sz w:val="22"/>
          <w:szCs w:val="22"/>
        </w:rPr>
        <w:t>30,000,000.00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324" w:lineRule="auto" w:before="103"/>
        <w:ind w:left="198" w:right="129"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4：本公司收到中华人民共和国工业和信息化部拨付的“核心电子器件、高端通用芯片及</w:t>
      </w:r>
      <w:r>
        <w:rPr>
          <w:rFonts w:ascii="宋体" w:hAnsi="宋体" w:cs="宋体" w:eastAsia="宋体" w:hint="default"/>
          <w:w w:val="99"/>
          <w:sz w:val="22"/>
          <w:szCs w:val="22"/>
        </w:rPr>
        <w:t> </w:t>
      </w:r>
      <w:r>
        <w:rPr>
          <w:rFonts w:ascii="宋体" w:hAnsi="宋体" w:cs="宋体" w:eastAsia="宋体" w:hint="default"/>
          <w:sz w:val="22"/>
          <w:szCs w:val="22"/>
        </w:rPr>
        <w:t>基础软件产品”项目资金</w:t>
      </w:r>
      <w:r>
        <w:rPr>
          <w:rFonts w:ascii="宋体" w:hAnsi="宋体" w:cs="宋体" w:eastAsia="宋体" w:hint="default"/>
          <w:spacing w:val="-61"/>
          <w:sz w:val="22"/>
          <w:szCs w:val="22"/>
        </w:rPr>
        <w:t> </w:t>
      </w:r>
      <w:r>
        <w:rPr>
          <w:rFonts w:ascii="宋体" w:hAnsi="宋体" w:cs="宋体" w:eastAsia="宋体" w:hint="default"/>
          <w:sz w:val="22"/>
          <w:szCs w:val="22"/>
        </w:rPr>
        <w:t>2,150,000.00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24" w:lineRule="auto" w:before="103"/>
        <w:ind w:left="198" w:right="129"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5：本公司所属子公司泰豪科技股份有限公司收到南昌市财政局对现场总线智能控制器系</w:t>
      </w:r>
      <w:r>
        <w:rPr>
          <w:rFonts w:ascii="宋体" w:hAnsi="宋体" w:cs="宋体" w:eastAsia="宋体" w:hint="default"/>
          <w:w w:val="99"/>
          <w:sz w:val="22"/>
          <w:szCs w:val="22"/>
        </w:rPr>
        <w:t> </w:t>
      </w:r>
      <w:r>
        <w:rPr>
          <w:rFonts w:ascii="宋体" w:hAnsi="宋体" w:cs="宋体" w:eastAsia="宋体" w:hint="default"/>
          <w:sz w:val="22"/>
          <w:szCs w:val="22"/>
        </w:rPr>
        <w:t>列产品建设项目国债专项拨款</w:t>
      </w:r>
      <w:r>
        <w:rPr>
          <w:rFonts w:ascii="宋体" w:hAnsi="宋体" w:cs="宋体" w:eastAsia="宋体" w:hint="default"/>
          <w:spacing w:val="-4"/>
          <w:sz w:val="22"/>
          <w:szCs w:val="22"/>
        </w:rPr>
        <w:t> </w:t>
      </w:r>
      <w:r>
        <w:rPr>
          <w:rFonts w:ascii="宋体" w:hAnsi="宋体" w:cs="宋体" w:eastAsia="宋体" w:hint="default"/>
          <w:sz w:val="22"/>
          <w:szCs w:val="22"/>
        </w:rPr>
        <w:t>1,620,000.00</w:t>
      </w:r>
      <w:r>
        <w:rPr>
          <w:rFonts w:ascii="宋体" w:hAnsi="宋体" w:cs="宋体" w:eastAsia="宋体" w:hint="default"/>
          <w:spacing w:val="-4"/>
          <w:sz w:val="22"/>
          <w:szCs w:val="22"/>
        </w:rPr>
        <w:t> </w:t>
      </w:r>
      <w:r>
        <w:rPr>
          <w:rFonts w:ascii="宋体" w:hAnsi="宋体" w:cs="宋体" w:eastAsia="宋体" w:hint="default"/>
          <w:sz w:val="22"/>
          <w:szCs w:val="22"/>
        </w:rPr>
        <w:t>元，截至</w:t>
      </w:r>
      <w:r>
        <w:rPr>
          <w:rFonts w:ascii="宋体" w:hAnsi="宋体" w:cs="宋体" w:eastAsia="宋体" w:hint="default"/>
          <w:spacing w:val="-45"/>
          <w:sz w:val="22"/>
          <w:szCs w:val="22"/>
        </w:rPr>
        <w:t> </w:t>
      </w:r>
      <w:r>
        <w:rPr>
          <w:rFonts w:ascii="宋体" w:hAnsi="宋体" w:cs="宋体" w:eastAsia="宋体" w:hint="default"/>
          <w:sz w:val="22"/>
          <w:szCs w:val="22"/>
        </w:rPr>
        <w:t>2010</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12</w:t>
      </w:r>
      <w:r>
        <w:rPr>
          <w:rFonts w:ascii="宋体" w:hAnsi="宋体" w:cs="宋体" w:eastAsia="宋体" w:hint="default"/>
          <w:spacing w:val="-45"/>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宋体" w:hAnsi="宋体" w:cs="宋体" w:eastAsia="宋体" w:hint="default"/>
          <w:sz w:val="22"/>
          <w:szCs w:val="22"/>
        </w:rPr>
        <w:t>31</w:t>
      </w:r>
      <w:r>
        <w:rPr>
          <w:rFonts w:ascii="宋体" w:hAnsi="宋体" w:cs="宋体" w:eastAsia="宋体" w:hint="default"/>
          <w:spacing w:val="-45"/>
          <w:sz w:val="22"/>
          <w:szCs w:val="22"/>
        </w:rPr>
        <w:t> </w:t>
      </w:r>
      <w:r>
        <w:rPr>
          <w:rFonts w:ascii="宋体" w:hAnsi="宋体" w:cs="宋体" w:eastAsia="宋体" w:hint="default"/>
          <w:sz w:val="22"/>
          <w:szCs w:val="22"/>
        </w:rPr>
        <w:t>日尚未确认收益的金额</w:t>
      </w:r>
    </w:p>
    <w:p>
      <w:pPr>
        <w:spacing w:before="25"/>
        <w:ind w:left="198" w:right="2906" w:firstLine="0"/>
        <w:jc w:val="left"/>
        <w:rPr>
          <w:rFonts w:ascii="宋体" w:hAnsi="宋体" w:cs="宋体" w:eastAsia="宋体" w:hint="default"/>
          <w:sz w:val="22"/>
          <w:szCs w:val="22"/>
        </w:rPr>
      </w:pPr>
      <w:r>
        <w:rPr>
          <w:rFonts w:ascii="宋体" w:hAnsi="宋体" w:cs="宋体" w:eastAsia="宋体" w:hint="default"/>
          <w:sz w:val="22"/>
          <w:szCs w:val="22"/>
        </w:rPr>
        <w:t>为</w:t>
      </w:r>
      <w:r>
        <w:rPr>
          <w:rFonts w:ascii="宋体" w:hAnsi="宋体" w:cs="宋体" w:eastAsia="宋体" w:hint="default"/>
          <w:spacing w:val="-59"/>
          <w:sz w:val="22"/>
          <w:szCs w:val="22"/>
        </w:rPr>
        <w:t> </w:t>
      </w:r>
      <w:r>
        <w:rPr>
          <w:rFonts w:ascii="宋体" w:hAnsi="宋体" w:cs="宋体" w:eastAsia="宋体" w:hint="default"/>
          <w:sz w:val="22"/>
          <w:szCs w:val="22"/>
        </w:rPr>
        <w:t>1,134,000.00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24" w:lineRule="auto" w:before="180"/>
        <w:ind w:left="198" w:right="129"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6：本公司所属子公司泰豪科技股份有限公司收到南昌市财政局、南昌市科技局拨付的省</w:t>
      </w:r>
      <w:r>
        <w:rPr>
          <w:rFonts w:ascii="宋体" w:hAnsi="宋体" w:cs="宋体" w:eastAsia="宋体" w:hint="default"/>
          <w:w w:val="99"/>
          <w:sz w:val="22"/>
          <w:szCs w:val="22"/>
        </w:rPr>
        <w:t> </w:t>
      </w:r>
      <w:r>
        <w:rPr>
          <w:rFonts w:ascii="宋体" w:hAnsi="宋体" w:cs="宋体" w:eastAsia="宋体" w:hint="default"/>
          <w:sz w:val="22"/>
          <w:szCs w:val="22"/>
        </w:rPr>
        <w:t>级高新产业重大项目配套资金 6,000,000.00</w:t>
      </w:r>
      <w:r>
        <w:rPr>
          <w:rFonts w:ascii="宋体" w:hAnsi="宋体" w:cs="宋体" w:eastAsia="宋体" w:hint="default"/>
          <w:spacing w:val="-14"/>
          <w:sz w:val="22"/>
          <w:szCs w:val="22"/>
        </w:rPr>
        <w:t> </w:t>
      </w:r>
      <w:r>
        <w:rPr>
          <w:rFonts w:ascii="宋体" w:hAnsi="宋体" w:cs="宋体" w:eastAsia="宋体" w:hint="default"/>
          <w:sz w:val="22"/>
          <w:szCs w:val="22"/>
        </w:rPr>
        <w:t>元。</w:t>
      </w:r>
    </w:p>
    <w:p>
      <w:pPr>
        <w:spacing w:line="324" w:lineRule="auto" w:before="103"/>
        <w:ind w:left="198" w:right="129"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7：本公司所属子公司泰豪科技股份有限公司的控股子公司江西清华泰豪三波电机有限公</w:t>
      </w:r>
      <w:r>
        <w:rPr>
          <w:rFonts w:ascii="宋体" w:hAnsi="宋体" w:cs="宋体" w:eastAsia="宋体" w:hint="default"/>
          <w:w w:val="99"/>
          <w:sz w:val="22"/>
          <w:szCs w:val="22"/>
        </w:rPr>
        <w:t> </w:t>
      </w:r>
      <w:r>
        <w:rPr>
          <w:rFonts w:ascii="宋体" w:hAnsi="宋体" w:cs="宋体" w:eastAsia="宋体" w:hint="default"/>
          <w:sz w:val="22"/>
          <w:szCs w:val="22"/>
        </w:rPr>
        <w:t>司收到南昌市财政局拨付的</w:t>
      </w:r>
      <w:r>
        <w:rPr>
          <w:rFonts w:ascii="宋体" w:hAnsi="宋体" w:cs="宋体" w:eastAsia="宋体" w:hint="default"/>
          <w:spacing w:val="-6"/>
          <w:sz w:val="22"/>
          <w:szCs w:val="22"/>
        </w:rPr>
        <w:t> </w:t>
      </w:r>
      <w:r>
        <w:rPr>
          <w:rFonts w:ascii="宋体" w:hAnsi="宋体" w:cs="宋体" w:eastAsia="宋体" w:hint="default"/>
          <w:sz w:val="22"/>
          <w:szCs w:val="22"/>
        </w:rPr>
        <w:t>071</w:t>
      </w:r>
      <w:r>
        <w:rPr>
          <w:rFonts w:ascii="宋体" w:hAnsi="宋体" w:cs="宋体" w:eastAsia="宋体" w:hint="default"/>
          <w:spacing w:val="-6"/>
          <w:sz w:val="22"/>
          <w:szCs w:val="22"/>
        </w:rPr>
        <w:t> </w:t>
      </w:r>
      <w:r>
        <w:rPr>
          <w:rFonts w:ascii="宋体" w:hAnsi="宋体" w:cs="宋体" w:eastAsia="宋体" w:hint="default"/>
          <w:sz w:val="22"/>
          <w:szCs w:val="22"/>
        </w:rPr>
        <w:t>项目资金</w:t>
      </w:r>
      <w:r>
        <w:rPr>
          <w:rFonts w:ascii="宋体" w:hAnsi="宋体" w:cs="宋体" w:eastAsia="宋体" w:hint="default"/>
          <w:spacing w:val="-58"/>
          <w:sz w:val="22"/>
          <w:szCs w:val="22"/>
        </w:rPr>
        <w:t> </w:t>
      </w:r>
      <w:r>
        <w:rPr>
          <w:rFonts w:ascii="宋体" w:hAnsi="宋体" w:cs="宋体" w:eastAsia="宋体" w:hint="default"/>
          <w:sz w:val="22"/>
          <w:szCs w:val="22"/>
        </w:rPr>
        <w:t>5,000,000.00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324" w:lineRule="auto" w:before="103"/>
        <w:ind w:left="198" w:right="129"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8：本公司所属子公司泰豪科技股份有限公司收到江西省经济贸易委员会拨付的试验平台</w:t>
      </w:r>
      <w:r>
        <w:rPr>
          <w:rFonts w:ascii="宋体" w:hAnsi="宋体" w:cs="宋体" w:eastAsia="宋体" w:hint="default"/>
          <w:w w:val="99"/>
          <w:sz w:val="22"/>
          <w:szCs w:val="22"/>
        </w:rPr>
        <w:t> </w:t>
      </w:r>
      <w:r>
        <w:rPr>
          <w:rFonts w:ascii="宋体" w:hAnsi="宋体" w:cs="宋体" w:eastAsia="宋体" w:hint="default"/>
          <w:sz w:val="22"/>
          <w:szCs w:val="22"/>
        </w:rPr>
        <w:t>建设及设备购置款</w:t>
      </w:r>
      <w:r>
        <w:rPr>
          <w:rFonts w:ascii="宋体" w:hAnsi="宋体" w:cs="宋体" w:eastAsia="宋体" w:hint="default"/>
          <w:spacing w:val="-61"/>
          <w:sz w:val="22"/>
          <w:szCs w:val="22"/>
        </w:rPr>
        <w:t> </w:t>
      </w:r>
      <w:r>
        <w:rPr>
          <w:rFonts w:ascii="宋体" w:hAnsi="宋体" w:cs="宋体" w:eastAsia="宋体" w:hint="default"/>
          <w:sz w:val="22"/>
          <w:szCs w:val="22"/>
        </w:rPr>
        <w:t>3,000,000.00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24" w:lineRule="auto" w:before="103"/>
        <w:ind w:left="198" w:right="129"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9：本公司所属子公司泰豪科技股份有限公司的控股子公司同方人工环境有限公司收到北</w:t>
      </w:r>
      <w:r>
        <w:rPr>
          <w:rFonts w:ascii="宋体" w:hAnsi="宋体" w:cs="宋体" w:eastAsia="宋体" w:hint="default"/>
          <w:w w:val="99"/>
          <w:sz w:val="22"/>
          <w:szCs w:val="22"/>
        </w:rPr>
        <w:t> </w:t>
      </w:r>
      <w:r>
        <w:rPr>
          <w:rFonts w:ascii="宋体" w:hAnsi="宋体" w:cs="宋体" w:eastAsia="宋体" w:hint="default"/>
          <w:spacing w:val="5"/>
          <w:sz w:val="22"/>
          <w:szCs w:val="22"/>
        </w:rPr>
        <w:t>京市科学技术委员会拨付的大型高能效低温空气源热泵研发项目资金 </w:t>
      </w:r>
      <w:r>
        <w:rPr>
          <w:rFonts w:ascii="宋体" w:hAnsi="宋体" w:cs="宋体" w:eastAsia="宋体" w:hint="default"/>
          <w:sz w:val="22"/>
          <w:szCs w:val="22"/>
        </w:rPr>
        <w:t>6,080,000.00</w:t>
      </w:r>
      <w:r>
        <w:rPr>
          <w:rFonts w:ascii="宋体" w:hAnsi="宋体" w:cs="宋体" w:eastAsia="宋体" w:hint="default"/>
          <w:spacing w:val="-6"/>
          <w:sz w:val="22"/>
          <w:szCs w:val="22"/>
        </w:rPr>
        <w:t> </w:t>
      </w:r>
      <w:r>
        <w:rPr>
          <w:rFonts w:ascii="宋体" w:hAnsi="宋体" w:cs="宋体" w:eastAsia="宋体" w:hint="default"/>
          <w:spacing w:val="3"/>
          <w:sz w:val="22"/>
          <w:szCs w:val="22"/>
        </w:rPr>
        <w:t>元，截至</w:t>
      </w:r>
    </w:p>
    <w:p>
      <w:pPr>
        <w:spacing w:before="25"/>
        <w:ind w:left="198" w:right="129" w:firstLine="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24"/>
          <w:sz w:val="22"/>
          <w:szCs w:val="22"/>
        </w:rPr>
        <w:t> </w:t>
      </w:r>
      <w:r>
        <w:rPr>
          <w:rFonts w:ascii="宋体" w:hAnsi="宋体" w:cs="宋体" w:eastAsia="宋体" w:hint="default"/>
          <w:sz w:val="22"/>
          <w:szCs w:val="22"/>
        </w:rPr>
        <w:t>年</w:t>
      </w:r>
      <w:r>
        <w:rPr>
          <w:rFonts w:ascii="宋体" w:hAnsi="宋体" w:cs="宋体" w:eastAsia="宋体" w:hint="default"/>
          <w:spacing w:val="-26"/>
          <w:sz w:val="22"/>
          <w:szCs w:val="22"/>
        </w:rPr>
        <w:t> </w:t>
      </w:r>
      <w:r>
        <w:rPr>
          <w:rFonts w:ascii="宋体" w:hAnsi="宋体" w:cs="宋体" w:eastAsia="宋体" w:hint="default"/>
          <w:sz w:val="22"/>
          <w:szCs w:val="22"/>
        </w:rPr>
        <w:t>12</w:t>
      </w:r>
      <w:r>
        <w:rPr>
          <w:rFonts w:ascii="宋体" w:hAnsi="宋体" w:cs="宋体" w:eastAsia="宋体" w:hint="default"/>
          <w:spacing w:val="-25"/>
          <w:sz w:val="22"/>
          <w:szCs w:val="22"/>
        </w:rPr>
        <w:t> </w:t>
      </w:r>
      <w:r>
        <w:rPr>
          <w:rFonts w:ascii="宋体" w:hAnsi="宋体" w:cs="宋体" w:eastAsia="宋体" w:hint="default"/>
          <w:sz w:val="22"/>
          <w:szCs w:val="22"/>
        </w:rPr>
        <w:t>月</w:t>
      </w:r>
      <w:r>
        <w:rPr>
          <w:rFonts w:ascii="宋体" w:hAnsi="宋体" w:cs="宋体" w:eastAsia="宋体" w:hint="default"/>
          <w:spacing w:val="-25"/>
          <w:sz w:val="22"/>
          <w:szCs w:val="22"/>
        </w:rPr>
        <w:t> </w:t>
      </w:r>
      <w:r>
        <w:rPr>
          <w:rFonts w:ascii="宋体" w:hAnsi="宋体" w:cs="宋体" w:eastAsia="宋体" w:hint="default"/>
          <w:sz w:val="22"/>
          <w:szCs w:val="22"/>
        </w:rPr>
        <w:t>31</w:t>
      </w:r>
      <w:r>
        <w:rPr>
          <w:rFonts w:ascii="宋体" w:hAnsi="宋体" w:cs="宋体" w:eastAsia="宋体" w:hint="default"/>
          <w:spacing w:val="-24"/>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25"/>
          <w:sz w:val="22"/>
          <w:szCs w:val="22"/>
        </w:rPr>
        <w:t> </w:t>
      </w:r>
      <w:r>
        <w:rPr>
          <w:rFonts w:ascii="宋体" w:hAnsi="宋体" w:cs="宋体" w:eastAsia="宋体" w:hint="default"/>
          <w:sz w:val="22"/>
          <w:szCs w:val="22"/>
        </w:rPr>
        <w:t>3,040,000.00</w:t>
      </w:r>
      <w:r>
        <w:rPr>
          <w:rFonts w:ascii="宋体" w:hAnsi="宋体" w:cs="宋体" w:eastAsia="宋体" w:hint="default"/>
          <w:spacing w:val="-25"/>
          <w:sz w:val="22"/>
          <w:szCs w:val="22"/>
        </w:rPr>
        <w:t> </w:t>
      </w:r>
      <w:r>
        <w:rPr>
          <w:rFonts w:ascii="宋体" w:hAnsi="宋体" w:cs="宋体" w:eastAsia="宋体" w:hint="default"/>
          <w:sz w:val="22"/>
          <w:szCs w:val="22"/>
        </w:rPr>
        <w:t>元；收到高成长企业水源地项目资金</w:t>
      </w:r>
    </w:p>
    <w:p>
      <w:pPr>
        <w:spacing w:before="102"/>
        <w:ind w:left="198" w:right="129" w:firstLine="0"/>
        <w:jc w:val="left"/>
        <w:rPr>
          <w:rFonts w:ascii="宋体" w:hAnsi="宋体" w:cs="宋体" w:eastAsia="宋体" w:hint="default"/>
          <w:sz w:val="22"/>
          <w:szCs w:val="22"/>
        </w:rPr>
      </w:pPr>
      <w:r>
        <w:rPr>
          <w:rFonts w:ascii="宋体" w:hAnsi="宋体" w:cs="宋体" w:eastAsia="宋体" w:hint="default"/>
          <w:sz w:val="22"/>
          <w:szCs w:val="22"/>
        </w:rPr>
        <w:t>500,000.00</w:t>
      </w:r>
      <w:r>
        <w:rPr>
          <w:rFonts w:ascii="宋体" w:hAnsi="宋体" w:cs="宋体" w:eastAsia="宋体" w:hint="default"/>
          <w:spacing w:val="-58"/>
          <w:sz w:val="22"/>
          <w:szCs w:val="22"/>
        </w:rPr>
        <w:t> </w:t>
      </w:r>
      <w:r>
        <w:rPr>
          <w:rFonts w:ascii="宋体" w:hAnsi="宋体" w:cs="宋体" w:eastAsia="宋体" w:hint="default"/>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57"/>
          <w:sz w:val="22"/>
          <w:szCs w:val="22"/>
        </w:rPr>
        <w:t> </w:t>
      </w:r>
      <w:r>
        <w:rPr>
          <w:rFonts w:ascii="宋体" w:hAnsi="宋体" w:cs="宋体" w:eastAsia="宋体" w:hint="default"/>
          <w:sz w:val="22"/>
          <w:szCs w:val="22"/>
        </w:rPr>
        <w:t>200,000.00</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before="180"/>
        <w:ind w:left="639"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4"/>
          <w:sz w:val="22"/>
          <w:szCs w:val="22"/>
        </w:rPr>
        <w:t> </w:t>
      </w:r>
      <w:r>
        <w:rPr>
          <w:rFonts w:ascii="宋体" w:hAnsi="宋体" w:cs="宋体" w:eastAsia="宋体" w:hint="default"/>
          <w:sz w:val="22"/>
          <w:szCs w:val="22"/>
        </w:rPr>
        <w:t>10：本公司所属子公司山东鲁颖电子有限公司新增的递延收益为使用科学技术发展经费</w:t>
      </w:r>
    </w:p>
    <w:p>
      <w:pPr>
        <w:spacing w:before="102"/>
        <w:ind w:left="198" w:right="2906" w:firstLine="0"/>
        <w:jc w:val="left"/>
        <w:rPr>
          <w:rFonts w:ascii="宋体" w:hAnsi="宋体" w:cs="宋体" w:eastAsia="宋体" w:hint="default"/>
          <w:sz w:val="22"/>
          <w:szCs w:val="22"/>
        </w:rPr>
      </w:pPr>
      <w:r>
        <w:rPr>
          <w:rFonts w:ascii="宋体" w:hAnsi="宋体" w:cs="宋体" w:eastAsia="宋体" w:hint="default"/>
          <w:sz w:val="22"/>
          <w:szCs w:val="22"/>
        </w:rPr>
        <w:t>（发改委高技[2008]2078)形成资产的部分。</w:t>
      </w:r>
    </w:p>
    <w:p>
      <w:pPr>
        <w:spacing w:before="180"/>
        <w:ind w:left="639" w:right="0" w:firstLine="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5"/>
          <w:sz w:val="22"/>
          <w:szCs w:val="22"/>
        </w:rPr>
        <w:t> </w:t>
      </w:r>
      <w:r>
        <w:rPr>
          <w:rFonts w:ascii="宋体" w:hAnsi="宋体" w:cs="宋体" w:eastAsia="宋体" w:hint="default"/>
          <w:w w:val="99"/>
          <w:sz w:val="22"/>
          <w:szCs w:val="22"/>
        </w:rPr>
        <w:t>11</w:t>
      </w:r>
      <w:r>
        <w:rPr>
          <w:rFonts w:ascii="宋体" w:hAnsi="宋体" w:cs="宋体" w:eastAsia="宋体" w:hint="default"/>
          <w:spacing w:val="-94"/>
          <w:w w:val="99"/>
          <w:sz w:val="22"/>
          <w:szCs w:val="22"/>
        </w:rPr>
        <w:t>：</w:t>
      </w:r>
      <w:r>
        <w:rPr>
          <w:rFonts w:ascii="宋体" w:hAnsi="宋体" w:cs="宋体" w:eastAsia="宋体" w:hint="default"/>
          <w:w w:val="99"/>
          <w:sz w:val="22"/>
          <w:szCs w:val="22"/>
        </w:rPr>
        <w:t>本公司所属</w:t>
      </w:r>
      <w:r>
        <w:rPr>
          <w:rFonts w:ascii="宋体" w:hAnsi="宋体" w:cs="宋体" w:eastAsia="宋体" w:hint="default"/>
          <w:spacing w:val="1"/>
          <w:w w:val="99"/>
          <w:sz w:val="22"/>
          <w:szCs w:val="22"/>
        </w:rPr>
        <w:t>子公</w:t>
      </w:r>
      <w:r>
        <w:rPr>
          <w:rFonts w:ascii="宋体" w:hAnsi="宋体" w:cs="宋体" w:eastAsia="宋体" w:hint="default"/>
          <w:w w:val="99"/>
          <w:sz w:val="22"/>
          <w:szCs w:val="22"/>
        </w:rPr>
        <w:t>司北京</w:t>
      </w:r>
      <w:r>
        <w:rPr>
          <w:rFonts w:ascii="宋体" w:hAnsi="宋体" w:cs="宋体" w:eastAsia="宋体" w:hint="default"/>
          <w:spacing w:val="1"/>
          <w:w w:val="99"/>
          <w:sz w:val="22"/>
          <w:szCs w:val="22"/>
        </w:rPr>
        <w:t>同方</w:t>
      </w:r>
      <w:r>
        <w:rPr>
          <w:rFonts w:ascii="宋体" w:hAnsi="宋体" w:cs="宋体" w:eastAsia="宋体" w:hint="default"/>
          <w:w w:val="99"/>
          <w:sz w:val="22"/>
          <w:szCs w:val="22"/>
        </w:rPr>
        <w:t>软件股</w:t>
      </w:r>
      <w:r>
        <w:rPr>
          <w:rFonts w:ascii="宋体" w:hAnsi="宋体" w:cs="宋体" w:eastAsia="宋体" w:hint="default"/>
          <w:spacing w:val="1"/>
          <w:w w:val="99"/>
          <w:sz w:val="22"/>
          <w:szCs w:val="22"/>
        </w:rPr>
        <w:t>份公</w:t>
      </w:r>
      <w:r>
        <w:rPr>
          <w:rFonts w:ascii="宋体" w:hAnsi="宋体" w:cs="宋体" w:eastAsia="宋体" w:hint="default"/>
          <w:w w:val="99"/>
          <w:sz w:val="22"/>
          <w:szCs w:val="22"/>
        </w:rPr>
        <w:t>司收到</w:t>
      </w:r>
      <w:r>
        <w:rPr>
          <w:rFonts w:ascii="宋体" w:hAnsi="宋体" w:cs="宋体" w:eastAsia="宋体" w:hint="default"/>
          <w:spacing w:val="1"/>
          <w:w w:val="99"/>
          <w:sz w:val="22"/>
          <w:szCs w:val="22"/>
        </w:rPr>
        <w:t>中华</w:t>
      </w:r>
      <w:r>
        <w:rPr>
          <w:rFonts w:ascii="宋体" w:hAnsi="宋体" w:cs="宋体" w:eastAsia="宋体" w:hint="default"/>
          <w:w w:val="99"/>
          <w:sz w:val="22"/>
          <w:szCs w:val="22"/>
        </w:rPr>
        <w:t>人民共</w:t>
      </w:r>
      <w:r>
        <w:rPr>
          <w:rFonts w:ascii="宋体" w:hAnsi="宋体" w:cs="宋体" w:eastAsia="宋体" w:hint="default"/>
          <w:spacing w:val="1"/>
          <w:w w:val="99"/>
          <w:sz w:val="22"/>
          <w:szCs w:val="22"/>
        </w:rPr>
        <w:t>和国</w:t>
      </w:r>
      <w:r>
        <w:rPr>
          <w:rFonts w:ascii="宋体" w:hAnsi="宋体" w:cs="宋体" w:eastAsia="宋体" w:hint="default"/>
          <w:w w:val="99"/>
          <w:sz w:val="22"/>
          <w:szCs w:val="22"/>
        </w:rPr>
        <w:t>工业和</w:t>
      </w:r>
      <w:r>
        <w:rPr>
          <w:rFonts w:ascii="宋体" w:hAnsi="宋体" w:cs="宋体" w:eastAsia="宋体" w:hint="default"/>
          <w:spacing w:val="1"/>
          <w:w w:val="99"/>
          <w:sz w:val="22"/>
          <w:szCs w:val="22"/>
        </w:rPr>
        <w:t>信息</w:t>
      </w:r>
      <w:r>
        <w:rPr>
          <w:rFonts w:ascii="宋体" w:hAnsi="宋体" w:cs="宋体" w:eastAsia="宋体" w:hint="default"/>
          <w:w w:val="99"/>
          <w:sz w:val="22"/>
          <w:szCs w:val="22"/>
        </w:rPr>
        <w:t>化部拨付的</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610" w:footer="784" w:top="1080" w:bottom="980" w:left="122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213" w:firstLine="0"/>
        <w:jc w:val="left"/>
        <w:rPr>
          <w:rFonts w:ascii="宋体" w:hAnsi="宋体" w:cs="宋体" w:eastAsia="宋体" w:hint="default"/>
          <w:sz w:val="22"/>
          <w:szCs w:val="22"/>
        </w:rPr>
      </w:pPr>
      <w:r>
        <w:rPr>
          <w:rFonts w:ascii="宋体" w:hAnsi="宋体" w:cs="宋体" w:eastAsia="宋体" w:hint="default"/>
          <w:sz w:val="22"/>
          <w:szCs w:val="22"/>
        </w:rPr>
        <w:t>信息产业发展基金工业和信息化部项目款</w:t>
      </w:r>
      <w:r>
        <w:rPr>
          <w:rFonts w:ascii="宋体" w:hAnsi="宋体" w:cs="宋体" w:eastAsia="宋体" w:hint="default"/>
          <w:spacing w:val="-63"/>
          <w:sz w:val="22"/>
          <w:szCs w:val="22"/>
        </w:rPr>
        <w:t> </w:t>
      </w:r>
      <w:r>
        <w:rPr>
          <w:rFonts w:ascii="宋体" w:hAnsi="宋体" w:cs="宋体" w:eastAsia="宋体" w:hint="default"/>
          <w:sz w:val="22"/>
          <w:szCs w:val="22"/>
        </w:rPr>
        <w:t>1,000,000.00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324" w:lineRule="auto" w:before="179"/>
        <w:ind w:left="138" w:right="213"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6"/>
          <w:sz w:val="22"/>
          <w:szCs w:val="22"/>
        </w:rPr>
        <w:t> </w:t>
      </w:r>
      <w:r>
        <w:rPr>
          <w:rFonts w:ascii="宋体" w:hAnsi="宋体" w:cs="宋体" w:eastAsia="宋体" w:hint="default"/>
          <w:spacing w:val="19"/>
          <w:sz w:val="22"/>
          <w:szCs w:val="22"/>
        </w:rPr>
        <w:t>12：本公司所属子公司唐山晶源裕丰电子股份有限公司收到国家发改委资金补助</w:t>
      </w:r>
      <w:r>
        <w:rPr>
          <w:rFonts w:ascii="宋体" w:hAnsi="宋体" w:cs="宋体" w:eastAsia="宋体" w:hint="default"/>
          <w:w w:val="99"/>
          <w:sz w:val="22"/>
          <w:szCs w:val="22"/>
        </w:rPr>
        <w:t> </w:t>
      </w:r>
      <w:r>
        <w:rPr>
          <w:rFonts w:ascii="宋体" w:hAnsi="宋体" w:cs="宋体" w:eastAsia="宋体" w:hint="default"/>
          <w:sz w:val="22"/>
          <w:szCs w:val="22"/>
        </w:rPr>
        <w:t>8,000,000.00</w:t>
      </w:r>
      <w:r>
        <w:rPr>
          <w:rFonts w:ascii="宋体" w:hAnsi="宋体" w:cs="宋体" w:eastAsia="宋体" w:hint="default"/>
          <w:spacing w:val="-63"/>
          <w:sz w:val="22"/>
          <w:szCs w:val="22"/>
        </w:rPr>
        <w:t> </w:t>
      </w:r>
      <w:r>
        <w:rPr>
          <w:rFonts w:ascii="宋体" w:hAnsi="宋体" w:cs="宋体" w:eastAsia="宋体" w:hint="default"/>
          <w:sz w:val="22"/>
          <w:szCs w:val="22"/>
        </w:rPr>
        <w:t>元，拨付文件文号：发改办高技[2007]2456</w:t>
      </w:r>
      <w:r>
        <w:rPr>
          <w:rFonts w:ascii="宋体" w:hAnsi="宋体" w:cs="宋体" w:eastAsia="宋体" w:hint="default"/>
          <w:spacing w:val="-63"/>
          <w:sz w:val="22"/>
          <w:szCs w:val="22"/>
        </w:rPr>
        <w:t> </w:t>
      </w:r>
      <w:r>
        <w:rPr>
          <w:rFonts w:ascii="宋体" w:hAnsi="宋体" w:cs="宋体" w:eastAsia="宋体" w:hint="default"/>
          <w:spacing w:val="-3"/>
          <w:sz w:val="22"/>
          <w:szCs w:val="22"/>
        </w:rPr>
        <w:t>号，项目名称：年产</w:t>
      </w:r>
      <w:r>
        <w:rPr>
          <w:rFonts w:ascii="宋体" w:hAnsi="宋体" w:cs="宋体" w:eastAsia="宋体" w:hint="default"/>
          <w:spacing w:val="-63"/>
          <w:sz w:val="22"/>
          <w:szCs w:val="22"/>
        </w:rPr>
        <w:t> </w:t>
      </w:r>
      <w:r>
        <w:rPr>
          <w:rFonts w:ascii="宋体" w:hAnsi="宋体" w:cs="宋体" w:eastAsia="宋体" w:hint="default"/>
          <w:sz w:val="22"/>
          <w:szCs w:val="22"/>
        </w:rPr>
        <w:t>7200</w:t>
      </w:r>
      <w:r>
        <w:rPr>
          <w:rFonts w:ascii="宋体" w:hAnsi="宋体" w:cs="宋体" w:eastAsia="宋体" w:hint="default"/>
          <w:spacing w:val="-63"/>
          <w:sz w:val="22"/>
          <w:szCs w:val="22"/>
        </w:rPr>
        <w:t> </w:t>
      </w:r>
      <w:r>
        <w:rPr>
          <w:rFonts w:ascii="宋体" w:hAnsi="宋体" w:cs="宋体" w:eastAsia="宋体" w:hint="default"/>
          <w:sz w:val="22"/>
          <w:szCs w:val="22"/>
        </w:rPr>
        <w:t>万件新型片</w:t>
      </w:r>
    </w:p>
    <w:p>
      <w:pPr>
        <w:spacing w:before="25"/>
        <w:ind w:left="138" w:right="86" w:firstLine="0"/>
        <w:jc w:val="left"/>
        <w:rPr>
          <w:rFonts w:ascii="宋体" w:hAnsi="宋体" w:cs="宋体" w:eastAsia="宋体" w:hint="default"/>
          <w:sz w:val="22"/>
          <w:szCs w:val="22"/>
        </w:rPr>
      </w:pPr>
      <w:r>
        <w:rPr>
          <w:rFonts w:ascii="宋体" w:hAnsi="宋体" w:cs="宋体" w:eastAsia="宋体" w:hint="default"/>
          <w:sz w:val="22"/>
          <w:szCs w:val="22"/>
        </w:rPr>
        <w:t>式石英晶体元器件产业化项目；收到唐山市发改委地方配套资金</w:t>
      </w:r>
      <w:r>
        <w:rPr>
          <w:rFonts w:ascii="宋体" w:hAnsi="宋体" w:cs="宋体" w:eastAsia="宋体" w:hint="default"/>
          <w:spacing w:val="-71"/>
          <w:sz w:val="22"/>
          <w:szCs w:val="22"/>
        </w:rPr>
        <w:t> </w:t>
      </w:r>
      <w:r>
        <w:rPr>
          <w:rFonts w:ascii="宋体" w:hAnsi="宋体" w:cs="宋体" w:eastAsia="宋体" w:hint="default"/>
          <w:sz w:val="22"/>
          <w:szCs w:val="22"/>
        </w:rPr>
        <w:t>300,000.00</w:t>
      </w:r>
      <w:r>
        <w:rPr>
          <w:rFonts w:ascii="宋体" w:hAnsi="宋体" w:cs="宋体" w:eastAsia="宋体" w:hint="default"/>
          <w:spacing w:val="-71"/>
          <w:sz w:val="22"/>
          <w:szCs w:val="22"/>
        </w:rPr>
        <w:t> </w:t>
      </w:r>
      <w:r>
        <w:rPr>
          <w:rFonts w:ascii="宋体" w:hAnsi="宋体" w:cs="宋体" w:eastAsia="宋体" w:hint="default"/>
          <w:spacing w:val="-3"/>
          <w:sz w:val="22"/>
          <w:szCs w:val="22"/>
        </w:rPr>
        <w:t>元，拨付文件文号：</w:t>
      </w:r>
    </w:p>
    <w:p>
      <w:pPr>
        <w:spacing w:before="102"/>
        <w:ind w:left="0" w:right="222" w:firstLine="0"/>
        <w:jc w:val="right"/>
        <w:rPr>
          <w:rFonts w:ascii="宋体" w:hAnsi="宋体" w:cs="宋体" w:eastAsia="宋体" w:hint="default"/>
          <w:sz w:val="22"/>
          <w:szCs w:val="22"/>
        </w:rPr>
      </w:pPr>
      <w:r>
        <w:rPr>
          <w:rFonts w:ascii="宋体" w:hAnsi="宋体" w:cs="宋体" w:eastAsia="宋体" w:hint="default"/>
          <w:sz w:val="22"/>
          <w:szCs w:val="22"/>
        </w:rPr>
        <w:t>唐发改高技术[2008]947</w:t>
      </w:r>
      <w:r>
        <w:rPr>
          <w:rFonts w:ascii="宋体" w:hAnsi="宋体" w:cs="宋体" w:eastAsia="宋体" w:hint="default"/>
          <w:spacing w:val="-57"/>
          <w:sz w:val="22"/>
          <w:szCs w:val="22"/>
        </w:rPr>
        <w:t> </w:t>
      </w:r>
      <w:r>
        <w:rPr>
          <w:rFonts w:ascii="宋体" w:hAnsi="宋体" w:cs="宋体" w:eastAsia="宋体" w:hint="default"/>
          <w:sz w:val="22"/>
          <w:szCs w:val="22"/>
        </w:rPr>
        <w:t>号，截至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57"/>
          <w:sz w:val="22"/>
          <w:szCs w:val="22"/>
        </w:rPr>
        <w:t> </w:t>
      </w:r>
      <w:r>
        <w:rPr>
          <w:rFonts w:ascii="宋体" w:hAnsi="宋体" w:cs="宋体" w:eastAsia="宋体" w:hint="default"/>
          <w:sz w:val="22"/>
          <w:szCs w:val="22"/>
        </w:rPr>
        <w:t>6,442,492.00</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324" w:lineRule="auto" w:before="180"/>
        <w:ind w:left="138" w:right="213"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6"/>
          <w:sz w:val="22"/>
          <w:szCs w:val="22"/>
        </w:rPr>
        <w:t> </w:t>
      </w:r>
      <w:r>
        <w:rPr>
          <w:rFonts w:ascii="宋体" w:hAnsi="宋体" w:cs="宋体" w:eastAsia="宋体" w:hint="default"/>
          <w:sz w:val="22"/>
          <w:szCs w:val="22"/>
        </w:rPr>
        <w:t>13：本公司所属子公司唐山晶源裕丰电子股份有限公司收到河北省机电办</w:t>
      </w:r>
      <w:r>
        <w:rPr>
          <w:rFonts w:ascii="宋体" w:hAnsi="宋体" w:cs="宋体" w:eastAsia="宋体" w:hint="default"/>
          <w:spacing w:val="-56"/>
          <w:sz w:val="22"/>
          <w:szCs w:val="22"/>
        </w:rPr>
        <w:t> </w:t>
      </w:r>
      <w:r>
        <w:rPr>
          <w:rFonts w:ascii="宋体" w:hAnsi="宋体" w:cs="宋体" w:eastAsia="宋体" w:hint="default"/>
          <w:sz w:val="22"/>
          <w:szCs w:val="22"/>
        </w:rPr>
        <w:t>2007</w:t>
      </w:r>
      <w:r>
        <w:rPr>
          <w:rFonts w:ascii="宋体" w:hAnsi="宋体" w:cs="宋体" w:eastAsia="宋体" w:hint="default"/>
          <w:spacing w:val="-55"/>
          <w:sz w:val="22"/>
          <w:szCs w:val="22"/>
        </w:rPr>
        <w:t> </w:t>
      </w:r>
      <w:r>
        <w:rPr>
          <w:rFonts w:ascii="宋体" w:hAnsi="宋体" w:cs="宋体" w:eastAsia="宋体" w:hint="default"/>
          <w:sz w:val="22"/>
          <w:szCs w:val="22"/>
        </w:rPr>
        <w:t>年度进口</w:t>
      </w:r>
      <w:r>
        <w:rPr>
          <w:rFonts w:ascii="宋体" w:hAnsi="宋体" w:cs="宋体" w:eastAsia="宋体" w:hint="default"/>
          <w:w w:val="99"/>
          <w:sz w:val="22"/>
          <w:szCs w:val="22"/>
        </w:rPr>
        <w:t> </w:t>
      </w:r>
      <w:r>
        <w:rPr>
          <w:rFonts w:ascii="宋体" w:hAnsi="宋体" w:cs="宋体" w:eastAsia="宋体" w:hint="default"/>
          <w:sz w:val="22"/>
          <w:szCs w:val="22"/>
        </w:rPr>
        <w:t>设备贴息款</w:t>
      </w:r>
      <w:r>
        <w:rPr>
          <w:rFonts w:ascii="宋体" w:hAnsi="宋体" w:cs="宋体" w:eastAsia="宋体" w:hint="default"/>
          <w:spacing w:val="-46"/>
          <w:sz w:val="22"/>
          <w:szCs w:val="22"/>
        </w:rPr>
        <w:t> </w:t>
      </w:r>
      <w:r>
        <w:rPr>
          <w:rFonts w:ascii="宋体" w:hAnsi="宋体" w:cs="宋体" w:eastAsia="宋体" w:hint="default"/>
          <w:sz w:val="22"/>
          <w:szCs w:val="22"/>
        </w:rPr>
        <w:t>717,361.00</w:t>
      </w:r>
      <w:r>
        <w:rPr>
          <w:rFonts w:ascii="宋体" w:hAnsi="宋体" w:cs="宋体" w:eastAsia="宋体" w:hint="default"/>
          <w:spacing w:val="-47"/>
          <w:sz w:val="22"/>
          <w:szCs w:val="22"/>
        </w:rPr>
        <w:t> </w:t>
      </w:r>
      <w:r>
        <w:rPr>
          <w:rFonts w:ascii="宋体" w:hAnsi="宋体" w:cs="宋体" w:eastAsia="宋体" w:hint="default"/>
          <w:sz w:val="22"/>
          <w:szCs w:val="22"/>
        </w:rPr>
        <w:t>元；收到河北省机电办</w:t>
      </w:r>
      <w:r>
        <w:rPr>
          <w:rFonts w:ascii="宋体" w:hAnsi="宋体" w:cs="宋体" w:eastAsia="宋体" w:hint="default"/>
          <w:spacing w:val="-46"/>
          <w:sz w:val="22"/>
          <w:szCs w:val="22"/>
        </w:rPr>
        <w:t> </w:t>
      </w:r>
      <w:r>
        <w:rPr>
          <w:rFonts w:ascii="宋体" w:hAnsi="宋体" w:cs="宋体" w:eastAsia="宋体" w:hint="default"/>
          <w:sz w:val="22"/>
          <w:szCs w:val="22"/>
        </w:rPr>
        <w:t>2008</w:t>
      </w:r>
      <w:r>
        <w:rPr>
          <w:rFonts w:ascii="宋体" w:hAnsi="宋体" w:cs="宋体" w:eastAsia="宋体" w:hint="default"/>
          <w:spacing w:val="-46"/>
          <w:sz w:val="22"/>
          <w:szCs w:val="22"/>
        </w:rPr>
        <w:t> </w:t>
      </w:r>
      <w:r>
        <w:rPr>
          <w:rFonts w:ascii="宋体" w:hAnsi="宋体" w:cs="宋体" w:eastAsia="宋体" w:hint="default"/>
          <w:sz w:val="22"/>
          <w:szCs w:val="22"/>
        </w:rPr>
        <w:t>年度进口设备贴息款</w:t>
      </w:r>
      <w:r>
        <w:rPr>
          <w:rFonts w:ascii="宋体" w:hAnsi="宋体" w:cs="宋体" w:eastAsia="宋体" w:hint="default"/>
          <w:spacing w:val="-46"/>
          <w:sz w:val="22"/>
          <w:szCs w:val="22"/>
        </w:rPr>
        <w:t> </w:t>
      </w:r>
      <w:r>
        <w:rPr>
          <w:rFonts w:ascii="宋体" w:hAnsi="宋体" w:cs="宋体" w:eastAsia="宋体" w:hint="default"/>
          <w:sz w:val="22"/>
          <w:szCs w:val="22"/>
        </w:rPr>
        <w:t>1,118,778.99</w:t>
      </w:r>
      <w:r>
        <w:rPr>
          <w:rFonts w:ascii="宋体" w:hAnsi="宋体" w:cs="宋体" w:eastAsia="宋体" w:hint="default"/>
          <w:spacing w:val="-46"/>
          <w:sz w:val="22"/>
          <w:szCs w:val="22"/>
        </w:rPr>
        <w:t> </w:t>
      </w:r>
      <w:r>
        <w:rPr>
          <w:rFonts w:ascii="宋体" w:hAnsi="宋体" w:cs="宋体" w:eastAsia="宋体" w:hint="default"/>
          <w:sz w:val="22"/>
          <w:szCs w:val="22"/>
        </w:rPr>
        <w:t>元，截</w:t>
      </w:r>
    </w:p>
    <w:p>
      <w:pPr>
        <w:spacing w:before="25"/>
        <w:ind w:left="138" w:right="213" w:firstLine="0"/>
        <w:jc w:val="left"/>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57"/>
          <w:sz w:val="22"/>
          <w:szCs w:val="22"/>
        </w:rPr>
        <w:t> </w:t>
      </w:r>
      <w:r>
        <w:rPr>
          <w:rFonts w:ascii="宋体" w:hAnsi="宋体" w:cs="宋体" w:eastAsia="宋体" w:hint="default"/>
          <w:sz w:val="22"/>
          <w:szCs w:val="22"/>
        </w:rPr>
        <w:t>1,673,309.31</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324" w:lineRule="auto" w:before="180"/>
        <w:ind w:left="138" w:right="206"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4"/>
          <w:sz w:val="22"/>
          <w:szCs w:val="22"/>
        </w:rPr>
        <w:t> </w:t>
      </w:r>
      <w:r>
        <w:rPr>
          <w:rFonts w:ascii="宋体" w:hAnsi="宋体" w:cs="宋体" w:eastAsia="宋体" w:hint="default"/>
          <w:spacing w:val="13"/>
          <w:sz w:val="22"/>
          <w:szCs w:val="22"/>
        </w:rPr>
        <w:t>14：本公司所属子公司唐山晶源裕丰电子股份有限公司收到玉田县政府纳税奖励款</w:t>
      </w:r>
      <w:r>
        <w:rPr>
          <w:rFonts w:ascii="宋体" w:hAnsi="宋体" w:cs="宋体" w:eastAsia="宋体" w:hint="default"/>
          <w:spacing w:val="14"/>
          <w:w w:val="99"/>
          <w:sz w:val="22"/>
          <w:szCs w:val="22"/>
        </w:rPr>
        <w:t> </w:t>
      </w:r>
      <w:r>
        <w:rPr>
          <w:rFonts w:ascii="宋体" w:hAnsi="宋体" w:cs="宋体" w:eastAsia="宋体" w:hint="default"/>
          <w:sz w:val="22"/>
          <w:szCs w:val="22"/>
        </w:rPr>
        <w:t>300,000.00</w:t>
      </w:r>
      <w:r>
        <w:rPr>
          <w:rFonts w:ascii="宋体" w:hAnsi="宋体" w:cs="宋体" w:eastAsia="宋体" w:hint="default"/>
          <w:spacing w:val="-58"/>
          <w:sz w:val="22"/>
          <w:szCs w:val="22"/>
        </w:rPr>
        <w:t> </w:t>
      </w:r>
      <w:r>
        <w:rPr>
          <w:rFonts w:ascii="宋体" w:hAnsi="宋体" w:cs="宋体" w:eastAsia="宋体" w:hint="default"/>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57"/>
          <w:sz w:val="22"/>
          <w:szCs w:val="22"/>
        </w:rPr>
        <w:t> </w:t>
      </w:r>
      <w:r>
        <w:rPr>
          <w:rFonts w:ascii="宋体" w:hAnsi="宋体" w:cs="宋体" w:eastAsia="宋体" w:hint="default"/>
          <w:sz w:val="22"/>
          <w:szCs w:val="22"/>
        </w:rPr>
        <w:t>85,000.00</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324" w:lineRule="auto" w:before="103"/>
        <w:ind w:left="138" w:right="21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15：本公司所属子公司唐山晶源裕丰电子股份有限公司收到国家发改委和工信部小型高稳</w:t>
      </w:r>
      <w:r>
        <w:rPr>
          <w:rFonts w:ascii="宋体" w:hAnsi="宋体" w:cs="宋体" w:eastAsia="宋体" w:hint="default"/>
          <w:w w:val="99"/>
          <w:sz w:val="22"/>
          <w:szCs w:val="22"/>
        </w:rPr>
        <w:t> </w:t>
      </w:r>
      <w:r>
        <w:rPr>
          <w:rFonts w:ascii="宋体" w:hAnsi="宋体" w:cs="宋体" w:eastAsia="宋体" w:hint="default"/>
          <w:sz w:val="22"/>
          <w:szCs w:val="22"/>
        </w:rPr>
        <w:t>温补晶体振荡器项目补助资金</w:t>
      </w:r>
      <w:r>
        <w:rPr>
          <w:rFonts w:ascii="宋体" w:hAnsi="宋体" w:cs="宋体" w:eastAsia="宋体" w:hint="default"/>
          <w:spacing w:val="-57"/>
          <w:sz w:val="22"/>
          <w:szCs w:val="22"/>
        </w:rPr>
        <w:t> </w:t>
      </w:r>
      <w:r>
        <w:rPr>
          <w:rFonts w:ascii="宋体" w:hAnsi="宋体" w:cs="宋体" w:eastAsia="宋体" w:hint="default"/>
          <w:sz w:val="22"/>
          <w:szCs w:val="22"/>
        </w:rPr>
        <w:t>5,000,000.00</w:t>
      </w:r>
      <w:r>
        <w:rPr>
          <w:rFonts w:ascii="宋体" w:hAnsi="宋体" w:cs="宋体" w:eastAsia="宋体" w:hint="default"/>
          <w:spacing w:val="-57"/>
          <w:sz w:val="22"/>
          <w:szCs w:val="22"/>
        </w:rPr>
        <w:t> </w:t>
      </w:r>
      <w:r>
        <w:rPr>
          <w:rFonts w:ascii="宋体" w:hAnsi="宋体" w:cs="宋体" w:eastAsia="宋体" w:hint="default"/>
          <w:spacing w:val="-11"/>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日尚未确认收益的金额为</w:t>
      </w:r>
    </w:p>
    <w:p>
      <w:pPr>
        <w:spacing w:before="25"/>
        <w:ind w:left="138" w:right="213" w:firstLine="0"/>
        <w:jc w:val="left"/>
        <w:rPr>
          <w:rFonts w:ascii="宋体" w:hAnsi="宋体" w:cs="宋体" w:eastAsia="宋体" w:hint="default"/>
          <w:sz w:val="22"/>
          <w:szCs w:val="22"/>
        </w:rPr>
      </w:pPr>
      <w:r>
        <w:rPr>
          <w:rFonts w:ascii="宋体" w:hAnsi="宋体" w:cs="宋体" w:eastAsia="宋体" w:hint="default"/>
          <w:sz w:val="22"/>
          <w:szCs w:val="22"/>
        </w:rPr>
        <w:t>4,449,999.96</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324" w:lineRule="auto" w:before="180"/>
        <w:ind w:left="138" w:right="216"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4"/>
          <w:w w:val="99"/>
          <w:sz w:val="22"/>
          <w:szCs w:val="22"/>
        </w:rPr>
        <w:t> </w:t>
      </w:r>
      <w:r>
        <w:rPr>
          <w:rFonts w:ascii="宋体" w:hAnsi="宋体" w:cs="宋体" w:eastAsia="宋体" w:hint="default"/>
          <w:spacing w:val="-3"/>
          <w:w w:val="99"/>
          <w:sz w:val="22"/>
          <w:szCs w:val="22"/>
        </w:rPr>
        <w:t>16：本公司所属子公司唐山晶源裕丰电子股份有限公司收到唐山市财政局与唐山市工业经</w:t>
      </w:r>
      <w:r>
        <w:rPr>
          <w:rFonts w:ascii="宋体" w:hAnsi="宋体" w:cs="宋体" w:eastAsia="宋体" w:hint="default"/>
          <w:w w:val="99"/>
          <w:sz w:val="22"/>
          <w:szCs w:val="22"/>
        </w:rPr>
        <w:t> </w:t>
      </w:r>
      <w:r>
        <w:rPr>
          <w:rFonts w:ascii="宋体" w:hAnsi="宋体" w:cs="宋体" w:eastAsia="宋体" w:hint="default"/>
          <w:sz w:val="22"/>
          <w:szCs w:val="22"/>
        </w:rPr>
        <w:t>济促进局拨付小型高稳石英晶体元器件产业化项目款</w:t>
      </w:r>
      <w:r>
        <w:rPr>
          <w:rFonts w:ascii="宋体" w:hAnsi="宋体" w:cs="宋体" w:eastAsia="宋体" w:hint="default"/>
          <w:spacing w:val="-57"/>
          <w:sz w:val="22"/>
          <w:szCs w:val="22"/>
        </w:rPr>
        <w:t> </w:t>
      </w:r>
      <w:r>
        <w:rPr>
          <w:rFonts w:ascii="宋体" w:hAnsi="宋体" w:cs="宋体" w:eastAsia="宋体" w:hint="default"/>
          <w:sz w:val="22"/>
          <w:szCs w:val="22"/>
        </w:rPr>
        <w:t>500,000.00</w:t>
      </w:r>
      <w:r>
        <w:rPr>
          <w:rFonts w:ascii="宋体" w:hAnsi="宋体" w:cs="宋体" w:eastAsia="宋体" w:hint="default"/>
          <w:spacing w:val="-57"/>
          <w:sz w:val="22"/>
          <w:szCs w:val="22"/>
        </w:rPr>
        <w:t> </w:t>
      </w:r>
      <w:r>
        <w:rPr>
          <w:rFonts w:ascii="宋体" w:hAnsi="宋体" w:cs="宋体" w:eastAsia="宋体" w:hint="default"/>
          <w:spacing w:val="-11"/>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日尚</w:t>
      </w:r>
    </w:p>
    <w:p>
      <w:pPr>
        <w:spacing w:before="25"/>
        <w:ind w:left="138" w:right="213" w:firstLine="0"/>
        <w:jc w:val="left"/>
        <w:rPr>
          <w:rFonts w:ascii="宋体" w:hAnsi="宋体" w:cs="宋体" w:eastAsia="宋体" w:hint="default"/>
          <w:sz w:val="22"/>
          <w:szCs w:val="22"/>
        </w:rPr>
      </w:pPr>
      <w:r>
        <w:rPr>
          <w:rFonts w:ascii="宋体" w:hAnsi="宋体" w:cs="宋体" w:eastAsia="宋体" w:hint="default"/>
          <w:sz w:val="22"/>
          <w:szCs w:val="22"/>
        </w:rPr>
        <w:t>未确认收益的金额为</w:t>
      </w:r>
      <w:r>
        <w:rPr>
          <w:rFonts w:ascii="宋体" w:hAnsi="宋体" w:cs="宋体" w:eastAsia="宋体" w:hint="default"/>
          <w:spacing w:val="-60"/>
          <w:sz w:val="22"/>
          <w:szCs w:val="22"/>
        </w:rPr>
        <w:t> </w:t>
      </w:r>
      <w:r>
        <w:rPr>
          <w:rFonts w:ascii="宋体" w:hAnsi="宋体" w:cs="宋体" w:eastAsia="宋体" w:hint="default"/>
          <w:sz w:val="22"/>
          <w:szCs w:val="22"/>
        </w:rPr>
        <w:t>449,999.96</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80"/>
        <w:ind w:left="579" w:right="206"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宋体" w:hAnsi="宋体" w:cs="宋体" w:eastAsia="宋体" w:hint="default"/>
          <w:sz w:val="22"/>
          <w:szCs w:val="22"/>
        </w:rPr>
        <w:t>17：本公司所属子公司唐山晶源裕丰电子股份有限公司</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月收到唐山市商务局拨</w:t>
      </w:r>
    </w:p>
    <w:p>
      <w:pPr>
        <w:spacing w:before="102"/>
        <w:ind w:left="138" w:right="206" w:firstLine="0"/>
        <w:jc w:val="left"/>
        <w:rPr>
          <w:rFonts w:ascii="宋体" w:hAnsi="宋体" w:cs="宋体" w:eastAsia="宋体" w:hint="default"/>
          <w:sz w:val="22"/>
          <w:szCs w:val="22"/>
        </w:rPr>
      </w:pPr>
      <w:r>
        <w:rPr>
          <w:rFonts w:ascii="宋体" w:hAnsi="宋体" w:cs="宋体" w:eastAsia="宋体" w:hint="default"/>
          <w:sz w:val="22"/>
          <w:szCs w:val="22"/>
        </w:rPr>
        <w:t>付</w:t>
      </w:r>
      <w:r>
        <w:rPr>
          <w:rFonts w:ascii="宋体" w:hAnsi="宋体" w:cs="宋体" w:eastAsia="宋体" w:hint="default"/>
          <w:spacing w:val="-50"/>
          <w:sz w:val="22"/>
          <w:szCs w:val="22"/>
        </w:rPr>
        <w:t> </w:t>
      </w:r>
      <w:r>
        <w:rPr>
          <w:rFonts w:ascii="宋体" w:hAnsi="宋体" w:cs="宋体" w:eastAsia="宋体" w:hint="default"/>
          <w:sz w:val="22"/>
          <w:szCs w:val="22"/>
        </w:rPr>
        <w:t>XO3225</w:t>
      </w:r>
      <w:r>
        <w:rPr>
          <w:rFonts w:ascii="宋体" w:hAnsi="宋体" w:cs="宋体" w:eastAsia="宋体" w:hint="default"/>
          <w:spacing w:val="-50"/>
          <w:sz w:val="22"/>
          <w:szCs w:val="22"/>
        </w:rPr>
        <w:t> </w:t>
      </w:r>
      <w:r>
        <w:rPr>
          <w:rFonts w:ascii="宋体" w:hAnsi="宋体" w:cs="宋体" w:eastAsia="宋体" w:hint="default"/>
          <w:sz w:val="22"/>
          <w:szCs w:val="22"/>
        </w:rPr>
        <w:t>型片式石英振荡器研发专项基金</w:t>
      </w:r>
      <w:r>
        <w:rPr>
          <w:rFonts w:ascii="宋体" w:hAnsi="宋体" w:cs="宋体" w:eastAsia="宋体" w:hint="default"/>
          <w:spacing w:val="-50"/>
          <w:sz w:val="22"/>
          <w:szCs w:val="22"/>
        </w:rPr>
        <w:t> </w:t>
      </w:r>
      <w:r>
        <w:rPr>
          <w:rFonts w:ascii="宋体" w:hAnsi="宋体" w:cs="宋体" w:eastAsia="宋体" w:hint="default"/>
          <w:sz w:val="22"/>
          <w:szCs w:val="22"/>
        </w:rPr>
        <w:t>400,000.00</w:t>
      </w:r>
      <w:r>
        <w:rPr>
          <w:rFonts w:ascii="宋体" w:hAnsi="宋体" w:cs="宋体" w:eastAsia="宋体" w:hint="default"/>
          <w:spacing w:val="-50"/>
          <w:sz w:val="22"/>
          <w:szCs w:val="22"/>
        </w:rPr>
        <w:t> </w:t>
      </w:r>
      <w:r>
        <w:rPr>
          <w:rFonts w:ascii="宋体" w:hAnsi="宋体" w:cs="宋体" w:eastAsia="宋体" w:hint="default"/>
          <w:sz w:val="22"/>
          <w:szCs w:val="22"/>
        </w:rPr>
        <w:t>元，截至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日尚未确认收</w:t>
      </w:r>
    </w:p>
    <w:p>
      <w:pPr>
        <w:spacing w:before="102"/>
        <w:ind w:left="138" w:right="213" w:firstLine="0"/>
        <w:jc w:val="left"/>
        <w:rPr>
          <w:rFonts w:ascii="宋体" w:hAnsi="宋体" w:cs="宋体" w:eastAsia="宋体" w:hint="default"/>
          <w:sz w:val="22"/>
          <w:szCs w:val="22"/>
        </w:rPr>
      </w:pPr>
      <w:r>
        <w:rPr>
          <w:rFonts w:ascii="宋体" w:hAnsi="宋体" w:cs="宋体" w:eastAsia="宋体" w:hint="default"/>
          <w:sz w:val="22"/>
          <w:szCs w:val="22"/>
        </w:rPr>
        <w:t>益的金额为</w:t>
      </w:r>
      <w:r>
        <w:rPr>
          <w:rFonts w:ascii="宋体" w:hAnsi="宋体" w:cs="宋体" w:eastAsia="宋体" w:hint="default"/>
          <w:spacing w:val="-57"/>
          <w:sz w:val="22"/>
          <w:szCs w:val="22"/>
        </w:rPr>
        <w:t> </w:t>
      </w:r>
      <w:r>
        <w:rPr>
          <w:rFonts w:ascii="宋体" w:hAnsi="宋体" w:cs="宋体" w:eastAsia="宋体" w:hint="default"/>
          <w:sz w:val="22"/>
          <w:szCs w:val="22"/>
        </w:rPr>
        <w:t>380,000.02</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24" w:lineRule="auto" w:before="180"/>
        <w:ind w:left="138" w:right="216"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4"/>
          <w:w w:val="99"/>
          <w:sz w:val="22"/>
          <w:szCs w:val="22"/>
        </w:rPr>
        <w:t> </w:t>
      </w:r>
      <w:r>
        <w:rPr>
          <w:rFonts w:ascii="宋体" w:hAnsi="宋体" w:cs="宋体" w:eastAsia="宋体" w:hint="default"/>
          <w:spacing w:val="-3"/>
          <w:w w:val="99"/>
          <w:sz w:val="22"/>
          <w:szCs w:val="22"/>
        </w:rPr>
        <w:t>18：本公司所属子公司同方威视技术股份有限公司收到北京市科学技术委员会拨付的先进</w:t>
      </w:r>
      <w:r>
        <w:rPr>
          <w:rFonts w:ascii="宋体" w:hAnsi="宋体" w:cs="宋体" w:eastAsia="宋体" w:hint="default"/>
          <w:w w:val="99"/>
          <w:sz w:val="22"/>
          <w:szCs w:val="22"/>
        </w:rPr>
        <w:t> </w:t>
      </w:r>
      <w:r>
        <w:rPr>
          <w:rFonts w:ascii="宋体" w:hAnsi="宋体" w:cs="宋体" w:eastAsia="宋体" w:hint="default"/>
          <w:sz w:val="22"/>
          <w:szCs w:val="22"/>
        </w:rPr>
        <w:t>特异物资检测技术产业化项目资金</w:t>
      </w:r>
      <w:r>
        <w:rPr>
          <w:rFonts w:ascii="宋体" w:hAnsi="宋体" w:cs="宋体" w:eastAsia="宋体" w:hint="default"/>
          <w:spacing w:val="-59"/>
          <w:sz w:val="22"/>
          <w:szCs w:val="22"/>
        </w:rPr>
        <w:t> </w:t>
      </w:r>
      <w:r>
        <w:rPr>
          <w:rFonts w:ascii="宋体" w:hAnsi="宋体" w:cs="宋体" w:eastAsia="宋体" w:hint="default"/>
          <w:sz w:val="22"/>
          <w:szCs w:val="22"/>
        </w:rPr>
        <w:t>6,000,000.00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324" w:lineRule="auto" w:before="103"/>
        <w:ind w:left="139" w:right="21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4"/>
          <w:w w:val="99"/>
          <w:sz w:val="22"/>
          <w:szCs w:val="22"/>
        </w:rPr>
        <w:t> </w:t>
      </w:r>
      <w:r>
        <w:rPr>
          <w:rFonts w:ascii="宋体" w:hAnsi="宋体" w:cs="宋体" w:eastAsia="宋体" w:hint="default"/>
          <w:spacing w:val="-3"/>
          <w:w w:val="99"/>
          <w:sz w:val="22"/>
          <w:szCs w:val="22"/>
        </w:rPr>
        <w:t>19：本公司所属子公司同方威视技术股份有限公司收到中华人民共和国工业和信息化部拨</w:t>
      </w:r>
      <w:r>
        <w:rPr>
          <w:rFonts w:ascii="宋体" w:hAnsi="宋体" w:cs="宋体" w:eastAsia="宋体" w:hint="default"/>
          <w:w w:val="99"/>
          <w:sz w:val="22"/>
          <w:szCs w:val="22"/>
        </w:rPr>
        <w:t> </w:t>
      </w:r>
      <w:r>
        <w:rPr>
          <w:rFonts w:ascii="宋体" w:hAnsi="宋体" w:cs="宋体" w:eastAsia="宋体" w:hint="default"/>
          <w:sz w:val="22"/>
          <w:szCs w:val="22"/>
        </w:rPr>
        <w:t>付的信息产业发展基金</w:t>
      </w:r>
      <w:r>
        <w:rPr>
          <w:rFonts w:ascii="宋体" w:hAnsi="宋体" w:cs="宋体" w:eastAsia="宋体" w:hint="default"/>
          <w:spacing w:val="-58"/>
          <w:sz w:val="22"/>
          <w:szCs w:val="22"/>
        </w:rPr>
        <w:t> </w:t>
      </w:r>
      <w:r>
        <w:rPr>
          <w:rFonts w:ascii="宋体" w:hAnsi="宋体" w:cs="宋体" w:eastAsia="宋体" w:hint="default"/>
          <w:sz w:val="22"/>
          <w:szCs w:val="22"/>
        </w:rPr>
        <w:t>2,000,000.00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24" w:lineRule="auto" w:before="103"/>
        <w:ind w:left="139" w:right="213"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z w:val="22"/>
          <w:szCs w:val="22"/>
        </w:rPr>
        <w:t>20：本公司所属子公司同方威视技术股份有限公司收到北京市商务委员会拨付的</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z w:val="22"/>
          <w:szCs w:val="22"/>
        </w:rPr>
        <w:t>度出口研发与公共服务平台项目清算资金</w:t>
      </w:r>
      <w:r>
        <w:rPr>
          <w:rFonts w:ascii="宋体" w:hAnsi="宋体" w:cs="宋体" w:eastAsia="宋体" w:hint="default"/>
          <w:spacing w:val="-63"/>
          <w:sz w:val="22"/>
          <w:szCs w:val="22"/>
        </w:rPr>
        <w:t> </w:t>
      </w:r>
      <w:r>
        <w:rPr>
          <w:rFonts w:ascii="宋体" w:hAnsi="宋体" w:cs="宋体" w:eastAsia="宋体" w:hint="default"/>
          <w:sz w:val="22"/>
          <w:szCs w:val="22"/>
        </w:rPr>
        <w:t>1,000,000.00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324" w:lineRule="auto" w:before="103"/>
        <w:ind w:left="139" w:right="21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4"/>
          <w:w w:val="99"/>
          <w:sz w:val="22"/>
          <w:szCs w:val="22"/>
        </w:rPr>
        <w:t> </w:t>
      </w:r>
      <w:r>
        <w:rPr>
          <w:rFonts w:ascii="宋体" w:hAnsi="宋体" w:cs="宋体" w:eastAsia="宋体" w:hint="default"/>
          <w:spacing w:val="-3"/>
          <w:w w:val="99"/>
          <w:sz w:val="22"/>
          <w:szCs w:val="22"/>
        </w:rPr>
        <w:t>21：本公司所属子公司同方威视技术股份有限公司的控股子公司北京固鸿科技有限公司收</w:t>
      </w:r>
      <w:r>
        <w:rPr>
          <w:rFonts w:ascii="宋体" w:hAnsi="宋体" w:cs="宋体" w:eastAsia="宋体" w:hint="default"/>
          <w:w w:val="99"/>
          <w:sz w:val="22"/>
          <w:szCs w:val="22"/>
        </w:rPr>
        <w:t> </w:t>
      </w:r>
      <w:r>
        <w:rPr>
          <w:rFonts w:ascii="宋体" w:hAnsi="宋体" w:cs="宋体" w:eastAsia="宋体" w:hint="default"/>
          <w:sz w:val="22"/>
          <w:szCs w:val="22"/>
        </w:rPr>
        <w:t>到北京市经济和信息化委员会拨付的中小企业专项资金</w:t>
      </w:r>
      <w:r>
        <w:rPr>
          <w:rFonts w:ascii="宋体" w:hAnsi="宋体" w:cs="宋体" w:eastAsia="宋体" w:hint="default"/>
          <w:spacing w:val="-62"/>
          <w:sz w:val="22"/>
          <w:szCs w:val="22"/>
        </w:rPr>
        <w:t> </w:t>
      </w:r>
      <w:r>
        <w:rPr>
          <w:rFonts w:ascii="宋体" w:hAnsi="宋体" w:cs="宋体" w:eastAsia="宋体" w:hint="default"/>
          <w:sz w:val="22"/>
          <w:szCs w:val="22"/>
        </w:rPr>
        <w:t>1,000,000.00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324" w:lineRule="auto" w:before="103"/>
        <w:ind w:left="139" w:right="21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4"/>
          <w:w w:val="99"/>
          <w:sz w:val="22"/>
          <w:szCs w:val="22"/>
        </w:rPr>
        <w:t> </w:t>
      </w:r>
      <w:r>
        <w:rPr>
          <w:rFonts w:ascii="宋体" w:hAnsi="宋体" w:cs="宋体" w:eastAsia="宋体" w:hint="default"/>
          <w:spacing w:val="-3"/>
          <w:w w:val="99"/>
          <w:sz w:val="22"/>
          <w:szCs w:val="22"/>
        </w:rPr>
        <w:t>22：本公司所属子公司同方威视技术股份有限公司的控股子公司北京固鸿科技有限公司收</w:t>
      </w:r>
      <w:r>
        <w:rPr>
          <w:rFonts w:ascii="宋体" w:hAnsi="宋体" w:cs="宋体" w:eastAsia="宋体" w:hint="default"/>
          <w:w w:val="99"/>
          <w:sz w:val="22"/>
          <w:szCs w:val="22"/>
        </w:rPr>
        <w:t> </w:t>
      </w:r>
      <w:r>
        <w:rPr>
          <w:rFonts w:ascii="宋体" w:hAnsi="宋体" w:cs="宋体" w:eastAsia="宋体" w:hint="default"/>
          <w:sz w:val="22"/>
          <w:szCs w:val="22"/>
        </w:rPr>
        <w:t>到北京高技术创业服务中心拨付的高成长专项资金</w:t>
      </w:r>
      <w:r>
        <w:rPr>
          <w:rFonts w:ascii="宋体" w:hAnsi="宋体" w:cs="宋体" w:eastAsia="宋体" w:hint="default"/>
          <w:spacing w:val="-57"/>
          <w:sz w:val="22"/>
          <w:szCs w:val="22"/>
        </w:rPr>
        <w:t> </w:t>
      </w:r>
      <w:r>
        <w:rPr>
          <w:rFonts w:ascii="宋体" w:hAnsi="宋体" w:cs="宋体" w:eastAsia="宋体" w:hint="default"/>
          <w:sz w:val="22"/>
          <w:szCs w:val="22"/>
        </w:rPr>
        <w:t>1,000,000.00</w:t>
      </w:r>
      <w:r>
        <w:rPr>
          <w:rFonts w:ascii="宋体" w:hAnsi="宋体" w:cs="宋体" w:eastAsia="宋体" w:hint="default"/>
          <w:spacing w:val="-57"/>
          <w:sz w:val="22"/>
          <w:szCs w:val="22"/>
        </w:rPr>
        <w:t> </w:t>
      </w:r>
      <w:r>
        <w:rPr>
          <w:rFonts w:ascii="宋体" w:hAnsi="宋体" w:cs="宋体" w:eastAsia="宋体" w:hint="default"/>
          <w:spacing w:val="-11"/>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日尚</w:t>
      </w:r>
    </w:p>
    <w:p>
      <w:pPr>
        <w:spacing w:before="25"/>
        <w:ind w:left="139" w:right="213" w:firstLine="0"/>
        <w:jc w:val="left"/>
        <w:rPr>
          <w:rFonts w:ascii="宋体" w:hAnsi="宋体" w:cs="宋体" w:eastAsia="宋体" w:hint="default"/>
          <w:sz w:val="22"/>
          <w:szCs w:val="22"/>
        </w:rPr>
      </w:pPr>
      <w:r>
        <w:rPr>
          <w:rFonts w:ascii="宋体" w:hAnsi="宋体" w:cs="宋体" w:eastAsia="宋体" w:hint="default"/>
          <w:sz w:val="22"/>
          <w:szCs w:val="22"/>
        </w:rPr>
        <w:t>未确认收益的金额为</w:t>
      </w:r>
      <w:r>
        <w:rPr>
          <w:rFonts w:ascii="宋体" w:hAnsi="宋体" w:cs="宋体" w:eastAsia="宋体" w:hint="default"/>
          <w:spacing w:val="-60"/>
          <w:sz w:val="22"/>
          <w:szCs w:val="22"/>
        </w:rPr>
        <w:t> </w:t>
      </w:r>
      <w:r>
        <w:rPr>
          <w:rFonts w:ascii="宋体" w:hAnsi="宋体" w:cs="宋体" w:eastAsia="宋体" w:hint="default"/>
          <w:sz w:val="22"/>
          <w:szCs w:val="22"/>
        </w:rPr>
        <w:t>966,666.67</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40.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股本</w:t>
      </w:r>
    </w:p>
    <w:p>
      <w:pPr>
        <w:spacing w:line="240" w:lineRule="auto" w:before="2"/>
        <w:rPr>
          <w:rFonts w:ascii="宋体" w:hAnsi="宋体" w:cs="宋体" w:eastAsia="宋体" w:hint="default"/>
          <w:sz w:val="11"/>
          <w:szCs w:val="11"/>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6563;height:2" coordorigin="15,15" coordsize="6563,2">
              <v:shape style="position:absolute;left:15;top:15;width:6563;height:2" coordorigin="15,15" coordsize="6563,0" path="m15,15l6578,15e" filled="false" stroked="true" strokeweight="1.5pt" strokecolor="#000000">
                <v:path arrowok="t"/>
              </v:shape>
            </v:group>
            <v:group style="position:absolute;left:6578;top:15;width:2070;height:2" coordorigin="6578,15" coordsize="2070,2">
              <v:shape style="position:absolute;left:6578;top:15;width:2070;height:2" coordorigin="6578,15" coordsize="2070,0" path="m6578,15l8648,15e" filled="false" stroked="true" strokeweight="1.5pt" strokecolor="#000000">
                <v:path arrowok="t"/>
              </v:shape>
            </v:group>
          </v:group>
        </w:pict>
      </w:r>
      <w:r>
        <w:rPr>
          <w:rFonts w:ascii="宋体" w:hAnsi="宋体" w:cs="宋体" w:eastAsia="宋体" w:hint="default"/>
          <w:position w:val="0"/>
          <w:sz w:val="3"/>
          <w:szCs w:val="3"/>
        </w:rPr>
      </w:r>
    </w:p>
    <w:p>
      <w:pPr>
        <w:tabs>
          <w:tab w:pos="5253" w:val="left" w:leader="none"/>
          <w:tab w:pos="7650" w:val="left" w:leader="none"/>
        </w:tabs>
        <w:spacing w:line="203" w:lineRule="exact" w:before="0"/>
        <w:ind w:left="2857"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年初金额</w:t>
        <w:tab/>
        <w:t>本年变动</w:t>
        <w:tab/>
      </w:r>
      <w:r>
        <w:rPr>
          <w:rFonts w:ascii="宋体" w:hAnsi="宋体" w:cs="宋体" w:eastAsia="宋体" w:hint="default"/>
          <w:b/>
          <w:bCs/>
          <w:sz w:val="18"/>
          <w:szCs w:val="18"/>
        </w:rPr>
        <w:t>年末金额</w:t>
      </w:r>
      <w:r>
        <w:rPr>
          <w:rFonts w:ascii="宋体" w:hAnsi="宋体" w:cs="宋体" w:eastAsia="宋体" w:hint="default"/>
          <w:sz w:val="18"/>
          <w:szCs w:val="18"/>
        </w:rPr>
      </w:r>
    </w:p>
    <w:p>
      <w:pPr>
        <w:spacing w:line="95" w:lineRule="exact" w:before="0"/>
        <w:ind w:left="523" w:right="0" w:firstLine="0"/>
        <w:jc w:val="left"/>
        <w:rPr>
          <w:rFonts w:ascii="宋体" w:hAnsi="宋体" w:cs="宋体" w:eastAsia="宋体" w:hint="default"/>
          <w:sz w:val="18"/>
          <w:szCs w:val="18"/>
        </w:rPr>
      </w:pPr>
      <w:r>
        <w:rPr/>
        <w:pict>
          <v:group style="position:absolute;margin-left:172.139999pt;margin-top:4.263360pt;width:344.65pt;height:.1pt;mso-position-horizontal-relative:page;mso-position-vertical-relative:paragraph;z-index:5512" coordorigin="3443,85" coordsize="6893,2">
            <v:shape style="position:absolute;left:3443;top:85;width:6893;height:2" coordorigin="3443,85" coordsize="6893,0" path="m3443,85l10336,85e" filled="false" stroked="true" strokeweight=".48pt" strokecolor="#000000">
              <v:path arrowok="t"/>
            </v:shape>
            <w10:wrap type="none"/>
          </v:group>
        </w:pict>
      </w:r>
      <w:r>
        <w:rPr>
          <w:rFonts w:ascii="宋体" w:hAnsi="宋体" w:cs="宋体" w:eastAsia="宋体" w:hint="default"/>
          <w:b/>
          <w:bCs/>
          <w:sz w:val="18"/>
          <w:szCs w:val="18"/>
        </w:rPr>
        <w:t>股东名称/类别</w:t>
      </w:r>
      <w:r>
        <w:rPr>
          <w:rFonts w:ascii="宋体" w:hAnsi="宋体" w:cs="宋体" w:eastAsia="宋体" w:hint="default"/>
          <w:sz w:val="18"/>
          <w:szCs w:val="18"/>
        </w:rPr>
      </w:r>
    </w:p>
    <w:p>
      <w:pPr>
        <w:spacing w:after="0" w:line="95" w:lineRule="exact"/>
        <w:jc w:val="lef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b/>
          <w:bCs/>
          <w:sz w:val="18"/>
          <w:szCs w:val="18"/>
        </w:rPr>
      </w:pPr>
    </w:p>
    <w:p>
      <w:pPr>
        <w:spacing w:line="288" w:lineRule="auto" w:before="160"/>
        <w:ind w:left="523" w:right="0" w:firstLine="0"/>
        <w:jc w:val="left"/>
        <w:rPr>
          <w:rFonts w:ascii="宋体" w:hAnsi="宋体" w:cs="宋体" w:eastAsia="宋体" w:hint="default"/>
          <w:sz w:val="18"/>
          <w:szCs w:val="18"/>
        </w:rPr>
      </w:pPr>
      <w:r>
        <w:rPr/>
        <w:pict>
          <v:group style="position:absolute;margin-left:84.779999pt;margin-top:8.252048pt;width:432pt;height:.1pt;mso-position-horizontal-relative:page;mso-position-vertical-relative:paragraph;z-index:-1045504" coordorigin="1696,165" coordsize="8640,2">
            <v:shape style="position:absolute;left:1696;top:165;width:8640;height:2" coordorigin="1696,165" coordsize="8640,0" path="m1696,165l10336,165e" filled="false" stroked="true" strokeweight=".48pt" strokecolor="#000000">
              <v:path arrowok="t"/>
            </v:shape>
            <w10:wrap type="none"/>
          </v:group>
        </w:pict>
      </w:r>
      <w:r>
        <w:rPr>
          <w:rFonts w:ascii="宋体" w:hAnsi="宋体" w:cs="宋体" w:eastAsia="宋体" w:hint="default"/>
          <w:b/>
          <w:bCs/>
          <w:w w:val="95"/>
          <w:sz w:val="18"/>
          <w:szCs w:val="18"/>
        </w:rPr>
        <w:t>有限售条件股份</w:t>
      </w:r>
      <w:r>
        <w:rPr>
          <w:rFonts w:ascii="宋体" w:hAnsi="宋体" w:cs="宋体" w:eastAsia="宋体" w:hint="default"/>
          <w:b/>
          <w:bCs/>
          <w:spacing w:val="-28"/>
          <w:w w:val="95"/>
          <w:sz w:val="18"/>
          <w:szCs w:val="18"/>
        </w:rPr>
        <w:t> </w:t>
      </w:r>
      <w:r>
        <w:rPr>
          <w:rFonts w:ascii="宋体" w:hAnsi="宋体" w:cs="宋体" w:eastAsia="宋体" w:hint="default"/>
          <w:b/>
          <w:bCs/>
          <w:spacing w:val="-28"/>
          <w:w w:val="95"/>
          <w:sz w:val="18"/>
          <w:szCs w:val="18"/>
        </w:rPr>
      </w:r>
      <w:r>
        <w:rPr>
          <w:rFonts w:ascii="宋体" w:hAnsi="宋体" w:cs="宋体" w:eastAsia="宋体" w:hint="default"/>
          <w:sz w:val="18"/>
          <w:szCs w:val="18"/>
        </w:rPr>
        <w:t>国家持有股 国有法人持股</w:t>
      </w:r>
    </w:p>
    <w:p>
      <w:pPr>
        <w:tabs>
          <w:tab w:pos="1573" w:val="left" w:leader="none"/>
          <w:tab w:pos="2577" w:val="left" w:leader="none"/>
        </w:tabs>
        <w:spacing w:line="144" w:lineRule="auto" w:before="68"/>
        <w:ind w:left="2577" w:right="0" w:hanging="2055"/>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金额</w:t>
        <w:tab/>
        <w:t>比例</w:t>
        <w:tab/>
      </w:r>
      <w:r>
        <w:rPr>
          <w:rFonts w:ascii="宋体" w:hAnsi="宋体" w:cs="宋体" w:eastAsia="宋体" w:hint="default"/>
          <w:b/>
          <w:bCs/>
          <w:position w:val="10"/>
          <w:sz w:val="18"/>
          <w:szCs w:val="18"/>
        </w:rPr>
        <w:t>发行</w:t>
      </w:r>
      <w:r>
        <w:rPr>
          <w:rFonts w:ascii="宋体" w:hAnsi="宋体" w:cs="宋体" w:eastAsia="宋体" w:hint="default"/>
          <w:b/>
          <w:bCs/>
          <w:spacing w:val="1"/>
          <w:w w:val="99"/>
          <w:position w:val="10"/>
          <w:sz w:val="18"/>
          <w:szCs w:val="18"/>
        </w:rPr>
        <w:t> </w:t>
      </w:r>
      <w:r>
        <w:rPr>
          <w:rFonts w:ascii="宋体" w:hAnsi="宋体" w:cs="宋体" w:eastAsia="宋体" w:hint="default"/>
          <w:b/>
          <w:bCs/>
          <w:sz w:val="18"/>
          <w:szCs w:val="18"/>
        </w:rPr>
        <w:t>新股</w:t>
      </w:r>
      <w:r>
        <w:rPr>
          <w:rFonts w:ascii="宋体" w:hAnsi="宋体" w:cs="宋体" w:eastAsia="宋体" w:hint="default"/>
          <w:sz w:val="18"/>
          <w:szCs w:val="18"/>
        </w:rPr>
      </w:r>
    </w:p>
    <w:p>
      <w:pPr>
        <w:spacing w:line="112" w:lineRule="exact" w:before="0"/>
        <w:ind w:left="45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公积金</w:t>
      </w:r>
      <w:r>
        <w:rPr>
          <w:rFonts w:ascii="宋体" w:hAnsi="宋体" w:cs="宋体" w:eastAsia="宋体" w:hint="default"/>
          <w:sz w:val="18"/>
          <w:szCs w:val="18"/>
        </w:rPr>
      </w:r>
    </w:p>
    <w:p>
      <w:pPr>
        <w:tabs>
          <w:tab w:pos="1329" w:val="left" w:leader="none"/>
          <w:tab w:pos="2335" w:val="left" w:leader="none"/>
          <w:tab w:pos="3384" w:val="left" w:leader="none"/>
        </w:tabs>
        <w:spacing w:line="268" w:lineRule="exact" w:before="0"/>
        <w:ind w:left="545"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转股</w:t>
        <w:tab/>
      </w:r>
      <w:r>
        <w:rPr>
          <w:rFonts w:ascii="宋体" w:hAnsi="宋体" w:cs="宋体" w:eastAsia="宋体" w:hint="default"/>
          <w:b/>
          <w:bCs/>
          <w:w w:val="95"/>
          <w:sz w:val="18"/>
          <w:szCs w:val="18"/>
        </w:rPr>
        <w:t>其他</w:t>
        <w:tab/>
        <w:t>金额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600" w:bottom="280" w:left="1280" w:right="1140"/>
          <w:cols w:num="3" w:equalWidth="0">
            <w:col w:w="1788" w:space="285"/>
            <w:col w:w="2941" w:space="40"/>
            <w:col w:w="4436"/>
          </w:cols>
        </w:sectPr>
      </w:pPr>
    </w:p>
    <w:p>
      <w:pPr>
        <w:tabs>
          <w:tab w:pos="3186" w:val="left" w:leader="none"/>
          <w:tab w:pos="7169" w:val="left" w:leader="none"/>
        </w:tabs>
        <w:spacing w:before="11"/>
        <w:ind w:left="523" w:right="0" w:firstLine="0"/>
        <w:jc w:val="both"/>
        <w:rPr>
          <w:rFonts w:ascii="宋体" w:hAnsi="宋体" w:cs="宋体" w:eastAsia="宋体" w:hint="default"/>
          <w:sz w:val="18"/>
          <w:szCs w:val="18"/>
        </w:rPr>
      </w:pPr>
      <w:r>
        <w:rPr>
          <w:rFonts w:ascii="宋体" w:hAnsi="宋体" w:cs="宋体" w:eastAsia="宋体" w:hint="default"/>
          <w:sz w:val="18"/>
          <w:szCs w:val="18"/>
        </w:rPr>
        <w:t>其他内资持股</w:t>
        <w:tab/>
        <w:t>0     0.00% </w:t>
      </w:r>
      <w:r>
        <w:rPr>
          <w:rFonts w:ascii="宋体" w:hAnsi="宋体" w:cs="宋体" w:eastAsia="宋体" w:hint="default"/>
          <w:spacing w:val="29"/>
          <w:sz w:val="18"/>
          <w:szCs w:val="18"/>
        </w:rPr>
        <w:t> </w:t>
      </w:r>
      <w:r>
        <w:rPr>
          <w:rFonts w:ascii="宋体" w:hAnsi="宋体" w:cs="宋体" w:eastAsia="宋体" w:hint="default"/>
          <w:sz w:val="18"/>
          <w:szCs w:val="18"/>
        </w:rPr>
        <w:t>16,880,000</w:t>
        <w:tab/>
        <w:t>16,880,000   </w:t>
      </w:r>
      <w:r>
        <w:rPr>
          <w:rFonts w:ascii="宋体" w:hAnsi="宋体" w:cs="宋体" w:eastAsia="宋体" w:hint="default"/>
          <w:spacing w:val="74"/>
          <w:sz w:val="18"/>
          <w:szCs w:val="18"/>
        </w:rPr>
        <w:t> </w:t>
      </w:r>
      <w:r>
        <w:rPr>
          <w:rFonts w:ascii="宋体" w:hAnsi="宋体" w:cs="宋体" w:eastAsia="宋体" w:hint="default"/>
          <w:sz w:val="18"/>
          <w:szCs w:val="18"/>
        </w:rPr>
        <w:t>1.70%</w:t>
      </w:r>
    </w:p>
    <w:p>
      <w:pPr>
        <w:tabs>
          <w:tab w:pos="3186" w:val="left" w:leader="none"/>
          <w:tab w:pos="7169" w:val="left" w:leader="none"/>
        </w:tabs>
        <w:spacing w:before="47"/>
        <w:ind w:left="523" w:right="0" w:firstLine="0"/>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1"/>
          <w:sz w:val="18"/>
          <w:szCs w:val="18"/>
        </w:rPr>
        <w:t>：</w:t>
      </w:r>
      <w:r>
        <w:rPr>
          <w:rFonts w:ascii="宋体" w:hAnsi="宋体" w:cs="宋体" w:eastAsia="宋体" w:hint="default"/>
          <w:sz w:val="18"/>
          <w:szCs w:val="18"/>
        </w:rPr>
        <w:t>境内法</w:t>
      </w:r>
      <w:r>
        <w:rPr>
          <w:rFonts w:ascii="宋体" w:hAnsi="宋体" w:cs="宋体" w:eastAsia="宋体" w:hint="default"/>
          <w:spacing w:val="-2"/>
          <w:sz w:val="18"/>
          <w:szCs w:val="18"/>
        </w:rPr>
        <w:t>人</w:t>
      </w:r>
      <w:r>
        <w:rPr>
          <w:rFonts w:ascii="宋体" w:hAnsi="宋体" w:cs="宋体" w:eastAsia="宋体" w:hint="default"/>
          <w:sz w:val="18"/>
          <w:szCs w:val="18"/>
        </w:rPr>
        <w:t>持股</w:t>
        <w:tab/>
        <w:t>0    </w:t>
      </w:r>
      <w:r>
        <w:rPr>
          <w:rFonts w:ascii="宋体" w:hAnsi="宋体" w:cs="宋体" w:eastAsia="宋体" w:hint="default"/>
          <w:spacing w:val="-15"/>
          <w:sz w:val="18"/>
          <w:szCs w:val="18"/>
        </w:rPr>
        <w:t> </w:t>
      </w:r>
      <w:r>
        <w:rPr>
          <w:rFonts w:ascii="宋体" w:hAnsi="宋体" w:cs="宋体" w:eastAsia="宋体" w:hint="default"/>
          <w:sz w:val="18"/>
          <w:szCs w:val="18"/>
        </w:rPr>
        <w:t>0.00% </w:t>
      </w:r>
      <w:r>
        <w:rPr>
          <w:rFonts w:ascii="宋体" w:hAnsi="宋体" w:cs="宋体" w:eastAsia="宋体" w:hint="default"/>
          <w:spacing w:val="44"/>
          <w:sz w:val="18"/>
          <w:szCs w:val="18"/>
        </w:rPr>
        <w:t> </w:t>
      </w:r>
      <w:r>
        <w:rPr>
          <w:rFonts w:ascii="宋体" w:hAnsi="宋体" w:cs="宋体" w:eastAsia="宋体" w:hint="default"/>
          <w:sz w:val="18"/>
          <w:szCs w:val="18"/>
        </w:rPr>
        <w:t>16,880,000</w:t>
        <w:tab/>
        <w:t>16,880,000    </w:t>
      </w:r>
      <w:r>
        <w:rPr>
          <w:rFonts w:ascii="宋体" w:hAnsi="宋体" w:cs="宋体" w:eastAsia="宋体" w:hint="default"/>
          <w:spacing w:val="-16"/>
          <w:sz w:val="18"/>
          <w:szCs w:val="18"/>
        </w:rPr>
        <w:t> </w:t>
      </w:r>
      <w:r>
        <w:rPr>
          <w:rFonts w:ascii="宋体" w:hAnsi="宋体" w:cs="宋体" w:eastAsia="宋体" w:hint="default"/>
          <w:sz w:val="18"/>
          <w:szCs w:val="18"/>
        </w:rPr>
        <w:t>1.70%</w:t>
      </w:r>
    </w:p>
    <w:p>
      <w:pPr>
        <w:spacing w:line="288" w:lineRule="auto" w:before="46"/>
        <w:ind w:left="523" w:right="7681" w:firstLine="0"/>
        <w:jc w:val="left"/>
        <w:rPr>
          <w:rFonts w:ascii="宋体" w:hAnsi="宋体" w:cs="宋体" w:eastAsia="宋体" w:hint="default"/>
          <w:sz w:val="18"/>
          <w:szCs w:val="18"/>
        </w:rPr>
      </w:pPr>
      <w:r>
        <w:rPr>
          <w:rFonts w:ascii="宋体" w:hAnsi="宋体" w:cs="宋体" w:eastAsia="宋体" w:hint="default"/>
          <w:sz w:val="18"/>
          <w:szCs w:val="18"/>
        </w:rPr>
        <w:t>境内自然人持股 外资持股</w:t>
      </w:r>
    </w:p>
    <w:p>
      <w:pPr>
        <w:spacing w:line="138" w:lineRule="exact" w:before="0"/>
        <w:ind w:left="523" w:right="0" w:firstLine="0"/>
        <w:jc w:val="both"/>
        <w:rPr>
          <w:rFonts w:ascii="宋体" w:hAnsi="宋体" w:cs="宋体" w:eastAsia="宋体" w:hint="default"/>
          <w:sz w:val="18"/>
          <w:szCs w:val="18"/>
        </w:rPr>
      </w:pPr>
      <w:r>
        <w:rPr>
          <w:rFonts w:ascii="宋体" w:hAnsi="宋体" w:cs="宋体" w:eastAsia="宋体" w:hint="default"/>
          <w:b/>
          <w:bCs/>
          <w:spacing w:val="13"/>
          <w:sz w:val="18"/>
          <w:szCs w:val="18"/>
        </w:rPr>
        <w:t>有限售条件股份合</w:t>
      </w:r>
      <w:r>
        <w:rPr>
          <w:rFonts w:ascii="宋体" w:hAnsi="宋体" w:cs="宋体" w:eastAsia="宋体" w:hint="default"/>
          <w:sz w:val="18"/>
          <w:szCs w:val="18"/>
        </w:rPr>
      </w:r>
    </w:p>
    <w:p>
      <w:pPr>
        <w:tabs>
          <w:tab w:pos="3185" w:val="left" w:leader="none"/>
          <w:tab w:pos="7160" w:val="left" w:leader="none"/>
        </w:tabs>
        <w:spacing w:line="268" w:lineRule="exact" w:before="0"/>
        <w:ind w:left="523" w:right="0" w:firstLine="0"/>
        <w:jc w:val="both"/>
        <w:rPr>
          <w:rFonts w:ascii="宋体" w:hAnsi="宋体" w:cs="宋体" w:eastAsia="宋体" w:hint="default"/>
          <w:sz w:val="18"/>
          <w:szCs w:val="18"/>
        </w:rPr>
      </w:pPr>
      <w:r>
        <w:rPr>
          <w:rFonts w:ascii="宋体" w:hAnsi="宋体" w:cs="宋体" w:eastAsia="宋体" w:hint="default"/>
          <w:b/>
          <w:bCs/>
          <w:w w:val="95"/>
          <w:position w:val="-9"/>
          <w:sz w:val="18"/>
          <w:szCs w:val="18"/>
        </w:rPr>
        <w:t>计</w:t>
        <w:tab/>
      </w:r>
      <w:r>
        <w:rPr>
          <w:rFonts w:ascii="宋体" w:hAnsi="宋体" w:cs="宋体" w:eastAsia="宋体" w:hint="default"/>
          <w:b/>
          <w:bCs/>
          <w:sz w:val="18"/>
          <w:szCs w:val="18"/>
        </w:rPr>
        <w:t>0     0.00% </w:t>
      </w:r>
      <w:r>
        <w:rPr>
          <w:rFonts w:ascii="宋体" w:hAnsi="宋体" w:cs="宋体" w:eastAsia="宋体" w:hint="default"/>
          <w:b/>
          <w:bCs/>
          <w:spacing w:val="6"/>
          <w:sz w:val="18"/>
          <w:szCs w:val="18"/>
        </w:rPr>
        <w:t> </w:t>
      </w:r>
      <w:r>
        <w:rPr>
          <w:rFonts w:ascii="宋体" w:hAnsi="宋体" w:cs="宋体" w:eastAsia="宋体" w:hint="default"/>
          <w:b/>
          <w:bCs/>
          <w:sz w:val="18"/>
          <w:szCs w:val="18"/>
        </w:rPr>
        <w:t>16,880,000</w:t>
        <w:tab/>
        <w:t>16,880,000   </w:t>
      </w:r>
      <w:r>
        <w:rPr>
          <w:rFonts w:ascii="宋体" w:hAnsi="宋体" w:cs="宋体" w:eastAsia="宋体" w:hint="default"/>
          <w:b/>
          <w:bCs/>
          <w:spacing w:val="63"/>
          <w:sz w:val="18"/>
          <w:szCs w:val="18"/>
        </w:rPr>
        <w:t> </w:t>
      </w:r>
      <w:r>
        <w:rPr>
          <w:rFonts w:ascii="宋体" w:hAnsi="宋体" w:cs="宋体" w:eastAsia="宋体" w:hint="default"/>
          <w:b/>
          <w:bCs/>
          <w:sz w:val="18"/>
          <w:szCs w:val="18"/>
        </w:rPr>
        <w:t>1.70%</w:t>
      </w:r>
      <w:r>
        <w:rPr>
          <w:rFonts w:ascii="宋体" w:hAnsi="宋体" w:cs="宋体" w:eastAsia="宋体" w:hint="default"/>
          <w:sz w:val="18"/>
          <w:szCs w:val="18"/>
        </w:rPr>
      </w: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spacing w:before="0"/>
        <w:ind w:left="523" w:right="0" w:firstLine="0"/>
        <w:jc w:val="both"/>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p>
      <w:pPr>
        <w:tabs>
          <w:tab w:pos="7079" w:val="left" w:leader="none"/>
        </w:tabs>
        <w:spacing w:before="49"/>
        <w:ind w:left="523" w:right="0" w:firstLine="0"/>
        <w:jc w:val="both"/>
        <w:rPr>
          <w:rFonts w:ascii="宋体" w:hAnsi="宋体" w:cs="宋体" w:eastAsia="宋体" w:hint="default"/>
          <w:sz w:val="18"/>
          <w:szCs w:val="18"/>
        </w:rPr>
      </w:pPr>
      <w:r>
        <w:rPr>
          <w:rFonts w:ascii="宋体" w:hAnsi="宋体" w:cs="宋体" w:eastAsia="宋体" w:hint="default"/>
          <w:sz w:val="18"/>
          <w:szCs w:val="18"/>
        </w:rPr>
        <w:t>人民币普通股        976,970,554 </w:t>
      </w:r>
      <w:r>
        <w:rPr>
          <w:rFonts w:ascii="宋体" w:hAnsi="宋体" w:cs="宋体" w:eastAsia="宋体" w:hint="default"/>
          <w:spacing w:val="37"/>
          <w:sz w:val="18"/>
          <w:szCs w:val="18"/>
        </w:rPr>
        <w:t> </w:t>
      </w:r>
      <w:r>
        <w:rPr>
          <w:rFonts w:ascii="宋体" w:hAnsi="宋体" w:cs="宋体" w:eastAsia="宋体" w:hint="default"/>
          <w:sz w:val="18"/>
          <w:szCs w:val="18"/>
        </w:rPr>
        <w:t>100.00%</w:t>
        <w:tab/>
        <w:t>976,970,554  </w:t>
      </w:r>
      <w:r>
        <w:rPr>
          <w:rFonts w:ascii="宋体" w:hAnsi="宋体" w:cs="宋体" w:eastAsia="宋体" w:hint="default"/>
          <w:spacing w:val="74"/>
          <w:sz w:val="18"/>
          <w:szCs w:val="18"/>
        </w:rPr>
        <w:t> </w:t>
      </w:r>
      <w:r>
        <w:rPr>
          <w:rFonts w:ascii="宋体" w:hAnsi="宋体" w:cs="宋体" w:eastAsia="宋体" w:hint="default"/>
          <w:sz w:val="18"/>
          <w:szCs w:val="18"/>
        </w:rPr>
        <w:t>98.30%</w:t>
      </w:r>
    </w:p>
    <w:p>
      <w:pPr>
        <w:spacing w:line="288" w:lineRule="auto" w:before="46"/>
        <w:ind w:left="523" w:right="7698" w:firstLine="0"/>
        <w:jc w:val="both"/>
        <w:rPr>
          <w:rFonts w:ascii="宋体" w:hAnsi="宋体" w:cs="宋体" w:eastAsia="宋体" w:hint="default"/>
          <w:sz w:val="18"/>
          <w:szCs w:val="18"/>
        </w:rPr>
      </w:pPr>
      <w:r>
        <w:rPr>
          <w:rFonts w:ascii="宋体" w:hAnsi="宋体" w:cs="宋体" w:eastAsia="宋体" w:hint="default"/>
          <w:sz w:val="18"/>
          <w:szCs w:val="18"/>
        </w:rPr>
        <w:t>境内上市外资股 境外上市外资股 其他</w:t>
      </w:r>
    </w:p>
    <w:p>
      <w:pPr>
        <w:spacing w:line="138" w:lineRule="exact" w:before="0"/>
        <w:ind w:left="523" w:right="0" w:firstLine="0"/>
        <w:jc w:val="both"/>
        <w:rPr>
          <w:rFonts w:ascii="宋体" w:hAnsi="宋体" w:cs="宋体" w:eastAsia="宋体" w:hint="default"/>
          <w:sz w:val="18"/>
          <w:szCs w:val="18"/>
        </w:rPr>
      </w:pPr>
      <w:r>
        <w:rPr>
          <w:rFonts w:ascii="宋体" w:hAnsi="宋体" w:cs="宋体" w:eastAsia="宋体" w:hint="default"/>
          <w:b/>
          <w:bCs/>
          <w:spacing w:val="13"/>
          <w:sz w:val="18"/>
          <w:szCs w:val="18"/>
        </w:rPr>
        <w:t>无限售条件股份合</w:t>
      </w:r>
      <w:r>
        <w:rPr>
          <w:rFonts w:ascii="宋体" w:hAnsi="宋体" w:cs="宋体" w:eastAsia="宋体" w:hint="default"/>
          <w:sz w:val="18"/>
          <w:szCs w:val="18"/>
        </w:rPr>
      </w:r>
    </w:p>
    <w:p>
      <w:pPr>
        <w:tabs>
          <w:tab w:pos="2277" w:val="left" w:leader="none"/>
          <w:tab w:pos="7070" w:val="left" w:leader="none"/>
        </w:tabs>
        <w:spacing w:line="268" w:lineRule="exact" w:before="0"/>
        <w:ind w:left="523" w:right="0" w:firstLine="0"/>
        <w:jc w:val="both"/>
        <w:rPr>
          <w:rFonts w:ascii="宋体" w:hAnsi="宋体" w:cs="宋体" w:eastAsia="宋体" w:hint="default"/>
          <w:sz w:val="18"/>
          <w:szCs w:val="18"/>
        </w:rPr>
      </w:pPr>
      <w:r>
        <w:rPr>
          <w:rFonts w:ascii="宋体" w:hAnsi="宋体" w:cs="宋体" w:eastAsia="宋体" w:hint="default"/>
          <w:b/>
          <w:bCs/>
          <w:w w:val="95"/>
          <w:position w:val="-9"/>
          <w:sz w:val="18"/>
          <w:szCs w:val="18"/>
        </w:rPr>
        <w:t>计</w:t>
        <w:tab/>
      </w:r>
      <w:r>
        <w:rPr>
          <w:rFonts w:ascii="宋体" w:hAnsi="宋体" w:cs="宋体" w:eastAsia="宋体" w:hint="default"/>
          <w:b/>
          <w:bCs/>
          <w:sz w:val="18"/>
          <w:szCs w:val="18"/>
        </w:rPr>
        <w:t>976,970,554 </w:t>
      </w:r>
      <w:r>
        <w:rPr>
          <w:rFonts w:ascii="宋体" w:hAnsi="宋体" w:cs="宋体" w:eastAsia="宋体" w:hint="default"/>
          <w:b/>
          <w:bCs/>
          <w:spacing w:val="60"/>
          <w:sz w:val="18"/>
          <w:szCs w:val="18"/>
        </w:rPr>
        <w:t> </w:t>
      </w:r>
      <w:r>
        <w:rPr>
          <w:rFonts w:ascii="宋体" w:hAnsi="宋体" w:cs="宋体" w:eastAsia="宋体" w:hint="default"/>
          <w:b/>
          <w:bCs/>
          <w:sz w:val="18"/>
          <w:szCs w:val="18"/>
        </w:rPr>
        <w:t>100.00%</w:t>
        <w:tab/>
        <w:t>976,970,554  </w:t>
      </w:r>
      <w:r>
        <w:rPr>
          <w:rFonts w:ascii="宋体" w:hAnsi="宋体" w:cs="宋体" w:eastAsia="宋体" w:hint="default"/>
          <w:b/>
          <w:bCs/>
          <w:spacing w:val="59"/>
          <w:sz w:val="18"/>
          <w:szCs w:val="18"/>
        </w:rPr>
        <w:t> </w:t>
      </w:r>
      <w:r>
        <w:rPr>
          <w:rFonts w:ascii="宋体" w:hAnsi="宋体" w:cs="宋体" w:eastAsia="宋体" w:hint="default"/>
          <w:b/>
          <w:bCs/>
          <w:sz w:val="18"/>
          <w:szCs w:val="18"/>
        </w:rPr>
        <w:t>98.30%</w:t>
      </w:r>
      <w:r>
        <w:rPr>
          <w:rFonts w:ascii="宋体" w:hAnsi="宋体" w:cs="宋体" w:eastAsia="宋体" w:hint="default"/>
          <w:sz w:val="18"/>
          <w:szCs w:val="18"/>
        </w:rPr>
      </w: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2277" w:val="left" w:leader="none"/>
          <w:tab w:pos="7070" w:val="left" w:leader="none"/>
        </w:tabs>
        <w:spacing w:before="0"/>
        <w:ind w:left="523" w:right="0" w:firstLine="0"/>
        <w:jc w:val="both"/>
        <w:rPr>
          <w:rFonts w:ascii="宋体" w:hAnsi="宋体" w:cs="宋体" w:eastAsia="宋体" w:hint="default"/>
          <w:sz w:val="18"/>
          <w:szCs w:val="18"/>
        </w:rPr>
      </w:pPr>
      <w:r>
        <w:rPr>
          <w:rFonts w:ascii="宋体" w:hAnsi="宋体" w:cs="宋体" w:eastAsia="宋体" w:hint="default"/>
          <w:b/>
          <w:bCs/>
          <w:w w:val="95"/>
          <w:sz w:val="18"/>
          <w:szCs w:val="18"/>
        </w:rPr>
        <w:t>股份总额</w:t>
        <w:tab/>
      </w:r>
      <w:r>
        <w:rPr>
          <w:rFonts w:ascii="宋体" w:hAnsi="宋体" w:cs="宋体" w:eastAsia="宋体" w:hint="default"/>
          <w:b/>
          <w:bCs/>
          <w:sz w:val="18"/>
          <w:szCs w:val="18"/>
        </w:rPr>
        <w:t>976,970,554   100.00%  16,880,000</w:t>
        <w:tab/>
        <w:t>993,850,554 </w:t>
      </w:r>
      <w:r>
        <w:rPr>
          <w:rFonts w:ascii="宋体" w:hAnsi="宋体" w:cs="宋体" w:eastAsia="宋体" w:hint="default"/>
          <w:b/>
          <w:bCs/>
          <w:spacing w:val="60"/>
          <w:sz w:val="18"/>
          <w:szCs w:val="18"/>
        </w:rPr>
        <w:t> </w:t>
      </w:r>
      <w:r>
        <w:rPr>
          <w:rFonts w:ascii="宋体" w:hAnsi="宋体" w:cs="宋体" w:eastAsia="宋体" w:hint="default"/>
          <w:b/>
          <w:bCs/>
          <w:sz w:val="18"/>
          <w:szCs w:val="18"/>
        </w:rPr>
        <w:t>100.00%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1769;height:2" coordorigin="15,15" coordsize="1769,2">
              <v:shape style="position:absolute;left:15;top:15;width:1769;height:2" coordorigin="15,15" coordsize="1769,0" path="m15,15l1784,15e" filled="false" stroked="true" strokeweight="1.5pt" strokecolor="#000000">
                <v:path arrowok="t"/>
              </v:shape>
            </v:group>
            <v:group style="position:absolute;left:1769;top:15;width:1229;height:2" coordorigin="1769,15" coordsize="1229,2">
              <v:shape style="position:absolute;left:1769;top:15;width:1229;height:2" coordorigin="1769,15" coordsize="1229,0" path="m1769,15l2998,15e" filled="false" stroked="true" strokeweight="1.5pt" strokecolor="#000000">
                <v:path arrowok="t"/>
              </v:shape>
            </v:group>
            <v:group style="position:absolute;left:2984;top:15;width:900;height:2" coordorigin="2984,15" coordsize="900,2">
              <v:shape style="position:absolute;left:2984;top:15;width:900;height:2" coordorigin="2984,15" coordsize="900,0" path="m2984,15l3884,15e" filled="false" stroked="true" strokeweight="1.5pt" strokecolor="#000000">
                <v:path arrowok="t"/>
              </v:shape>
            </v:group>
            <v:group style="position:absolute;left:3869;top:15;width:1139;height:2" coordorigin="3869,15" coordsize="1139,2">
              <v:shape style="position:absolute;left:3869;top:15;width:1139;height:2" coordorigin="3869,15" coordsize="1139,0" path="m3869,15l5008,15e" filled="false" stroked="true" strokeweight="1.5pt" strokecolor="#000000">
                <v:path arrowok="t"/>
              </v:shape>
            </v:group>
            <v:group style="position:absolute;left:4994;top:15;width:786;height:2" coordorigin="4994,15" coordsize="786,2">
              <v:shape style="position:absolute;left:4994;top:15;width:786;height:2" coordorigin="4994,15" coordsize="786,0" path="m4994,15l5780,15e" filled="false" stroked="true" strokeweight="1.5pt" strokecolor="#000000">
                <v:path arrowok="t"/>
              </v:shape>
            </v:group>
            <v:group style="position:absolute;left:5765;top:15;width:812;height:2" coordorigin="5765,15" coordsize="812,2">
              <v:shape style="position:absolute;left:5765;top:15;width:812;height:2" coordorigin="5765,15" coordsize="812,0" path="m5765,15l6577,15e" filled="false" stroked="true" strokeweight="1.5pt" strokecolor="#000000">
                <v:path arrowok="t"/>
              </v:shape>
            </v:group>
            <v:group style="position:absolute;left:6562;top:15;width:1228;height:2" coordorigin="6562,15" coordsize="1228,2">
              <v:shape style="position:absolute;left:6562;top:15;width:1228;height:2" coordorigin="6562,15" coordsize="1228,0" path="m6562,15l7790,15e" filled="false" stroked="true" strokeweight="1.5pt" strokecolor="#000000">
                <v:path arrowok="t"/>
              </v:shape>
            </v:group>
            <v:group style="position:absolute;left:7775;top:15;width:902;height:2" coordorigin="7775,15" coordsize="902,2">
              <v:shape style="position:absolute;left:7775;top:15;width:902;height:2" coordorigin="7775,15" coordsize="902,0" path="m7775,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41.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资本公积</w:t>
      </w:r>
    </w:p>
    <w:p>
      <w:pPr>
        <w:spacing w:line="240" w:lineRule="auto" w:before="3"/>
        <w:rPr>
          <w:rFonts w:ascii="宋体" w:hAnsi="宋体" w:cs="宋体" w:eastAsia="宋体" w:hint="default"/>
          <w:sz w:val="11"/>
          <w:szCs w:val="11"/>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2613" w:val="left" w:leader="none"/>
          <w:tab w:pos="2960" w:val="left" w:leader="none"/>
          <w:tab w:pos="4472" w:val="left" w:leader="none"/>
          <w:tab w:pos="4639" w:val="left" w:leader="none"/>
          <w:tab w:pos="6104" w:val="left" w:leader="none"/>
          <w:tab w:pos="6249" w:val="left" w:leader="none"/>
          <w:tab w:pos="7513" w:val="left" w:leader="none"/>
          <w:tab w:pos="7860" w:val="left" w:leader="none"/>
        </w:tabs>
        <w:spacing w:line="297" w:lineRule="auto" w:before="0"/>
        <w:ind w:left="524" w:right="528" w:firstLine="0"/>
        <w:jc w:val="left"/>
        <w:rPr>
          <w:rFonts w:ascii="宋体" w:hAnsi="宋体" w:cs="宋体" w:eastAsia="宋体" w:hint="default"/>
          <w:sz w:val="18"/>
          <w:szCs w:val="18"/>
        </w:rPr>
      </w:pPr>
      <w:r>
        <w:rPr/>
        <w:pict>
          <v:group style="position:absolute;margin-left:84.839996pt;margin-top:14.892028pt;width:431.9pt;height:.1pt;mso-position-horizontal-relative:page;mso-position-vertical-relative:paragraph;z-index:-1045480" coordorigin="1697,298" coordsize="8638,2">
            <v:shape style="position:absolute;left:1697;top:298;width:8638;height:2" coordorigin="1697,298" coordsize="8638,0" path="m1697,298l10334,298e" filled="false" stroked="true" strokeweight=".48pt" strokecolor="#000000">
              <v:path arrowok="t"/>
            </v:shape>
            <w10:wrap type="none"/>
          </v:group>
        </w:pict>
      </w:r>
      <w:r>
        <w:rPr>
          <w:rFonts w:ascii="宋体" w:hAnsi="宋体" w:cs="宋体" w:eastAsia="宋体" w:hint="default"/>
          <w:b/>
          <w:bCs/>
          <w:w w:val="95"/>
          <w:sz w:val="18"/>
          <w:szCs w:val="18"/>
        </w:rPr>
        <w:t>项目</w:t>
        <w:tab/>
        <w:tab/>
        <w:t>年初金额</w:t>
        <w:tab/>
        <w:tab/>
        <w:t>本年增加</w:t>
        <w:tab/>
        <w:tab/>
        <w:t>本年减少</w:t>
        <w:tab/>
        <w:tab/>
      </w:r>
      <w:r>
        <w:rPr>
          <w:rFonts w:ascii="宋体" w:hAnsi="宋体" w:cs="宋体" w:eastAsia="宋体" w:hint="default"/>
          <w:b/>
          <w:bCs/>
          <w:sz w:val="18"/>
          <w:szCs w:val="18"/>
        </w:rPr>
        <w:t>年末金额</w:t>
      </w:r>
      <w:r>
        <w:rPr>
          <w:rFonts w:ascii="宋体" w:hAnsi="宋体" w:cs="宋体" w:eastAsia="宋体" w:hint="default"/>
          <w:b/>
          <w:bCs/>
          <w:w w:val="99"/>
          <w:sz w:val="18"/>
          <w:szCs w:val="18"/>
        </w:rPr>
        <w:t> </w:t>
      </w:r>
      <w:r>
        <w:rPr>
          <w:rFonts w:ascii="宋体" w:hAnsi="宋体" w:cs="宋体" w:eastAsia="宋体" w:hint="default"/>
          <w:sz w:val="18"/>
          <w:szCs w:val="18"/>
        </w:rPr>
        <w:t>股本溢价</w:t>
        <w:tab/>
        <w:t>4,054,112,655.11</w:t>
        <w:tab/>
        <w:t>341,152,132.77</w:t>
        <w:tab/>
        <w:t>16,126,443.67</w:t>
        <w:tab/>
        <w:t>4,379,138,344.21</w:t>
      </w:r>
    </w:p>
    <w:p>
      <w:pPr>
        <w:tabs>
          <w:tab w:pos="2793" w:val="left" w:leader="none"/>
          <w:tab w:pos="4562" w:val="left" w:leader="none"/>
          <w:tab w:pos="6104" w:val="left" w:leader="none"/>
          <w:tab w:pos="7693" w:val="left" w:leader="none"/>
        </w:tabs>
        <w:spacing w:before="4"/>
        <w:ind w:left="524" w:right="0" w:firstLine="0"/>
        <w:jc w:val="left"/>
        <w:rPr>
          <w:rFonts w:ascii="宋体" w:hAnsi="宋体" w:cs="宋体" w:eastAsia="宋体" w:hint="default"/>
          <w:sz w:val="18"/>
          <w:szCs w:val="18"/>
        </w:rPr>
      </w:pPr>
      <w:r>
        <w:rPr>
          <w:rFonts w:ascii="宋体" w:hAnsi="宋体" w:cs="宋体" w:eastAsia="宋体" w:hint="default"/>
          <w:sz w:val="18"/>
          <w:szCs w:val="18"/>
        </w:rPr>
        <w:t>其他资本公积</w:t>
        <w:tab/>
        <w:t>444,228,542.16</w:t>
        <w:tab/>
        <w:t>11,010,005.58</w:t>
        <w:tab/>
        <w:t>56,226,000.07</w:t>
        <w:tab/>
        <w:t>399,012,547.67</w:t>
      </w:r>
    </w:p>
    <w:p>
      <w:pPr>
        <w:spacing w:line="240" w:lineRule="auto" w:before="5"/>
        <w:rPr>
          <w:rFonts w:ascii="宋体" w:hAnsi="宋体" w:cs="宋体" w:eastAsia="宋体" w:hint="default"/>
          <w:sz w:val="4"/>
          <w:szCs w:val="4"/>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2600" w:val="left" w:leader="none"/>
          <w:tab w:pos="4461" w:val="left" w:leader="none"/>
          <w:tab w:pos="6094" w:val="left" w:leader="none"/>
          <w:tab w:pos="7499" w:val="left" w:leader="none"/>
        </w:tabs>
        <w:spacing w:before="0"/>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4,498,341,197.27</w:t>
        <w:tab/>
        <w:t>352,162,138.35</w:t>
        <w:tab/>
        <w:t>72,352,443.74</w:t>
        <w:tab/>
      </w:r>
      <w:r>
        <w:rPr>
          <w:rFonts w:ascii="宋体" w:hAnsi="宋体" w:cs="宋体" w:eastAsia="宋体" w:hint="default"/>
          <w:b/>
          <w:bCs/>
          <w:sz w:val="18"/>
          <w:szCs w:val="18"/>
        </w:rPr>
        <w:t>4,778,150,891.88</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081;height:2" coordorigin="15,15" coordsize="2081,2">
              <v:shape style="position:absolute;left:15;top:15;width:2081;height:2" coordorigin="15,15" coordsize="2081,0" path="m15,15l2096,15e" filled="false" stroked="true" strokeweight="1.5pt" strokecolor="#000000">
                <v:path arrowok="t"/>
              </v:shape>
            </v:group>
            <v:group style="position:absolute;left:2081;top:15;width:1694;height:2" coordorigin="2081,15" coordsize="1694,2">
              <v:shape style="position:absolute;left:2081;top:15;width:1694;height:2" coordorigin="2081,15" coordsize="1694,0" path="m2081,15l3775,15e" filled="false" stroked="true" strokeweight="1.5pt" strokecolor="#000000">
                <v:path arrowok="t"/>
              </v:shape>
            </v:group>
            <v:group style="position:absolute;left:3760;top:15;width:1695;height:2" coordorigin="3760,15" coordsize="1695,2">
              <v:shape style="position:absolute;left:3760;top:15;width:1695;height:2" coordorigin="3760,15" coordsize="1695,0" path="m3760,15l5455,15e" filled="false" stroked="true" strokeweight="1.5pt" strokecolor="#000000">
                <v:path arrowok="t"/>
              </v:shape>
            </v:group>
            <v:group style="position:absolute;left:5440;top:15;width:1556;height:2" coordorigin="5440,15" coordsize="1556,2">
              <v:shape style="position:absolute;left:5440;top:15;width:1556;height:2" coordorigin="5440,15" coordsize="1556,0" path="m5440,15l6995,15e" filled="false" stroked="true" strokeweight="1.5pt" strokecolor="#000000">
                <v:path arrowok="t"/>
              </v:shape>
            </v:group>
            <v:group style="position:absolute;left:6981;top:15;width:1694;height:2" coordorigin="6981,15" coordsize="1694,2">
              <v:shape style="position:absolute;left:6981;top:15;width:1694;height:2" coordorigin="6981,15" coordsize="1694,0" path="m6981,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24" w:lineRule="auto" w:before="31"/>
        <w:ind w:left="138" w:right="142" w:firstLine="453"/>
        <w:jc w:val="both"/>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股本溢价本年变化系：本公司向唐山晶源科技有限公司定向增发 16,880,000</w:t>
      </w:r>
      <w:r>
        <w:rPr>
          <w:rFonts w:ascii="宋体" w:hAnsi="宋体" w:cs="宋体" w:eastAsia="宋体" w:hint="default"/>
          <w:spacing w:val="-75"/>
          <w:sz w:val="22"/>
          <w:szCs w:val="22"/>
        </w:rPr>
        <w:t> </w:t>
      </w:r>
      <w:r>
        <w:rPr>
          <w:rFonts w:ascii="宋体" w:hAnsi="宋体" w:cs="宋体" w:eastAsia="宋体" w:hint="default"/>
          <w:sz w:val="22"/>
          <w:szCs w:val="22"/>
        </w:rPr>
        <w:t>股收购其</w:t>
      </w:r>
      <w:r>
        <w:rPr>
          <w:rFonts w:ascii="宋体" w:hAnsi="宋体" w:cs="宋体" w:eastAsia="宋体" w:hint="default"/>
          <w:w w:val="99"/>
          <w:sz w:val="22"/>
          <w:szCs w:val="22"/>
        </w:rPr>
        <w:t> </w:t>
      </w:r>
      <w:r>
        <w:rPr>
          <w:rFonts w:ascii="宋体" w:hAnsi="宋体" w:cs="宋体" w:eastAsia="宋体" w:hint="default"/>
          <w:sz w:val="22"/>
          <w:szCs w:val="22"/>
        </w:rPr>
        <w:t>所持唐山晶源裕丰电子股份有限公司的股权，发行价格超过应计入股本的金额，增加资本公积-</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股本溢价</w:t>
      </w:r>
      <w:r>
        <w:rPr>
          <w:rFonts w:ascii="宋体" w:hAnsi="宋体" w:cs="宋体" w:eastAsia="宋体" w:hint="default"/>
          <w:spacing w:val="-58"/>
          <w:sz w:val="22"/>
          <w:szCs w:val="22"/>
        </w:rPr>
        <w:t> </w:t>
      </w:r>
      <w:r>
        <w:rPr>
          <w:rFonts w:ascii="宋体" w:hAnsi="宋体" w:cs="宋体" w:eastAsia="宋体" w:hint="default"/>
          <w:sz w:val="22"/>
          <w:szCs w:val="22"/>
        </w:rPr>
        <w:t>279,104,448.50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z w:val="22"/>
          <w:szCs w:val="22"/>
        </w:rPr>
        <w:t>本公司对合并范围内子公司泰豪科技股份有限公司持股比例变化导致增加资本公积-股本溢</w:t>
      </w:r>
      <w:r>
        <w:rPr>
          <w:rFonts w:ascii="宋体" w:hAnsi="宋体" w:cs="宋体" w:eastAsia="宋体" w:hint="default"/>
          <w:w w:val="99"/>
          <w:sz w:val="22"/>
          <w:szCs w:val="22"/>
        </w:rPr>
        <w:t> </w:t>
      </w:r>
      <w:r>
        <w:rPr>
          <w:rFonts w:ascii="宋体" w:hAnsi="宋体" w:cs="宋体" w:eastAsia="宋体" w:hint="default"/>
          <w:sz w:val="22"/>
          <w:szCs w:val="22"/>
        </w:rPr>
        <w:t>价</w:t>
      </w:r>
      <w:r>
        <w:rPr>
          <w:rFonts w:ascii="宋体" w:hAnsi="宋体" w:cs="宋体" w:eastAsia="宋体" w:hint="default"/>
          <w:spacing w:val="-59"/>
          <w:sz w:val="22"/>
          <w:szCs w:val="22"/>
        </w:rPr>
        <w:t> </w:t>
      </w:r>
      <w:r>
        <w:rPr>
          <w:rFonts w:ascii="宋体" w:hAnsi="宋体" w:cs="宋体" w:eastAsia="宋体" w:hint="default"/>
          <w:sz w:val="22"/>
          <w:szCs w:val="22"/>
        </w:rPr>
        <w:t>47,075,368.52</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24" w:lineRule="auto" w:before="103"/>
        <w:ind w:left="138" w:right="138" w:firstLine="440"/>
        <w:jc w:val="both"/>
        <w:rPr>
          <w:rFonts w:ascii="宋体" w:hAnsi="宋体" w:cs="宋体" w:eastAsia="宋体" w:hint="default"/>
          <w:sz w:val="22"/>
          <w:szCs w:val="22"/>
        </w:rPr>
      </w:pPr>
      <w:r>
        <w:rPr>
          <w:rFonts w:ascii="宋体" w:hAnsi="宋体" w:cs="宋体" w:eastAsia="宋体" w:hint="default"/>
          <w:spacing w:val="5"/>
          <w:w w:val="95"/>
          <w:sz w:val="22"/>
          <w:szCs w:val="22"/>
        </w:rPr>
        <w:t>本公司之控股子公司泰豪科技股份有限公司购买其控股子公司江西清华泰豪微电机有限公</w:t>
      </w:r>
      <w:r>
        <w:rPr>
          <w:rFonts w:ascii="宋体" w:hAnsi="宋体" w:cs="宋体" w:eastAsia="宋体" w:hint="default"/>
          <w:spacing w:val="5"/>
          <w:w w:val="99"/>
          <w:sz w:val="22"/>
          <w:szCs w:val="22"/>
        </w:rPr>
        <w:t> </w:t>
      </w:r>
      <w:r>
        <w:rPr>
          <w:rFonts w:ascii="宋体" w:hAnsi="宋体" w:cs="宋体" w:eastAsia="宋体" w:hint="default"/>
          <w:spacing w:val="-1"/>
          <w:sz w:val="22"/>
          <w:szCs w:val="22"/>
        </w:rPr>
        <w:t>司的少数股东股权，新取得长期股权投资的投资成本小于与按照新增持股比例计算应享有被投资</w:t>
      </w:r>
      <w:r>
        <w:rPr>
          <w:rFonts w:ascii="宋体" w:hAnsi="宋体" w:cs="宋体" w:eastAsia="宋体" w:hint="default"/>
          <w:w w:val="99"/>
          <w:sz w:val="22"/>
          <w:szCs w:val="22"/>
        </w:rPr>
        <w:t> </w:t>
      </w:r>
      <w:r>
        <w:rPr>
          <w:rFonts w:ascii="宋体" w:hAnsi="宋体" w:cs="宋体" w:eastAsia="宋体" w:hint="default"/>
          <w:sz w:val="22"/>
          <w:szCs w:val="22"/>
        </w:rPr>
        <w:t>单位可辨认净资产公允价值的金额，增加资本公积-资本溢价</w:t>
      </w:r>
      <w:r>
        <w:rPr>
          <w:rFonts w:ascii="宋体" w:hAnsi="宋体" w:cs="宋体" w:eastAsia="宋体" w:hint="default"/>
          <w:spacing w:val="-64"/>
          <w:sz w:val="22"/>
          <w:szCs w:val="22"/>
        </w:rPr>
        <w:t> </w:t>
      </w:r>
      <w:r>
        <w:rPr>
          <w:rFonts w:ascii="宋体" w:hAnsi="宋体" w:cs="宋体" w:eastAsia="宋体" w:hint="default"/>
          <w:sz w:val="22"/>
          <w:szCs w:val="22"/>
        </w:rPr>
        <w:t>258,474.09</w:t>
      </w:r>
      <w:r>
        <w:rPr>
          <w:rFonts w:ascii="宋体" w:hAnsi="宋体" w:cs="宋体" w:eastAsia="宋体" w:hint="default"/>
          <w:spacing w:val="-64"/>
          <w:sz w:val="22"/>
          <w:szCs w:val="22"/>
        </w:rPr>
        <w:t> </w:t>
      </w:r>
      <w:r>
        <w:rPr>
          <w:rFonts w:ascii="宋体" w:hAnsi="宋体" w:cs="宋体" w:eastAsia="宋体" w:hint="default"/>
          <w:sz w:val="22"/>
          <w:szCs w:val="22"/>
        </w:rPr>
        <w:t>元；</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z w:val="22"/>
          <w:szCs w:val="22"/>
        </w:rPr>
        <w:t>本公司之二级子公司</w:t>
      </w:r>
      <w:r>
        <w:rPr>
          <w:rFonts w:ascii="宋体" w:hAnsi="宋体" w:cs="宋体" w:eastAsia="宋体" w:hint="default"/>
          <w:spacing w:val="-55"/>
          <w:sz w:val="22"/>
          <w:szCs w:val="22"/>
        </w:rPr>
        <w:t> </w:t>
      </w:r>
      <w:r>
        <w:rPr>
          <w:rFonts w:ascii="宋体" w:hAnsi="宋体" w:cs="宋体" w:eastAsia="宋体" w:hint="default"/>
          <w:sz w:val="22"/>
          <w:szCs w:val="22"/>
        </w:rPr>
        <w:t>Distech</w:t>
      </w:r>
      <w:r>
        <w:rPr>
          <w:rFonts w:ascii="宋体" w:hAnsi="宋体" w:cs="宋体" w:eastAsia="宋体" w:hint="default"/>
          <w:spacing w:val="-4"/>
          <w:sz w:val="22"/>
          <w:szCs w:val="22"/>
        </w:rPr>
        <w:t> </w:t>
      </w:r>
      <w:r>
        <w:rPr>
          <w:rFonts w:ascii="宋体" w:hAnsi="宋体" w:cs="宋体" w:eastAsia="宋体" w:hint="default"/>
          <w:sz w:val="22"/>
          <w:szCs w:val="22"/>
        </w:rPr>
        <w:t>Controls</w:t>
      </w:r>
      <w:r>
        <w:rPr>
          <w:rFonts w:ascii="宋体" w:hAnsi="宋体" w:cs="宋体" w:eastAsia="宋体" w:hint="default"/>
          <w:spacing w:val="-4"/>
          <w:sz w:val="22"/>
          <w:szCs w:val="22"/>
        </w:rPr>
        <w:t> </w:t>
      </w:r>
      <w:r>
        <w:rPr>
          <w:rFonts w:ascii="宋体" w:hAnsi="宋体" w:cs="宋体" w:eastAsia="宋体" w:hint="default"/>
          <w:sz w:val="22"/>
          <w:szCs w:val="22"/>
        </w:rPr>
        <w:t>Inc.购买其子公司</w:t>
      </w:r>
      <w:r>
        <w:rPr>
          <w:rFonts w:ascii="宋体" w:hAnsi="宋体" w:cs="宋体" w:eastAsia="宋体" w:hint="default"/>
          <w:spacing w:val="-54"/>
          <w:sz w:val="22"/>
          <w:szCs w:val="22"/>
        </w:rPr>
        <w:t> </w:t>
      </w:r>
      <w:r>
        <w:rPr>
          <w:rFonts w:ascii="宋体" w:hAnsi="宋体" w:cs="宋体" w:eastAsia="宋体" w:hint="default"/>
          <w:sz w:val="22"/>
          <w:szCs w:val="22"/>
        </w:rPr>
        <w:t>COMTEC</w:t>
      </w:r>
      <w:r>
        <w:rPr>
          <w:rFonts w:ascii="宋体" w:hAnsi="宋体" w:cs="宋体" w:eastAsia="宋体" w:hint="default"/>
          <w:spacing w:val="-54"/>
          <w:sz w:val="22"/>
          <w:szCs w:val="22"/>
        </w:rPr>
        <w:t> </w:t>
      </w:r>
      <w:r>
        <w:rPr>
          <w:rFonts w:ascii="宋体" w:hAnsi="宋体" w:cs="宋体" w:eastAsia="宋体" w:hint="default"/>
          <w:sz w:val="22"/>
          <w:szCs w:val="22"/>
        </w:rPr>
        <w:t>和</w:t>
      </w:r>
      <w:r>
        <w:rPr>
          <w:rFonts w:ascii="宋体" w:hAnsi="宋体" w:cs="宋体" w:eastAsia="宋体" w:hint="default"/>
          <w:spacing w:val="-54"/>
          <w:sz w:val="22"/>
          <w:szCs w:val="22"/>
        </w:rPr>
        <w:t> </w:t>
      </w:r>
      <w:r>
        <w:rPr>
          <w:rFonts w:ascii="宋体" w:hAnsi="宋体" w:cs="宋体" w:eastAsia="宋体" w:hint="default"/>
          <w:sz w:val="22"/>
          <w:szCs w:val="22"/>
        </w:rPr>
        <w:t>ACELIA</w:t>
      </w:r>
      <w:r>
        <w:rPr>
          <w:rFonts w:ascii="宋体" w:hAnsi="宋体" w:cs="宋体" w:eastAsia="宋体" w:hint="default"/>
          <w:spacing w:val="-53"/>
          <w:sz w:val="22"/>
          <w:szCs w:val="22"/>
        </w:rPr>
        <w:t> </w:t>
      </w:r>
      <w:r>
        <w:rPr>
          <w:rFonts w:ascii="宋体" w:hAnsi="宋体" w:cs="宋体" w:eastAsia="宋体" w:hint="default"/>
          <w:sz w:val="22"/>
          <w:szCs w:val="22"/>
        </w:rPr>
        <w:t>的少数股东股</w:t>
      </w:r>
      <w:r>
        <w:rPr>
          <w:rFonts w:ascii="宋体" w:hAnsi="宋体" w:cs="宋体" w:eastAsia="宋体" w:hint="default"/>
          <w:w w:val="99"/>
          <w:sz w:val="22"/>
          <w:szCs w:val="22"/>
        </w:rPr>
        <w:t> </w:t>
      </w:r>
      <w:r>
        <w:rPr>
          <w:rFonts w:ascii="宋体" w:hAnsi="宋体" w:cs="宋体" w:eastAsia="宋体" w:hint="default"/>
          <w:spacing w:val="-1"/>
          <w:sz w:val="22"/>
          <w:szCs w:val="22"/>
        </w:rPr>
        <w:t>权，新取得的长期股权投资与按照新增持股比例计算应享有子公司自合并日开始持续计算的可辨</w:t>
      </w:r>
      <w:r>
        <w:rPr>
          <w:rFonts w:ascii="宋体" w:hAnsi="宋体" w:cs="宋体" w:eastAsia="宋体" w:hint="default"/>
          <w:w w:val="99"/>
          <w:sz w:val="22"/>
          <w:szCs w:val="22"/>
        </w:rPr>
        <w:t> </w:t>
      </w:r>
      <w:r>
        <w:rPr>
          <w:rFonts w:ascii="宋体" w:hAnsi="宋体" w:cs="宋体" w:eastAsia="宋体" w:hint="default"/>
          <w:sz w:val="22"/>
          <w:szCs w:val="22"/>
        </w:rPr>
        <w:t>认净资产份额之间的差额，增加资本公积-股本溢价</w:t>
      </w:r>
      <w:r>
        <w:rPr>
          <w:rFonts w:ascii="宋体" w:hAnsi="宋体" w:cs="宋体" w:eastAsia="宋体" w:hint="default"/>
          <w:spacing w:val="-62"/>
          <w:sz w:val="22"/>
          <w:szCs w:val="22"/>
        </w:rPr>
        <w:t> </w:t>
      </w:r>
      <w:r>
        <w:rPr>
          <w:rFonts w:ascii="宋体" w:hAnsi="宋体" w:cs="宋体" w:eastAsia="宋体" w:hint="default"/>
          <w:sz w:val="22"/>
          <w:szCs w:val="22"/>
        </w:rPr>
        <w:t>14,713,841.66</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sz w:val="22"/>
          <w:szCs w:val="22"/>
        </w:rPr>
        <w:t>本公司对合并范围内子公司同方鼎欣信息技术有限公司持股比例变化导致减少资本公积-资</w:t>
      </w:r>
      <w:r>
        <w:rPr>
          <w:rFonts w:ascii="宋体" w:hAnsi="宋体" w:cs="宋体" w:eastAsia="宋体" w:hint="default"/>
          <w:w w:val="99"/>
          <w:sz w:val="22"/>
          <w:szCs w:val="22"/>
        </w:rPr>
        <w:t> </w:t>
      </w:r>
      <w:r>
        <w:rPr>
          <w:rFonts w:ascii="宋体" w:hAnsi="宋体" w:cs="宋体" w:eastAsia="宋体" w:hint="default"/>
          <w:sz w:val="22"/>
          <w:szCs w:val="22"/>
        </w:rPr>
        <w:t>本溢价</w:t>
      </w:r>
      <w:r>
        <w:rPr>
          <w:rFonts w:ascii="宋体" w:hAnsi="宋体" w:cs="宋体" w:eastAsia="宋体" w:hint="default"/>
          <w:spacing w:val="-59"/>
          <w:sz w:val="22"/>
          <w:szCs w:val="22"/>
        </w:rPr>
        <w:t> </w:t>
      </w:r>
      <w:r>
        <w:rPr>
          <w:rFonts w:ascii="宋体" w:hAnsi="宋体" w:cs="宋体" w:eastAsia="宋体" w:hint="default"/>
          <w:sz w:val="22"/>
          <w:szCs w:val="22"/>
        </w:rPr>
        <w:t>11,219,292.59</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03"/>
        <w:ind w:left="579" w:right="0" w:firstLine="0"/>
        <w:jc w:val="left"/>
        <w:rPr>
          <w:rFonts w:ascii="宋体" w:hAnsi="宋体" w:cs="宋体" w:eastAsia="宋体" w:hint="default"/>
          <w:sz w:val="22"/>
          <w:szCs w:val="22"/>
        </w:rPr>
      </w:pPr>
      <w:r>
        <w:rPr>
          <w:rFonts w:ascii="宋体" w:hAnsi="宋体" w:cs="宋体" w:eastAsia="宋体" w:hint="default"/>
          <w:spacing w:val="5"/>
          <w:sz w:val="22"/>
          <w:szCs w:val="22"/>
        </w:rPr>
        <w:t>本公司之合并范围内二级子公司持股比例变化导致减少资本公积-股本溢价</w:t>
      </w:r>
      <w:r>
        <w:rPr>
          <w:rFonts w:ascii="宋体" w:hAnsi="宋体" w:cs="宋体" w:eastAsia="宋体" w:hint="default"/>
          <w:spacing w:val="4"/>
          <w:sz w:val="22"/>
          <w:szCs w:val="22"/>
        </w:rPr>
        <w:t> </w:t>
      </w:r>
      <w:r>
        <w:rPr>
          <w:rFonts w:ascii="宋体" w:hAnsi="宋体" w:cs="宋体" w:eastAsia="宋体" w:hint="default"/>
          <w:sz w:val="22"/>
          <w:szCs w:val="22"/>
        </w:rPr>
        <w:t>4,907,151.08</w:t>
      </w:r>
    </w:p>
    <w:p>
      <w:pPr>
        <w:spacing w:after="0"/>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213" w:firstLine="0"/>
        <w:jc w:val="left"/>
        <w:rPr>
          <w:rFonts w:ascii="宋体" w:hAnsi="宋体" w:cs="宋体" w:eastAsia="宋体" w:hint="default"/>
          <w:sz w:val="22"/>
          <w:szCs w:val="22"/>
        </w:rPr>
      </w:pPr>
      <w:r>
        <w:rPr>
          <w:rFonts w:ascii="宋体" w:hAnsi="宋体" w:cs="宋体" w:eastAsia="宋体" w:hint="default"/>
          <w:sz w:val="22"/>
          <w:szCs w:val="22"/>
        </w:rPr>
        <w:t>元。</w:t>
      </w:r>
    </w:p>
    <w:p>
      <w:pPr>
        <w:spacing w:line="324" w:lineRule="auto" w:before="179"/>
        <w:ind w:left="138" w:right="112" w:firstLine="45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5"/>
          <w:sz w:val="22"/>
          <w:szCs w:val="22"/>
        </w:rPr>
        <w:t> </w:t>
      </w:r>
      <w:r>
        <w:rPr>
          <w:rFonts w:ascii="宋体" w:hAnsi="宋体" w:cs="宋体" w:eastAsia="宋体" w:hint="default"/>
          <w:sz w:val="22"/>
          <w:szCs w:val="22"/>
        </w:rPr>
        <w:t>其他资本公积本年变化主要系：本公司持有的可供出售金融资产公允价值变动，减少资</w:t>
      </w:r>
      <w:r>
        <w:rPr>
          <w:rFonts w:ascii="宋体" w:hAnsi="宋体" w:cs="宋体" w:eastAsia="宋体" w:hint="default"/>
          <w:w w:val="99"/>
          <w:sz w:val="22"/>
          <w:szCs w:val="22"/>
        </w:rPr>
        <w:t> </w:t>
      </w:r>
      <w:r>
        <w:rPr>
          <w:rFonts w:ascii="宋体" w:hAnsi="宋体" w:cs="宋体" w:eastAsia="宋体" w:hint="default"/>
          <w:sz w:val="22"/>
          <w:szCs w:val="22"/>
        </w:rPr>
        <w:t>本公司-其他资本公积</w:t>
      </w:r>
      <w:r>
        <w:rPr>
          <w:rFonts w:ascii="宋体" w:hAnsi="宋体" w:cs="宋体" w:eastAsia="宋体" w:hint="default"/>
          <w:spacing w:val="-51"/>
          <w:sz w:val="22"/>
          <w:szCs w:val="22"/>
        </w:rPr>
        <w:t> </w:t>
      </w:r>
      <w:r>
        <w:rPr>
          <w:rFonts w:ascii="宋体" w:hAnsi="宋体" w:cs="宋体" w:eastAsia="宋体" w:hint="default"/>
          <w:sz w:val="22"/>
          <w:szCs w:val="22"/>
        </w:rPr>
        <w:t>4,111,272.15</w:t>
      </w:r>
      <w:r>
        <w:rPr>
          <w:rFonts w:ascii="宋体" w:hAnsi="宋体" w:cs="宋体" w:eastAsia="宋体" w:hint="default"/>
          <w:spacing w:val="-52"/>
          <w:sz w:val="22"/>
          <w:szCs w:val="22"/>
        </w:rPr>
        <w:t> </w:t>
      </w:r>
      <w:r>
        <w:rPr>
          <w:rFonts w:ascii="宋体" w:hAnsi="宋体" w:cs="宋体" w:eastAsia="宋体" w:hint="default"/>
          <w:spacing w:val="-4"/>
          <w:sz w:val="22"/>
          <w:szCs w:val="22"/>
        </w:rPr>
        <w:t>元，其中：计入母公司其他综合收益的为-4,111,272.15</w:t>
      </w:r>
      <w:r>
        <w:rPr>
          <w:rFonts w:ascii="宋体" w:hAnsi="宋体" w:cs="宋体" w:eastAsia="宋体" w:hint="default"/>
          <w:spacing w:val="-51"/>
          <w:sz w:val="22"/>
          <w:szCs w:val="22"/>
        </w:rPr>
        <w:t> </w:t>
      </w:r>
      <w:r>
        <w:rPr>
          <w:rFonts w:ascii="宋体" w:hAnsi="宋体" w:cs="宋体" w:eastAsia="宋体" w:hint="default"/>
          <w:sz w:val="22"/>
          <w:szCs w:val="22"/>
        </w:rPr>
        <w:t>元。</w:t>
      </w:r>
    </w:p>
    <w:p>
      <w:pPr>
        <w:spacing w:line="324" w:lineRule="auto" w:before="103"/>
        <w:ind w:left="138" w:right="113" w:firstLine="440"/>
        <w:jc w:val="left"/>
        <w:rPr>
          <w:rFonts w:ascii="宋体" w:hAnsi="宋体" w:cs="宋体" w:eastAsia="宋体" w:hint="default"/>
          <w:sz w:val="22"/>
          <w:szCs w:val="22"/>
        </w:rPr>
      </w:pPr>
      <w:r>
        <w:rPr>
          <w:rFonts w:ascii="宋体" w:hAnsi="宋体" w:cs="宋体" w:eastAsia="宋体" w:hint="default"/>
          <w:sz w:val="22"/>
          <w:szCs w:val="22"/>
        </w:rPr>
        <w:t>本公司的联营企业及合营企业的所有者权益变化，本公司按持股比例应享有的金额，增加资</w:t>
      </w:r>
      <w:r>
        <w:rPr>
          <w:rFonts w:ascii="宋体" w:hAnsi="宋体" w:cs="宋体" w:eastAsia="宋体" w:hint="default"/>
          <w:w w:val="99"/>
          <w:sz w:val="22"/>
          <w:szCs w:val="22"/>
        </w:rPr>
        <w:t> </w:t>
      </w:r>
      <w:r>
        <w:rPr>
          <w:rFonts w:ascii="宋体" w:hAnsi="宋体" w:cs="宋体" w:eastAsia="宋体" w:hint="default"/>
          <w:sz w:val="22"/>
          <w:szCs w:val="22"/>
        </w:rPr>
        <w:t>本公积-其他资本公积</w:t>
      </w:r>
      <w:r>
        <w:rPr>
          <w:rFonts w:ascii="宋体" w:hAnsi="宋体" w:cs="宋体" w:eastAsia="宋体" w:hint="default"/>
          <w:spacing w:val="-63"/>
          <w:sz w:val="22"/>
          <w:szCs w:val="22"/>
        </w:rPr>
        <w:t> </w:t>
      </w:r>
      <w:r>
        <w:rPr>
          <w:rFonts w:ascii="宋体" w:hAnsi="宋体" w:cs="宋体" w:eastAsia="宋体" w:hint="default"/>
          <w:sz w:val="22"/>
          <w:szCs w:val="22"/>
        </w:rPr>
        <w:t>4,332,417.58</w:t>
      </w:r>
      <w:r>
        <w:rPr>
          <w:rFonts w:ascii="宋体" w:hAnsi="宋体" w:cs="宋体" w:eastAsia="宋体" w:hint="default"/>
          <w:spacing w:val="-64"/>
          <w:sz w:val="22"/>
          <w:szCs w:val="22"/>
        </w:rPr>
        <w:t> </w:t>
      </w:r>
      <w:r>
        <w:rPr>
          <w:rFonts w:ascii="宋体" w:hAnsi="宋体" w:cs="宋体" w:eastAsia="宋体" w:hint="default"/>
          <w:sz w:val="22"/>
          <w:szCs w:val="22"/>
        </w:rPr>
        <w:t>元、减少资本公积-其他资本公积</w:t>
      </w:r>
      <w:r>
        <w:rPr>
          <w:rFonts w:ascii="宋体" w:hAnsi="宋体" w:cs="宋体" w:eastAsia="宋体" w:hint="default"/>
          <w:spacing w:val="-63"/>
          <w:sz w:val="22"/>
          <w:szCs w:val="22"/>
        </w:rPr>
        <w:t> </w:t>
      </w:r>
      <w:r>
        <w:rPr>
          <w:rFonts w:ascii="宋体" w:hAnsi="宋体" w:cs="宋体" w:eastAsia="宋体" w:hint="default"/>
          <w:sz w:val="22"/>
          <w:szCs w:val="22"/>
        </w:rPr>
        <w:t>43,833,485.55</w:t>
      </w:r>
      <w:r>
        <w:rPr>
          <w:rFonts w:ascii="宋体" w:hAnsi="宋体" w:cs="宋体" w:eastAsia="宋体" w:hint="default"/>
          <w:spacing w:val="-63"/>
          <w:sz w:val="22"/>
          <w:szCs w:val="22"/>
        </w:rPr>
        <w:t> </w:t>
      </w:r>
      <w:r>
        <w:rPr>
          <w:rFonts w:ascii="宋体" w:hAnsi="宋体" w:cs="宋体" w:eastAsia="宋体" w:hint="default"/>
          <w:spacing w:val="-5"/>
          <w:sz w:val="22"/>
          <w:szCs w:val="22"/>
        </w:rPr>
        <w:t>元，其中：</w:t>
      </w:r>
      <w:r>
        <w:rPr>
          <w:rFonts w:ascii="宋体" w:hAnsi="宋体" w:cs="宋体" w:eastAsia="宋体" w:hint="default"/>
          <w:w w:val="99"/>
          <w:sz w:val="22"/>
          <w:szCs w:val="22"/>
        </w:rPr>
        <w:t> </w:t>
      </w:r>
      <w:r>
        <w:rPr>
          <w:rFonts w:ascii="宋体" w:hAnsi="宋体" w:cs="宋体" w:eastAsia="宋体" w:hint="default"/>
          <w:sz w:val="22"/>
          <w:szCs w:val="22"/>
        </w:rPr>
        <w:t>计入母公司其他综合收益的为-43,833,485.55</w:t>
      </w:r>
      <w:r>
        <w:rPr>
          <w:rFonts w:ascii="宋体" w:hAnsi="宋体" w:cs="宋体" w:eastAsia="宋体" w:hint="default"/>
          <w:spacing w:val="-68"/>
          <w:sz w:val="22"/>
          <w:szCs w:val="22"/>
        </w:rPr>
        <w:t> </w:t>
      </w:r>
      <w:r>
        <w:rPr>
          <w:rFonts w:ascii="宋体" w:hAnsi="宋体" w:cs="宋体" w:eastAsia="宋体" w:hint="default"/>
          <w:sz w:val="22"/>
          <w:szCs w:val="22"/>
        </w:rPr>
        <w:t>元。</w:t>
      </w:r>
    </w:p>
    <w:p>
      <w:pPr>
        <w:spacing w:line="324" w:lineRule="auto" w:before="103"/>
        <w:ind w:left="138" w:right="223" w:firstLine="441"/>
        <w:jc w:val="both"/>
        <w:rPr>
          <w:rFonts w:ascii="宋体" w:hAnsi="宋体" w:cs="宋体" w:eastAsia="宋体" w:hint="default"/>
          <w:sz w:val="22"/>
          <w:szCs w:val="22"/>
        </w:rPr>
      </w:pPr>
      <w:r>
        <w:rPr>
          <w:rFonts w:ascii="宋体" w:hAnsi="宋体" w:cs="宋体" w:eastAsia="宋体" w:hint="default"/>
          <w:spacing w:val="-1"/>
          <w:sz w:val="22"/>
          <w:szCs w:val="22"/>
        </w:rPr>
        <w:t>本公司之控股子公司的所有者权益变化，本公司按照持股比例计算应享有的金额，增加资本</w:t>
      </w:r>
      <w:r>
        <w:rPr>
          <w:rFonts w:ascii="宋体" w:hAnsi="宋体" w:cs="宋体" w:eastAsia="宋体" w:hint="default"/>
          <w:w w:val="99"/>
          <w:sz w:val="22"/>
          <w:szCs w:val="22"/>
        </w:rPr>
        <w:t> </w:t>
      </w:r>
      <w:r>
        <w:rPr>
          <w:rFonts w:ascii="宋体" w:hAnsi="宋体" w:cs="宋体" w:eastAsia="宋体" w:hint="default"/>
          <w:sz w:val="22"/>
          <w:szCs w:val="22"/>
        </w:rPr>
        <w:t>公积-其他资本公积</w:t>
      </w:r>
      <w:r>
        <w:rPr>
          <w:rFonts w:ascii="宋体" w:hAnsi="宋体" w:cs="宋体" w:eastAsia="宋体" w:hint="default"/>
          <w:spacing w:val="-63"/>
          <w:sz w:val="22"/>
          <w:szCs w:val="22"/>
        </w:rPr>
        <w:t> </w:t>
      </w:r>
      <w:r>
        <w:rPr>
          <w:rFonts w:ascii="宋体" w:hAnsi="宋体" w:cs="宋体" w:eastAsia="宋体" w:hint="default"/>
          <w:sz w:val="22"/>
          <w:szCs w:val="22"/>
        </w:rPr>
        <w:t>6,677,588.00</w:t>
      </w:r>
      <w:r>
        <w:rPr>
          <w:rFonts w:ascii="宋体" w:hAnsi="宋体" w:cs="宋体" w:eastAsia="宋体" w:hint="default"/>
          <w:spacing w:val="-63"/>
          <w:sz w:val="22"/>
          <w:szCs w:val="22"/>
        </w:rPr>
        <w:t> </w:t>
      </w:r>
      <w:r>
        <w:rPr>
          <w:rFonts w:ascii="宋体" w:hAnsi="宋体" w:cs="宋体" w:eastAsia="宋体" w:hint="default"/>
          <w:sz w:val="22"/>
          <w:szCs w:val="22"/>
        </w:rPr>
        <w:t>元、减少资本公积-其他资本公积</w:t>
      </w:r>
      <w:r>
        <w:rPr>
          <w:rFonts w:ascii="宋体" w:hAnsi="宋体" w:cs="宋体" w:eastAsia="宋体" w:hint="default"/>
          <w:spacing w:val="-63"/>
          <w:sz w:val="22"/>
          <w:szCs w:val="22"/>
        </w:rPr>
        <w:t> </w:t>
      </w:r>
      <w:r>
        <w:rPr>
          <w:rFonts w:ascii="宋体" w:hAnsi="宋体" w:cs="宋体" w:eastAsia="宋体" w:hint="default"/>
          <w:sz w:val="22"/>
          <w:szCs w:val="22"/>
        </w:rPr>
        <w:t>8,281,242.37</w:t>
      </w:r>
      <w:r>
        <w:rPr>
          <w:rFonts w:ascii="宋体" w:hAnsi="宋体" w:cs="宋体" w:eastAsia="宋体" w:hint="default"/>
          <w:spacing w:val="-63"/>
          <w:sz w:val="22"/>
          <w:szCs w:val="22"/>
        </w:rPr>
        <w:t> </w:t>
      </w:r>
      <w:r>
        <w:rPr>
          <w:rFonts w:ascii="宋体" w:hAnsi="宋体" w:cs="宋体" w:eastAsia="宋体" w:hint="default"/>
          <w:spacing w:val="-5"/>
          <w:sz w:val="22"/>
          <w:szCs w:val="22"/>
        </w:rPr>
        <w:t>元，其中：计</w:t>
      </w:r>
      <w:r>
        <w:rPr>
          <w:rFonts w:ascii="宋体" w:hAnsi="宋体" w:cs="宋体" w:eastAsia="宋体" w:hint="default"/>
          <w:w w:val="99"/>
          <w:sz w:val="22"/>
          <w:szCs w:val="22"/>
        </w:rPr>
        <w:t> </w:t>
      </w:r>
      <w:r>
        <w:rPr>
          <w:rFonts w:ascii="宋体" w:hAnsi="宋体" w:cs="宋体" w:eastAsia="宋体" w:hint="default"/>
          <w:sz w:val="22"/>
          <w:szCs w:val="22"/>
        </w:rPr>
        <w:t>入母公司其他综合收益的为-8,327,537.76</w:t>
      </w:r>
      <w:r>
        <w:rPr>
          <w:rFonts w:ascii="宋体" w:hAnsi="宋体" w:cs="宋体" w:eastAsia="宋体" w:hint="default"/>
          <w:spacing w:val="-67"/>
          <w:sz w:val="22"/>
          <w:szCs w:val="22"/>
        </w:rPr>
        <w:t> </w:t>
      </w:r>
      <w:r>
        <w:rPr>
          <w:rFonts w:ascii="宋体" w:hAnsi="宋体" w:cs="宋体" w:eastAsia="宋体" w:hint="default"/>
          <w:sz w:val="22"/>
          <w:szCs w:val="22"/>
        </w:rPr>
        <w:t>元。</w:t>
      </w:r>
    </w:p>
    <w:p>
      <w:pPr>
        <w:spacing w:line="240" w:lineRule="auto" w:before="6"/>
        <w:rPr>
          <w:rFonts w:ascii="宋体" w:hAnsi="宋体" w:cs="宋体" w:eastAsia="宋体" w:hint="default"/>
          <w:sz w:val="5"/>
          <w:szCs w:val="5"/>
        </w:rPr>
      </w:pPr>
    </w:p>
    <w:tbl>
      <w:tblPr>
        <w:tblW w:w="0" w:type="auto"/>
        <w:jc w:val="left"/>
        <w:tblInd w:w="416" w:type="dxa"/>
        <w:tblLayout w:type="fixed"/>
        <w:tblCellMar>
          <w:top w:w="0" w:type="dxa"/>
          <w:left w:w="0" w:type="dxa"/>
          <w:bottom w:w="0" w:type="dxa"/>
          <w:right w:w="0" w:type="dxa"/>
        </w:tblCellMar>
        <w:tblLook w:val="01E0"/>
      </w:tblPr>
      <w:tblGrid>
        <w:gridCol w:w="4038"/>
        <w:gridCol w:w="2978"/>
        <w:gridCol w:w="1621"/>
      </w:tblGrid>
      <w:tr>
        <w:trPr>
          <w:trHeight w:val="498" w:hRule="exact"/>
        </w:trPr>
        <w:tc>
          <w:tcPr>
            <w:tcW w:w="4038"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42.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盈余公积</w:t>
            </w:r>
          </w:p>
        </w:tc>
        <w:tc>
          <w:tcPr>
            <w:tcW w:w="4600"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038" w:type="dxa"/>
            <w:tcBorders>
              <w:top w:val="single" w:sz="12" w:space="0" w:color="000000"/>
              <w:left w:val="nil" w:sz="6" w:space="0" w:color="auto"/>
              <w:bottom w:val="single" w:sz="4" w:space="0" w:color="000000"/>
              <w:right w:val="nil" w:sz="6" w:space="0" w:color="auto"/>
            </w:tcBorders>
          </w:tcPr>
          <w:p>
            <w:pPr>
              <w:pStyle w:val="TableParagraph"/>
              <w:tabs>
                <w:tab w:pos="2821"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年初金额</w:t>
            </w:r>
            <w:r>
              <w:rPr>
                <w:rFonts w:ascii="宋体" w:hAnsi="宋体" w:cs="宋体" w:eastAsia="宋体" w:hint="default"/>
                <w:sz w:val="18"/>
                <w:szCs w:val="18"/>
              </w:rPr>
            </w:r>
          </w:p>
        </w:tc>
        <w:tc>
          <w:tcPr>
            <w:tcW w:w="2978" w:type="dxa"/>
            <w:tcBorders>
              <w:top w:val="single" w:sz="12" w:space="0" w:color="000000"/>
              <w:left w:val="nil" w:sz="6" w:space="0" w:color="auto"/>
              <w:bottom w:val="single" w:sz="4" w:space="0" w:color="000000"/>
              <w:right w:val="nil" w:sz="6" w:space="0" w:color="auto"/>
            </w:tcBorders>
          </w:tcPr>
          <w:p>
            <w:pPr>
              <w:pStyle w:val="TableParagraph"/>
              <w:tabs>
                <w:tab w:pos="1874" w:val="left" w:leader="none"/>
              </w:tabs>
              <w:spacing w:line="226" w:lineRule="exact"/>
              <w:ind w:left="335" w:right="0"/>
              <w:jc w:val="left"/>
              <w:rPr>
                <w:rFonts w:ascii="宋体" w:hAnsi="宋体" w:cs="宋体" w:eastAsia="宋体" w:hint="default"/>
                <w:sz w:val="18"/>
                <w:szCs w:val="18"/>
              </w:rPr>
            </w:pPr>
            <w:r>
              <w:rPr>
                <w:rFonts w:ascii="宋体" w:hAnsi="宋体" w:cs="宋体" w:eastAsia="宋体" w:hint="default"/>
                <w:b/>
                <w:bCs/>
                <w:w w:val="95"/>
                <w:sz w:val="18"/>
                <w:szCs w:val="18"/>
              </w:rPr>
              <w:t>本年增加</w:t>
              <w:tab/>
            </w:r>
            <w:r>
              <w:rPr>
                <w:rFonts w:ascii="宋体" w:hAnsi="宋体" w:cs="宋体" w:eastAsia="宋体" w:hint="default"/>
                <w:b/>
                <w:bCs/>
                <w:sz w:val="18"/>
                <w:szCs w:val="18"/>
              </w:rPr>
              <w:t>本年减少</w:t>
            </w:r>
            <w:r>
              <w:rPr>
                <w:rFonts w:ascii="宋体" w:hAnsi="宋体" w:cs="宋体" w:eastAsia="宋体" w:hint="default"/>
                <w:sz w:val="18"/>
                <w:szCs w:val="18"/>
              </w:rPr>
            </w:r>
          </w:p>
        </w:tc>
        <w:tc>
          <w:tcPr>
            <w:tcW w:w="162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2" w:hRule="exact"/>
        </w:trPr>
        <w:tc>
          <w:tcPr>
            <w:tcW w:w="4038" w:type="dxa"/>
            <w:tcBorders>
              <w:top w:val="single" w:sz="4" w:space="0" w:color="000000"/>
              <w:left w:val="nil" w:sz="6" w:space="0" w:color="auto"/>
              <w:bottom w:val="nil" w:sz="6" w:space="0" w:color="auto"/>
              <w:right w:val="nil" w:sz="6" w:space="0" w:color="auto"/>
            </w:tcBorders>
          </w:tcPr>
          <w:p>
            <w:pPr>
              <w:pStyle w:val="TableParagraph"/>
              <w:tabs>
                <w:tab w:pos="2611"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tab/>
              <w:t>369,185,377.57</w:t>
            </w:r>
          </w:p>
        </w:tc>
        <w:tc>
          <w:tcPr>
            <w:tcW w:w="2978" w:type="dxa"/>
            <w:tcBorders>
              <w:top w:val="single" w:sz="4" w:space="0" w:color="000000"/>
              <w:left w:val="nil" w:sz="6" w:space="0" w:color="auto"/>
              <w:bottom w:val="nil" w:sz="6" w:space="0" w:color="auto"/>
              <w:right w:val="nil" w:sz="6" w:space="0" w:color="auto"/>
            </w:tcBorders>
          </w:tcPr>
          <w:p>
            <w:pPr>
              <w:pStyle w:val="TableParagraph"/>
              <w:tabs>
                <w:tab w:pos="2374" w:val="left" w:leader="none"/>
              </w:tabs>
              <w:spacing w:line="226" w:lineRule="exact"/>
              <w:ind w:right="64"/>
              <w:jc w:val="right"/>
              <w:rPr>
                <w:rFonts w:ascii="宋体" w:hAnsi="宋体" w:cs="宋体" w:eastAsia="宋体" w:hint="default"/>
                <w:sz w:val="18"/>
                <w:szCs w:val="18"/>
              </w:rPr>
            </w:pPr>
            <w:r>
              <w:rPr>
                <w:rFonts w:ascii="宋体"/>
                <w:sz w:val="18"/>
              </w:rPr>
              <w:t>47,955,552.88</w:t>
              <w:tab/>
              <w:t>0.00</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417,140,930.45</w:t>
            </w:r>
          </w:p>
        </w:tc>
      </w:tr>
      <w:tr>
        <w:trPr>
          <w:trHeight w:val="294" w:hRule="exact"/>
        </w:trPr>
        <w:tc>
          <w:tcPr>
            <w:tcW w:w="4038" w:type="dxa"/>
            <w:tcBorders>
              <w:top w:val="nil" w:sz="6" w:space="0" w:color="auto"/>
              <w:left w:val="nil" w:sz="6" w:space="0" w:color="auto"/>
              <w:bottom w:val="single" w:sz="4" w:space="0" w:color="000000"/>
              <w:right w:val="nil" w:sz="6" w:space="0" w:color="auto"/>
            </w:tcBorders>
          </w:tcPr>
          <w:p>
            <w:pPr>
              <w:pStyle w:val="TableParagraph"/>
              <w:tabs>
                <w:tab w:pos="2701"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任意盈余公积</w:t>
              <w:tab/>
              <w:t>67,644,490.85</w:t>
            </w:r>
          </w:p>
        </w:tc>
        <w:tc>
          <w:tcPr>
            <w:tcW w:w="2978" w:type="dxa"/>
            <w:tcBorders>
              <w:top w:val="nil" w:sz="6" w:space="0" w:color="auto"/>
              <w:left w:val="nil" w:sz="6" w:space="0" w:color="auto"/>
              <w:bottom w:val="single" w:sz="4" w:space="0" w:color="000000"/>
              <w:right w:val="nil" w:sz="6" w:space="0" w:color="auto"/>
            </w:tcBorders>
          </w:tcPr>
          <w:p>
            <w:pPr>
              <w:pStyle w:val="TableParagraph"/>
              <w:tabs>
                <w:tab w:pos="1564" w:val="left" w:leader="none"/>
              </w:tabs>
              <w:spacing w:line="232" w:lineRule="exact"/>
              <w:ind w:right="64"/>
              <w:jc w:val="right"/>
              <w:rPr>
                <w:rFonts w:ascii="宋体" w:hAnsi="宋体" w:cs="宋体" w:eastAsia="宋体" w:hint="default"/>
                <w:sz w:val="18"/>
                <w:szCs w:val="18"/>
              </w:rPr>
            </w:pPr>
            <w:r>
              <w:rPr>
                <w:rFonts w:ascii="宋体"/>
                <w:sz w:val="18"/>
              </w:rPr>
              <w:t>0.00</w:t>
              <w:tab/>
              <w:t>0.00</w:t>
            </w:r>
          </w:p>
        </w:tc>
        <w:tc>
          <w:tcPr>
            <w:tcW w:w="1621"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67,644,490.85</w:t>
            </w:r>
          </w:p>
        </w:tc>
      </w:tr>
      <w:tr>
        <w:trPr>
          <w:trHeight w:val="303" w:hRule="exact"/>
        </w:trPr>
        <w:tc>
          <w:tcPr>
            <w:tcW w:w="4038" w:type="dxa"/>
            <w:tcBorders>
              <w:top w:val="single" w:sz="4" w:space="0" w:color="000000"/>
              <w:left w:val="nil" w:sz="6" w:space="0" w:color="auto"/>
              <w:bottom w:val="single" w:sz="12" w:space="0" w:color="000000"/>
              <w:right w:val="nil" w:sz="6" w:space="0" w:color="auto"/>
            </w:tcBorders>
          </w:tcPr>
          <w:p>
            <w:pPr>
              <w:pStyle w:val="TableParagraph"/>
              <w:tabs>
                <w:tab w:pos="2600"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436,829,868.42</w:t>
            </w:r>
            <w:r>
              <w:rPr>
                <w:rFonts w:ascii="宋体" w:hAnsi="宋体" w:cs="宋体" w:eastAsia="宋体" w:hint="default"/>
                <w:sz w:val="18"/>
                <w:szCs w:val="18"/>
              </w:rPr>
            </w:r>
          </w:p>
        </w:tc>
        <w:tc>
          <w:tcPr>
            <w:tcW w:w="2978" w:type="dxa"/>
            <w:tcBorders>
              <w:top w:val="single" w:sz="4" w:space="0" w:color="000000"/>
              <w:left w:val="nil" w:sz="6" w:space="0" w:color="auto"/>
              <w:bottom w:val="single" w:sz="12" w:space="0" w:color="000000"/>
              <w:right w:val="nil" w:sz="6" w:space="0" w:color="auto"/>
            </w:tcBorders>
          </w:tcPr>
          <w:p>
            <w:pPr>
              <w:pStyle w:val="TableParagraph"/>
              <w:tabs>
                <w:tab w:pos="2380" w:val="left" w:leader="none"/>
              </w:tabs>
              <w:spacing w:line="226" w:lineRule="exact"/>
              <w:ind w:right="66"/>
              <w:jc w:val="right"/>
              <w:rPr>
                <w:rFonts w:ascii="宋体" w:hAnsi="宋体" w:cs="宋体" w:eastAsia="宋体" w:hint="default"/>
                <w:sz w:val="18"/>
                <w:szCs w:val="18"/>
              </w:rPr>
            </w:pPr>
            <w:r>
              <w:rPr>
                <w:rFonts w:ascii="宋体"/>
                <w:b/>
                <w:w w:val="95"/>
                <w:sz w:val="18"/>
              </w:rPr>
              <w:t>47,955,552.88</w:t>
              <w:tab/>
              <w:t>0.00</w:t>
            </w:r>
            <w:r>
              <w:rPr>
                <w:rFonts w:ascii="宋体"/>
                <w:sz w:val="18"/>
              </w:rPr>
            </w:r>
          </w:p>
        </w:tc>
        <w:tc>
          <w:tcPr>
            <w:tcW w:w="162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484,785,421.30</w:t>
            </w:r>
            <w:r>
              <w:rPr>
                <w:rFonts w:ascii="宋体"/>
                <w:sz w:val="18"/>
              </w:rPr>
            </w:r>
          </w:p>
        </w:tc>
      </w:tr>
      <w:tr>
        <w:trPr>
          <w:trHeight w:val="576" w:hRule="exact"/>
        </w:trPr>
        <w:tc>
          <w:tcPr>
            <w:tcW w:w="40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43.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未分配利润</w:t>
            </w:r>
          </w:p>
        </w:tc>
        <w:tc>
          <w:tcPr>
            <w:tcW w:w="2978" w:type="dxa"/>
            <w:tcBorders>
              <w:top w:val="single" w:sz="12" w:space="0" w:color="000000"/>
              <w:left w:val="nil" w:sz="6" w:space="0" w:color="auto"/>
              <w:bottom w:val="single" w:sz="12" w:space="0" w:color="000000"/>
              <w:right w:val="nil" w:sz="6" w:space="0" w:color="auto"/>
            </w:tcBorders>
          </w:tcPr>
          <w:p>
            <w:pPr/>
          </w:p>
        </w:tc>
        <w:tc>
          <w:tcPr>
            <w:tcW w:w="162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03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4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2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9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403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上年年末金额</w:t>
            </w:r>
            <w:r>
              <w:rPr>
                <w:rFonts w:ascii="宋体" w:hAnsi="宋体" w:cs="宋体" w:eastAsia="宋体" w:hint="default"/>
                <w:sz w:val="18"/>
                <w:szCs w:val="18"/>
              </w:rPr>
            </w:r>
          </w:p>
        </w:tc>
        <w:tc>
          <w:tcPr>
            <w:tcW w:w="2978" w:type="dxa"/>
            <w:tcBorders>
              <w:top w:val="single" w:sz="4" w:space="0" w:color="000000"/>
              <w:left w:val="nil" w:sz="6" w:space="0" w:color="auto"/>
              <w:bottom w:val="nil" w:sz="6" w:space="0" w:color="auto"/>
              <w:right w:val="nil" w:sz="6" w:space="0" w:color="auto"/>
            </w:tcBorders>
          </w:tcPr>
          <w:p>
            <w:pPr>
              <w:pStyle w:val="TableParagraph"/>
              <w:spacing w:line="226" w:lineRule="exact"/>
              <w:ind w:left="911" w:right="0"/>
              <w:jc w:val="left"/>
              <w:rPr>
                <w:rFonts w:ascii="宋体" w:hAnsi="宋体" w:cs="宋体" w:eastAsia="宋体" w:hint="default"/>
                <w:sz w:val="18"/>
                <w:szCs w:val="18"/>
              </w:rPr>
            </w:pPr>
            <w:r>
              <w:rPr>
                <w:rFonts w:ascii="宋体"/>
                <w:b/>
                <w:sz w:val="18"/>
              </w:rPr>
              <w:t>1,412,071,728.11</w:t>
            </w:r>
            <w:r>
              <w:rPr>
                <w:rFonts w:ascii="宋体"/>
                <w:sz w:val="18"/>
              </w:rPr>
            </w:r>
          </w:p>
        </w:tc>
        <w:tc>
          <w:tcPr>
            <w:tcW w:w="1621" w:type="dxa"/>
            <w:tcBorders>
              <w:top w:val="single" w:sz="4" w:space="0" w:color="000000"/>
              <w:left w:val="nil" w:sz="6" w:space="0" w:color="auto"/>
              <w:bottom w:val="nil" w:sz="6" w:space="0" w:color="auto"/>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1,173,974,447.56</w:t>
            </w:r>
            <w:r>
              <w:rPr>
                <w:rFonts w:ascii="宋体"/>
                <w:sz w:val="18"/>
              </w:rPr>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right="611"/>
              <w:jc w:val="right"/>
              <w:rPr>
                <w:rFonts w:ascii="宋体" w:hAnsi="宋体" w:cs="宋体" w:eastAsia="宋体" w:hint="default"/>
                <w:sz w:val="18"/>
                <w:szCs w:val="18"/>
              </w:rPr>
            </w:pPr>
            <w:r>
              <w:rPr>
                <w:rFonts w:ascii="宋体"/>
                <w:sz w:val="18"/>
              </w:rPr>
              <w:t>0.00</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-9,747,956.70</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588" w:right="0"/>
              <w:jc w:val="left"/>
              <w:rPr>
                <w:rFonts w:ascii="宋体" w:hAnsi="宋体" w:cs="宋体" w:eastAsia="宋体" w:hint="default"/>
                <w:sz w:val="18"/>
                <w:szCs w:val="18"/>
              </w:rPr>
            </w:pPr>
            <w:r>
              <w:rPr>
                <w:rFonts w:ascii="宋体" w:hAnsi="宋体" w:cs="宋体" w:eastAsia="宋体" w:hint="default"/>
                <w:sz w:val="18"/>
                <w:szCs w:val="18"/>
              </w:rPr>
              <w:t>其中：重要前期差错更正</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right="610"/>
              <w:jc w:val="right"/>
              <w:rPr>
                <w:rFonts w:ascii="宋体" w:hAnsi="宋体" w:cs="宋体" w:eastAsia="宋体" w:hint="default"/>
                <w:sz w:val="18"/>
                <w:szCs w:val="18"/>
              </w:rPr>
            </w:pPr>
            <w:r>
              <w:rPr>
                <w:rFonts w:ascii="宋体"/>
                <w:sz w:val="18"/>
              </w:rPr>
              <w:t>0.00</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-9,293,591.25</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188"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right="611"/>
              <w:jc w:val="right"/>
              <w:rPr>
                <w:rFonts w:ascii="宋体" w:hAnsi="宋体" w:cs="宋体" w:eastAsia="宋体" w:hint="default"/>
                <w:sz w:val="18"/>
                <w:szCs w:val="18"/>
              </w:rPr>
            </w:pPr>
            <w:r>
              <w:rPr>
                <w:rFonts w:ascii="宋体"/>
                <w:sz w:val="18"/>
              </w:rPr>
              <w:t>0.00</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-454,365.45</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本年年初金额</w:t>
            </w:r>
            <w:r>
              <w:rPr>
                <w:rFonts w:ascii="宋体" w:hAnsi="宋体" w:cs="宋体" w:eastAsia="宋体" w:hint="default"/>
                <w:sz w:val="18"/>
                <w:szCs w:val="18"/>
              </w:rPr>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911" w:right="0"/>
              <w:jc w:val="left"/>
              <w:rPr>
                <w:rFonts w:ascii="宋体" w:hAnsi="宋体" w:cs="宋体" w:eastAsia="宋体" w:hint="default"/>
                <w:sz w:val="18"/>
                <w:szCs w:val="18"/>
              </w:rPr>
            </w:pPr>
            <w:r>
              <w:rPr>
                <w:rFonts w:ascii="宋体"/>
                <w:b/>
                <w:sz w:val="18"/>
              </w:rPr>
              <w:t>1,412,071,728.11</w:t>
            </w:r>
            <w:r>
              <w:rPr>
                <w:rFonts w:ascii="宋体"/>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1,164,226,490.86</w:t>
            </w:r>
            <w:r>
              <w:rPr>
                <w:rFonts w:ascii="宋体"/>
                <w:sz w:val="18"/>
              </w:rPr>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05" w:right="0"/>
              <w:jc w:val="left"/>
              <w:rPr>
                <w:rFonts w:ascii="宋体" w:hAnsi="宋体" w:cs="宋体" w:eastAsia="宋体" w:hint="default"/>
                <w:sz w:val="18"/>
                <w:szCs w:val="18"/>
              </w:rPr>
            </w:pPr>
            <w:r>
              <w:rPr>
                <w:rFonts w:ascii="宋体"/>
                <w:sz w:val="18"/>
              </w:rPr>
              <w:t>479,555,528.80</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351,370,202.43</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95" w:right="0"/>
              <w:jc w:val="left"/>
              <w:rPr>
                <w:rFonts w:ascii="宋体" w:hAnsi="宋体" w:cs="宋体" w:eastAsia="宋体" w:hint="default"/>
                <w:sz w:val="18"/>
                <w:szCs w:val="18"/>
              </w:rPr>
            </w:pPr>
            <w:r>
              <w:rPr>
                <w:rFonts w:ascii="宋体"/>
                <w:sz w:val="18"/>
              </w:rPr>
              <w:t>47,955,552.88</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35,137,020.24</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1" w:lineRule="exact"/>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8" w:type="dxa"/>
            <w:tcBorders>
              <w:top w:val="nil" w:sz="6" w:space="0" w:color="auto"/>
              <w:left w:val="nil" w:sz="6" w:space="0" w:color="auto"/>
              <w:bottom w:val="nil" w:sz="6" w:space="0" w:color="auto"/>
              <w:right w:val="nil" w:sz="6" w:space="0" w:color="auto"/>
            </w:tcBorders>
          </w:tcPr>
          <w:p>
            <w:pPr>
              <w:pStyle w:val="TableParagraph"/>
              <w:spacing w:line="231" w:lineRule="exact"/>
              <w:ind w:left="1195" w:right="0"/>
              <w:jc w:val="left"/>
              <w:rPr>
                <w:rFonts w:ascii="宋体" w:hAnsi="宋体" w:cs="宋体" w:eastAsia="宋体" w:hint="default"/>
                <w:sz w:val="18"/>
                <w:szCs w:val="18"/>
              </w:rPr>
            </w:pPr>
            <w:r>
              <w:rPr>
                <w:rFonts w:ascii="宋体"/>
                <w:sz w:val="18"/>
              </w:rPr>
              <w:t>97,697,055.40</w:t>
            </w:r>
          </w:p>
        </w:tc>
        <w:tc>
          <w:tcPr>
            <w:tcW w:w="162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68,387,944.94</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本年年末金额</w:t>
            </w:r>
            <w:r>
              <w:rPr>
                <w:rFonts w:ascii="宋体" w:hAnsi="宋体" w:cs="宋体" w:eastAsia="宋体" w:hint="default"/>
                <w:sz w:val="18"/>
                <w:szCs w:val="18"/>
              </w:rPr>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911" w:right="0"/>
              <w:jc w:val="left"/>
              <w:rPr>
                <w:rFonts w:ascii="宋体" w:hAnsi="宋体" w:cs="宋体" w:eastAsia="宋体" w:hint="default"/>
                <w:sz w:val="18"/>
                <w:szCs w:val="18"/>
              </w:rPr>
            </w:pPr>
            <w:r>
              <w:rPr>
                <w:rFonts w:ascii="宋体"/>
                <w:b/>
                <w:sz w:val="18"/>
              </w:rPr>
              <w:t>1,745,974,648.63</w:t>
            </w:r>
            <w:r>
              <w:rPr>
                <w:rFonts w:ascii="宋体"/>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1,412,071,728.11</w:t>
            </w:r>
            <w:r>
              <w:rPr>
                <w:rFonts w:ascii="宋体"/>
                <w:sz w:val="18"/>
              </w:rPr>
            </w:r>
          </w:p>
        </w:tc>
      </w:tr>
      <w:tr>
        <w:trPr>
          <w:trHeight w:val="304" w:hRule="exact"/>
        </w:trPr>
        <w:tc>
          <w:tcPr>
            <w:tcW w:w="4038"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其中：拟分配现金股利</w:t>
            </w:r>
          </w:p>
        </w:tc>
        <w:tc>
          <w:tcPr>
            <w:tcW w:w="2978" w:type="dxa"/>
            <w:tcBorders>
              <w:top w:val="nil" w:sz="6" w:space="0" w:color="auto"/>
              <w:left w:val="nil" w:sz="6" w:space="0" w:color="auto"/>
              <w:bottom w:val="single" w:sz="12" w:space="0" w:color="000000"/>
              <w:right w:val="nil" w:sz="6" w:space="0" w:color="auto"/>
            </w:tcBorders>
          </w:tcPr>
          <w:p>
            <w:pPr>
              <w:pStyle w:val="TableParagraph"/>
              <w:spacing w:line="232" w:lineRule="exact"/>
              <w:ind w:left="1195" w:right="0"/>
              <w:jc w:val="left"/>
              <w:rPr>
                <w:rFonts w:ascii="宋体" w:hAnsi="宋体" w:cs="宋体" w:eastAsia="宋体" w:hint="default"/>
                <w:sz w:val="18"/>
                <w:szCs w:val="18"/>
              </w:rPr>
            </w:pPr>
            <w:r>
              <w:rPr>
                <w:rFonts w:ascii="宋体"/>
                <w:sz w:val="18"/>
              </w:rPr>
              <w:t>99,385,055.40</w:t>
            </w:r>
          </w:p>
        </w:tc>
        <w:tc>
          <w:tcPr>
            <w:tcW w:w="1621"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97,697,055.40</w:t>
            </w:r>
          </w:p>
        </w:tc>
      </w:tr>
      <w:tr>
        <w:trPr>
          <w:trHeight w:val="576" w:hRule="exact"/>
        </w:trPr>
        <w:tc>
          <w:tcPr>
            <w:tcW w:w="40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44.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少数股东权益</w:t>
            </w:r>
          </w:p>
        </w:tc>
        <w:tc>
          <w:tcPr>
            <w:tcW w:w="2978" w:type="dxa"/>
            <w:tcBorders>
              <w:top w:val="single" w:sz="12" w:space="0" w:color="000000"/>
              <w:left w:val="nil" w:sz="6" w:space="0" w:color="auto"/>
              <w:bottom w:val="single" w:sz="12" w:space="0" w:color="000000"/>
              <w:right w:val="nil" w:sz="6" w:space="0" w:color="auto"/>
            </w:tcBorders>
          </w:tcPr>
          <w:p>
            <w:pPr/>
          </w:p>
        </w:tc>
        <w:tc>
          <w:tcPr>
            <w:tcW w:w="162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03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9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2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4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03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978" w:type="dxa"/>
            <w:tcBorders>
              <w:top w:val="single" w:sz="4" w:space="0" w:color="000000"/>
              <w:left w:val="nil" w:sz="6" w:space="0" w:color="auto"/>
              <w:bottom w:val="nil" w:sz="6" w:space="0" w:color="auto"/>
              <w:right w:val="nil" w:sz="6" w:space="0" w:color="auto"/>
            </w:tcBorders>
          </w:tcPr>
          <w:p>
            <w:pPr>
              <w:pStyle w:val="TableParagraph"/>
              <w:spacing w:line="226" w:lineRule="exact"/>
              <w:ind w:left="897" w:right="0"/>
              <w:jc w:val="left"/>
              <w:rPr>
                <w:rFonts w:ascii="宋体" w:hAnsi="宋体" w:cs="宋体" w:eastAsia="宋体" w:hint="default"/>
                <w:sz w:val="18"/>
                <w:szCs w:val="18"/>
              </w:rPr>
            </w:pPr>
            <w:r>
              <w:rPr>
                <w:rFonts w:ascii="宋体"/>
                <w:sz w:val="18"/>
              </w:rPr>
              <w:t>1,527,786,873.52</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1,449,673,677.52</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977" w:right="0"/>
              <w:jc w:val="left"/>
              <w:rPr>
                <w:rFonts w:ascii="宋体" w:hAnsi="宋体" w:cs="宋体" w:eastAsia="宋体" w:hint="default"/>
                <w:sz w:val="18"/>
                <w:szCs w:val="18"/>
              </w:rPr>
            </w:pPr>
            <w:r>
              <w:rPr>
                <w:rFonts w:ascii="宋体"/>
                <w:sz w:val="18"/>
              </w:rPr>
              <w:t>0.00</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2,962,925.08</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北京同方创新投资有限公司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257" w:right="0"/>
              <w:jc w:val="left"/>
              <w:rPr>
                <w:rFonts w:ascii="宋体" w:hAnsi="宋体" w:cs="宋体" w:eastAsia="宋体" w:hint="default"/>
                <w:sz w:val="18"/>
                <w:szCs w:val="18"/>
              </w:rPr>
            </w:pPr>
            <w:r>
              <w:rPr>
                <w:rFonts w:ascii="宋体"/>
                <w:sz w:val="18"/>
              </w:rPr>
              <w:t>2,351,133.99</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5,799,150.09</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67" w:right="0"/>
              <w:jc w:val="left"/>
              <w:rPr>
                <w:rFonts w:ascii="宋体" w:hAnsi="宋体" w:cs="宋体" w:eastAsia="宋体" w:hint="default"/>
                <w:sz w:val="18"/>
                <w:szCs w:val="18"/>
              </w:rPr>
            </w:pPr>
            <w:r>
              <w:rPr>
                <w:rFonts w:ascii="宋体"/>
                <w:sz w:val="18"/>
              </w:rPr>
              <w:t>24,623,822.09</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24,404,178.44</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北京同方房地产开发有限公司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1" w:lineRule="exact"/>
              <w:ind w:left="1257" w:right="0"/>
              <w:jc w:val="left"/>
              <w:rPr>
                <w:rFonts w:ascii="宋体" w:hAnsi="宋体" w:cs="宋体" w:eastAsia="宋体" w:hint="default"/>
                <w:sz w:val="18"/>
                <w:szCs w:val="18"/>
              </w:rPr>
            </w:pPr>
            <w:r>
              <w:rPr>
                <w:rFonts w:ascii="宋体"/>
                <w:sz w:val="18"/>
              </w:rPr>
              <w:t>5,947,128.74</w:t>
            </w:r>
          </w:p>
        </w:tc>
        <w:tc>
          <w:tcPr>
            <w:tcW w:w="162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67" w:right="0"/>
              <w:jc w:val="left"/>
              <w:rPr>
                <w:rFonts w:ascii="宋体" w:hAnsi="宋体" w:cs="宋体" w:eastAsia="宋体" w:hint="default"/>
                <w:sz w:val="18"/>
                <w:szCs w:val="18"/>
              </w:rPr>
            </w:pPr>
            <w:r>
              <w:rPr>
                <w:rFonts w:ascii="宋体"/>
                <w:sz w:val="18"/>
              </w:rPr>
              <w:t>11,933,016.48</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11,156,009.21</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077" w:right="0"/>
              <w:jc w:val="left"/>
              <w:rPr>
                <w:rFonts w:ascii="宋体" w:hAnsi="宋体" w:cs="宋体" w:eastAsia="宋体" w:hint="default"/>
                <w:sz w:val="18"/>
                <w:szCs w:val="18"/>
              </w:rPr>
            </w:pPr>
            <w:r>
              <w:rPr>
                <w:rFonts w:ascii="宋体"/>
                <w:sz w:val="18"/>
              </w:rPr>
              <w:t>310,095,949.90</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279,453,166.55</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67" w:right="0"/>
              <w:jc w:val="left"/>
              <w:rPr>
                <w:rFonts w:ascii="宋体" w:hAnsi="宋体" w:cs="宋体" w:eastAsia="宋体" w:hint="default"/>
                <w:sz w:val="18"/>
                <w:szCs w:val="18"/>
              </w:rPr>
            </w:pPr>
            <w:r>
              <w:rPr>
                <w:rFonts w:ascii="宋体"/>
                <w:sz w:val="18"/>
              </w:rPr>
              <w:t>72,893,929.71</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62,866,715.64</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67" w:right="0"/>
              <w:jc w:val="left"/>
              <w:rPr>
                <w:rFonts w:ascii="宋体" w:hAnsi="宋体" w:cs="宋体" w:eastAsia="宋体" w:hint="default"/>
                <w:sz w:val="18"/>
                <w:szCs w:val="18"/>
              </w:rPr>
            </w:pPr>
            <w:r>
              <w:rPr>
                <w:rFonts w:ascii="宋体"/>
                <w:sz w:val="18"/>
              </w:rPr>
              <w:t>11,432,953.26</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11,550,982.30</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67" w:right="0"/>
              <w:jc w:val="left"/>
              <w:rPr>
                <w:rFonts w:ascii="宋体" w:hAnsi="宋体" w:cs="宋体" w:eastAsia="宋体" w:hint="default"/>
                <w:sz w:val="18"/>
                <w:szCs w:val="18"/>
              </w:rPr>
            </w:pPr>
            <w:r>
              <w:rPr>
                <w:rFonts w:ascii="宋体"/>
                <w:sz w:val="18"/>
              </w:rPr>
              <w:t>16,763,126.89</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1" w:lineRule="exact"/>
              <w:ind w:left="1347" w:right="0"/>
              <w:jc w:val="left"/>
              <w:rPr>
                <w:rFonts w:ascii="宋体" w:hAnsi="宋体" w:cs="宋体" w:eastAsia="宋体" w:hint="default"/>
                <w:sz w:val="18"/>
                <w:szCs w:val="18"/>
              </w:rPr>
            </w:pPr>
            <w:r>
              <w:rPr>
                <w:rFonts w:ascii="宋体"/>
                <w:sz w:val="18"/>
              </w:rPr>
              <w:t>-471,219.12</w:t>
            </w:r>
          </w:p>
        </w:tc>
        <w:tc>
          <w:tcPr>
            <w:tcW w:w="162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6,614,339.15</w:t>
            </w:r>
          </w:p>
        </w:tc>
      </w:tr>
      <w:tr>
        <w:trPr>
          <w:trHeight w:val="304" w:hRule="exact"/>
        </w:trPr>
        <w:tc>
          <w:tcPr>
            <w:tcW w:w="4038"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sz w:val="18"/>
              </w:rPr>
              <w:t>Technovator Int. Private Ltd.</w:t>
            </w:r>
          </w:p>
        </w:tc>
        <w:tc>
          <w:tcPr>
            <w:tcW w:w="2978" w:type="dxa"/>
            <w:tcBorders>
              <w:top w:val="nil" w:sz="6" w:space="0" w:color="auto"/>
              <w:left w:val="nil" w:sz="6" w:space="0" w:color="auto"/>
              <w:bottom w:val="single" w:sz="12" w:space="0" w:color="000000"/>
              <w:right w:val="nil" w:sz="6" w:space="0" w:color="auto"/>
            </w:tcBorders>
          </w:tcPr>
          <w:p>
            <w:pPr>
              <w:pStyle w:val="TableParagraph"/>
              <w:spacing w:line="232" w:lineRule="exact"/>
              <w:ind w:left="1077" w:right="0"/>
              <w:jc w:val="left"/>
              <w:rPr>
                <w:rFonts w:ascii="宋体" w:hAnsi="宋体" w:cs="宋体" w:eastAsia="宋体" w:hint="default"/>
                <w:sz w:val="18"/>
                <w:szCs w:val="18"/>
              </w:rPr>
            </w:pPr>
            <w:r>
              <w:rPr>
                <w:rFonts w:ascii="宋体"/>
                <w:sz w:val="18"/>
              </w:rPr>
              <w:t>173,023,661.00</w:t>
            </w:r>
          </w:p>
        </w:tc>
        <w:tc>
          <w:tcPr>
            <w:tcW w:w="1621"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128,650,297.77</w:t>
            </w:r>
          </w:p>
        </w:tc>
      </w:tr>
    </w:tbl>
    <w:p>
      <w:pPr>
        <w:spacing w:after="0" w:line="232" w:lineRule="exact"/>
        <w:jc w:val="right"/>
        <w:rPr>
          <w:rFonts w:ascii="宋体" w:hAnsi="宋体" w:cs="宋体" w:eastAsia="宋体" w:hint="default"/>
          <w:sz w:val="18"/>
          <w:szCs w:val="18"/>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r>
        <w:rPr/>
        <w:pict>
          <v:shape style="position:absolute;margin-left:84.839996pt;margin-top:85.830002pt;width:431.9pt;height:672.55pt;mso-position-horizontal-relative:page;mso-position-vertical-relative:page;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0"/>
                    <w:gridCol w:w="2846"/>
                    <w:gridCol w:w="1752"/>
                  </w:tblGrid>
                  <w:tr>
                    <w:trPr>
                      <w:trHeight w:val="302" w:hRule="exact"/>
                    </w:trPr>
                    <w:tc>
                      <w:tcPr>
                        <w:tcW w:w="404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84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5"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5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04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sz w:val="18"/>
                          </w:rPr>
                          <w:t>Resuccess Investments Ltd.</w:t>
                        </w:r>
                      </w:p>
                    </w:tc>
                    <w:tc>
                      <w:tcPr>
                        <w:tcW w:w="2846" w:type="dxa"/>
                        <w:tcBorders>
                          <w:top w:val="single" w:sz="4" w:space="0" w:color="000000"/>
                          <w:left w:val="nil" w:sz="6" w:space="0" w:color="auto"/>
                          <w:bottom w:val="nil" w:sz="6" w:space="0" w:color="auto"/>
                          <w:right w:val="nil" w:sz="6" w:space="0" w:color="auto"/>
                        </w:tcBorders>
                      </w:tcPr>
                      <w:p>
                        <w:pPr>
                          <w:pStyle w:val="TableParagraph"/>
                          <w:spacing w:line="226" w:lineRule="exact"/>
                          <w:ind w:right="508"/>
                          <w:jc w:val="right"/>
                          <w:rPr>
                            <w:rFonts w:ascii="宋体" w:hAnsi="宋体" w:cs="宋体" w:eastAsia="宋体" w:hint="default"/>
                            <w:sz w:val="18"/>
                            <w:szCs w:val="18"/>
                          </w:rPr>
                        </w:pPr>
                        <w:r>
                          <w:rPr>
                            <w:rFonts w:ascii="宋体"/>
                            <w:sz w:val="18"/>
                          </w:rPr>
                          <w:t>9,757,009.38</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13,983,991.59</w:t>
                        </w:r>
                      </w:p>
                    </w:tc>
                  </w:tr>
                  <w:tr>
                    <w:trPr>
                      <w:trHeight w:val="283"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2846"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7,626,014.87</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20,889,699.02</w:t>
                        </w:r>
                      </w:p>
                    </w:tc>
                  </w:tr>
                  <w:tr>
                    <w:trPr>
                      <w:trHeight w:val="283"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2846"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3,290,948.61</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4,902,528.46</w:t>
                        </w:r>
                      </w:p>
                    </w:tc>
                  </w:tr>
                  <w:tr>
                    <w:trPr>
                      <w:trHeight w:val="283"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2846"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5,678,693.63</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8,355,524.76</w:t>
                        </w:r>
                      </w:p>
                    </w:tc>
                  </w:tr>
                  <w:tr>
                    <w:trPr>
                      <w:trHeight w:val="283"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同方光电科技有限公司</w:t>
                        </w:r>
                      </w:p>
                    </w:tc>
                    <w:tc>
                      <w:tcPr>
                        <w:tcW w:w="2846"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4,245,409.70</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846"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64,735,021.49</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61,444,178.24</w:t>
                        </w:r>
                      </w:p>
                    </w:tc>
                  </w:tr>
                  <w:tr>
                    <w:trPr>
                      <w:trHeight w:val="283"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2846"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20,747,725.70</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4040" w:type="dxa"/>
                        <w:tcBorders>
                          <w:top w:val="nil" w:sz="6" w:space="0" w:color="auto"/>
                          <w:left w:val="nil" w:sz="6" w:space="0" w:color="auto"/>
                          <w:bottom w:val="single" w:sz="4" w:space="0" w:color="000000"/>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p>
                    </w:tc>
                    <w:tc>
                      <w:tcPr>
                        <w:tcW w:w="2846" w:type="dxa"/>
                        <w:tcBorders>
                          <w:top w:val="nil" w:sz="6" w:space="0" w:color="auto"/>
                          <w:left w:val="nil" w:sz="6" w:space="0" w:color="auto"/>
                          <w:bottom w:val="single" w:sz="4" w:space="0" w:color="000000"/>
                          <w:right w:val="nil" w:sz="6" w:space="0" w:color="auto"/>
                        </w:tcBorders>
                      </w:tcPr>
                      <w:p>
                        <w:pPr>
                          <w:pStyle w:val="TableParagraph"/>
                          <w:spacing w:line="231" w:lineRule="exact"/>
                          <w:ind w:right="508"/>
                          <w:jc w:val="right"/>
                          <w:rPr>
                            <w:rFonts w:ascii="宋体" w:hAnsi="宋体" w:cs="宋体" w:eastAsia="宋体" w:hint="default"/>
                            <w:sz w:val="18"/>
                            <w:szCs w:val="18"/>
                          </w:rPr>
                        </w:pPr>
                        <w:r>
                          <w:rPr>
                            <w:rFonts w:ascii="宋体"/>
                            <w:sz w:val="18"/>
                          </w:rPr>
                          <w:t>338,615,475.98</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404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08"/>
                          <w:jc w:val="right"/>
                          <w:rPr>
                            <w:rFonts w:ascii="宋体" w:hAnsi="宋体" w:cs="宋体" w:eastAsia="宋体" w:hint="default"/>
                            <w:sz w:val="18"/>
                            <w:szCs w:val="18"/>
                          </w:rPr>
                        </w:pPr>
                        <w:r>
                          <w:rPr>
                            <w:rFonts w:ascii="宋体"/>
                            <w:b/>
                            <w:w w:val="95"/>
                            <w:sz w:val="18"/>
                          </w:rPr>
                          <w:t>2,611,076,675.82</w:t>
                        </w:r>
                        <w:r>
                          <w:rPr>
                            <w:rFonts w:ascii="宋体"/>
                            <w:sz w:val="18"/>
                          </w:rPr>
                        </w:r>
                      </w:p>
                    </w:tc>
                    <w:tc>
                      <w:tcPr>
                        <w:tcW w:w="175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2,092,707,363.82</w:t>
                        </w:r>
                        <w:r>
                          <w:rPr>
                            <w:rFonts w:ascii="宋体"/>
                            <w:sz w:val="18"/>
                          </w:rPr>
                        </w:r>
                      </w:p>
                    </w:tc>
                  </w:tr>
                  <w:tr>
                    <w:trPr>
                      <w:trHeight w:val="449" w:hRule="exact"/>
                    </w:trPr>
                    <w:tc>
                      <w:tcPr>
                        <w:tcW w:w="4040"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45.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营业收入、营业成本</w:t>
                        </w:r>
                      </w:p>
                    </w:tc>
                    <w:tc>
                      <w:tcPr>
                        <w:tcW w:w="2846" w:type="dxa"/>
                        <w:tcBorders>
                          <w:top w:val="single" w:sz="12" w:space="0" w:color="000000"/>
                          <w:left w:val="nil" w:sz="6" w:space="0" w:color="auto"/>
                          <w:bottom w:val="nil" w:sz="6" w:space="0" w:color="auto"/>
                          <w:right w:val="nil" w:sz="6" w:space="0" w:color="auto"/>
                        </w:tcBorders>
                      </w:tcPr>
                      <w:p>
                        <w:pPr/>
                      </w:p>
                    </w:tc>
                    <w:tc>
                      <w:tcPr>
                        <w:tcW w:w="1752" w:type="dxa"/>
                        <w:tcBorders>
                          <w:top w:val="single" w:sz="12" w:space="0" w:color="000000"/>
                          <w:left w:val="nil" w:sz="6" w:space="0" w:color="auto"/>
                          <w:bottom w:val="nil" w:sz="6" w:space="0" w:color="auto"/>
                          <w:right w:val="nil" w:sz="6" w:space="0" w:color="auto"/>
                        </w:tcBorders>
                      </w:tcPr>
                      <w:p>
                        <w:pPr/>
                      </w:p>
                    </w:tc>
                  </w:tr>
                  <w:tr>
                    <w:trPr>
                      <w:trHeight w:val="439" w:hRule="exact"/>
                    </w:trPr>
                    <w:tc>
                      <w:tcPr>
                        <w:tcW w:w="4040"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营业收入及成本</w:t>
                        </w:r>
                      </w:p>
                    </w:tc>
                    <w:tc>
                      <w:tcPr>
                        <w:tcW w:w="2846" w:type="dxa"/>
                        <w:tcBorders>
                          <w:top w:val="nil" w:sz="6" w:space="0" w:color="auto"/>
                          <w:left w:val="nil" w:sz="6" w:space="0" w:color="auto"/>
                          <w:bottom w:val="single" w:sz="12" w:space="0" w:color="000000"/>
                          <w:right w:val="nil" w:sz="6" w:space="0" w:color="auto"/>
                        </w:tcBorders>
                      </w:tcPr>
                      <w:p>
                        <w:pPr/>
                      </w:p>
                    </w:tc>
                    <w:tc>
                      <w:tcPr>
                        <w:tcW w:w="1752"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04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5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404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46" w:type="dxa"/>
                        <w:tcBorders>
                          <w:top w:val="single" w:sz="4" w:space="0" w:color="000000"/>
                          <w:left w:val="nil" w:sz="6" w:space="0" w:color="auto"/>
                          <w:bottom w:val="nil" w:sz="6" w:space="0" w:color="auto"/>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18,135,233,362.30</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15,224,786,038.69</w:t>
                        </w:r>
                      </w:p>
                    </w:tc>
                  </w:tr>
                  <w:tr>
                    <w:trPr>
                      <w:trHeight w:val="294" w:hRule="exact"/>
                    </w:trPr>
                    <w:tc>
                      <w:tcPr>
                        <w:tcW w:w="4040"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46" w:type="dxa"/>
                        <w:tcBorders>
                          <w:top w:val="nil" w:sz="6" w:space="0" w:color="auto"/>
                          <w:left w:val="nil" w:sz="6" w:space="0" w:color="auto"/>
                          <w:bottom w:val="single" w:sz="4" w:space="0" w:color="000000"/>
                          <w:right w:val="nil" w:sz="6" w:space="0" w:color="auto"/>
                        </w:tcBorders>
                      </w:tcPr>
                      <w:p>
                        <w:pPr>
                          <w:pStyle w:val="TableParagraph"/>
                          <w:spacing w:line="232" w:lineRule="exact"/>
                          <w:ind w:right="530"/>
                          <w:jc w:val="right"/>
                          <w:rPr>
                            <w:rFonts w:ascii="宋体" w:hAnsi="宋体" w:cs="宋体" w:eastAsia="宋体" w:hint="default"/>
                            <w:sz w:val="18"/>
                            <w:szCs w:val="18"/>
                          </w:rPr>
                        </w:pPr>
                        <w:r>
                          <w:rPr>
                            <w:rFonts w:ascii="宋体"/>
                            <w:sz w:val="18"/>
                          </w:rPr>
                          <w:t>122,276,059.37</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162,949,707.56</w:t>
                        </w:r>
                      </w:p>
                    </w:tc>
                  </w:tr>
                  <w:tr>
                    <w:trPr>
                      <w:trHeight w:val="303" w:hRule="exact"/>
                    </w:trPr>
                    <w:tc>
                      <w:tcPr>
                        <w:tcW w:w="404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31"/>
                          <w:jc w:val="right"/>
                          <w:rPr>
                            <w:rFonts w:ascii="宋体" w:hAnsi="宋体" w:cs="宋体" w:eastAsia="宋体" w:hint="default"/>
                            <w:sz w:val="18"/>
                            <w:szCs w:val="18"/>
                          </w:rPr>
                        </w:pPr>
                        <w:r>
                          <w:rPr>
                            <w:rFonts w:ascii="宋体"/>
                            <w:b/>
                            <w:w w:val="95"/>
                            <w:sz w:val="18"/>
                          </w:rPr>
                          <w:t>18,257,509,421.67</w:t>
                        </w:r>
                        <w:r>
                          <w:rPr>
                            <w:rFonts w:ascii="宋体"/>
                            <w:sz w:val="18"/>
                          </w:rPr>
                        </w:r>
                      </w:p>
                    </w:tc>
                    <w:tc>
                      <w:tcPr>
                        <w:tcW w:w="175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15,387,735,746.25</w:t>
                        </w:r>
                        <w:r>
                          <w:rPr>
                            <w:rFonts w:ascii="宋体"/>
                            <w:sz w:val="18"/>
                          </w:rPr>
                        </w:r>
                      </w:p>
                    </w:tc>
                  </w:tr>
                  <w:tr>
                    <w:trPr>
                      <w:trHeight w:val="303" w:hRule="exact"/>
                    </w:trPr>
                    <w:tc>
                      <w:tcPr>
                        <w:tcW w:w="404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名客户销售额</w:t>
                        </w:r>
                      </w:p>
                    </w:tc>
                    <w:tc>
                      <w:tcPr>
                        <w:tcW w:w="284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1,455,865,076.07</w:t>
                        </w:r>
                      </w:p>
                    </w:tc>
                    <w:tc>
                      <w:tcPr>
                        <w:tcW w:w="1752"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1,886,383,794.67</w:t>
                        </w:r>
                      </w:p>
                    </w:tc>
                  </w:tr>
                  <w:tr>
                    <w:trPr>
                      <w:trHeight w:val="303" w:hRule="exact"/>
                    </w:trPr>
                    <w:tc>
                      <w:tcPr>
                        <w:tcW w:w="404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284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7.97%</w:t>
                        </w:r>
                      </w:p>
                    </w:tc>
                    <w:tc>
                      <w:tcPr>
                        <w:tcW w:w="175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12.26%</w:t>
                        </w:r>
                      </w:p>
                    </w:tc>
                  </w:tr>
                  <w:tr>
                    <w:trPr>
                      <w:trHeight w:val="292" w:hRule="exact"/>
                    </w:trPr>
                    <w:tc>
                      <w:tcPr>
                        <w:tcW w:w="4040" w:type="dxa"/>
                        <w:tcBorders>
                          <w:top w:val="single" w:sz="12"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46" w:type="dxa"/>
                        <w:tcBorders>
                          <w:top w:val="single" w:sz="12" w:space="0" w:color="000000"/>
                          <w:left w:val="nil" w:sz="6" w:space="0" w:color="auto"/>
                          <w:bottom w:val="nil" w:sz="6" w:space="0" w:color="auto"/>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15,323,174,327.50</w:t>
                        </w:r>
                      </w:p>
                    </w:tc>
                    <w:tc>
                      <w:tcPr>
                        <w:tcW w:w="1752" w:type="dxa"/>
                        <w:tcBorders>
                          <w:top w:val="single" w:sz="12"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12,805,205,283.26</w:t>
                        </w:r>
                      </w:p>
                    </w:tc>
                  </w:tr>
                  <w:tr>
                    <w:trPr>
                      <w:trHeight w:val="294" w:hRule="exact"/>
                    </w:trPr>
                    <w:tc>
                      <w:tcPr>
                        <w:tcW w:w="4040"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46" w:type="dxa"/>
                        <w:tcBorders>
                          <w:top w:val="nil" w:sz="6" w:space="0" w:color="auto"/>
                          <w:left w:val="nil" w:sz="6" w:space="0" w:color="auto"/>
                          <w:bottom w:val="single" w:sz="4" w:space="0" w:color="000000"/>
                          <w:right w:val="nil" w:sz="6" w:space="0" w:color="auto"/>
                        </w:tcBorders>
                      </w:tcPr>
                      <w:p>
                        <w:pPr>
                          <w:pStyle w:val="TableParagraph"/>
                          <w:spacing w:line="232" w:lineRule="exact"/>
                          <w:ind w:right="530"/>
                          <w:jc w:val="right"/>
                          <w:rPr>
                            <w:rFonts w:ascii="宋体" w:hAnsi="宋体" w:cs="宋体" w:eastAsia="宋体" w:hint="default"/>
                            <w:sz w:val="18"/>
                            <w:szCs w:val="18"/>
                          </w:rPr>
                        </w:pPr>
                        <w:r>
                          <w:rPr>
                            <w:rFonts w:ascii="宋体"/>
                            <w:sz w:val="18"/>
                          </w:rPr>
                          <w:t>88,939,829.63</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115,866,333.96</w:t>
                        </w:r>
                      </w:p>
                    </w:tc>
                  </w:tr>
                  <w:tr>
                    <w:trPr>
                      <w:trHeight w:val="303" w:hRule="exact"/>
                    </w:trPr>
                    <w:tc>
                      <w:tcPr>
                        <w:tcW w:w="404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31"/>
                          <w:jc w:val="right"/>
                          <w:rPr>
                            <w:rFonts w:ascii="宋体" w:hAnsi="宋体" w:cs="宋体" w:eastAsia="宋体" w:hint="default"/>
                            <w:sz w:val="18"/>
                            <w:szCs w:val="18"/>
                          </w:rPr>
                        </w:pPr>
                        <w:r>
                          <w:rPr>
                            <w:rFonts w:ascii="宋体"/>
                            <w:b/>
                            <w:w w:val="95"/>
                            <w:sz w:val="18"/>
                          </w:rPr>
                          <w:t>15,412,114,157.13</w:t>
                        </w:r>
                        <w:r>
                          <w:rPr>
                            <w:rFonts w:ascii="宋体"/>
                            <w:sz w:val="18"/>
                          </w:rPr>
                        </w:r>
                      </w:p>
                    </w:tc>
                    <w:tc>
                      <w:tcPr>
                        <w:tcW w:w="175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12,921,071,617.22</w:t>
                        </w:r>
                        <w:r>
                          <w:rPr>
                            <w:rFonts w:ascii="宋体"/>
                            <w:sz w:val="18"/>
                          </w:rPr>
                        </w:r>
                      </w:p>
                    </w:tc>
                  </w:tr>
                  <w:tr>
                    <w:trPr>
                      <w:trHeight w:val="397" w:hRule="exact"/>
                    </w:trPr>
                    <w:tc>
                      <w:tcPr>
                        <w:tcW w:w="4040"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主营业务—按业务类别分类</w:t>
                        </w:r>
                      </w:p>
                    </w:tc>
                    <w:tc>
                      <w:tcPr>
                        <w:tcW w:w="2846" w:type="dxa"/>
                        <w:tcBorders>
                          <w:top w:val="single" w:sz="12" w:space="0" w:color="000000"/>
                          <w:left w:val="nil" w:sz="6" w:space="0" w:color="auto"/>
                          <w:bottom w:val="nil" w:sz="6" w:space="0" w:color="auto"/>
                          <w:right w:val="nil" w:sz="6" w:space="0" w:color="auto"/>
                        </w:tcBorders>
                      </w:tcPr>
                      <w:p>
                        <w:pPr/>
                      </w:p>
                    </w:tc>
                    <w:tc>
                      <w:tcPr>
                        <w:tcW w:w="1752" w:type="dxa"/>
                        <w:tcBorders>
                          <w:top w:val="single" w:sz="12" w:space="0" w:color="000000"/>
                          <w:left w:val="nil" w:sz="6" w:space="0" w:color="auto"/>
                          <w:bottom w:val="nil" w:sz="6" w:space="0" w:color="auto"/>
                          <w:right w:val="nil" w:sz="6" w:space="0" w:color="auto"/>
                        </w:tcBorders>
                      </w:tcPr>
                      <w:p>
                        <w:pPr/>
                      </w:p>
                    </w:tc>
                  </w:tr>
                  <w:tr>
                    <w:trPr>
                      <w:trHeight w:val="482" w:hRule="exact"/>
                    </w:trPr>
                    <w:tc>
                      <w:tcPr>
                        <w:tcW w:w="86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4"/>
                            <w:szCs w:val="14"/>
                          </w:rPr>
                        </w:pPr>
                      </w:p>
                      <w:p>
                        <w:pPr>
                          <w:pStyle w:val="TableParagraph"/>
                          <w:tabs>
                            <w:tab w:pos="6524" w:val="left" w:leader="none"/>
                          </w:tabs>
                          <w:spacing w:line="240" w:lineRule="auto"/>
                          <w:ind w:left="3008" w:right="0"/>
                          <w:jc w:val="left"/>
                          <w:rPr>
                            <w:rFonts w:ascii="宋体" w:hAnsi="宋体" w:cs="宋体" w:eastAsia="宋体" w:hint="default"/>
                            <w:sz w:val="18"/>
                            <w:szCs w:val="18"/>
                          </w:rPr>
                        </w:pPr>
                        <w:r>
                          <w:rPr>
                            <w:rFonts w:ascii="宋体" w:hAnsi="宋体" w:cs="宋体" w:eastAsia="宋体" w:hint="default"/>
                            <w:b/>
                            <w:bCs/>
                            <w:w w:val="95"/>
                            <w:sz w:val="18"/>
                            <w:szCs w:val="18"/>
                          </w:rPr>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3" w:hRule="exact"/>
                    </w:trPr>
                    <w:tc>
                      <w:tcPr>
                        <w:tcW w:w="6886" w:type="dxa"/>
                        <w:gridSpan w:val="2"/>
                        <w:tcBorders>
                          <w:top w:val="nil" w:sz="6" w:space="0" w:color="auto"/>
                          <w:left w:val="nil" w:sz="6" w:space="0" w:color="auto"/>
                          <w:bottom w:val="single" w:sz="4" w:space="0" w:color="000000"/>
                          <w:right w:val="nil" w:sz="6" w:space="0" w:color="auto"/>
                        </w:tcBorders>
                      </w:tcPr>
                      <w:p>
                        <w:pPr>
                          <w:pStyle w:val="TableParagraph"/>
                          <w:tabs>
                            <w:tab w:pos="3707" w:val="left" w:leader="none"/>
                            <w:tab w:pos="5465" w:val="left" w:leader="none"/>
                          </w:tabs>
                          <w:spacing w:line="230" w:lineRule="exact"/>
                          <w:ind w:left="1949" w:right="0"/>
                          <w:jc w:val="left"/>
                          <w:rPr>
                            <w:rFonts w:ascii="宋体" w:hAnsi="宋体" w:cs="宋体" w:eastAsia="宋体" w:hint="default"/>
                            <w:sz w:val="18"/>
                            <w:szCs w:val="18"/>
                          </w:rPr>
                        </w:pPr>
                        <w:r>
                          <w:rPr>
                            <w:rFonts w:ascii="宋体" w:hAnsi="宋体" w:cs="宋体" w:eastAsia="宋体" w:hint="default"/>
                            <w:b/>
                            <w:bCs/>
                            <w:w w:val="95"/>
                            <w:sz w:val="18"/>
                            <w:szCs w:val="18"/>
                          </w:rPr>
                          <w:t>主营业务收入</w:t>
                          <w:tab/>
                          <w:t>主营业务成本</w:t>
                          <w:tab/>
                        </w: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5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282" w:hRule="exact"/>
                    </w:trPr>
                    <w:tc>
                      <w:tcPr>
                        <w:tcW w:w="6886" w:type="dxa"/>
                        <w:gridSpan w:val="2"/>
                        <w:tcBorders>
                          <w:top w:val="single" w:sz="4" w:space="0" w:color="000000"/>
                          <w:left w:val="nil" w:sz="6" w:space="0" w:color="auto"/>
                          <w:bottom w:val="nil" w:sz="6" w:space="0" w:color="auto"/>
                          <w:right w:val="nil" w:sz="6" w:space="0" w:color="auto"/>
                        </w:tcBorders>
                      </w:tcPr>
                      <w:p>
                        <w:pPr>
                          <w:pStyle w:val="TableParagraph"/>
                          <w:tabs>
                            <w:tab w:pos="1732" w:val="left" w:leader="none"/>
                            <w:tab w:pos="3490" w:val="left" w:leader="none"/>
                            <w:tab w:pos="5248"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信息技术</w:t>
                          <w:tab/>
                          <w:t>14,883,972,440.71</w:t>
                          <w:tab/>
                          <w:t>12,661,838,162.16</w:t>
                          <w:tab/>
                          <w:t>12,406,158,908.90</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pacing w:val="-1"/>
                            <w:sz w:val="18"/>
                          </w:rPr>
                          <w:t>10,541,670,250.86</w:t>
                        </w:r>
                      </w:p>
                    </w:tc>
                  </w:tr>
                  <w:tr>
                    <w:trPr>
                      <w:trHeight w:val="283" w:hRule="exact"/>
                    </w:trPr>
                    <w:tc>
                      <w:tcPr>
                        <w:tcW w:w="6886" w:type="dxa"/>
                        <w:gridSpan w:val="2"/>
                        <w:tcBorders>
                          <w:top w:val="nil" w:sz="6" w:space="0" w:color="auto"/>
                          <w:left w:val="nil" w:sz="6" w:space="0" w:color="auto"/>
                          <w:bottom w:val="nil" w:sz="6" w:space="0" w:color="auto"/>
                          <w:right w:val="nil" w:sz="6" w:space="0" w:color="auto"/>
                        </w:tcBorders>
                      </w:tcPr>
                      <w:p>
                        <w:pPr>
                          <w:pStyle w:val="TableParagraph"/>
                          <w:tabs>
                            <w:tab w:pos="1822" w:val="left" w:leader="none"/>
                            <w:tab w:pos="3580" w:val="left" w:leader="none"/>
                            <w:tab w:pos="5338"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能源环境</w:t>
                          <w:tab/>
                          <w:t>3,167,272,527.38</w:t>
                          <w:tab/>
                          <w:t>2,620,357,332.20</w:t>
                          <w:tab/>
                          <w:t>2,790,824,392.95</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2,237,995,842.78</w:t>
                        </w:r>
                      </w:p>
                    </w:tc>
                  </w:tr>
                  <w:tr>
                    <w:trPr>
                      <w:trHeight w:val="294" w:hRule="exact"/>
                    </w:trPr>
                    <w:tc>
                      <w:tcPr>
                        <w:tcW w:w="6886" w:type="dxa"/>
                        <w:gridSpan w:val="2"/>
                        <w:tcBorders>
                          <w:top w:val="nil" w:sz="6" w:space="0" w:color="auto"/>
                          <w:left w:val="nil" w:sz="6" w:space="0" w:color="auto"/>
                          <w:bottom w:val="single" w:sz="4" w:space="0" w:color="000000"/>
                          <w:right w:val="nil" w:sz="6" w:space="0" w:color="auto"/>
                        </w:tcBorders>
                      </w:tcPr>
                      <w:p>
                        <w:pPr>
                          <w:pStyle w:val="TableParagraph"/>
                          <w:tabs>
                            <w:tab w:pos="2092" w:val="left" w:leader="none"/>
                            <w:tab w:pos="3850" w:val="left" w:leader="none"/>
                            <w:tab w:pos="5608"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科技园区</w:t>
                          <w:tab/>
                          <w:t>83,988,394.21</w:t>
                          <w:tab/>
                          <w:t>40,978,833.14</w:t>
                          <w:tab/>
                          <w:t>27,802,736.84</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25,539,189.62</w:t>
                        </w:r>
                      </w:p>
                    </w:tc>
                  </w:tr>
                  <w:tr>
                    <w:trPr>
                      <w:trHeight w:val="303" w:hRule="exact"/>
                    </w:trPr>
                    <w:tc>
                      <w:tcPr>
                        <w:tcW w:w="6886" w:type="dxa"/>
                        <w:gridSpan w:val="2"/>
                        <w:tcBorders>
                          <w:top w:val="single" w:sz="4" w:space="0" w:color="000000"/>
                          <w:left w:val="nil" w:sz="6" w:space="0" w:color="auto"/>
                          <w:bottom w:val="single" w:sz="12" w:space="0" w:color="000000"/>
                          <w:right w:val="nil" w:sz="6" w:space="0" w:color="auto"/>
                        </w:tcBorders>
                      </w:tcPr>
                      <w:p>
                        <w:pPr>
                          <w:pStyle w:val="TableParagraph"/>
                          <w:tabs>
                            <w:tab w:pos="1720" w:val="left" w:leader="none"/>
                            <w:tab w:pos="3478" w:val="left" w:leader="none"/>
                            <w:tab w:pos="5236" w:val="left" w:leader="none"/>
                          </w:tabs>
                          <w:spacing w:line="226"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t>18,135,233,362.30</w:t>
                          <w:tab/>
                          <w:t>15,323,174,327.50</w:t>
                          <w:tab/>
                        </w:r>
                        <w:r>
                          <w:rPr>
                            <w:rFonts w:ascii="宋体" w:hAnsi="宋体" w:cs="宋体" w:eastAsia="宋体" w:hint="default"/>
                            <w:b/>
                            <w:bCs/>
                            <w:sz w:val="18"/>
                            <w:szCs w:val="18"/>
                          </w:rPr>
                          <w:t>15,224,786,038.69</w:t>
                        </w:r>
                        <w:r>
                          <w:rPr>
                            <w:rFonts w:ascii="宋体" w:hAnsi="宋体" w:cs="宋体" w:eastAsia="宋体" w:hint="default"/>
                            <w:sz w:val="18"/>
                            <w:szCs w:val="18"/>
                          </w:rPr>
                        </w:r>
                      </w:p>
                    </w:tc>
                    <w:tc>
                      <w:tcPr>
                        <w:tcW w:w="175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12,805,205,283.26</w:t>
                        </w:r>
                        <w:r>
                          <w:rPr>
                            <w:rFonts w:ascii="宋体"/>
                            <w:sz w:val="18"/>
                          </w:rPr>
                        </w:r>
                      </w:p>
                    </w:tc>
                  </w:tr>
                  <w:tr>
                    <w:trPr>
                      <w:trHeight w:val="576" w:hRule="exact"/>
                    </w:trPr>
                    <w:tc>
                      <w:tcPr>
                        <w:tcW w:w="6886"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46.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营业税金及附加</w:t>
                        </w:r>
                      </w:p>
                    </w:tc>
                    <w:tc>
                      <w:tcPr>
                        <w:tcW w:w="1752"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6886" w:type="dxa"/>
                        <w:gridSpan w:val="2"/>
                        <w:tcBorders>
                          <w:top w:val="single" w:sz="12" w:space="0" w:color="000000"/>
                          <w:left w:val="nil" w:sz="6" w:space="0" w:color="auto"/>
                          <w:bottom w:val="single" w:sz="4" w:space="0" w:color="000000"/>
                          <w:right w:val="nil" w:sz="6" w:space="0" w:color="auto"/>
                        </w:tcBorders>
                      </w:tcPr>
                      <w:p>
                        <w:pPr>
                          <w:pStyle w:val="TableParagraph"/>
                          <w:tabs>
                            <w:tab w:pos="2842" w:val="left" w:leader="none"/>
                            <w:tab w:pos="5471"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项目</w:t>
                          <w:tab/>
                          <w:t>计缴比例</w:t>
                          <w:tab/>
                        </w: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6886" w:type="dxa"/>
                        <w:gridSpan w:val="2"/>
                        <w:tcBorders>
                          <w:top w:val="single" w:sz="4" w:space="0" w:color="000000"/>
                          <w:left w:val="nil" w:sz="6" w:space="0" w:color="auto"/>
                          <w:bottom w:val="nil" w:sz="6" w:space="0" w:color="auto"/>
                          <w:right w:val="nil" w:sz="6" w:space="0" w:color="auto"/>
                        </w:tcBorders>
                      </w:tcPr>
                      <w:p>
                        <w:pPr>
                          <w:pStyle w:val="TableParagraph"/>
                          <w:tabs>
                            <w:tab w:pos="2440" w:val="left" w:leader="none"/>
                            <w:tab w:pos="5175"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营业税</w:t>
                          <w:tab/>
                          <w:t>应税收入的</w:t>
                        </w:r>
                        <w:r>
                          <w:rPr>
                            <w:rFonts w:ascii="宋体" w:hAnsi="宋体" w:cs="宋体" w:eastAsia="宋体" w:hint="default"/>
                            <w:spacing w:val="-46"/>
                            <w:sz w:val="18"/>
                            <w:szCs w:val="18"/>
                          </w:rPr>
                          <w:t> </w:t>
                        </w:r>
                        <w:r>
                          <w:rPr>
                            <w:rFonts w:ascii="宋体" w:hAnsi="宋体" w:cs="宋体" w:eastAsia="宋体" w:hint="default"/>
                            <w:sz w:val="18"/>
                            <w:szCs w:val="18"/>
                          </w:rPr>
                          <w:t>3%或</w:t>
                        </w:r>
                        <w:r>
                          <w:rPr>
                            <w:rFonts w:ascii="宋体" w:hAnsi="宋体" w:cs="宋体" w:eastAsia="宋体" w:hint="default"/>
                            <w:spacing w:val="-46"/>
                            <w:sz w:val="18"/>
                            <w:szCs w:val="18"/>
                          </w:rPr>
                          <w:t> </w:t>
                        </w:r>
                        <w:r>
                          <w:rPr>
                            <w:rFonts w:ascii="宋体" w:hAnsi="宋体" w:cs="宋体" w:eastAsia="宋体" w:hint="default"/>
                            <w:sz w:val="18"/>
                            <w:szCs w:val="18"/>
                          </w:rPr>
                          <w:t>5%</w:t>
                          <w:tab/>
                          <w:t>109,142,985.07</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108,362,997.70</w:t>
                        </w:r>
                      </w:p>
                    </w:tc>
                  </w:tr>
                  <w:tr>
                    <w:trPr>
                      <w:trHeight w:val="283" w:hRule="exact"/>
                    </w:trPr>
                    <w:tc>
                      <w:tcPr>
                        <w:tcW w:w="6886" w:type="dxa"/>
                        <w:gridSpan w:val="2"/>
                        <w:tcBorders>
                          <w:top w:val="nil" w:sz="6" w:space="0" w:color="auto"/>
                          <w:left w:val="nil" w:sz="6" w:space="0" w:color="auto"/>
                          <w:bottom w:val="nil" w:sz="6" w:space="0" w:color="auto"/>
                          <w:right w:val="nil" w:sz="6" w:space="0" w:color="auto"/>
                        </w:tcBorders>
                      </w:tcPr>
                      <w:p>
                        <w:pPr>
                          <w:pStyle w:val="TableParagraph"/>
                          <w:tabs>
                            <w:tab w:pos="2552" w:val="left" w:leader="none"/>
                            <w:tab w:pos="5265"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tab/>
                          <w:t>应交流转税的</w:t>
                        </w:r>
                        <w:r>
                          <w:rPr>
                            <w:rFonts w:ascii="宋体" w:hAnsi="宋体" w:cs="宋体" w:eastAsia="宋体" w:hint="default"/>
                            <w:spacing w:val="-46"/>
                            <w:sz w:val="18"/>
                            <w:szCs w:val="18"/>
                          </w:rPr>
                          <w:t> </w:t>
                        </w:r>
                        <w:r>
                          <w:rPr>
                            <w:rFonts w:ascii="宋体" w:hAnsi="宋体" w:cs="宋体" w:eastAsia="宋体" w:hint="default"/>
                            <w:sz w:val="18"/>
                            <w:szCs w:val="18"/>
                          </w:rPr>
                          <w:t>7%</w:t>
                          <w:tab/>
                          <w:t>30,336,269.23</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26,673,681.79</w:t>
                        </w:r>
                      </w:p>
                    </w:tc>
                  </w:tr>
                  <w:tr>
                    <w:trPr>
                      <w:trHeight w:val="283" w:hRule="exact"/>
                    </w:trPr>
                    <w:tc>
                      <w:tcPr>
                        <w:tcW w:w="6886" w:type="dxa"/>
                        <w:gridSpan w:val="2"/>
                        <w:tcBorders>
                          <w:top w:val="nil" w:sz="6" w:space="0" w:color="auto"/>
                          <w:left w:val="nil" w:sz="6" w:space="0" w:color="auto"/>
                          <w:bottom w:val="nil" w:sz="6" w:space="0" w:color="auto"/>
                          <w:right w:val="nil" w:sz="6" w:space="0" w:color="auto"/>
                        </w:tcBorders>
                      </w:tcPr>
                      <w:p>
                        <w:pPr>
                          <w:pStyle w:val="TableParagraph"/>
                          <w:tabs>
                            <w:tab w:pos="2552" w:val="left" w:leader="none"/>
                            <w:tab w:pos="5265"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教育费附加</w:t>
                          <w:tab/>
                          <w:t>应交流转税的</w:t>
                        </w:r>
                        <w:r>
                          <w:rPr>
                            <w:rFonts w:ascii="宋体" w:hAnsi="宋体" w:cs="宋体" w:eastAsia="宋体" w:hint="default"/>
                            <w:spacing w:val="-46"/>
                            <w:sz w:val="18"/>
                            <w:szCs w:val="18"/>
                          </w:rPr>
                          <w:t> </w:t>
                        </w:r>
                        <w:r>
                          <w:rPr>
                            <w:rFonts w:ascii="宋体" w:hAnsi="宋体" w:cs="宋体" w:eastAsia="宋体" w:hint="default"/>
                            <w:sz w:val="18"/>
                            <w:szCs w:val="18"/>
                          </w:rPr>
                          <w:t>3%</w:t>
                          <w:tab/>
                          <w:t>13,710,259.72</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12,213,574.47</w:t>
                        </w:r>
                      </w:p>
                    </w:tc>
                  </w:tr>
                  <w:tr>
                    <w:trPr>
                      <w:trHeight w:val="283" w:hRule="exact"/>
                    </w:trPr>
                    <w:tc>
                      <w:tcPr>
                        <w:tcW w:w="6886" w:type="dxa"/>
                        <w:gridSpan w:val="2"/>
                        <w:tcBorders>
                          <w:top w:val="nil" w:sz="6" w:space="0" w:color="auto"/>
                          <w:left w:val="nil" w:sz="6" w:space="0" w:color="auto"/>
                          <w:bottom w:val="nil" w:sz="6" w:space="0" w:color="auto"/>
                          <w:right w:val="nil" w:sz="6" w:space="0" w:color="auto"/>
                        </w:tcBorders>
                      </w:tcPr>
                      <w:p>
                        <w:pPr>
                          <w:pStyle w:val="TableParagraph"/>
                          <w:tabs>
                            <w:tab w:pos="5535"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土地增值税</w:t>
                          <w:tab/>
                          <w:t>219,608.34</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-34,555.34</w:t>
                        </w:r>
                      </w:p>
                    </w:tc>
                  </w:tr>
                  <w:tr>
                    <w:trPr>
                      <w:trHeight w:val="283" w:hRule="exact"/>
                    </w:trPr>
                    <w:tc>
                      <w:tcPr>
                        <w:tcW w:w="6886" w:type="dxa"/>
                        <w:gridSpan w:val="2"/>
                        <w:tcBorders>
                          <w:top w:val="nil" w:sz="6" w:space="0" w:color="auto"/>
                          <w:left w:val="nil" w:sz="6" w:space="0" w:color="auto"/>
                          <w:bottom w:val="nil" w:sz="6" w:space="0" w:color="auto"/>
                          <w:right w:val="nil" w:sz="6" w:space="0" w:color="auto"/>
                        </w:tcBorders>
                      </w:tcPr>
                      <w:p>
                        <w:pPr>
                          <w:pStyle w:val="TableParagraph"/>
                          <w:tabs>
                            <w:tab w:pos="5895"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资源税</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264.00</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3" w:hRule="exact"/>
                    </w:trPr>
                    <w:tc>
                      <w:tcPr>
                        <w:tcW w:w="6886" w:type="dxa"/>
                        <w:gridSpan w:val="2"/>
                        <w:tcBorders>
                          <w:top w:val="nil" w:sz="6" w:space="0" w:color="auto"/>
                          <w:left w:val="nil" w:sz="6" w:space="0" w:color="auto"/>
                          <w:bottom w:val="single" w:sz="4" w:space="0" w:color="000000"/>
                          <w:right w:val="nil" w:sz="6" w:space="0" w:color="auto"/>
                        </w:tcBorders>
                      </w:tcPr>
                      <w:p>
                        <w:pPr>
                          <w:pStyle w:val="TableParagraph"/>
                          <w:tabs>
                            <w:tab w:pos="5535"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tab/>
                          <w:t>412,885.93</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464,698.97</w:t>
                        </w:r>
                      </w:p>
                    </w:tc>
                  </w:tr>
                  <w:tr>
                    <w:trPr>
                      <w:trHeight w:val="304" w:hRule="exact"/>
                    </w:trPr>
                    <w:tc>
                      <w:tcPr>
                        <w:tcW w:w="6886" w:type="dxa"/>
                        <w:gridSpan w:val="2"/>
                        <w:tcBorders>
                          <w:top w:val="single" w:sz="4" w:space="0" w:color="000000"/>
                          <w:left w:val="nil" w:sz="6" w:space="0" w:color="auto"/>
                          <w:bottom w:val="single" w:sz="12" w:space="0" w:color="000000"/>
                          <w:right w:val="nil" w:sz="6" w:space="0" w:color="auto"/>
                        </w:tcBorders>
                      </w:tcPr>
                      <w:p>
                        <w:pPr>
                          <w:pStyle w:val="TableParagraph"/>
                          <w:tabs>
                            <w:tab w:pos="5164" w:val="left" w:leader="none"/>
                          </w:tabs>
                          <w:spacing w:line="225"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153,822,272.29</w:t>
                        </w:r>
                        <w:r>
                          <w:rPr>
                            <w:rFonts w:ascii="宋体" w:hAnsi="宋体" w:cs="宋体" w:eastAsia="宋体" w:hint="default"/>
                            <w:sz w:val="18"/>
                            <w:szCs w:val="18"/>
                          </w:rPr>
                        </w:r>
                      </w:p>
                    </w:tc>
                    <w:tc>
                      <w:tcPr>
                        <w:tcW w:w="1752"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00"/>
                          <w:jc w:val="right"/>
                          <w:rPr>
                            <w:rFonts w:ascii="宋体" w:hAnsi="宋体" w:cs="宋体" w:eastAsia="宋体" w:hint="default"/>
                            <w:sz w:val="18"/>
                            <w:szCs w:val="18"/>
                          </w:rPr>
                        </w:pPr>
                        <w:r>
                          <w:rPr>
                            <w:rFonts w:ascii="宋体"/>
                            <w:b/>
                            <w:w w:val="95"/>
                            <w:sz w:val="18"/>
                          </w:rPr>
                          <w:t>147,680,397.59</w:t>
                        </w:r>
                        <w:r>
                          <w:rPr>
                            <w:rFonts w:ascii="宋体"/>
                            <w:sz w:val="18"/>
                          </w:rPr>
                        </w:r>
                      </w:p>
                    </w:tc>
                  </w:tr>
                  <w:tr>
                    <w:trPr>
                      <w:trHeight w:val="576" w:hRule="exact"/>
                    </w:trPr>
                    <w:tc>
                      <w:tcPr>
                        <w:tcW w:w="6886"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47.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销售费用</w:t>
                        </w:r>
                      </w:p>
                    </w:tc>
                    <w:tc>
                      <w:tcPr>
                        <w:tcW w:w="1752"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6886" w:type="dxa"/>
                        <w:gridSpan w:val="2"/>
                        <w:tcBorders>
                          <w:top w:val="single" w:sz="12" w:space="0" w:color="000000"/>
                          <w:left w:val="nil" w:sz="6" w:space="0" w:color="auto"/>
                          <w:bottom w:val="single" w:sz="4" w:space="0" w:color="000000"/>
                          <w:right w:val="nil" w:sz="6" w:space="0" w:color="auto"/>
                        </w:tcBorders>
                      </w:tcPr>
                      <w:p>
                        <w:pPr>
                          <w:pStyle w:val="TableParagraph"/>
                          <w:tabs>
                            <w:tab w:pos="4924" w:val="left" w:leader="none"/>
                          </w:tabs>
                          <w:spacing w:line="235" w:lineRule="exact"/>
                          <w:ind w:left="106" w:right="0"/>
                          <w:jc w:val="left"/>
                          <w:rPr>
                            <w:rFonts w:ascii="宋体" w:hAnsi="宋体" w:cs="宋体" w:eastAsia="宋体" w:hint="default"/>
                            <w:sz w:val="24"/>
                            <w:szCs w:val="24"/>
                          </w:rPr>
                        </w:pPr>
                        <w:r>
                          <w:rPr>
                            <w:rFonts w:ascii="宋体" w:hAnsi="宋体" w:cs="宋体" w:eastAsia="宋体" w:hint="default"/>
                            <w:b/>
                            <w:bCs/>
                            <w:w w:val="95"/>
                            <w:sz w:val="24"/>
                            <w:szCs w:val="24"/>
                          </w:rPr>
                          <w:t>项目</w:t>
                          <w:tab/>
                        </w:r>
                        <w:r>
                          <w:rPr>
                            <w:rFonts w:ascii="宋体" w:hAnsi="宋体" w:cs="宋体" w:eastAsia="宋体" w:hint="default"/>
                            <w:b/>
                            <w:bCs/>
                            <w:sz w:val="24"/>
                            <w:szCs w:val="24"/>
                          </w:rPr>
                          <w:t>本年金额</w:t>
                        </w:r>
                        <w:r>
                          <w:rPr>
                            <w:rFonts w:ascii="宋体" w:hAnsi="宋体" w:cs="宋体" w:eastAsia="宋体" w:hint="default"/>
                            <w:sz w:val="24"/>
                            <w:szCs w:val="24"/>
                          </w:rPr>
                        </w:r>
                      </w:p>
                    </w:tc>
                    <w:tc>
                      <w:tcPr>
                        <w:tcW w:w="1752"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97" w:right="0"/>
                          <w:jc w:val="left"/>
                          <w:rPr>
                            <w:rFonts w:ascii="宋体" w:hAnsi="宋体" w:cs="宋体" w:eastAsia="宋体" w:hint="default"/>
                            <w:sz w:val="24"/>
                            <w:szCs w:val="24"/>
                          </w:rPr>
                        </w:pPr>
                        <w:r>
                          <w:rPr>
                            <w:rFonts w:ascii="宋体" w:hAnsi="宋体" w:cs="宋体" w:eastAsia="宋体" w:hint="default"/>
                            <w:b/>
                            <w:bCs/>
                            <w:sz w:val="24"/>
                            <w:szCs w:val="24"/>
                          </w:rPr>
                          <w:t>上年金额</w:t>
                        </w:r>
                        <w:r>
                          <w:rPr>
                            <w:rFonts w:ascii="宋体" w:hAnsi="宋体" w:cs="宋体" w:eastAsia="宋体" w:hint="default"/>
                            <w:sz w:val="24"/>
                            <w:szCs w:val="24"/>
                          </w:rPr>
                        </w:r>
                      </w:p>
                    </w:tc>
                  </w:tr>
                  <w:tr>
                    <w:trPr>
                      <w:trHeight w:val="284" w:hRule="exact"/>
                    </w:trPr>
                    <w:tc>
                      <w:tcPr>
                        <w:tcW w:w="6886" w:type="dxa"/>
                        <w:gridSpan w:val="2"/>
                        <w:tcBorders>
                          <w:top w:val="single" w:sz="4" w:space="0" w:color="000000"/>
                          <w:left w:val="nil" w:sz="6" w:space="0" w:color="auto"/>
                          <w:bottom w:val="nil" w:sz="6" w:space="0" w:color="auto"/>
                          <w:right w:val="nil" w:sz="6" w:space="0" w:color="auto"/>
                        </w:tcBorders>
                      </w:tcPr>
                      <w:p>
                        <w:pPr>
                          <w:pStyle w:val="TableParagraph"/>
                          <w:tabs>
                            <w:tab w:pos="5119" w:val="left" w:leader="none"/>
                          </w:tabs>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人工费用</w:t>
                          <w:tab/>
                          <w:t>299,967,657.46</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243,511,887.67</w:t>
                        </w:r>
                      </w:p>
                    </w:tc>
                  </w:tr>
                  <w:tr>
                    <w:trPr>
                      <w:trHeight w:val="284" w:hRule="exact"/>
                    </w:trPr>
                    <w:tc>
                      <w:tcPr>
                        <w:tcW w:w="6886" w:type="dxa"/>
                        <w:gridSpan w:val="2"/>
                        <w:tcBorders>
                          <w:top w:val="nil" w:sz="6" w:space="0" w:color="auto"/>
                          <w:left w:val="nil" w:sz="6" w:space="0" w:color="auto"/>
                          <w:bottom w:val="nil" w:sz="6" w:space="0" w:color="auto"/>
                          <w:right w:val="nil" w:sz="6" w:space="0" w:color="auto"/>
                        </w:tcBorders>
                      </w:tcPr>
                      <w:p>
                        <w:pPr>
                          <w:pStyle w:val="TableParagraph"/>
                          <w:tabs>
                            <w:tab w:pos="5119" w:val="left" w:leader="none"/>
                          </w:tabs>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差旅、会议、招待费</w:t>
                          <w:tab/>
                          <w:t>147,181,456.16</w:t>
                        </w:r>
                      </w:p>
                    </w:tc>
                    <w:tc>
                      <w:tcPr>
                        <w:tcW w:w="175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105,474,858.24</w:t>
                        </w:r>
                      </w:p>
                    </w:tc>
                  </w:tr>
                  <w:tr>
                    <w:trPr>
                      <w:trHeight w:val="305" w:hRule="exact"/>
                    </w:trPr>
                    <w:tc>
                      <w:tcPr>
                        <w:tcW w:w="6886" w:type="dxa"/>
                        <w:gridSpan w:val="2"/>
                        <w:tcBorders>
                          <w:top w:val="nil" w:sz="6" w:space="0" w:color="auto"/>
                          <w:left w:val="nil" w:sz="6" w:space="0" w:color="auto"/>
                          <w:bottom w:val="single" w:sz="12" w:space="0" w:color="000000"/>
                          <w:right w:val="nil" w:sz="6" w:space="0" w:color="auto"/>
                        </w:tcBorders>
                      </w:tcPr>
                      <w:p>
                        <w:pPr>
                          <w:pStyle w:val="TableParagraph"/>
                          <w:tabs>
                            <w:tab w:pos="5119" w:val="left" w:leader="none"/>
                          </w:tabs>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业务宣传费、广告费、经营费用、佣金</w:t>
                          <w:tab/>
                          <w:t>133,125,680.65</w:t>
                        </w:r>
                      </w:p>
                    </w:tc>
                    <w:tc>
                      <w:tcPr>
                        <w:tcW w:w="1752"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117,898,337.83</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2"/>
        <w:rPr>
          <w:rFonts w:ascii="宋体" w:hAnsi="宋体" w:cs="宋体" w:eastAsia="宋体" w:hint="default"/>
          <w:sz w:val="5"/>
          <w:szCs w:val="5"/>
        </w:rPr>
      </w:pPr>
    </w:p>
    <w:p>
      <w:pPr>
        <w:spacing w:before="44"/>
        <w:ind w:left="524"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415" w:type="dxa"/>
        <w:tblLayout w:type="fixed"/>
        <w:tblCellMar>
          <w:top w:w="0" w:type="dxa"/>
          <w:left w:w="0" w:type="dxa"/>
          <w:bottom w:w="0" w:type="dxa"/>
          <w:right w:w="0" w:type="dxa"/>
        </w:tblCellMar>
        <w:tblLook w:val="01E0"/>
      </w:tblPr>
      <w:tblGrid>
        <w:gridCol w:w="4211"/>
        <w:gridCol w:w="2516"/>
        <w:gridCol w:w="1912"/>
      </w:tblGrid>
      <w:tr>
        <w:trPr>
          <w:trHeight w:val="303" w:hRule="exact"/>
        </w:trPr>
        <w:tc>
          <w:tcPr>
            <w:tcW w:w="421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516"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714" w:right="0"/>
              <w:jc w:val="left"/>
              <w:rPr>
                <w:rFonts w:ascii="宋体" w:hAnsi="宋体" w:cs="宋体" w:eastAsia="宋体" w:hint="default"/>
                <w:sz w:val="24"/>
                <w:szCs w:val="24"/>
              </w:rPr>
            </w:pPr>
            <w:r>
              <w:rPr>
                <w:rFonts w:ascii="宋体" w:hAnsi="宋体" w:cs="宋体" w:eastAsia="宋体" w:hint="default"/>
                <w:b/>
                <w:bCs/>
                <w:sz w:val="24"/>
                <w:szCs w:val="24"/>
              </w:rPr>
              <w:t>本年金额</w:t>
            </w:r>
            <w:r>
              <w:rPr>
                <w:rFonts w:ascii="宋体" w:hAnsi="宋体" w:cs="宋体" w:eastAsia="宋体" w:hint="default"/>
                <w:sz w:val="24"/>
                <w:szCs w:val="24"/>
              </w:rPr>
            </w:r>
          </w:p>
        </w:tc>
        <w:tc>
          <w:tcPr>
            <w:tcW w:w="1912"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356" w:right="0"/>
              <w:jc w:val="left"/>
              <w:rPr>
                <w:rFonts w:ascii="宋体" w:hAnsi="宋体" w:cs="宋体" w:eastAsia="宋体" w:hint="default"/>
                <w:sz w:val="24"/>
                <w:szCs w:val="24"/>
              </w:rPr>
            </w:pPr>
            <w:r>
              <w:rPr>
                <w:rFonts w:ascii="宋体" w:hAnsi="宋体" w:cs="宋体" w:eastAsia="宋体" w:hint="default"/>
                <w:b/>
                <w:bCs/>
                <w:sz w:val="24"/>
                <w:szCs w:val="24"/>
              </w:rPr>
              <w:t>上年金额</w:t>
            </w:r>
            <w:r>
              <w:rPr>
                <w:rFonts w:ascii="宋体" w:hAnsi="宋体" w:cs="宋体" w:eastAsia="宋体" w:hint="default"/>
                <w:sz w:val="24"/>
                <w:szCs w:val="24"/>
              </w:rPr>
            </w:r>
          </w:p>
        </w:tc>
      </w:tr>
      <w:tr>
        <w:trPr>
          <w:trHeight w:val="284" w:hRule="exact"/>
        </w:trPr>
        <w:tc>
          <w:tcPr>
            <w:tcW w:w="421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办公费、资料费、年费</w:t>
            </w:r>
          </w:p>
        </w:tc>
        <w:tc>
          <w:tcPr>
            <w:tcW w:w="2516" w:type="dxa"/>
            <w:tcBorders>
              <w:top w:val="single" w:sz="4" w:space="0" w:color="000000"/>
              <w:left w:val="nil" w:sz="6" w:space="0" w:color="auto"/>
              <w:bottom w:val="nil" w:sz="6" w:space="0" w:color="auto"/>
              <w:right w:val="nil" w:sz="6" w:space="0" w:color="auto"/>
            </w:tcBorders>
          </w:tcPr>
          <w:p>
            <w:pPr>
              <w:pStyle w:val="TableParagraph"/>
              <w:spacing w:line="227" w:lineRule="exact"/>
              <w:ind w:right="345"/>
              <w:jc w:val="right"/>
              <w:rPr>
                <w:rFonts w:ascii="宋体" w:hAnsi="宋体" w:cs="宋体" w:eastAsia="宋体" w:hint="default"/>
                <w:sz w:val="18"/>
                <w:szCs w:val="18"/>
              </w:rPr>
            </w:pPr>
            <w:r>
              <w:rPr>
                <w:rFonts w:ascii="宋体"/>
                <w:sz w:val="18"/>
              </w:rPr>
              <w:t>97,455,041.98</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sz w:val="18"/>
              </w:rPr>
              <w:t>107,917,750.16</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代理、服务费、咨询及中介机构费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87,598,634.46</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89,243,185.29</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运杂费（运输费、车辆费用等）</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55,271,591.97</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55,239,661.29</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仓储、场地、展台费、验货、模具、整改费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41,917,012.35</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37,078,193.76</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外事活动费、出口费用</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39,384,082.51</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14,730,547.03</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36,981,319.36</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24,422,939.64</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28,633,620.70</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26,290,950.57</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12,663,516.77</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12,020,716.02</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5,949,779.63</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0.00</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5,387,628.23</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3,933,909.35</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水电费、暖气费、蒸汽费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2,483,641.73</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3,008,096.47</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943,102.35</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1,514,993.49</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928,508.96</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3,100,376.05</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809,388.76</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1,081,218.67</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720,319.95</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736,845.60</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间接制造费用转入</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8,662,526.03</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2,187,191.21</w:t>
            </w:r>
          </w:p>
        </w:tc>
      </w:tr>
      <w:tr>
        <w:trPr>
          <w:trHeight w:val="295" w:hRule="exact"/>
        </w:trPr>
        <w:tc>
          <w:tcPr>
            <w:tcW w:w="421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16" w:type="dxa"/>
            <w:tcBorders>
              <w:top w:val="nil" w:sz="6" w:space="0" w:color="auto"/>
              <w:left w:val="nil" w:sz="6" w:space="0" w:color="auto"/>
              <w:bottom w:val="single" w:sz="4" w:space="0" w:color="000000"/>
              <w:right w:val="nil" w:sz="6" w:space="0" w:color="auto"/>
            </w:tcBorders>
          </w:tcPr>
          <w:p>
            <w:pPr>
              <w:pStyle w:val="TableParagraph"/>
              <w:spacing w:line="232" w:lineRule="exact"/>
              <w:ind w:right="345"/>
              <w:jc w:val="right"/>
              <w:rPr>
                <w:rFonts w:ascii="宋体" w:hAnsi="宋体" w:cs="宋体" w:eastAsia="宋体" w:hint="default"/>
                <w:sz w:val="18"/>
                <w:szCs w:val="18"/>
              </w:rPr>
            </w:pPr>
            <w:r>
              <w:rPr>
                <w:rFonts w:ascii="宋体"/>
                <w:sz w:val="18"/>
              </w:rPr>
              <w:t>74,839,402.30</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40,371,346.96</w:t>
            </w:r>
          </w:p>
        </w:tc>
      </w:tr>
      <w:tr>
        <w:trPr>
          <w:trHeight w:val="304" w:hRule="exact"/>
        </w:trPr>
        <w:tc>
          <w:tcPr>
            <w:tcW w:w="421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1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45"/>
              <w:jc w:val="right"/>
              <w:rPr>
                <w:rFonts w:ascii="宋体" w:hAnsi="宋体" w:cs="宋体" w:eastAsia="宋体" w:hint="default"/>
                <w:sz w:val="18"/>
                <w:szCs w:val="18"/>
              </w:rPr>
            </w:pPr>
            <w:r>
              <w:rPr>
                <w:rFonts w:ascii="宋体"/>
                <w:b/>
                <w:w w:val="95"/>
                <w:sz w:val="18"/>
              </w:rPr>
              <w:t>1,080,903,912.31</w:t>
            </w:r>
            <w:r>
              <w:rPr>
                <w:rFonts w:ascii="宋体"/>
                <w:sz w:val="18"/>
              </w:rPr>
            </w:r>
          </w:p>
        </w:tc>
        <w:tc>
          <w:tcPr>
            <w:tcW w:w="191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1"/>
              <w:jc w:val="right"/>
              <w:rPr>
                <w:rFonts w:ascii="宋体" w:hAnsi="宋体" w:cs="宋体" w:eastAsia="宋体" w:hint="default"/>
                <w:sz w:val="18"/>
                <w:szCs w:val="18"/>
              </w:rPr>
            </w:pPr>
            <w:r>
              <w:rPr>
                <w:rFonts w:ascii="宋体"/>
                <w:b/>
                <w:w w:val="95"/>
                <w:sz w:val="18"/>
              </w:rPr>
              <w:t>889,763,005.30</w:t>
            </w:r>
            <w:r>
              <w:rPr>
                <w:rFonts w:ascii="宋体"/>
                <w:sz w:val="18"/>
              </w:rPr>
            </w:r>
          </w:p>
        </w:tc>
      </w:tr>
      <w:tr>
        <w:trPr>
          <w:trHeight w:val="571" w:hRule="exact"/>
        </w:trPr>
        <w:tc>
          <w:tcPr>
            <w:tcW w:w="42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48.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管理费用</w:t>
            </w:r>
          </w:p>
        </w:tc>
        <w:tc>
          <w:tcPr>
            <w:tcW w:w="2516" w:type="dxa"/>
            <w:tcBorders>
              <w:top w:val="single" w:sz="12" w:space="0" w:color="000000"/>
              <w:left w:val="nil" w:sz="6" w:space="0" w:color="auto"/>
              <w:bottom w:val="single" w:sz="12" w:space="0" w:color="000000"/>
              <w:right w:val="nil" w:sz="6" w:space="0" w:color="auto"/>
            </w:tcBorders>
          </w:tcPr>
          <w:p>
            <w:pPr/>
          </w:p>
        </w:tc>
        <w:tc>
          <w:tcPr>
            <w:tcW w:w="1912" w:type="dxa"/>
            <w:tcBorders>
              <w:top w:val="single" w:sz="12" w:space="0" w:color="000000"/>
              <w:left w:val="nil" w:sz="6" w:space="0" w:color="auto"/>
              <w:bottom w:val="single" w:sz="12" w:space="0" w:color="000000"/>
              <w:right w:val="nil" w:sz="6" w:space="0" w:color="auto"/>
            </w:tcBorders>
          </w:tcPr>
          <w:p>
            <w:pPr/>
          </w:p>
        </w:tc>
      </w:tr>
      <w:tr>
        <w:trPr>
          <w:trHeight w:val="278" w:hRule="exact"/>
        </w:trPr>
        <w:tc>
          <w:tcPr>
            <w:tcW w:w="4211"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516"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683" w:right="0"/>
              <w:jc w:val="left"/>
              <w:rPr>
                <w:rFonts w:ascii="宋体" w:hAnsi="宋体" w:cs="宋体" w:eastAsia="宋体" w:hint="default"/>
                <w:sz w:val="24"/>
                <w:szCs w:val="24"/>
              </w:rPr>
            </w:pPr>
            <w:r>
              <w:rPr>
                <w:rFonts w:ascii="宋体" w:hAnsi="宋体" w:cs="宋体" w:eastAsia="宋体" w:hint="default"/>
                <w:b/>
                <w:bCs/>
                <w:sz w:val="24"/>
                <w:szCs w:val="24"/>
              </w:rPr>
              <w:t>本年金额</w:t>
            </w:r>
            <w:r>
              <w:rPr>
                <w:rFonts w:ascii="宋体" w:hAnsi="宋体" w:cs="宋体" w:eastAsia="宋体" w:hint="default"/>
                <w:sz w:val="24"/>
                <w:szCs w:val="24"/>
              </w:rPr>
            </w:r>
          </w:p>
        </w:tc>
        <w:tc>
          <w:tcPr>
            <w:tcW w:w="1912"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347" w:right="0"/>
              <w:jc w:val="left"/>
              <w:rPr>
                <w:rFonts w:ascii="宋体" w:hAnsi="宋体" w:cs="宋体" w:eastAsia="宋体" w:hint="default"/>
                <w:sz w:val="24"/>
                <w:szCs w:val="24"/>
              </w:rPr>
            </w:pPr>
            <w:r>
              <w:rPr>
                <w:rFonts w:ascii="宋体" w:hAnsi="宋体" w:cs="宋体" w:eastAsia="宋体" w:hint="default"/>
                <w:b/>
                <w:bCs/>
                <w:sz w:val="24"/>
                <w:szCs w:val="24"/>
              </w:rPr>
              <w:t>上年金额</w:t>
            </w:r>
            <w:r>
              <w:rPr>
                <w:rFonts w:ascii="宋体" w:hAnsi="宋体" w:cs="宋体" w:eastAsia="宋体" w:hint="default"/>
                <w:sz w:val="24"/>
                <w:szCs w:val="24"/>
              </w:rPr>
            </w:r>
          </w:p>
        </w:tc>
      </w:tr>
      <w:tr>
        <w:trPr>
          <w:trHeight w:val="277" w:hRule="exact"/>
        </w:trPr>
        <w:tc>
          <w:tcPr>
            <w:tcW w:w="4211" w:type="dxa"/>
            <w:tcBorders>
              <w:top w:val="single" w:sz="4" w:space="0" w:color="000000"/>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516" w:type="dxa"/>
            <w:tcBorders>
              <w:top w:val="single" w:sz="4" w:space="0" w:color="000000"/>
              <w:left w:val="nil" w:sz="6" w:space="0" w:color="auto"/>
              <w:bottom w:val="nil" w:sz="6" w:space="0" w:color="auto"/>
              <w:right w:val="nil" w:sz="6" w:space="0" w:color="auto"/>
            </w:tcBorders>
          </w:tcPr>
          <w:p>
            <w:pPr>
              <w:pStyle w:val="TableParagraph"/>
              <w:spacing w:line="222" w:lineRule="exact"/>
              <w:ind w:right="364"/>
              <w:jc w:val="right"/>
              <w:rPr>
                <w:rFonts w:ascii="宋体" w:hAnsi="宋体" w:cs="宋体" w:eastAsia="宋体" w:hint="default"/>
                <w:sz w:val="18"/>
                <w:szCs w:val="18"/>
              </w:rPr>
            </w:pPr>
            <w:r>
              <w:rPr>
                <w:rFonts w:ascii="宋体"/>
                <w:sz w:val="18"/>
              </w:rPr>
              <w:t>354,413,670.46</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22" w:lineRule="exact"/>
              <w:ind w:right="98"/>
              <w:jc w:val="right"/>
              <w:rPr>
                <w:rFonts w:ascii="宋体" w:hAnsi="宋体" w:cs="宋体" w:eastAsia="宋体" w:hint="default"/>
                <w:sz w:val="18"/>
                <w:szCs w:val="18"/>
              </w:rPr>
            </w:pPr>
            <w:r>
              <w:rPr>
                <w:rFonts w:ascii="宋体"/>
                <w:sz w:val="18"/>
              </w:rPr>
              <w:t>369,188,089.25</w:t>
            </w:r>
          </w:p>
        </w:tc>
      </w:tr>
      <w:tr>
        <w:trPr>
          <w:trHeight w:val="282"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0" w:lineRule="exact"/>
              <w:ind w:right="364"/>
              <w:jc w:val="right"/>
              <w:rPr>
                <w:rFonts w:ascii="宋体" w:hAnsi="宋体" w:cs="宋体" w:eastAsia="宋体" w:hint="default"/>
                <w:sz w:val="18"/>
                <w:szCs w:val="18"/>
              </w:rPr>
            </w:pPr>
            <w:r>
              <w:rPr>
                <w:rFonts w:ascii="宋体"/>
                <w:sz w:val="18"/>
              </w:rPr>
              <w:t>197,897,639.10</w:t>
            </w:r>
          </w:p>
        </w:tc>
        <w:tc>
          <w:tcPr>
            <w:tcW w:w="1912"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宋体" w:hAnsi="宋体" w:cs="宋体" w:eastAsia="宋体" w:hint="default"/>
                <w:sz w:val="18"/>
                <w:szCs w:val="18"/>
              </w:rPr>
            </w:pPr>
            <w:r>
              <w:rPr>
                <w:rFonts w:ascii="宋体"/>
                <w:sz w:val="18"/>
              </w:rPr>
              <w:t>217,811,718.30</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188,625,715.25</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154,140,628.96</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67,228,338.74</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61,354,018.53</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办公、资料费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56,195,844.87</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45,728,381.81</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咨询、服务费、诉讼及中介机构费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42,484,730.70</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25,976,722.03</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36,715,640.81</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35,359,092.73</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业务宣传费、广告费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22,821,840.13</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8,255,133.89</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租赁、仓储费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14,368,877.83</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765,353.55</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机构管理费、行政费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14,319,671.92</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6,011,641.93</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运杂、交通费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14,205,913.81</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15,517,306.64</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2,892,161.56</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1,617,989.59</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9,483,685.39</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5,232,708.62</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6,892,806.74</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5,271,257.45</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5,760,413.87</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4,700,605.35</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5,040,870.71</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6,988,753.19</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水电、蒸汽、暖气费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4,532,112.95</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4,474,642.25</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1,459,428.38</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1,919,114.96</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存货盘亏损毁</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1,397,810.31</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16,305.88</w:t>
            </w:r>
          </w:p>
        </w:tc>
      </w:tr>
      <w:tr>
        <w:trPr>
          <w:trHeight w:val="284"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商标注册、专利申请费、开办费、年费</w:t>
            </w:r>
          </w:p>
        </w:tc>
        <w:tc>
          <w:tcPr>
            <w:tcW w:w="2516" w:type="dxa"/>
            <w:tcBorders>
              <w:top w:val="nil" w:sz="6" w:space="0" w:color="auto"/>
              <w:left w:val="nil" w:sz="6" w:space="0" w:color="auto"/>
              <w:bottom w:val="nil" w:sz="6" w:space="0" w:color="auto"/>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1,048,253.72</w:t>
            </w:r>
          </w:p>
        </w:tc>
        <w:tc>
          <w:tcPr>
            <w:tcW w:w="191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710,400.68</w:t>
            </w:r>
          </w:p>
        </w:tc>
      </w:tr>
      <w:tr>
        <w:trPr>
          <w:trHeight w:val="294" w:hRule="exact"/>
        </w:trPr>
        <w:tc>
          <w:tcPr>
            <w:tcW w:w="421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16" w:type="dxa"/>
            <w:tcBorders>
              <w:top w:val="nil" w:sz="6" w:space="0" w:color="auto"/>
              <w:left w:val="nil" w:sz="6" w:space="0" w:color="auto"/>
              <w:bottom w:val="single" w:sz="4" w:space="0" w:color="000000"/>
              <w:right w:val="nil" w:sz="6" w:space="0" w:color="auto"/>
            </w:tcBorders>
          </w:tcPr>
          <w:p>
            <w:pPr>
              <w:pStyle w:val="TableParagraph"/>
              <w:spacing w:line="232" w:lineRule="exact"/>
              <w:ind w:right="364"/>
              <w:jc w:val="right"/>
              <w:rPr>
                <w:rFonts w:ascii="宋体" w:hAnsi="宋体" w:cs="宋体" w:eastAsia="宋体" w:hint="default"/>
                <w:sz w:val="18"/>
                <w:szCs w:val="18"/>
              </w:rPr>
            </w:pPr>
            <w:r>
              <w:rPr>
                <w:rFonts w:ascii="宋体"/>
                <w:sz w:val="18"/>
              </w:rPr>
              <w:t>54,055,163.38</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24,368,573.32</w:t>
            </w:r>
          </w:p>
        </w:tc>
      </w:tr>
      <w:tr>
        <w:trPr>
          <w:trHeight w:val="295" w:hRule="exact"/>
        </w:trPr>
        <w:tc>
          <w:tcPr>
            <w:tcW w:w="4211" w:type="dxa"/>
            <w:tcBorders>
              <w:top w:val="single" w:sz="4" w:space="0" w:color="000000"/>
              <w:left w:val="nil" w:sz="6" w:space="0" w:color="auto"/>
              <w:bottom w:val="single" w:sz="12" w:space="0" w:color="000000"/>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16"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364"/>
              <w:jc w:val="right"/>
              <w:rPr>
                <w:rFonts w:ascii="宋体" w:hAnsi="宋体" w:cs="宋体" w:eastAsia="宋体" w:hint="default"/>
                <w:sz w:val="18"/>
                <w:szCs w:val="18"/>
              </w:rPr>
            </w:pPr>
            <w:r>
              <w:rPr>
                <w:rFonts w:ascii="宋体"/>
                <w:b/>
                <w:w w:val="95"/>
                <w:sz w:val="18"/>
              </w:rPr>
              <w:t>1,101,840,590.63</w:t>
            </w:r>
            <w:r>
              <w:rPr>
                <w:rFonts w:ascii="宋体"/>
                <w:sz w:val="18"/>
              </w:rPr>
            </w:r>
          </w:p>
        </w:tc>
        <w:tc>
          <w:tcPr>
            <w:tcW w:w="1912"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100"/>
              <w:jc w:val="right"/>
              <w:rPr>
                <w:rFonts w:ascii="宋体" w:hAnsi="宋体" w:cs="宋体" w:eastAsia="宋体" w:hint="default"/>
                <w:sz w:val="18"/>
                <w:szCs w:val="18"/>
              </w:rPr>
            </w:pPr>
            <w:r>
              <w:rPr>
                <w:rFonts w:ascii="宋体"/>
                <w:b/>
                <w:w w:val="95"/>
                <w:sz w:val="18"/>
              </w:rPr>
              <w:t>995,408,438.91</w:t>
            </w:r>
            <w:r>
              <w:rPr>
                <w:rFonts w:ascii="宋体"/>
                <w:sz w:val="18"/>
              </w:rPr>
            </w:r>
          </w:p>
        </w:tc>
      </w:tr>
    </w:tbl>
    <w:p>
      <w:pPr>
        <w:spacing w:after="0" w:line="222" w:lineRule="exact"/>
        <w:jc w:val="right"/>
        <w:rPr>
          <w:rFonts w:ascii="宋体" w:hAnsi="宋体" w:cs="宋体" w:eastAsia="宋体" w:hint="default"/>
          <w:sz w:val="18"/>
          <w:szCs w:val="18"/>
        </w:rPr>
        <w:sectPr>
          <w:headerReference w:type="default" r:id="rId41"/>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416" w:type="dxa"/>
        <w:tblLayout w:type="fixed"/>
        <w:tblCellMar>
          <w:top w:w="0" w:type="dxa"/>
          <w:left w:w="0" w:type="dxa"/>
          <w:bottom w:w="0" w:type="dxa"/>
          <w:right w:w="0" w:type="dxa"/>
        </w:tblCellMar>
        <w:tblLook w:val="01E0"/>
      </w:tblPr>
      <w:tblGrid>
        <w:gridCol w:w="4433"/>
        <w:gridCol w:w="2495"/>
        <w:gridCol w:w="1710"/>
      </w:tblGrid>
      <w:tr>
        <w:trPr>
          <w:trHeight w:val="497" w:hRule="exact"/>
        </w:trPr>
        <w:tc>
          <w:tcPr>
            <w:tcW w:w="4433"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49.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财务费用</w:t>
            </w:r>
          </w:p>
        </w:tc>
        <w:tc>
          <w:tcPr>
            <w:tcW w:w="4205"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443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95" w:type="dxa"/>
            <w:tcBorders>
              <w:top w:val="single" w:sz="4" w:space="0" w:color="000000"/>
              <w:left w:val="nil" w:sz="6" w:space="0" w:color="auto"/>
              <w:bottom w:val="nil" w:sz="6" w:space="0" w:color="auto"/>
              <w:right w:val="nil" w:sz="6" w:space="0" w:color="auto"/>
            </w:tcBorders>
          </w:tcPr>
          <w:p>
            <w:pPr>
              <w:pStyle w:val="TableParagraph"/>
              <w:spacing w:line="226" w:lineRule="exact"/>
              <w:ind w:left="735" w:right="0"/>
              <w:jc w:val="left"/>
              <w:rPr>
                <w:rFonts w:ascii="宋体" w:hAnsi="宋体" w:cs="宋体" w:eastAsia="宋体" w:hint="default"/>
                <w:sz w:val="18"/>
                <w:szCs w:val="18"/>
              </w:rPr>
            </w:pPr>
            <w:r>
              <w:rPr>
                <w:rFonts w:ascii="宋体"/>
                <w:sz w:val="18"/>
              </w:rPr>
              <w:t>304,290,396.43</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204,648,274.11</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825" w:right="0"/>
              <w:jc w:val="left"/>
              <w:rPr>
                <w:rFonts w:ascii="宋体" w:hAnsi="宋体" w:cs="宋体" w:eastAsia="宋体" w:hint="default"/>
                <w:sz w:val="18"/>
                <w:szCs w:val="18"/>
              </w:rPr>
            </w:pPr>
            <w:r>
              <w:rPr>
                <w:rFonts w:ascii="宋体"/>
                <w:sz w:val="18"/>
              </w:rPr>
              <w:t>45,745,578.97</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38,907,005.47</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735" w:right="0"/>
              <w:jc w:val="left"/>
              <w:rPr>
                <w:rFonts w:ascii="宋体" w:hAnsi="宋体" w:cs="宋体" w:eastAsia="宋体" w:hint="default"/>
                <w:sz w:val="18"/>
                <w:szCs w:val="18"/>
              </w:rPr>
            </w:pPr>
            <w:r>
              <w:rPr>
                <w:rFonts w:ascii="宋体"/>
                <w:sz w:val="18"/>
              </w:rPr>
              <w:t>-15,329,257.86</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5,972,064.40</w:t>
            </w:r>
          </w:p>
        </w:tc>
      </w:tr>
      <w:tr>
        <w:trPr>
          <w:trHeight w:val="294" w:hRule="exact"/>
        </w:trPr>
        <w:tc>
          <w:tcPr>
            <w:tcW w:w="4433"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495" w:type="dxa"/>
            <w:tcBorders>
              <w:top w:val="nil" w:sz="6" w:space="0" w:color="auto"/>
              <w:left w:val="nil" w:sz="6" w:space="0" w:color="auto"/>
              <w:bottom w:val="single" w:sz="4" w:space="0" w:color="000000"/>
              <w:right w:val="nil" w:sz="6" w:space="0" w:color="auto"/>
            </w:tcBorders>
          </w:tcPr>
          <w:p>
            <w:pPr>
              <w:pStyle w:val="TableParagraph"/>
              <w:spacing w:line="232" w:lineRule="exact"/>
              <w:ind w:left="825" w:right="0"/>
              <w:jc w:val="left"/>
              <w:rPr>
                <w:rFonts w:ascii="宋体" w:hAnsi="宋体" w:cs="宋体" w:eastAsia="宋体" w:hint="default"/>
                <w:sz w:val="18"/>
                <w:szCs w:val="18"/>
              </w:rPr>
            </w:pPr>
            <w:r>
              <w:rPr>
                <w:rFonts w:ascii="宋体"/>
                <w:sz w:val="18"/>
              </w:rPr>
              <w:t>40,677,976.82</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15,553,004.60</w:t>
            </w:r>
          </w:p>
        </w:tc>
      </w:tr>
      <w:tr>
        <w:trPr>
          <w:trHeight w:val="303"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4" w:right="0"/>
              <w:jc w:val="left"/>
              <w:rPr>
                <w:rFonts w:ascii="宋体" w:hAnsi="宋体" w:cs="宋体" w:eastAsia="宋体" w:hint="default"/>
                <w:sz w:val="18"/>
                <w:szCs w:val="18"/>
              </w:rPr>
            </w:pPr>
            <w:r>
              <w:rPr>
                <w:rFonts w:ascii="宋体"/>
                <w:b/>
                <w:sz w:val="18"/>
              </w:rPr>
              <w:t>283,893,536.42</w:t>
            </w:r>
            <w:r>
              <w:rPr>
                <w:rFonts w:ascii="宋体"/>
                <w:sz w:val="18"/>
              </w:rPr>
            </w:r>
          </w:p>
        </w:tc>
        <w:tc>
          <w:tcPr>
            <w:tcW w:w="171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187,266,337.64</w:t>
            </w:r>
            <w:r>
              <w:rPr>
                <w:rFonts w:ascii="宋体"/>
                <w:sz w:val="18"/>
              </w:rPr>
            </w:r>
          </w:p>
        </w:tc>
      </w:tr>
      <w:tr>
        <w:trPr>
          <w:trHeight w:val="576" w:hRule="exact"/>
        </w:trPr>
        <w:tc>
          <w:tcPr>
            <w:tcW w:w="44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50.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资产减值损失</w:t>
            </w:r>
          </w:p>
        </w:tc>
        <w:tc>
          <w:tcPr>
            <w:tcW w:w="2495" w:type="dxa"/>
            <w:tcBorders>
              <w:top w:val="single" w:sz="12" w:space="0" w:color="000000"/>
              <w:left w:val="nil" w:sz="6" w:space="0" w:color="auto"/>
              <w:bottom w:val="single" w:sz="12" w:space="0" w:color="000000"/>
              <w:right w:val="nil" w:sz="6" w:space="0" w:color="auto"/>
            </w:tcBorders>
          </w:tcPr>
          <w:p>
            <w:pPr/>
          </w:p>
        </w:tc>
        <w:tc>
          <w:tcPr>
            <w:tcW w:w="1710"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3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4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443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495" w:type="dxa"/>
            <w:tcBorders>
              <w:top w:val="single" w:sz="4" w:space="0" w:color="000000"/>
              <w:left w:val="nil" w:sz="6" w:space="0" w:color="auto"/>
              <w:bottom w:val="nil" w:sz="6" w:space="0" w:color="auto"/>
              <w:right w:val="nil" w:sz="6" w:space="0" w:color="auto"/>
            </w:tcBorders>
          </w:tcPr>
          <w:p>
            <w:pPr>
              <w:pStyle w:val="TableParagraph"/>
              <w:spacing w:line="226" w:lineRule="exact"/>
              <w:ind w:left="825" w:right="0"/>
              <w:jc w:val="left"/>
              <w:rPr>
                <w:rFonts w:ascii="宋体" w:hAnsi="宋体" w:cs="宋体" w:eastAsia="宋体" w:hint="default"/>
                <w:sz w:val="18"/>
                <w:szCs w:val="18"/>
              </w:rPr>
            </w:pPr>
            <w:r>
              <w:rPr>
                <w:rFonts w:ascii="宋体"/>
                <w:sz w:val="18"/>
              </w:rPr>
              <w:t>91,692,260.67</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125,289,354.79</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825" w:right="0"/>
              <w:jc w:val="left"/>
              <w:rPr>
                <w:rFonts w:ascii="宋体" w:hAnsi="宋体" w:cs="宋体" w:eastAsia="宋体" w:hint="default"/>
                <w:sz w:val="18"/>
                <w:szCs w:val="18"/>
              </w:rPr>
            </w:pPr>
            <w:r>
              <w:rPr>
                <w:rFonts w:ascii="宋体"/>
                <w:sz w:val="18"/>
              </w:rPr>
              <w:t>88,698,563.15</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68,467,492.42</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825" w:right="0"/>
              <w:jc w:val="left"/>
              <w:rPr>
                <w:rFonts w:ascii="宋体" w:hAnsi="宋体" w:cs="宋体" w:eastAsia="宋体" w:hint="default"/>
                <w:sz w:val="18"/>
                <w:szCs w:val="18"/>
              </w:rPr>
            </w:pPr>
            <w:r>
              <w:rPr>
                <w:rFonts w:ascii="宋体"/>
                <w:sz w:val="18"/>
              </w:rPr>
              <w:t>46,063,563.00</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30,000.00</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825" w:right="0"/>
              <w:jc w:val="left"/>
              <w:rPr>
                <w:rFonts w:ascii="宋体" w:hAnsi="宋体" w:cs="宋体" w:eastAsia="宋体" w:hint="default"/>
                <w:sz w:val="18"/>
                <w:szCs w:val="18"/>
              </w:rPr>
            </w:pPr>
            <w:r>
              <w:rPr>
                <w:rFonts w:ascii="宋体"/>
                <w:sz w:val="18"/>
              </w:rPr>
              <w:t>19,366,535.09</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915" w:right="0"/>
              <w:jc w:val="left"/>
              <w:rPr>
                <w:rFonts w:ascii="宋体" w:hAnsi="宋体" w:cs="宋体" w:eastAsia="宋体" w:hint="default"/>
                <w:sz w:val="18"/>
                <w:szCs w:val="18"/>
              </w:rPr>
            </w:pPr>
            <w:r>
              <w:rPr>
                <w:rFonts w:ascii="宋体"/>
                <w:sz w:val="18"/>
              </w:rPr>
              <w:t>2,023,122.49</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3" w:hRule="exact"/>
        </w:trPr>
        <w:tc>
          <w:tcPr>
            <w:tcW w:w="4433" w:type="dxa"/>
            <w:tcBorders>
              <w:top w:val="nil" w:sz="6" w:space="0" w:color="auto"/>
              <w:left w:val="nil" w:sz="6" w:space="0" w:color="auto"/>
              <w:bottom w:val="single" w:sz="4" w:space="0" w:color="000000"/>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495" w:type="dxa"/>
            <w:tcBorders>
              <w:top w:val="nil" w:sz="6" w:space="0" w:color="auto"/>
              <w:left w:val="nil" w:sz="6" w:space="0" w:color="auto"/>
              <w:bottom w:val="single" w:sz="4" w:space="0" w:color="000000"/>
              <w:right w:val="nil" w:sz="6" w:space="0" w:color="auto"/>
            </w:tcBorders>
          </w:tcPr>
          <w:p>
            <w:pPr>
              <w:pStyle w:val="TableParagraph"/>
              <w:spacing w:line="231" w:lineRule="exact"/>
              <w:ind w:left="915" w:right="0"/>
              <w:jc w:val="left"/>
              <w:rPr>
                <w:rFonts w:ascii="宋体" w:hAnsi="宋体" w:cs="宋体" w:eastAsia="宋体" w:hint="default"/>
                <w:sz w:val="18"/>
                <w:szCs w:val="18"/>
              </w:rPr>
            </w:pPr>
            <w:r>
              <w:rPr>
                <w:rFonts w:ascii="宋体"/>
                <w:sz w:val="18"/>
              </w:rPr>
              <w:t>1,750,000.00</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4" w:right="0"/>
              <w:jc w:val="left"/>
              <w:rPr>
                <w:rFonts w:ascii="宋体" w:hAnsi="宋体" w:cs="宋体" w:eastAsia="宋体" w:hint="default"/>
                <w:sz w:val="18"/>
                <w:szCs w:val="18"/>
              </w:rPr>
            </w:pPr>
            <w:r>
              <w:rPr>
                <w:rFonts w:ascii="宋体"/>
                <w:b/>
                <w:sz w:val="18"/>
              </w:rPr>
              <w:t>249,594,044.40</w:t>
            </w:r>
            <w:r>
              <w:rPr>
                <w:rFonts w:ascii="宋体"/>
                <w:sz w:val="18"/>
              </w:rPr>
            </w:r>
          </w:p>
        </w:tc>
        <w:tc>
          <w:tcPr>
            <w:tcW w:w="171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193,786,847.21</w:t>
            </w:r>
            <w:r>
              <w:rPr>
                <w:rFonts w:ascii="宋体"/>
                <w:sz w:val="18"/>
              </w:rPr>
            </w:r>
          </w:p>
        </w:tc>
      </w:tr>
      <w:tr>
        <w:trPr>
          <w:trHeight w:val="576" w:hRule="exact"/>
        </w:trPr>
        <w:tc>
          <w:tcPr>
            <w:tcW w:w="44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公允价值变动收益</w:t>
            </w:r>
          </w:p>
        </w:tc>
        <w:tc>
          <w:tcPr>
            <w:tcW w:w="2495" w:type="dxa"/>
            <w:tcBorders>
              <w:top w:val="single" w:sz="12" w:space="0" w:color="000000"/>
              <w:left w:val="nil" w:sz="6" w:space="0" w:color="auto"/>
              <w:bottom w:val="single" w:sz="12" w:space="0" w:color="000000"/>
              <w:right w:val="nil" w:sz="6" w:space="0" w:color="auto"/>
            </w:tcBorders>
          </w:tcPr>
          <w:p>
            <w:pPr/>
          </w:p>
        </w:tc>
        <w:tc>
          <w:tcPr>
            <w:tcW w:w="1710"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3" w:hRule="exact"/>
        </w:trPr>
        <w:tc>
          <w:tcPr>
            <w:tcW w:w="4433"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公允价值变动计入当期损益的金融资产</w:t>
            </w:r>
          </w:p>
        </w:tc>
        <w:tc>
          <w:tcPr>
            <w:tcW w:w="249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777" w:right="0"/>
              <w:jc w:val="left"/>
              <w:rPr>
                <w:rFonts w:ascii="宋体" w:hAnsi="宋体" w:cs="宋体" w:eastAsia="宋体" w:hint="default"/>
                <w:sz w:val="18"/>
                <w:szCs w:val="18"/>
              </w:rPr>
            </w:pPr>
            <w:r>
              <w:rPr>
                <w:rFonts w:ascii="宋体"/>
                <w:sz w:val="18"/>
              </w:rPr>
              <w:t>141,181,221.62</w:t>
            </w:r>
          </w:p>
        </w:tc>
        <w:tc>
          <w:tcPr>
            <w:tcW w:w="1710"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46,683,999.58</w:t>
            </w:r>
          </w:p>
        </w:tc>
      </w:tr>
      <w:tr>
        <w:trPr>
          <w:trHeight w:val="304"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4" w:right="0"/>
              <w:jc w:val="left"/>
              <w:rPr>
                <w:rFonts w:ascii="宋体" w:hAnsi="宋体" w:cs="宋体" w:eastAsia="宋体" w:hint="default"/>
                <w:sz w:val="18"/>
                <w:szCs w:val="18"/>
              </w:rPr>
            </w:pPr>
            <w:r>
              <w:rPr>
                <w:rFonts w:ascii="宋体"/>
                <w:b/>
                <w:sz w:val="18"/>
              </w:rPr>
              <w:t>141,181,221.62</w:t>
            </w:r>
            <w:r>
              <w:rPr>
                <w:rFonts w:ascii="宋体"/>
                <w:sz w:val="18"/>
              </w:rPr>
            </w:r>
          </w:p>
        </w:tc>
        <w:tc>
          <w:tcPr>
            <w:tcW w:w="171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46,683,999.58</w:t>
            </w:r>
            <w:r>
              <w:rPr>
                <w:rFonts w:ascii="宋体"/>
                <w:sz w:val="18"/>
              </w:rPr>
            </w:r>
          </w:p>
        </w:tc>
      </w:tr>
      <w:tr>
        <w:trPr>
          <w:trHeight w:val="528" w:hRule="exact"/>
        </w:trPr>
        <w:tc>
          <w:tcPr>
            <w:tcW w:w="4433"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52.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投资收益</w:t>
            </w:r>
          </w:p>
        </w:tc>
        <w:tc>
          <w:tcPr>
            <w:tcW w:w="2495" w:type="dxa"/>
            <w:tcBorders>
              <w:top w:val="single" w:sz="12" w:space="0" w:color="000000"/>
              <w:left w:val="nil" w:sz="6" w:space="0" w:color="auto"/>
              <w:bottom w:val="nil" w:sz="6" w:space="0" w:color="auto"/>
              <w:right w:val="nil" w:sz="6" w:space="0" w:color="auto"/>
            </w:tcBorders>
          </w:tcPr>
          <w:p>
            <w:pPr/>
          </w:p>
        </w:tc>
        <w:tc>
          <w:tcPr>
            <w:tcW w:w="1710" w:type="dxa"/>
            <w:tcBorders>
              <w:top w:val="single" w:sz="12" w:space="0" w:color="000000"/>
              <w:left w:val="nil" w:sz="6" w:space="0" w:color="auto"/>
              <w:bottom w:val="nil" w:sz="6" w:space="0" w:color="auto"/>
              <w:right w:val="nil" w:sz="6" w:space="0" w:color="auto"/>
            </w:tcBorders>
          </w:tcPr>
          <w:p>
            <w:pPr/>
          </w:p>
        </w:tc>
      </w:tr>
      <w:tr>
        <w:trPr>
          <w:trHeight w:val="536" w:hRule="exact"/>
        </w:trPr>
        <w:tc>
          <w:tcPr>
            <w:tcW w:w="4433"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投资收益来源</w:t>
            </w:r>
          </w:p>
        </w:tc>
        <w:tc>
          <w:tcPr>
            <w:tcW w:w="2495" w:type="dxa"/>
            <w:tcBorders>
              <w:top w:val="nil" w:sz="6" w:space="0" w:color="auto"/>
              <w:left w:val="nil" w:sz="6" w:space="0" w:color="auto"/>
              <w:bottom w:val="single" w:sz="12" w:space="0" w:color="000000"/>
              <w:right w:val="nil" w:sz="6" w:space="0" w:color="auto"/>
            </w:tcBorders>
          </w:tcPr>
          <w:p>
            <w:pPr/>
          </w:p>
        </w:tc>
        <w:tc>
          <w:tcPr>
            <w:tcW w:w="1710"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443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95" w:type="dxa"/>
            <w:tcBorders>
              <w:top w:val="single" w:sz="4" w:space="0" w:color="000000"/>
              <w:left w:val="nil" w:sz="6" w:space="0" w:color="auto"/>
              <w:bottom w:val="nil" w:sz="6" w:space="0" w:color="auto"/>
              <w:right w:val="nil" w:sz="6" w:space="0" w:color="auto"/>
            </w:tcBorders>
          </w:tcPr>
          <w:p>
            <w:pPr>
              <w:pStyle w:val="TableParagraph"/>
              <w:spacing w:line="226" w:lineRule="exact"/>
              <w:ind w:left="1279" w:right="0"/>
              <w:jc w:val="left"/>
              <w:rPr>
                <w:rFonts w:ascii="宋体" w:hAnsi="宋体" w:cs="宋体" w:eastAsia="宋体" w:hint="default"/>
                <w:sz w:val="18"/>
                <w:szCs w:val="18"/>
              </w:rPr>
            </w:pPr>
            <w:r>
              <w:rPr>
                <w:rFonts w:ascii="宋体"/>
                <w:sz w:val="18"/>
              </w:rPr>
              <w:t>3,249.37</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422,104.42</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739" w:right="0"/>
              <w:jc w:val="left"/>
              <w:rPr>
                <w:rFonts w:ascii="宋体" w:hAnsi="宋体" w:cs="宋体" w:eastAsia="宋体" w:hint="default"/>
                <w:sz w:val="18"/>
                <w:szCs w:val="18"/>
              </w:rPr>
            </w:pPr>
            <w:r>
              <w:rPr>
                <w:rFonts w:ascii="宋体"/>
                <w:sz w:val="18"/>
              </w:rPr>
              <w:t>182,399,847.44</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318,139,862.27</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739" w:right="0"/>
              <w:jc w:val="left"/>
              <w:rPr>
                <w:rFonts w:ascii="宋体" w:hAnsi="宋体" w:cs="宋体" w:eastAsia="宋体" w:hint="default"/>
                <w:sz w:val="18"/>
                <w:szCs w:val="18"/>
              </w:rPr>
            </w:pPr>
            <w:r>
              <w:rPr>
                <w:rFonts w:ascii="宋体"/>
                <w:sz w:val="18"/>
              </w:rPr>
              <w:t>304,348,891.64</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4,020,846.85</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1099" w:right="0"/>
              <w:jc w:val="left"/>
              <w:rPr>
                <w:rFonts w:ascii="宋体" w:hAnsi="宋体" w:cs="宋体" w:eastAsia="宋体" w:hint="default"/>
                <w:sz w:val="18"/>
                <w:szCs w:val="18"/>
              </w:rPr>
            </w:pPr>
            <w:r>
              <w:rPr>
                <w:rFonts w:ascii="宋体"/>
                <w:sz w:val="18"/>
              </w:rPr>
              <w:t>102,926.34</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919" w:right="0"/>
              <w:jc w:val="left"/>
              <w:rPr>
                <w:rFonts w:ascii="宋体" w:hAnsi="宋体" w:cs="宋体" w:eastAsia="宋体" w:hint="default"/>
                <w:sz w:val="18"/>
                <w:szCs w:val="18"/>
              </w:rPr>
            </w:pPr>
            <w:r>
              <w:rPr>
                <w:rFonts w:ascii="宋体"/>
                <w:sz w:val="18"/>
              </w:rPr>
              <w:t>3,775,223.85</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2,649,609.78</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left="1639" w:right="0"/>
              <w:jc w:val="left"/>
              <w:rPr>
                <w:rFonts w:ascii="宋体" w:hAnsi="宋体" w:cs="宋体" w:eastAsia="宋体" w:hint="default"/>
                <w:sz w:val="18"/>
                <w:szCs w:val="18"/>
              </w:rPr>
            </w:pPr>
            <w:r>
              <w:rPr>
                <w:rFonts w:ascii="宋体"/>
                <w:sz w:val="18"/>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1,602.74</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31" w:lineRule="exact"/>
              <w:ind w:left="919" w:right="0"/>
              <w:jc w:val="left"/>
              <w:rPr>
                <w:rFonts w:ascii="宋体" w:hAnsi="宋体" w:cs="宋体" w:eastAsia="宋体" w:hint="default"/>
                <w:sz w:val="18"/>
                <w:szCs w:val="18"/>
              </w:rPr>
            </w:pPr>
            <w:r>
              <w:rPr>
                <w:rFonts w:ascii="宋体"/>
                <w:sz w:val="18"/>
              </w:rPr>
              <w:t>7,997,088.00</w:t>
            </w:r>
          </w:p>
        </w:tc>
        <w:tc>
          <w:tcPr>
            <w:tcW w:w="1710"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10,248,848.00</w:t>
            </w:r>
          </w:p>
        </w:tc>
      </w:tr>
      <w:tr>
        <w:trPr>
          <w:trHeight w:val="294" w:hRule="exact"/>
        </w:trPr>
        <w:tc>
          <w:tcPr>
            <w:tcW w:w="4433"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污水处理特许经营权所产生的投资收益</w:t>
            </w:r>
          </w:p>
        </w:tc>
        <w:tc>
          <w:tcPr>
            <w:tcW w:w="2495" w:type="dxa"/>
            <w:tcBorders>
              <w:top w:val="nil" w:sz="6" w:space="0" w:color="auto"/>
              <w:left w:val="nil" w:sz="6" w:space="0" w:color="auto"/>
              <w:bottom w:val="single" w:sz="4" w:space="0" w:color="000000"/>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16,331,633.63</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186,289.39</w:t>
            </w:r>
          </w:p>
        </w:tc>
      </w:tr>
      <w:tr>
        <w:trPr>
          <w:trHeight w:val="303"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8" w:right="0"/>
              <w:jc w:val="left"/>
              <w:rPr>
                <w:rFonts w:ascii="宋体" w:hAnsi="宋体" w:cs="宋体" w:eastAsia="宋体" w:hint="default"/>
                <w:sz w:val="18"/>
                <w:szCs w:val="18"/>
              </w:rPr>
            </w:pPr>
            <w:r>
              <w:rPr>
                <w:rFonts w:ascii="宋体"/>
                <w:b/>
                <w:sz w:val="18"/>
              </w:rPr>
              <w:t>514,958,860.27</w:t>
            </w:r>
            <w:r>
              <w:rPr>
                <w:rFonts w:ascii="宋体"/>
                <w:sz w:val="18"/>
              </w:rPr>
            </w:r>
          </w:p>
        </w:tc>
        <w:tc>
          <w:tcPr>
            <w:tcW w:w="171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335,669,163.45</w:t>
            </w:r>
            <w:r>
              <w:rPr>
                <w:rFonts w:ascii="宋体"/>
                <w:sz w:val="18"/>
              </w:rPr>
            </w:r>
          </w:p>
        </w:tc>
      </w:tr>
      <w:tr>
        <w:trPr>
          <w:trHeight w:val="576" w:hRule="exact"/>
        </w:trPr>
        <w:tc>
          <w:tcPr>
            <w:tcW w:w="44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成本法核算的长期股权投资收益</w:t>
            </w:r>
          </w:p>
        </w:tc>
        <w:tc>
          <w:tcPr>
            <w:tcW w:w="2495" w:type="dxa"/>
            <w:tcBorders>
              <w:top w:val="single" w:sz="12" w:space="0" w:color="000000"/>
              <w:left w:val="nil" w:sz="6" w:space="0" w:color="auto"/>
              <w:bottom w:val="single" w:sz="12" w:space="0" w:color="000000"/>
              <w:right w:val="nil" w:sz="6" w:space="0" w:color="auto"/>
            </w:tcBorders>
          </w:tcPr>
          <w:p>
            <w:pPr/>
          </w:p>
        </w:tc>
        <w:tc>
          <w:tcPr>
            <w:tcW w:w="1710" w:type="dxa"/>
            <w:tcBorders>
              <w:top w:val="single" w:sz="12" w:space="0" w:color="000000"/>
              <w:left w:val="nil" w:sz="6" w:space="0" w:color="auto"/>
              <w:bottom w:val="single" w:sz="12" w:space="0" w:color="000000"/>
              <w:right w:val="nil" w:sz="6" w:space="0" w:color="auto"/>
            </w:tcBorders>
          </w:tcPr>
          <w:p>
            <w:pPr/>
          </w:p>
        </w:tc>
      </w:tr>
      <w:tr>
        <w:trPr>
          <w:trHeight w:val="309" w:hRule="exact"/>
        </w:trPr>
        <w:tc>
          <w:tcPr>
            <w:tcW w:w="4433"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5"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23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0"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68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9" w:hRule="exact"/>
        </w:trPr>
        <w:tc>
          <w:tcPr>
            <w:tcW w:w="4433" w:type="dxa"/>
            <w:tcBorders>
              <w:top w:val="single" w:sz="8"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沂南城市信用社</w:t>
            </w:r>
          </w:p>
        </w:tc>
        <w:tc>
          <w:tcPr>
            <w:tcW w:w="2495" w:type="dxa"/>
            <w:tcBorders>
              <w:top w:val="single" w:sz="8" w:space="0" w:color="000000"/>
              <w:left w:val="nil" w:sz="6" w:space="0" w:color="auto"/>
              <w:bottom w:val="nil" w:sz="6" w:space="0" w:color="auto"/>
              <w:right w:val="nil" w:sz="6" w:space="0" w:color="auto"/>
            </w:tcBorders>
          </w:tcPr>
          <w:p>
            <w:pPr>
              <w:pStyle w:val="TableParagraph"/>
              <w:spacing w:line="227" w:lineRule="exact"/>
              <w:ind w:right="336"/>
              <w:jc w:val="right"/>
              <w:rPr>
                <w:rFonts w:ascii="宋体" w:hAnsi="宋体" w:cs="宋体" w:eastAsia="宋体" w:hint="default"/>
                <w:sz w:val="18"/>
                <w:szCs w:val="18"/>
              </w:rPr>
            </w:pPr>
            <w:r>
              <w:rPr>
                <w:rFonts w:ascii="宋体"/>
                <w:sz w:val="18"/>
              </w:rPr>
              <w:t>3,249.37</w:t>
            </w:r>
          </w:p>
        </w:tc>
        <w:tc>
          <w:tcPr>
            <w:tcW w:w="1710" w:type="dxa"/>
            <w:tcBorders>
              <w:top w:val="single" w:sz="8" w:space="0" w:color="000000"/>
              <w:left w:val="nil" w:sz="6" w:space="0" w:color="auto"/>
              <w:bottom w:val="nil" w:sz="6" w:space="0" w:color="auto"/>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sz w:val="18"/>
              </w:rPr>
              <w:t>4,614.00</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北京科技园置地有限公司</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right="336"/>
              <w:jc w:val="right"/>
              <w:rPr>
                <w:rFonts w:ascii="宋体" w:hAnsi="宋体" w:cs="宋体" w:eastAsia="宋体" w:hint="default"/>
                <w:sz w:val="18"/>
                <w:szCs w:val="18"/>
              </w:rPr>
            </w:pPr>
            <w:r>
              <w:rPr>
                <w:rFonts w:ascii="宋体"/>
                <w:sz w:val="18"/>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300,000.00</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江苏润邦重工股份有限公司</w:t>
            </w:r>
          </w:p>
        </w:tc>
        <w:tc>
          <w:tcPr>
            <w:tcW w:w="2495" w:type="dxa"/>
            <w:tcBorders>
              <w:top w:val="nil" w:sz="6" w:space="0" w:color="auto"/>
              <w:left w:val="nil" w:sz="6" w:space="0" w:color="auto"/>
              <w:bottom w:val="nil" w:sz="6" w:space="0" w:color="auto"/>
              <w:right w:val="nil" w:sz="6" w:space="0" w:color="auto"/>
            </w:tcBorders>
          </w:tcPr>
          <w:p>
            <w:pPr>
              <w:pStyle w:val="TableParagraph"/>
              <w:spacing w:line="232" w:lineRule="exact"/>
              <w:ind w:right="336"/>
              <w:jc w:val="right"/>
              <w:rPr>
                <w:rFonts w:ascii="宋体" w:hAnsi="宋体" w:cs="宋体" w:eastAsia="宋体" w:hint="default"/>
                <w:sz w:val="18"/>
                <w:szCs w:val="18"/>
              </w:rPr>
            </w:pPr>
            <w:r>
              <w:rPr>
                <w:rFonts w:ascii="宋体"/>
                <w:sz w:val="18"/>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49,106.74</w:t>
            </w:r>
          </w:p>
        </w:tc>
      </w:tr>
      <w:tr>
        <w:trPr>
          <w:trHeight w:val="298" w:hRule="exact"/>
        </w:trPr>
        <w:tc>
          <w:tcPr>
            <w:tcW w:w="4433" w:type="dxa"/>
            <w:tcBorders>
              <w:top w:val="nil" w:sz="6" w:space="0" w:color="auto"/>
              <w:left w:val="nil" w:sz="6" w:space="0" w:color="auto"/>
              <w:bottom w:val="single" w:sz="8"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北京首开亿信置地有限公司</w:t>
            </w:r>
          </w:p>
        </w:tc>
        <w:tc>
          <w:tcPr>
            <w:tcW w:w="2495" w:type="dxa"/>
            <w:tcBorders>
              <w:top w:val="nil" w:sz="6" w:space="0" w:color="auto"/>
              <w:left w:val="nil" w:sz="6" w:space="0" w:color="auto"/>
              <w:bottom w:val="single" w:sz="8" w:space="0" w:color="000000"/>
              <w:right w:val="nil" w:sz="6" w:space="0" w:color="auto"/>
            </w:tcBorders>
          </w:tcPr>
          <w:p>
            <w:pPr>
              <w:pStyle w:val="TableParagraph"/>
              <w:spacing w:line="232" w:lineRule="exact"/>
              <w:ind w:right="336"/>
              <w:jc w:val="right"/>
              <w:rPr>
                <w:rFonts w:ascii="宋体" w:hAnsi="宋体" w:cs="宋体" w:eastAsia="宋体" w:hint="default"/>
                <w:sz w:val="18"/>
                <w:szCs w:val="18"/>
              </w:rPr>
            </w:pPr>
            <w:r>
              <w:rPr>
                <w:rFonts w:ascii="宋体"/>
                <w:sz w:val="18"/>
              </w:rPr>
              <w:t>0.00</w:t>
            </w:r>
          </w:p>
        </w:tc>
        <w:tc>
          <w:tcPr>
            <w:tcW w:w="1710" w:type="dxa"/>
            <w:tcBorders>
              <w:top w:val="nil" w:sz="6" w:space="0" w:color="auto"/>
              <w:left w:val="nil" w:sz="6" w:space="0" w:color="auto"/>
              <w:bottom w:val="single" w:sz="8" w:space="0" w:color="000000"/>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68,383.68</w:t>
            </w:r>
          </w:p>
        </w:tc>
      </w:tr>
      <w:tr>
        <w:trPr>
          <w:trHeight w:val="310" w:hRule="exact"/>
        </w:trPr>
        <w:tc>
          <w:tcPr>
            <w:tcW w:w="4433" w:type="dxa"/>
            <w:tcBorders>
              <w:top w:val="single" w:sz="8"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5"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336"/>
              <w:jc w:val="right"/>
              <w:rPr>
                <w:rFonts w:ascii="宋体" w:hAnsi="宋体" w:cs="宋体" w:eastAsia="宋体" w:hint="default"/>
                <w:sz w:val="18"/>
                <w:szCs w:val="18"/>
              </w:rPr>
            </w:pPr>
            <w:r>
              <w:rPr>
                <w:rFonts w:ascii="宋体"/>
                <w:b/>
                <w:w w:val="95"/>
                <w:sz w:val="18"/>
              </w:rPr>
              <w:t>3,249.37</w:t>
            </w:r>
            <w:r>
              <w:rPr>
                <w:rFonts w:ascii="宋体"/>
                <w:sz w:val="18"/>
              </w:rPr>
            </w:r>
          </w:p>
        </w:tc>
        <w:tc>
          <w:tcPr>
            <w:tcW w:w="1710"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b/>
                <w:w w:val="95"/>
                <w:sz w:val="18"/>
              </w:rPr>
              <w:t>422,104.42</w:t>
            </w:r>
            <w:r>
              <w:rPr>
                <w:rFonts w:ascii="宋体"/>
                <w:sz w:val="18"/>
              </w:rPr>
            </w:r>
          </w:p>
        </w:tc>
      </w:tr>
    </w:tbl>
    <w:p>
      <w:pPr>
        <w:spacing w:after="0" w:line="227" w:lineRule="exact"/>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415" w:type="dxa"/>
        <w:tblLayout w:type="fixed"/>
        <w:tblCellMar>
          <w:top w:w="0" w:type="dxa"/>
          <w:left w:w="0" w:type="dxa"/>
          <w:bottom w:w="0" w:type="dxa"/>
          <w:right w:w="0" w:type="dxa"/>
        </w:tblCellMar>
        <w:tblLook w:val="01E0"/>
      </w:tblPr>
      <w:tblGrid>
        <w:gridCol w:w="4628"/>
        <w:gridCol w:w="2415"/>
        <w:gridCol w:w="1597"/>
      </w:tblGrid>
      <w:tr>
        <w:trPr>
          <w:trHeight w:val="497" w:hRule="exact"/>
        </w:trPr>
        <w:tc>
          <w:tcPr>
            <w:tcW w:w="4628"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6"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权益法核算的长期股权投资收益</w:t>
            </w:r>
          </w:p>
        </w:tc>
        <w:tc>
          <w:tcPr>
            <w:tcW w:w="4012" w:type="dxa"/>
            <w:gridSpan w:val="2"/>
            <w:tcBorders>
              <w:top w:val="nil" w:sz="6" w:space="0" w:color="auto"/>
              <w:left w:val="nil" w:sz="6" w:space="0" w:color="auto"/>
              <w:bottom w:val="single" w:sz="12" w:space="0" w:color="000000"/>
              <w:right w:val="nil" w:sz="6" w:space="0" w:color="auto"/>
            </w:tcBorders>
          </w:tcPr>
          <w:p>
            <w:pPr/>
          </w:p>
        </w:tc>
      </w:tr>
      <w:tr>
        <w:trPr>
          <w:trHeight w:val="304" w:hRule="exact"/>
        </w:trPr>
        <w:tc>
          <w:tcPr>
            <w:tcW w:w="462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26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9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57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4" w:hRule="exact"/>
        </w:trPr>
        <w:tc>
          <w:tcPr>
            <w:tcW w:w="4628"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2415" w:type="dxa"/>
            <w:tcBorders>
              <w:top w:val="single" w:sz="4" w:space="0" w:color="000000"/>
              <w:left w:val="nil" w:sz="6" w:space="0" w:color="auto"/>
              <w:bottom w:val="nil" w:sz="6" w:space="0" w:color="auto"/>
              <w:right w:val="nil" w:sz="6" w:space="0" w:color="auto"/>
            </w:tcBorders>
          </w:tcPr>
          <w:p>
            <w:pPr>
              <w:pStyle w:val="TableParagraph"/>
              <w:spacing w:line="227" w:lineRule="exact"/>
              <w:ind w:right="223"/>
              <w:jc w:val="right"/>
              <w:rPr>
                <w:rFonts w:ascii="宋体" w:hAnsi="宋体" w:cs="宋体" w:eastAsia="宋体" w:hint="default"/>
                <w:sz w:val="18"/>
                <w:szCs w:val="18"/>
              </w:rPr>
            </w:pPr>
            <w:r>
              <w:rPr>
                <w:rFonts w:ascii="宋体"/>
                <w:sz w:val="18"/>
              </w:rPr>
              <w:t>65,725,129.81</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118,708,094.58</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-121,714.89</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北京九州同映国产数字电影院线有限公司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52,474.47</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-193,309.72</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北京迈信力通科技有限公司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-32,977.12</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北京世纪卓克能源技术有限公司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-666,636.39</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684,456.22</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-935,559.71</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-1,622,417.76</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4,737,529.76</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0.00</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104,676.15</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-8,684,512.33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-2,548,173.26</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-943,134.66</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26,967.57</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-9,385,890.13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126,941.98</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-3,845,343.48</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-3,734,395.96</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北京卓凯生物技术有限公司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108,928.58</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154,949.86</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成都华太航空科技有限公司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582,583.19</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-37,252.84</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-221,768.72</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2,077,567.49</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4,053,225.84</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江西铂铄耐科技有限公司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-1,547,207.85</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32,907.42</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-548,370.05</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-785,132.99</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0.00</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-436,935.85</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13,873.75</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97,135.89</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250,684.32</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-694,812.02</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上海百视通电视传媒有限公司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882,931.41</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1,028,616.49</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上海东方希杰商务有限公司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27,500,485.56</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11,048,839.26</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深圳卓克节能科技有限公司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-1,001,035.49</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泰盛国际（控股）有限公司(HK08103)</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5,346,539.37</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2,831,334.50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天津北方移动传媒有限公司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-150,038.27</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-134,862.99</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-562,330.30</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110,718.31</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5,428,700.45</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6,432,714.97</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92,273.60</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341,016.22</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-2,287,069.13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-43,045.76</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29,674,153.83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33,402,636.49</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-389,935.14</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-164,457.69</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57,987,941.30</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141,764,503.95</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-309,477.74</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-528,364.67</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-192,270.75</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-119,128.42</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10,191,590.84</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6,892,953.74</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3,842,435.53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1,568,717.41</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272,801.86</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6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郑州神火科技有限公司</w:t>
            </w:r>
          </w:p>
        </w:tc>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-22,598.47</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-11,831.35</w:t>
            </w:r>
          </w:p>
        </w:tc>
      </w:tr>
      <w:tr>
        <w:trPr>
          <w:trHeight w:val="295" w:hRule="exact"/>
        </w:trPr>
        <w:tc>
          <w:tcPr>
            <w:tcW w:w="462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415" w:type="dxa"/>
            <w:tcBorders>
              <w:top w:val="nil" w:sz="6" w:space="0" w:color="auto"/>
              <w:left w:val="nil" w:sz="6" w:space="0" w:color="auto"/>
              <w:bottom w:val="single" w:sz="4" w:space="0" w:color="000000"/>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-738,330.36</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462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26"/>
              <w:jc w:val="right"/>
              <w:rPr>
                <w:rFonts w:ascii="宋体" w:hAnsi="宋体" w:cs="宋体" w:eastAsia="宋体" w:hint="default"/>
                <w:sz w:val="18"/>
                <w:szCs w:val="18"/>
              </w:rPr>
            </w:pPr>
            <w:r>
              <w:rPr>
                <w:rFonts w:ascii="宋体"/>
                <w:b/>
                <w:w w:val="95"/>
                <w:sz w:val="18"/>
              </w:rPr>
              <w:t>182,399,847.44</w:t>
            </w:r>
            <w:r>
              <w:rPr>
                <w:rFonts w:ascii="宋体"/>
                <w:sz w:val="18"/>
              </w:rPr>
            </w:r>
          </w:p>
        </w:tc>
        <w:tc>
          <w:tcPr>
            <w:tcW w:w="159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318,139,862.27</w:t>
            </w:r>
            <w:r>
              <w:rPr>
                <w:rFonts w:ascii="宋体"/>
                <w:sz w:val="18"/>
              </w:rPr>
            </w:r>
          </w:p>
        </w:tc>
      </w:tr>
    </w:tbl>
    <w:p>
      <w:pPr>
        <w:spacing w:after="0" w:line="226" w:lineRule="exact"/>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515" w:type="dxa"/>
        <w:tblLayout w:type="fixed"/>
        <w:tblCellMar>
          <w:top w:w="0" w:type="dxa"/>
          <w:left w:w="0" w:type="dxa"/>
          <w:bottom w:w="0" w:type="dxa"/>
          <w:right w:w="0" w:type="dxa"/>
        </w:tblCellMar>
        <w:tblLook w:val="01E0"/>
      </w:tblPr>
      <w:tblGrid>
        <w:gridCol w:w="4236"/>
        <w:gridCol w:w="1485"/>
        <w:gridCol w:w="1508"/>
        <w:gridCol w:w="1411"/>
      </w:tblGrid>
      <w:tr>
        <w:trPr>
          <w:trHeight w:val="965" w:hRule="exact"/>
        </w:trPr>
        <w:tc>
          <w:tcPr>
            <w:tcW w:w="423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53.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营业外收入</w:t>
            </w:r>
          </w:p>
          <w:p>
            <w:pPr>
              <w:pStyle w:val="TableParagraph"/>
              <w:spacing w:line="240" w:lineRule="auto" w:before="162"/>
              <w:ind w:left="176"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营业外收入</w:t>
            </w:r>
          </w:p>
        </w:tc>
        <w:tc>
          <w:tcPr>
            <w:tcW w:w="4404" w:type="dxa"/>
            <w:gridSpan w:val="3"/>
            <w:tcBorders>
              <w:top w:val="nil" w:sz="6" w:space="0" w:color="auto"/>
              <w:left w:val="nil" w:sz="6" w:space="0" w:color="auto"/>
              <w:bottom w:val="single" w:sz="12" w:space="0" w:color="000000"/>
              <w:right w:val="nil" w:sz="6" w:space="0" w:color="auto"/>
            </w:tcBorders>
          </w:tcPr>
          <w:p>
            <w:pPr/>
          </w:p>
        </w:tc>
      </w:tr>
      <w:tr>
        <w:trPr>
          <w:trHeight w:val="620" w:hRule="exact"/>
        </w:trPr>
        <w:tc>
          <w:tcPr>
            <w:tcW w:w="423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8"/>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5" w:type="dxa"/>
            <w:tcBorders>
              <w:top w:val="single" w:sz="12" w:space="0" w:color="000000"/>
              <w:left w:val="nil" w:sz="6" w:space="0" w:color="auto"/>
              <w:bottom w:val="single" w:sz="4" w:space="0" w:color="000000"/>
              <w:right w:val="nil" w:sz="6" w:space="0" w:color="auto"/>
            </w:tcBorders>
          </w:tcPr>
          <w:p>
            <w:pPr>
              <w:pStyle w:val="TableParagraph"/>
              <w:spacing w:line="240" w:lineRule="auto" w:before="148"/>
              <w:ind w:left="45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08" w:type="dxa"/>
            <w:tcBorders>
              <w:top w:val="single" w:sz="12" w:space="0" w:color="000000"/>
              <w:left w:val="nil" w:sz="6" w:space="0" w:color="auto"/>
              <w:bottom w:val="single" w:sz="4" w:space="0" w:color="000000"/>
              <w:right w:val="nil" w:sz="6" w:space="0" w:color="auto"/>
            </w:tcBorders>
          </w:tcPr>
          <w:p>
            <w:pPr>
              <w:pStyle w:val="TableParagraph"/>
              <w:spacing w:line="240" w:lineRule="auto" w:before="148"/>
              <w:ind w:left="45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411" w:type="dxa"/>
            <w:tcBorders>
              <w:top w:val="single" w:sz="12" w:space="0" w:color="000000"/>
              <w:left w:val="nil" w:sz="6" w:space="0" w:color="auto"/>
              <w:bottom w:val="single" w:sz="4" w:space="0" w:color="000000"/>
              <w:right w:val="nil" w:sz="6" w:space="0" w:color="auto"/>
            </w:tcBorders>
          </w:tcPr>
          <w:p>
            <w:pPr>
              <w:pStyle w:val="TableParagraph"/>
              <w:spacing w:line="167"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计入本年非经</w:t>
            </w:r>
            <w:r>
              <w:rPr>
                <w:rFonts w:ascii="宋体" w:hAnsi="宋体" w:cs="宋体" w:eastAsia="宋体" w:hint="default"/>
                <w:sz w:val="18"/>
                <w:szCs w:val="18"/>
              </w:rPr>
            </w:r>
          </w:p>
          <w:p>
            <w:pPr>
              <w:pStyle w:val="TableParagraph"/>
              <w:spacing w:line="200" w:lineRule="exact" w:before="32"/>
              <w:ind w:left="608" w:right="168" w:hanging="452"/>
              <w:jc w:val="left"/>
              <w:rPr>
                <w:rFonts w:ascii="宋体" w:hAnsi="宋体" w:cs="宋体" w:eastAsia="宋体" w:hint="default"/>
                <w:sz w:val="18"/>
                <w:szCs w:val="18"/>
              </w:rPr>
            </w:pPr>
            <w:r>
              <w:rPr>
                <w:rFonts w:ascii="宋体" w:hAnsi="宋体" w:cs="宋体" w:eastAsia="宋体" w:hint="default"/>
                <w:b/>
                <w:bCs/>
                <w:sz w:val="18"/>
                <w:szCs w:val="18"/>
              </w:rPr>
              <w:t>常性损益的金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283" w:hRule="exact"/>
        </w:trPr>
        <w:tc>
          <w:tcPr>
            <w:tcW w:w="4236"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z w:val="18"/>
              </w:rPr>
              <w:t>12,701,523.15</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26" w:lineRule="exact"/>
              <w:ind w:right="127"/>
              <w:jc w:val="right"/>
              <w:rPr>
                <w:rFonts w:ascii="宋体" w:hAnsi="宋体" w:cs="宋体" w:eastAsia="宋体" w:hint="default"/>
                <w:sz w:val="18"/>
                <w:szCs w:val="18"/>
              </w:rPr>
            </w:pPr>
            <w:r>
              <w:rPr>
                <w:rFonts w:ascii="宋体"/>
                <w:sz w:val="18"/>
              </w:rPr>
              <w:t>11,385,801.34</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12,701,523.15</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12,701,523.15</w:t>
            </w:r>
          </w:p>
        </w:tc>
        <w:tc>
          <w:tcPr>
            <w:tcW w:w="150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11,385,801.34</w:t>
            </w:r>
          </w:p>
        </w:tc>
        <w:tc>
          <w:tcPr>
            <w:tcW w:w="141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12,701,523.15</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485"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0.00</w:t>
            </w:r>
          </w:p>
        </w:tc>
        <w:tc>
          <w:tcPr>
            <w:tcW w:w="1508" w:type="dxa"/>
            <w:tcBorders>
              <w:top w:val="nil" w:sz="6" w:space="0" w:color="auto"/>
              <w:left w:val="nil" w:sz="6" w:space="0" w:color="auto"/>
              <w:bottom w:val="nil" w:sz="6" w:space="0" w:color="auto"/>
              <w:right w:val="nil" w:sz="6" w:space="0" w:color="auto"/>
            </w:tcBorders>
          </w:tcPr>
          <w:p>
            <w:pPr>
              <w:pStyle w:val="TableParagraph"/>
              <w:spacing w:line="231" w:lineRule="exact"/>
              <w:ind w:right="127"/>
              <w:jc w:val="right"/>
              <w:rPr>
                <w:rFonts w:ascii="宋体" w:hAnsi="宋体" w:cs="宋体" w:eastAsia="宋体" w:hint="default"/>
                <w:sz w:val="18"/>
                <w:szCs w:val="18"/>
              </w:rPr>
            </w:pPr>
            <w:r>
              <w:rPr>
                <w:rFonts w:ascii="宋体"/>
                <w:sz w:val="18"/>
              </w:rPr>
              <w:t>3,837,939.18</w:t>
            </w:r>
          </w:p>
        </w:tc>
        <w:tc>
          <w:tcPr>
            <w:tcW w:w="141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c>
          <w:tcPr>
            <w:tcW w:w="150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9,256.60</w:t>
            </w:r>
          </w:p>
        </w:tc>
        <w:tc>
          <w:tcPr>
            <w:tcW w:w="141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95,221,672.16</w:t>
            </w:r>
          </w:p>
        </w:tc>
        <w:tc>
          <w:tcPr>
            <w:tcW w:w="150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131,551,373.08</w:t>
            </w:r>
          </w:p>
        </w:tc>
        <w:tc>
          <w:tcPr>
            <w:tcW w:w="141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55,558,828.30</w:t>
            </w:r>
          </w:p>
        </w:tc>
      </w:tr>
      <w:tr>
        <w:trPr>
          <w:trHeight w:val="26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400.07</w:t>
            </w:r>
          </w:p>
        </w:tc>
        <w:tc>
          <w:tcPr>
            <w:tcW w:w="150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22,936.39</w:t>
            </w:r>
          </w:p>
        </w:tc>
        <w:tc>
          <w:tcPr>
            <w:tcW w:w="141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400.07</w:t>
            </w:r>
          </w:p>
        </w:tc>
      </w:tr>
      <w:tr>
        <w:trPr>
          <w:trHeight w:val="421"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00" w:lineRule="exact" w:before="26"/>
              <w:ind w:left="108" w:right="105"/>
              <w:jc w:val="left"/>
              <w:rPr>
                <w:rFonts w:ascii="宋体" w:hAnsi="宋体" w:cs="宋体" w:eastAsia="宋体" w:hint="default"/>
                <w:sz w:val="18"/>
                <w:szCs w:val="18"/>
              </w:rPr>
            </w:pPr>
            <w:r>
              <w:rPr>
                <w:rFonts w:ascii="宋体" w:hAnsi="宋体" w:cs="宋体" w:eastAsia="宋体" w:hint="default"/>
                <w:spacing w:val="2"/>
                <w:sz w:val="18"/>
                <w:szCs w:val="18"/>
              </w:rPr>
              <w:t>取得子公司、联营企业及合营企业投资成本小于取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得投资时应享有其可辨认净资产公允价值产生的收</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5,837,642.71</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sz w:val="18"/>
              </w:rPr>
              <w:t>10,317,982.32</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5,837,642.71</w:t>
            </w:r>
          </w:p>
        </w:tc>
      </w:tr>
      <w:tr>
        <w:trPr>
          <w:trHeight w:val="221"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190" w:lineRule="exact"/>
              <w:ind w:left="108"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485"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262"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营业单位处置利得</w:t>
            </w:r>
          </w:p>
        </w:tc>
        <w:tc>
          <w:tcPr>
            <w:tcW w:w="1485" w:type="dxa"/>
            <w:tcBorders>
              <w:top w:val="nil" w:sz="6" w:space="0" w:color="auto"/>
              <w:left w:val="nil" w:sz="6" w:space="0" w:color="auto"/>
              <w:bottom w:val="nil" w:sz="6" w:space="0" w:color="auto"/>
              <w:right w:val="nil" w:sz="6" w:space="0" w:color="auto"/>
            </w:tcBorders>
          </w:tcPr>
          <w:p>
            <w:pPr>
              <w:pStyle w:val="TableParagraph"/>
              <w:spacing w:line="211" w:lineRule="exact"/>
              <w:ind w:right="105"/>
              <w:jc w:val="right"/>
              <w:rPr>
                <w:rFonts w:ascii="宋体" w:hAnsi="宋体" w:cs="宋体" w:eastAsia="宋体" w:hint="default"/>
                <w:sz w:val="18"/>
                <w:szCs w:val="18"/>
              </w:rPr>
            </w:pPr>
            <w:r>
              <w:rPr>
                <w:rFonts w:ascii="宋体"/>
                <w:sz w:val="18"/>
              </w:rPr>
              <w:t>13,854,249.44</w:t>
            </w:r>
          </w:p>
        </w:tc>
        <w:tc>
          <w:tcPr>
            <w:tcW w:w="1508" w:type="dxa"/>
            <w:tcBorders>
              <w:top w:val="nil" w:sz="6" w:space="0" w:color="auto"/>
              <w:left w:val="nil" w:sz="6" w:space="0" w:color="auto"/>
              <w:bottom w:val="nil" w:sz="6" w:space="0" w:color="auto"/>
              <w:right w:val="nil" w:sz="6" w:space="0" w:color="auto"/>
            </w:tcBorders>
          </w:tcPr>
          <w:p>
            <w:pPr>
              <w:pStyle w:val="TableParagraph"/>
              <w:spacing w:line="211" w:lineRule="exact"/>
              <w:ind w:right="127"/>
              <w:jc w:val="right"/>
              <w:rPr>
                <w:rFonts w:ascii="宋体" w:hAnsi="宋体" w:cs="宋体" w:eastAsia="宋体" w:hint="default"/>
                <w:sz w:val="18"/>
                <w:szCs w:val="18"/>
              </w:rPr>
            </w:pPr>
            <w:r>
              <w:rPr>
                <w:rFonts w:ascii="宋体"/>
                <w:sz w:val="18"/>
              </w:rPr>
              <w:t>0.00</w:t>
            </w:r>
          </w:p>
        </w:tc>
        <w:tc>
          <w:tcPr>
            <w:tcW w:w="1411" w:type="dxa"/>
            <w:tcBorders>
              <w:top w:val="nil" w:sz="6" w:space="0" w:color="auto"/>
              <w:left w:val="nil" w:sz="6" w:space="0" w:color="auto"/>
              <w:bottom w:val="nil" w:sz="6" w:space="0" w:color="auto"/>
              <w:right w:val="nil" w:sz="6" w:space="0" w:color="auto"/>
            </w:tcBorders>
          </w:tcPr>
          <w:p>
            <w:pPr>
              <w:pStyle w:val="TableParagraph"/>
              <w:spacing w:line="211" w:lineRule="exact"/>
              <w:ind w:right="98"/>
              <w:jc w:val="right"/>
              <w:rPr>
                <w:rFonts w:ascii="宋体" w:hAnsi="宋体" w:cs="宋体" w:eastAsia="宋体" w:hint="default"/>
                <w:sz w:val="18"/>
                <w:szCs w:val="18"/>
              </w:rPr>
            </w:pPr>
            <w:r>
              <w:rPr>
                <w:rFonts w:ascii="宋体"/>
                <w:sz w:val="18"/>
              </w:rPr>
              <w:t>13,854,249.44</w:t>
            </w:r>
          </w:p>
        </w:tc>
      </w:tr>
      <w:tr>
        <w:trPr>
          <w:trHeight w:val="293" w:hRule="exact"/>
        </w:trPr>
        <w:tc>
          <w:tcPr>
            <w:tcW w:w="4236"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6,862,261.37</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6,926,513.16</w:t>
            </w:r>
          </w:p>
        </w:tc>
        <w:tc>
          <w:tcPr>
            <w:tcW w:w="1411"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6,763,891.30</w:t>
            </w:r>
          </w:p>
        </w:tc>
      </w:tr>
      <w:tr>
        <w:trPr>
          <w:trHeight w:val="304" w:hRule="exact"/>
        </w:trPr>
        <w:tc>
          <w:tcPr>
            <w:tcW w:w="423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134,477,748.90</w:t>
            </w:r>
            <w:r>
              <w:rPr>
                <w:rFonts w:ascii="宋体"/>
                <w:sz w:val="18"/>
              </w:rPr>
            </w:r>
          </w:p>
        </w:tc>
        <w:tc>
          <w:tcPr>
            <w:tcW w:w="150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28"/>
              <w:jc w:val="right"/>
              <w:rPr>
                <w:rFonts w:ascii="宋体" w:hAnsi="宋体" w:cs="宋体" w:eastAsia="宋体" w:hint="default"/>
                <w:sz w:val="18"/>
                <w:szCs w:val="18"/>
              </w:rPr>
            </w:pPr>
            <w:r>
              <w:rPr>
                <w:rFonts w:ascii="宋体"/>
                <w:b/>
                <w:w w:val="95"/>
                <w:sz w:val="18"/>
              </w:rPr>
              <w:t>164,051,802.07</w:t>
            </w:r>
            <w:r>
              <w:rPr>
                <w:rFonts w:ascii="宋体"/>
                <w:sz w:val="18"/>
              </w:rPr>
            </w:r>
          </w:p>
        </w:tc>
        <w:tc>
          <w:tcPr>
            <w:tcW w:w="141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94,716,534.97</w:t>
            </w:r>
            <w:r>
              <w:rPr>
                <w:rFonts w:ascii="宋体"/>
                <w:sz w:val="18"/>
              </w:rPr>
            </w:r>
          </w:p>
        </w:tc>
      </w:tr>
      <w:tr>
        <w:trPr>
          <w:trHeight w:val="497"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76"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政府补助</w:t>
            </w:r>
          </w:p>
        </w:tc>
        <w:tc>
          <w:tcPr>
            <w:tcW w:w="1485"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spacing w:before="44"/>
        <w:ind w:left="4656" w:right="3394" w:firstLine="0"/>
        <w:jc w:val="center"/>
        <w:rPr>
          <w:rFonts w:ascii="宋体" w:hAnsi="宋体" w:cs="宋体" w:eastAsia="宋体" w:hint="default"/>
          <w:sz w:val="18"/>
          <w:szCs w:val="18"/>
        </w:rPr>
      </w:pPr>
      <w:r>
        <w:rPr/>
        <w:pict>
          <v:shape style="position:absolute;margin-left:65.519997pt;margin-top:-21.997988pt;width:470.55pt;height:30.95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7"/>
                    <w:gridCol w:w="1828"/>
                    <w:gridCol w:w="6256"/>
                  </w:tblGrid>
                  <w:tr>
                    <w:trPr>
                      <w:trHeight w:val="304" w:hRule="exact"/>
                    </w:trPr>
                    <w:tc>
                      <w:tcPr>
                        <w:tcW w:w="132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387"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6256" w:type="dxa"/>
                        <w:tcBorders>
                          <w:top w:val="single" w:sz="12" w:space="0" w:color="000000"/>
                          <w:left w:val="nil" w:sz="6" w:space="0" w:color="auto"/>
                          <w:bottom w:val="single" w:sz="4" w:space="0" w:color="000000"/>
                          <w:right w:val="nil" w:sz="6" w:space="0" w:color="auto"/>
                        </w:tcBorders>
                      </w:tcPr>
                      <w:p>
                        <w:pPr>
                          <w:pStyle w:val="TableParagraph"/>
                          <w:tabs>
                            <w:tab w:pos="3296" w:val="left" w:leader="none"/>
                          </w:tabs>
                          <w:spacing w:line="227" w:lineRule="exact"/>
                          <w:ind w:left="405" w:right="0"/>
                          <w:jc w:val="left"/>
                          <w:rPr>
                            <w:rFonts w:ascii="宋体" w:hAnsi="宋体" w:cs="宋体" w:eastAsia="宋体" w:hint="default"/>
                            <w:sz w:val="18"/>
                            <w:szCs w:val="18"/>
                          </w:rPr>
                        </w:pPr>
                        <w:r>
                          <w:rPr>
                            <w:rFonts w:ascii="宋体" w:hAnsi="宋体" w:cs="宋体" w:eastAsia="宋体" w:hint="default"/>
                            <w:b/>
                            <w:bCs/>
                            <w:w w:val="95"/>
                            <w:sz w:val="18"/>
                            <w:szCs w:val="18"/>
                          </w:rPr>
                          <w:t>上年金额</w:t>
                          <w:tab/>
                        </w: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315" w:hRule="exact"/>
                    </w:trPr>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40" w:right="0"/>
                          <w:jc w:val="center"/>
                          <w:rPr>
                            <w:rFonts w:ascii="宋体" w:hAnsi="宋体" w:cs="宋体" w:eastAsia="宋体" w:hint="default"/>
                            <w:sz w:val="18"/>
                            <w:szCs w:val="18"/>
                          </w:rPr>
                        </w:pPr>
                        <w:r>
                          <w:rPr>
                            <w:rFonts w:ascii="宋体"/>
                            <w:sz w:val="18"/>
                          </w:rPr>
                          <w:t>39,662,843.86</w:t>
                        </w:r>
                      </w:p>
                    </w:tc>
                    <w:tc>
                      <w:tcPr>
                        <w:tcW w:w="6256" w:type="dxa"/>
                        <w:tcBorders>
                          <w:top w:val="single" w:sz="4" w:space="0" w:color="000000"/>
                          <w:left w:val="nil" w:sz="6" w:space="0" w:color="auto"/>
                          <w:bottom w:val="nil" w:sz="6" w:space="0" w:color="auto"/>
                          <w:right w:val="nil" w:sz="6" w:space="0" w:color="auto"/>
                        </w:tcBorders>
                      </w:tcPr>
                      <w:p>
                        <w:pPr>
                          <w:pStyle w:val="TableParagraph"/>
                          <w:spacing w:line="310" w:lineRule="exact"/>
                          <w:ind w:left="158" w:right="0"/>
                          <w:jc w:val="left"/>
                          <w:rPr>
                            <w:rFonts w:ascii="宋体" w:hAnsi="宋体" w:cs="宋体" w:eastAsia="宋体" w:hint="default"/>
                            <w:sz w:val="18"/>
                            <w:szCs w:val="18"/>
                          </w:rPr>
                        </w:pPr>
                        <w:r>
                          <w:rPr>
                            <w:rFonts w:ascii="宋体" w:hAnsi="宋体" w:cs="宋体" w:eastAsia="宋体" w:hint="default"/>
                            <w:position w:val="-9"/>
                            <w:sz w:val="18"/>
                            <w:szCs w:val="18"/>
                          </w:rPr>
                          <w:t>28,674,624.30</w:t>
                        </w:r>
                        <w:r>
                          <w:rPr>
                            <w:rFonts w:ascii="宋体" w:hAnsi="宋体" w:cs="宋体" w:eastAsia="宋体" w:hint="default"/>
                            <w:spacing w:val="-2"/>
                            <w:position w:val="-9"/>
                            <w:sz w:val="18"/>
                            <w:szCs w:val="18"/>
                          </w:rPr>
                          <w:t> </w:t>
                        </w:r>
                        <w:r>
                          <w:rPr>
                            <w:rFonts w:ascii="宋体" w:hAnsi="宋体" w:cs="宋体" w:eastAsia="宋体" w:hint="default"/>
                            <w:sz w:val="18"/>
                            <w:szCs w:val="18"/>
                          </w:rPr>
                          <w:t>国发[2000]18</w:t>
                        </w:r>
                        <w:r>
                          <w:rPr>
                            <w:rFonts w:ascii="宋体" w:hAnsi="宋体" w:cs="宋体" w:eastAsia="宋体" w:hint="default"/>
                            <w:spacing w:val="-41"/>
                            <w:sz w:val="18"/>
                            <w:szCs w:val="18"/>
                          </w:rPr>
                          <w:t> </w:t>
                        </w:r>
                        <w:r>
                          <w:rPr>
                            <w:rFonts w:ascii="宋体" w:hAnsi="宋体" w:cs="宋体" w:eastAsia="宋体" w:hint="default"/>
                            <w:sz w:val="18"/>
                            <w:szCs w:val="18"/>
                          </w:rPr>
                          <w:t>号文件、京科新发[1999]第</w:t>
                        </w:r>
                        <w:r>
                          <w:rPr>
                            <w:rFonts w:ascii="宋体" w:hAnsi="宋体" w:cs="宋体" w:eastAsia="宋体" w:hint="default"/>
                            <w:spacing w:val="-41"/>
                            <w:sz w:val="18"/>
                            <w:szCs w:val="18"/>
                          </w:rPr>
                          <w:t> </w:t>
                        </w:r>
                        <w:r>
                          <w:rPr>
                            <w:rFonts w:ascii="宋体" w:hAnsi="宋体" w:cs="宋体" w:eastAsia="宋体" w:hint="default"/>
                            <w:sz w:val="18"/>
                            <w:szCs w:val="18"/>
                          </w:rPr>
                          <w:t>352</w:t>
                        </w:r>
                        <w:r>
                          <w:rPr>
                            <w:rFonts w:ascii="宋体" w:hAnsi="宋体" w:cs="宋体" w:eastAsia="宋体" w:hint="default"/>
                            <w:spacing w:val="-41"/>
                            <w:sz w:val="18"/>
                            <w:szCs w:val="18"/>
                          </w:rPr>
                          <w:t> </w:t>
                        </w:r>
                        <w:r>
                          <w:rPr>
                            <w:rFonts w:ascii="宋体" w:hAnsi="宋体" w:cs="宋体" w:eastAsia="宋体" w:hint="default"/>
                            <w:sz w:val="18"/>
                            <w:szCs w:val="18"/>
                          </w:rPr>
                          <w:t>号文件、京国</w:t>
                        </w:r>
                      </w:p>
                    </w:tc>
                  </w:tr>
                </w:tbl>
                <w:p>
                  <w:pPr/>
                </w:p>
              </w:txbxContent>
            </v:textbox>
            <w10:wrap type="none"/>
          </v:shape>
        </w:pict>
      </w:r>
      <w:r>
        <w:rPr>
          <w:rFonts w:ascii="宋体" w:hAnsi="宋体" w:cs="宋体" w:eastAsia="宋体" w:hint="default"/>
          <w:sz w:val="18"/>
          <w:szCs w:val="18"/>
        </w:rPr>
        <w:t>税[2000]187</w:t>
      </w:r>
      <w:r>
        <w:rPr>
          <w:rFonts w:ascii="宋体" w:hAnsi="宋体" w:cs="宋体" w:eastAsia="宋体" w:hint="default"/>
          <w:spacing w:val="-46"/>
          <w:sz w:val="18"/>
          <w:szCs w:val="18"/>
        </w:rPr>
        <w:t> </w:t>
      </w:r>
      <w:r>
        <w:rPr>
          <w:rFonts w:ascii="宋体" w:hAnsi="宋体" w:cs="宋体" w:eastAsia="宋体" w:hint="default"/>
          <w:sz w:val="18"/>
          <w:szCs w:val="18"/>
        </w:rPr>
        <w:t>号文件</w:t>
      </w:r>
    </w:p>
    <w:p>
      <w:pPr>
        <w:spacing w:line="218" w:lineRule="exact" w:before="26"/>
        <w:ind w:left="4702"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pacing w:val="-62"/>
          <w:sz w:val="18"/>
          <w:szCs w:val="18"/>
        </w:rPr>
        <w:t> </w:t>
      </w:r>
      <w:r>
        <w:rPr>
          <w:rFonts w:ascii="宋体" w:hAnsi="宋体" w:cs="宋体" w:eastAsia="宋体" w:hint="default"/>
          <w:sz w:val="18"/>
          <w:szCs w:val="18"/>
        </w:rPr>
        <w:t>2010</w:t>
      </w:r>
      <w:r>
        <w:rPr>
          <w:rFonts w:ascii="宋体" w:hAnsi="宋体" w:cs="宋体" w:eastAsia="宋体" w:hint="default"/>
          <w:spacing w:val="-63"/>
          <w:sz w:val="18"/>
          <w:szCs w:val="18"/>
        </w:rPr>
        <w:t> </w:t>
      </w:r>
      <w:r>
        <w:rPr>
          <w:rFonts w:ascii="宋体" w:hAnsi="宋体" w:cs="宋体" w:eastAsia="宋体" w:hint="default"/>
          <w:sz w:val="18"/>
          <w:szCs w:val="18"/>
        </w:rPr>
        <w:t>年财务报表已由中磊会计师事务</w:t>
      </w:r>
    </w:p>
    <w:p>
      <w:pPr>
        <w:tabs>
          <w:tab w:pos="1956" w:val="left" w:leader="none"/>
          <w:tab w:pos="3443" w:val="left" w:leader="none"/>
        </w:tabs>
        <w:spacing w:line="200" w:lineRule="exact"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泰豪科技并入</w:t>
        <w:tab/>
        <w:t>18,343,018.00</w:t>
        <w:tab/>
        <w:t>12,862,394.29</w:t>
      </w:r>
      <w:r>
        <w:rPr>
          <w:rFonts w:ascii="宋体" w:hAnsi="宋体" w:cs="宋体" w:eastAsia="宋体" w:hint="default"/>
          <w:spacing w:val="-28"/>
          <w:sz w:val="18"/>
          <w:szCs w:val="18"/>
        </w:rPr>
        <w:t> </w:t>
      </w:r>
      <w:r>
        <w:rPr>
          <w:rFonts w:ascii="宋体" w:hAnsi="宋体" w:cs="宋体" w:eastAsia="宋体" w:hint="default"/>
          <w:sz w:val="18"/>
          <w:szCs w:val="18"/>
        </w:rPr>
        <w:t>所有限责任公司于</w:t>
      </w:r>
      <w:r>
        <w:rPr>
          <w:rFonts w:ascii="宋体" w:hAnsi="宋体" w:cs="宋体" w:eastAsia="宋体" w:hint="default"/>
          <w:spacing w:val="-32"/>
          <w:sz w:val="18"/>
          <w:szCs w:val="18"/>
        </w:rPr>
        <w:t> </w:t>
      </w:r>
      <w:r>
        <w:rPr>
          <w:rFonts w:ascii="宋体" w:hAnsi="宋体" w:cs="宋体" w:eastAsia="宋体" w:hint="default"/>
          <w:sz w:val="18"/>
          <w:szCs w:val="18"/>
        </w:rPr>
        <w:t>2010</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3</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20</w:t>
      </w:r>
      <w:r>
        <w:rPr>
          <w:rFonts w:ascii="宋体" w:hAnsi="宋体" w:cs="宋体" w:eastAsia="宋体" w:hint="default"/>
          <w:spacing w:val="-32"/>
          <w:sz w:val="18"/>
          <w:szCs w:val="18"/>
        </w:rPr>
        <w:t> </w:t>
      </w:r>
      <w:r>
        <w:rPr>
          <w:rFonts w:ascii="宋体" w:hAnsi="宋体" w:cs="宋体" w:eastAsia="宋体" w:hint="default"/>
          <w:sz w:val="18"/>
          <w:szCs w:val="18"/>
        </w:rPr>
        <w:t>日出具中磊审字[2011]第</w:t>
      </w:r>
    </w:p>
    <w:p>
      <w:pPr>
        <w:spacing w:line="218" w:lineRule="exact" w:before="0"/>
        <w:ind w:left="4676" w:right="0" w:firstLine="0"/>
        <w:jc w:val="left"/>
        <w:rPr>
          <w:rFonts w:ascii="宋体" w:hAnsi="宋体" w:cs="宋体" w:eastAsia="宋体" w:hint="default"/>
          <w:sz w:val="18"/>
          <w:szCs w:val="18"/>
        </w:rPr>
      </w:pPr>
      <w:r>
        <w:rPr>
          <w:rFonts w:ascii="宋体" w:hAnsi="宋体" w:cs="宋体" w:eastAsia="宋体" w:hint="default"/>
          <w:sz w:val="18"/>
          <w:szCs w:val="18"/>
        </w:rPr>
        <w:t>0270</w:t>
      </w:r>
      <w:r>
        <w:rPr>
          <w:rFonts w:ascii="宋体" w:hAnsi="宋体" w:cs="宋体" w:eastAsia="宋体" w:hint="default"/>
          <w:spacing w:val="-46"/>
          <w:sz w:val="18"/>
          <w:szCs w:val="18"/>
        </w:rPr>
        <w:t> </w:t>
      </w:r>
      <w:r>
        <w:rPr>
          <w:rFonts w:ascii="宋体" w:hAnsi="宋体" w:cs="宋体" w:eastAsia="宋体" w:hint="default"/>
          <w:sz w:val="18"/>
          <w:szCs w:val="18"/>
        </w:rPr>
        <w:t>号标准无保留意见审计报告</w:t>
      </w:r>
    </w:p>
    <w:p>
      <w:pPr>
        <w:spacing w:line="240" w:lineRule="auto" w:before="3"/>
        <w:rPr>
          <w:rFonts w:ascii="宋体" w:hAnsi="宋体" w:cs="宋体" w:eastAsia="宋体" w:hint="default"/>
          <w:sz w:val="8"/>
          <w:szCs w:val="8"/>
        </w:rPr>
      </w:pPr>
    </w:p>
    <w:p>
      <w:pPr>
        <w:spacing w:line="218" w:lineRule="exact" w:before="44"/>
        <w:ind w:left="4702" w:right="0" w:firstLine="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r>
        <w:rPr>
          <w:rFonts w:ascii="宋体" w:hAnsi="宋体" w:cs="宋体" w:eastAsia="宋体" w:hint="default"/>
          <w:spacing w:val="-63"/>
          <w:sz w:val="18"/>
          <w:szCs w:val="18"/>
        </w:rPr>
        <w:t> </w:t>
      </w:r>
      <w:r>
        <w:rPr>
          <w:rFonts w:ascii="宋体" w:hAnsi="宋体" w:cs="宋体" w:eastAsia="宋体" w:hint="default"/>
          <w:sz w:val="18"/>
          <w:szCs w:val="18"/>
        </w:rPr>
        <w:t>2010</w:t>
      </w:r>
      <w:r>
        <w:rPr>
          <w:rFonts w:ascii="宋体" w:hAnsi="宋体" w:cs="宋体" w:eastAsia="宋体" w:hint="default"/>
          <w:spacing w:val="-63"/>
          <w:sz w:val="18"/>
          <w:szCs w:val="18"/>
        </w:rPr>
        <w:t> </w:t>
      </w:r>
      <w:r>
        <w:rPr>
          <w:rFonts w:ascii="宋体" w:hAnsi="宋体" w:cs="宋体" w:eastAsia="宋体" w:hint="default"/>
          <w:sz w:val="18"/>
          <w:szCs w:val="18"/>
        </w:rPr>
        <w:t>年财务报表已由北京兴</w:t>
      </w:r>
    </w:p>
    <w:p>
      <w:pPr>
        <w:tabs>
          <w:tab w:pos="2046" w:val="left" w:leader="none"/>
          <w:tab w:pos="4253" w:val="left" w:leader="none"/>
        </w:tabs>
        <w:spacing w:line="200" w:lineRule="exact"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晶源电子并入</w:t>
        <w:tab/>
        <w:t>2,206,368.77</w:t>
        <w:tab/>
        <w:t>0.00</w:t>
      </w:r>
      <w:r>
        <w:rPr>
          <w:rFonts w:ascii="宋体" w:hAnsi="宋体" w:cs="宋体" w:eastAsia="宋体" w:hint="default"/>
          <w:spacing w:val="-28"/>
          <w:sz w:val="18"/>
          <w:szCs w:val="18"/>
        </w:rPr>
        <w:t> </w:t>
      </w:r>
      <w:r>
        <w:rPr>
          <w:rFonts w:ascii="宋体" w:hAnsi="宋体" w:cs="宋体" w:eastAsia="宋体" w:hint="default"/>
          <w:sz w:val="18"/>
          <w:szCs w:val="18"/>
        </w:rPr>
        <w:t>华会计师事务所有限责任公司于</w:t>
      </w:r>
      <w:r>
        <w:rPr>
          <w:rFonts w:ascii="宋体" w:hAnsi="宋体" w:cs="宋体" w:eastAsia="宋体" w:hint="default"/>
          <w:spacing w:val="-62"/>
          <w:sz w:val="18"/>
          <w:szCs w:val="18"/>
        </w:rPr>
        <w:t> </w:t>
      </w: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14</w:t>
      </w:r>
      <w:r>
        <w:rPr>
          <w:rFonts w:ascii="宋体" w:hAnsi="宋体" w:cs="宋体" w:eastAsia="宋体" w:hint="default"/>
          <w:spacing w:val="-62"/>
          <w:sz w:val="18"/>
          <w:szCs w:val="18"/>
        </w:rPr>
        <w:t> </w:t>
      </w:r>
      <w:r>
        <w:rPr>
          <w:rFonts w:ascii="宋体" w:hAnsi="宋体" w:cs="宋体" w:eastAsia="宋体" w:hint="default"/>
          <w:sz w:val="18"/>
          <w:szCs w:val="18"/>
        </w:rPr>
        <w:t>日出具(2011)</w:t>
      </w:r>
    </w:p>
    <w:p>
      <w:pPr>
        <w:spacing w:line="217" w:lineRule="exact" w:before="0"/>
        <w:ind w:left="4676" w:right="0" w:firstLine="0"/>
        <w:jc w:val="left"/>
        <w:rPr>
          <w:rFonts w:ascii="宋体" w:hAnsi="宋体" w:cs="宋体" w:eastAsia="宋体" w:hint="default"/>
          <w:sz w:val="18"/>
          <w:szCs w:val="18"/>
        </w:rPr>
      </w:pP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宋体" w:hAnsi="宋体" w:cs="宋体" w:eastAsia="宋体" w:hint="default"/>
          <w:sz w:val="18"/>
          <w:szCs w:val="18"/>
        </w:rPr>
        <w:t>1-007</w:t>
      </w:r>
      <w:r>
        <w:rPr>
          <w:rFonts w:ascii="宋体" w:hAnsi="宋体" w:cs="宋体" w:eastAsia="宋体" w:hint="default"/>
          <w:spacing w:val="-46"/>
          <w:sz w:val="18"/>
          <w:szCs w:val="18"/>
        </w:rPr>
        <w:t> </w:t>
      </w:r>
      <w:r>
        <w:rPr>
          <w:rFonts w:ascii="宋体" w:hAnsi="宋体" w:cs="宋体" w:eastAsia="宋体" w:hint="default"/>
          <w:sz w:val="18"/>
          <w:szCs w:val="18"/>
        </w:rPr>
        <w:t>号标准无保留意见审计报告</w:t>
      </w:r>
    </w:p>
    <w:p>
      <w:pPr>
        <w:tabs>
          <w:tab w:pos="2046" w:val="left" w:leader="none"/>
          <w:tab w:pos="3443" w:val="left" w:leader="none"/>
        </w:tabs>
        <w:spacing w:line="231" w:lineRule="exact" w:before="142"/>
        <w:ind w:left="238" w:right="0" w:firstLine="0"/>
        <w:jc w:val="left"/>
        <w:rPr>
          <w:rFonts w:ascii="宋体" w:hAnsi="宋体" w:cs="宋体" w:eastAsia="宋体" w:hint="default"/>
          <w:sz w:val="18"/>
          <w:szCs w:val="18"/>
        </w:rPr>
      </w:pPr>
      <w:r>
        <w:rPr>
          <w:rFonts w:ascii="宋体" w:hAnsi="宋体" w:cs="宋体" w:eastAsia="宋体" w:hint="default"/>
          <w:sz w:val="18"/>
          <w:szCs w:val="18"/>
        </w:rPr>
        <w:t>贴息补助资金</w:t>
        <w:tab/>
        <w:t>2,175,300.00</w:t>
        <w:tab/>
        <w:t>11,600,000.00</w:t>
      </w:r>
      <w:r>
        <w:rPr>
          <w:rFonts w:ascii="宋体" w:hAnsi="宋体" w:cs="宋体" w:eastAsia="宋体" w:hint="default"/>
          <w:spacing w:val="-2"/>
          <w:sz w:val="18"/>
          <w:szCs w:val="18"/>
        </w:rPr>
        <w:t> </w:t>
      </w:r>
      <w:r>
        <w:rPr>
          <w:rFonts w:ascii="宋体" w:hAnsi="宋体" w:cs="宋体" w:eastAsia="宋体" w:hint="default"/>
          <w:sz w:val="18"/>
          <w:szCs w:val="18"/>
        </w:rPr>
        <w:t>临财企指[2010]15</w:t>
      </w:r>
      <w:r>
        <w:rPr>
          <w:rFonts w:ascii="宋体" w:hAnsi="宋体" w:cs="宋体" w:eastAsia="宋体" w:hint="default"/>
          <w:spacing w:val="-46"/>
          <w:sz w:val="18"/>
          <w:szCs w:val="18"/>
        </w:rPr>
        <w:t> </w:t>
      </w:r>
      <w:r>
        <w:rPr>
          <w:rFonts w:ascii="宋体" w:hAnsi="宋体" w:cs="宋体" w:eastAsia="宋体" w:hint="default"/>
          <w:sz w:val="18"/>
          <w:szCs w:val="18"/>
        </w:rPr>
        <w:t>号、财企[2007]205</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line="231" w:lineRule="exact" w:before="0"/>
        <w:ind w:left="238" w:right="0" w:firstLine="0"/>
        <w:jc w:val="left"/>
        <w:rPr>
          <w:rFonts w:ascii="宋体" w:hAnsi="宋体" w:cs="宋体" w:eastAsia="宋体" w:hint="default"/>
          <w:sz w:val="18"/>
          <w:szCs w:val="18"/>
        </w:rPr>
      </w:pPr>
      <w:r>
        <w:rPr>
          <w:rFonts w:ascii="宋体" w:hAnsi="宋体" w:cs="宋体" w:eastAsia="宋体" w:hint="default"/>
          <w:spacing w:val="7"/>
          <w:sz w:val="18"/>
          <w:szCs w:val="18"/>
        </w:rPr>
        <w:t>民用非动力核技术</w:t>
      </w:r>
      <w:r>
        <w:rPr>
          <w:rFonts w:ascii="宋体" w:hAnsi="宋体" w:cs="宋体" w:eastAsia="宋体" w:hint="default"/>
          <w:sz w:val="18"/>
          <w:szCs w:val="18"/>
        </w:rPr>
      </w:r>
    </w:p>
    <w:p>
      <w:pPr>
        <w:spacing w:after="0" w:line="231" w:lineRule="exact"/>
        <w:jc w:val="left"/>
        <w:rPr>
          <w:rFonts w:ascii="宋体" w:hAnsi="宋体" w:cs="宋体" w:eastAsia="宋体" w:hint="default"/>
          <w:sz w:val="18"/>
          <w:szCs w:val="18"/>
        </w:rPr>
        <w:sectPr>
          <w:pgSz w:w="11910" w:h="16840"/>
          <w:pgMar w:header="610" w:footer="784" w:top="1080" w:bottom="980" w:left="1180" w:right="1060"/>
        </w:sectPr>
      </w:pPr>
    </w:p>
    <w:p>
      <w:pPr>
        <w:spacing w:line="200" w:lineRule="exact" w:before="15"/>
        <w:ind w:left="238" w:right="-16" w:firstLine="0"/>
        <w:jc w:val="left"/>
        <w:rPr>
          <w:rFonts w:ascii="宋体" w:hAnsi="宋体" w:cs="宋体" w:eastAsia="宋体" w:hint="default"/>
          <w:sz w:val="18"/>
          <w:szCs w:val="18"/>
        </w:rPr>
      </w:pPr>
      <w:r>
        <w:rPr>
          <w:rFonts w:ascii="宋体" w:hAnsi="宋体" w:cs="宋体" w:eastAsia="宋体" w:hint="default"/>
          <w:spacing w:val="7"/>
          <w:sz w:val="18"/>
          <w:szCs w:val="18"/>
        </w:rPr>
        <w:t>高技术产业化专项 </w:t>
      </w:r>
      <w:r>
        <w:rPr>
          <w:rFonts w:ascii="宋体" w:hAnsi="宋体" w:cs="宋体" w:eastAsia="宋体" w:hint="default"/>
          <w:sz w:val="18"/>
          <w:szCs w:val="18"/>
        </w:rPr>
        <w:t>项目</w:t>
      </w:r>
    </w:p>
    <w:p>
      <w:pPr>
        <w:tabs>
          <w:tab w:pos="2445" w:val="left" w:leader="none"/>
        </w:tabs>
        <w:spacing w:line="199" w:lineRule="exact" w:before="0"/>
        <w:ind w:left="2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5,000,000.00</w:t>
        <w:tab/>
        <w:t>0.00</w:t>
      </w:r>
      <w:r>
        <w:rPr>
          <w:rFonts w:ascii="宋体" w:hAnsi="宋体" w:cs="宋体" w:eastAsia="宋体" w:hint="default"/>
          <w:spacing w:val="-2"/>
          <w:sz w:val="18"/>
          <w:szCs w:val="18"/>
        </w:rPr>
        <w:t> </w:t>
      </w:r>
      <w:r>
        <w:rPr>
          <w:rFonts w:ascii="宋体" w:hAnsi="宋体" w:cs="宋体" w:eastAsia="宋体" w:hint="default"/>
          <w:sz w:val="18"/>
          <w:szCs w:val="18"/>
        </w:rPr>
        <w:t>发改高技[2004]2208</w:t>
      </w:r>
      <w:r>
        <w:rPr>
          <w:rFonts w:ascii="宋体" w:hAnsi="宋体" w:cs="宋体" w:eastAsia="宋体" w:hint="default"/>
          <w:spacing w:val="-46"/>
          <w:sz w:val="18"/>
          <w:szCs w:val="18"/>
        </w:rPr>
        <w:t> </w:t>
      </w:r>
      <w:r>
        <w:rPr>
          <w:rFonts w:ascii="宋体" w:hAnsi="宋体" w:cs="宋体" w:eastAsia="宋体" w:hint="default"/>
          <w:sz w:val="18"/>
          <w:szCs w:val="18"/>
        </w:rPr>
        <w:t>号、中节能[2010]101</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after="0" w:line="199" w:lineRule="exact"/>
        <w:jc w:val="left"/>
        <w:rPr>
          <w:rFonts w:ascii="宋体" w:hAnsi="宋体" w:cs="宋体" w:eastAsia="宋体" w:hint="default"/>
          <w:sz w:val="18"/>
          <w:szCs w:val="18"/>
        </w:rPr>
        <w:sectPr>
          <w:type w:val="continuous"/>
          <w:pgSz w:w="11910" w:h="16840"/>
          <w:pgMar w:top="1600" w:bottom="280" w:left="1180" w:right="1060"/>
          <w:cols w:num="2" w:equalWidth="0">
            <w:col w:w="1739" w:space="69"/>
            <w:col w:w="7862"/>
          </w:cols>
        </w:sectPr>
      </w:pPr>
    </w:p>
    <w:p>
      <w:pPr>
        <w:tabs>
          <w:tab w:pos="2046" w:val="left" w:leader="none"/>
          <w:tab w:pos="4253" w:val="left" w:leader="none"/>
        </w:tabs>
        <w:spacing w:line="228" w:lineRule="exact" w:before="4"/>
        <w:ind w:left="238" w:right="3475" w:firstLine="0"/>
        <w:jc w:val="left"/>
        <w:rPr>
          <w:rFonts w:ascii="宋体" w:hAnsi="宋体" w:cs="宋体" w:eastAsia="宋体" w:hint="default"/>
          <w:sz w:val="18"/>
          <w:szCs w:val="18"/>
        </w:rPr>
      </w:pPr>
      <w:r>
        <w:rPr>
          <w:rFonts w:ascii="宋体" w:hAnsi="宋体" w:cs="宋体" w:eastAsia="宋体" w:hint="default"/>
          <w:sz w:val="18"/>
          <w:szCs w:val="18"/>
        </w:rPr>
        <w:t>新兴产业发展基金</w:t>
        <w:tab/>
        <w:t>4,650,291.00</w:t>
        <w:tab/>
        <w:t>0.00 京征发[2001]38</w:t>
      </w:r>
      <w:r>
        <w:rPr>
          <w:rFonts w:ascii="宋体" w:hAnsi="宋体" w:cs="宋体" w:eastAsia="宋体" w:hint="default"/>
          <w:spacing w:val="-48"/>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pacing w:val="7"/>
          <w:sz w:val="18"/>
          <w:szCs w:val="18"/>
        </w:rPr>
        <w:t>新型微波介质陶瓷</w:t>
      </w:r>
      <w:r>
        <w:rPr>
          <w:rFonts w:ascii="宋体" w:hAnsi="宋体" w:cs="宋体" w:eastAsia="宋体" w:hint="default"/>
          <w:sz w:val="18"/>
          <w:szCs w:val="18"/>
        </w:rPr>
      </w:r>
    </w:p>
    <w:p>
      <w:pPr>
        <w:spacing w:after="0" w:line="228" w:lineRule="exact"/>
        <w:jc w:val="left"/>
        <w:rPr>
          <w:rFonts w:ascii="宋体" w:hAnsi="宋体" w:cs="宋体" w:eastAsia="宋体" w:hint="default"/>
          <w:sz w:val="18"/>
          <w:szCs w:val="18"/>
        </w:rPr>
        <w:sectPr>
          <w:type w:val="continuous"/>
          <w:pgSz w:w="11910" w:h="16840"/>
          <w:pgMar w:top="1600" w:bottom="280" w:left="1180" w:right="1060"/>
        </w:sectPr>
      </w:pPr>
    </w:p>
    <w:p>
      <w:pPr>
        <w:spacing w:line="162" w:lineRule="exact" w:before="0"/>
        <w:ind w:left="238" w:right="-16" w:firstLine="0"/>
        <w:jc w:val="left"/>
        <w:rPr>
          <w:rFonts w:ascii="宋体" w:hAnsi="宋体" w:cs="宋体" w:eastAsia="宋体" w:hint="default"/>
          <w:sz w:val="18"/>
          <w:szCs w:val="18"/>
        </w:rPr>
      </w:pPr>
      <w:r>
        <w:rPr>
          <w:rFonts w:ascii="宋体" w:hAnsi="宋体" w:cs="宋体" w:eastAsia="宋体" w:hint="default"/>
          <w:spacing w:val="7"/>
          <w:sz w:val="18"/>
          <w:szCs w:val="18"/>
        </w:rPr>
        <w:t>天线和材料的产业</w:t>
      </w:r>
      <w:r>
        <w:rPr>
          <w:rFonts w:ascii="宋体" w:hAnsi="宋体" w:cs="宋体" w:eastAsia="宋体" w:hint="default"/>
          <w:sz w:val="18"/>
          <w:szCs w:val="18"/>
        </w:rPr>
      </w:r>
    </w:p>
    <w:p>
      <w:pPr>
        <w:spacing w:line="200" w:lineRule="exact" w:before="0"/>
        <w:ind w:left="238" w:right="-16" w:firstLine="0"/>
        <w:jc w:val="left"/>
        <w:rPr>
          <w:rFonts w:ascii="宋体" w:hAnsi="宋体" w:cs="宋体" w:eastAsia="宋体" w:hint="default"/>
          <w:sz w:val="18"/>
          <w:szCs w:val="18"/>
        </w:rPr>
      </w:pPr>
      <w:r>
        <w:rPr>
          <w:rFonts w:ascii="宋体" w:hAnsi="宋体" w:cs="宋体" w:eastAsia="宋体" w:hint="default"/>
          <w:sz w:val="18"/>
          <w:szCs w:val="18"/>
        </w:rPr>
        <w:t>化项目</w:t>
      </w:r>
    </w:p>
    <w:p>
      <w:pPr>
        <w:spacing w:line="138" w:lineRule="exact" w:before="0"/>
        <w:ind w:left="238" w:right="-9" w:firstLine="0"/>
        <w:jc w:val="left"/>
        <w:rPr>
          <w:rFonts w:ascii="宋体" w:hAnsi="宋体" w:cs="宋体" w:eastAsia="宋体" w:hint="default"/>
          <w:sz w:val="18"/>
          <w:szCs w:val="18"/>
        </w:rPr>
      </w:pPr>
      <w:r>
        <w:rPr>
          <w:rFonts w:ascii="宋体" w:hAnsi="宋体" w:cs="宋体" w:eastAsia="宋体" w:hint="default"/>
          <w:spacing w:val="6"/>
          <w:sz w:val="18"/>
          <w:szCs w:val="18"/>
        </w:rPr>
        <w:t>知识产权局 </w:t>
      </w:r>
      <w:r>
        <w:rPr>
          <w:rFonts w:ascii="宋体" w:hAnsi="宋体" w:cs="宋体" w:eastAsia="宋体" w:hint="default"/>
          <w:sz w:val="18"/>
          <w:szCs w:val="18"/>
        </w:rPr>
        <w:t>10</w:t>
      </w:r>
      <w:r>
        <w:rPr>
          <w:rFonts w:ascii="宋体" w:hAnsi="宋体" w:cs="宋体" w:eastAsia="宋体" w:hint="default"/>
          <w:spacing w:val="13"/>
          <w:sz w:val="18"/>
          <w:szCs w:val="18"/>
        </w:rPr>
        <w:t> </w:t>
      </w:r>
      <w:r>
        <w:rPr>
          <w:rFonts w:ascii="宋体" w:hAnsi="宋体" w:cs="宋体" w:eastAsia="宋体" w:hint="default"/>
          <w:sz w:val="18"/>
          <w:szCs w:val="18"/>
        </w:rPr>
        <w:t>年</w:t>
      </w:r>
    </w:p>
    <w:p>
      <w:pPr>
        <w:tabs>
          <w:tab w:pos="2445" w:val="left" w:leader="none"/>
        </w:tabs>
        <w:spacing w:line="179" w:lineRule="exact" w:before="0"/>
        <w:ind w:left="2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3,528,137.75</w:t>
        <w:tab/>
        <w:t>0.00</w:t>
      </w:r>
      <w:r>
        <w:rPr>
          <w:rFonts w:ascii="宋体" w:hAnsi="宋体" w:cs="宋体" w:eastAsia="宋体" w:hint="default"/>
          <w:spacing w:val="-2"/>
          <w:sz w:val="18"/>
          <w:szCs w:val="18"/>
        </w:rPr>
        <w:t> </w:t>
      </w:r>
      <w:r>
        <w:rPr>
          <w:rFonts w:ascii="宋体" w:hAnsi="宋体" w:cs="宋体" w:eastAsia="宋体" w:hint="default"/>
          <w:sz w:val="18"/>
          <w:szCs w:val="18"/>
        </w:rPr>
        <w:t>2008－2010</w:t>
      </w:r>
      <w:r>
        <w:rPr>
          <w:rFonts w:ascii="宋体" w:hAnsi="宋体" w:cs="宋体" w:eastAsia="宋体" w:hint="default"/>
          <w:spacing w:val="-46"/>
          <w:sz w:val="18"/>
          <w:szCs w:val="18"/>
        </w:rPr>
        <w:t> </w:t>
      </w:r>
      <w:r>
        <w:rPr>
          <w:rFonts w:ascii="宋体" w:hAnsi="宋体" w:cs="宋体" w:eastAsia="宋体" w:hint="default"/>
          <w:sz w:val="18"/>
          <w:szCs w:val="18"/>
        </w:rPr>
        <w:t>年发改委高技〔2008〕2078</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after="0" w:line="179" w:lineRule="exact"/>
        <w:jc w:val="left"/>
        <w:rPr>
          <w:rFonts w:ascii="宋体" w:hAnsi="宋体" w:cs="宋体" w:eastAsia="宋体" w:hint="default"/>
          <w:sz w:val="18"/>
          <w:szCs w:val="18"/>
        </w:rPr>
        <w:sectPr>
          <w:type w:val="continuous"/>
          <w:pgSz w:w="11910" w:h="16840"/>
          <w:pgMar w:top="1600" w:bottom="280" w:left="1180" w:right="1060"/>
          <w:cols w:num="2" w:equalWidth="0">
            <w:col w:w="1739" w:space="69"/>
            <w:col w:w="7862"/>
          </w:cols>
        </w:sectPr>
      </w:pPr>
    </w:p>
    <w:p>
      <w:pPr>
        <w:tabs>
          <w:tab w:pos="2046" w:val="left" w:leader="none"/>
          <w:tab w:pos="4253" w:val="left" w:leader="none"/>
        </w:tabs>
        <w:spacing w:line="262"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PCT</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资助金</w:t>
        <w:tab/>
      </w:r>
      <w:r>
        <w:rPr>
          <w:rFonts w:ascii="宋体" w:hAnsi="宋体" w:cs="宋体" w:eastAsia="宋体" w:hint="default"/>
          <w:sz w:val="18"/>
          <w:szCs w:val="18"/>
        </w:rPr>
        <w:t>2,950,000.00</w:t>
        <w:tab/>
        <w:t>0.00 财办建[2010]42</w:t>
      </w:r>
      <w:r>
        <w:rPr>
          <w:rFonts w:ascii="宋体" w:hAnsi="宋体" w:cs="宋体" w:eastAsia="宋体" w:hint="default"/>
          <w:spacing w:val="-48"/>
          <w:sz w:val="18"/>
          <w:szCs w:val="18"/>
        </w:rPr>
        <w:t> </w:t>
      </w:r>
      <w:r>
        <w:rPr>
          <w:rFonts w:ascii="宋体" w:hAnsi="宋体" w:cs="宋体" w:eastAsia="宋体" w:hint="default"/>
          <w:sz w:val="18"/>
          <w:szCs w:val="18"/>
        </w:rPr>
        <w:t>号</w:t>
      </w:r>
    </w:p>
    <w:p>
      <w:pPr>
        <w:spacing w:line="150" w:lineRule="exact" w:before="0"/>
        <w:ind w:left="238" w:right="0" w:firstLine="0"/>
        <w:jc w:val="left"/>
        <w:rPr>
          <w:rFonts w:ascii="宋体" w:hAnsi="宋体" w:cs="宋体" w:eastAsia="宋体" w:hint="default"/>
          <w:sz w:val="18"/>
          <w:szCs w:val="18"/>
        </w:rPr>
      </w:pPr>
      <w:r>
        <w:rPr>
          <w:rFonts w:ascii="宋体" w:hAnsi="宋体" w:cs="宋体" w:eastAsia="宋体" w:hint="default"/>
          <w:spacing w:val="7"/>
          <w:sz w:val="18"/>
          <w:szCs w:val="18"/>
        </w:rPr>
        <w:t>外贸稳增资金补助</w:t>
      </w:r>
      <w:r>
        <w:rPr>
          <w:rFonts w:ascii="宋体" w:hAnsi="宋体" w:cs="宋体" w:eastAsia="宋体" w:hint="default"/>
          <w:sz w:val="18"/>
          <w:szCs w:val="18"/>
        </w:rPr>
      </w:r>
    </w:p>
    <w:p>
      <w:pPr>
        <w:tabs>
          <w:tab w:pos="2046" w:val="left" w:leader="none"/>
          <w:tab w:pos="4253" w:val="left" w:leader="none"/>
        </w:tabs>
        <w:spacing w:line="250"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资金</w:t>
        <w:tab/>
      </w:r>
      <w:r>
        <w:rPr>
          <w:rFonts w:ascii="宋体" w:hAnsi="宋体" w:cs="宋体" w:eastAsia="宋体" w:hint="default"/>
          <w:sz w:val="18"/>
          <w:szCs w:val="18"/>
        </w:rPr>
        <w:t>2,713,000.00</w:t>
        <w:tab/>
        <w:t>0.00 京财企[2009]2335</w:t>
      </w:r>
      <w:r>
        <w:rPr>
          <w:rFonts w:ascii="宋体" w:hAnsi="宋体" w:cs="宋体" w:eastAsia="宋体" w:hint="default"/>
          <w:spacing w:val="-48"/>
          <w:sz w:val="18"/>
          <w:szCs w:val="18"/>
        </w:rPr>
        <w:t> </w:t>
      </w:r>
      <w:r>
        <w:rPr>
          <w:rFonts w:ascii="宋体" w:hAnsi="宋体" w:cs="宋体" w:eastAsia="宋体" w:hint="default"/>
          <w:sz w:val="18"/>
          <w:szCs w:val="18"/>
        </w:rPr>
        <w:t>号</w:t>
      </w:r>
    </w:p>
    <w:p>
      <w:pPr>
        <w:spacing w:line="150" w:lineRule="exact" w:before="0"/>
        <w:ind w:left="238" w:right="0" w:firstLine="0"/>
        <w:jc w:val="left"/>
        <w:rPr>
          <w:rFonts w:ascii="宋体" w:hAnsi="宋体" w:cs="宋体" w:eastAsia="宋体" w:hint="default"/>
          <w:sz w:val="18"/>
          <w:szCs w:val="18"/>
        </w:rPr>
      </w:pPr>
      <w:r>
        <w:rPr>
          <w:rFonts w:ascii="宋体" w:hAnsi="宋体" w:cs="宋体" w:eastAsia="宋体" w:hint="default"/>
          <w:spacing w:val="7"/>
          <w:sz w:val="18"/>
          <w:szCs w:val="18"/>
        </w:rPr>
        <w:t>南京北斗产业化项</w:t>
      </w:r>
      <w:r>
        <w:rPr>
          <w:rFonts w:ascii="宋体" w:hAnsi="宋体" w:cs="宋体" w:eastAsia="宋体" w:hint="default"/>
          <w:sz w:val="18"/>
          <w:szCs w:val="18"/>
        </w:rPr>
      </w:r>
    </w:p>
    <w:p>
      <w:pPr>
        <w:tabs>
          <w:tab w:pos="2046" w:val="left" w:leader="none"/>
          <w:tab w:pos="4253" w:val="left" w:leader="none"/>
        </w:tabs>
        <w:spacing w:line="250"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目</w:t>
        <w:tab/>
      </w:r>
      <w:r>
        <w:rPr>
          <w:rFonts w:ascii="宋体" w:hAnsi="宋体" w:cs="宋体" w:eastAsia="宋体" w:hint="default"/>
          <w:sz w:val="18"/>
          <w:szCs w:val="18"/>
        </w:rPr>
        <w:t>2,300,000.00</w:t>
        <w:tab/>
        <w:t>0.00</w:t>
      </w:r>
      <w:r>
        <w:rPr>
          <w:rFonts w:ascii="宋体" w:hAnsi="宋体" w:cs="宋体" w:eastAsia="宋体" w:hint="default"/>
          <w:spacing w:val="-2"/>
          <w:sz w:val="18"/>
          <w:szCs w:val="18"/>
        </w:rPr>
        <w:t> </w:t>
      </w:r>
      <w:r>
        <w:rPr>
          <w:rFonts w:ascii="宋体" w:hAnsi="宋体" w:cs="宋体" w:eastAsia="宋体" w:hint="default"/>
          <w:sz w:val="18"/>
          <w:szCs w:val="18"/>
        </w:rPr>
        <w:t>江西省财政局奖励通知</w:t>
      </w:r>
    </w:p>
    <w:p>
      <w:pPr>
        <w:spacing w:line="150" w:lineRule="exact" w:before="0"/>
        <w:ind w:left="238" w:right="0" w:firstLine="0"/>
        <w:jc w:val="left"/>
        <w:rPr>
          <w:rFonts w:ascii="宋体" w:hAnsi="宋体" w:cs="宋体" w:eastAsia="宋体" w:hint="default"/>
          <w:sz w:val="18"/>
          <w:szCs w:val="18"/>
        </w:rPr>
      </w:pPr>
      <w:r>
        <w:rPr>
          <w:rFonts w:ascii="宋体" w:hAnsi="宋体" w:cs="宋体" w:eastAsia="宋体" w:hint="default"/>
          <w:spacing w:val="7"/>
          <w:sz w:val="18"/>
          <w:szCs w:val="18"/>
        </w:rPr>
        <w:t>向国外申请专利专</w:t>
      </w:r>
      <w:r>
        <w:rPr>
          <w:rFonts w:ascii="宋体" w:hAnsi="宋体" w:cs="宋体" w:eastAsia="宋体" w:hint="default"/>
          <w:sz w:val="18"/>
          <w:szCs w:val="18"/>
        </w:rPr>
      </w:r>
    </w:p>
    <w:p>
      <w:pPr>
        <w:tabs>
          <w:tab w:pos="2046" w:val="left" w:leader="none"/>
          <w:tab w:pos="4253" w:val="left" w:leader="none"/>
        </w:tabs>
        <w:spacing w:line="250"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项资金</w:t>
        <w:tab/>
      </w:r>
      <w:r>
        <w:rPr>
          <w:rFonts w:ascii="宋体" w:hAnsi="宋体" w:cs="宋体" w:eastAsia="宋体" w:hint="default"/>
          <w:sz w:val="18"/>
          <w:szCs w:val="18"/>
        </w:rPr>
        <w:t>1,130,000.00</w:t>
        <w:tab/>
        <w:t>0.00</w:t>
      </w:r>
      <w:r>
        <w:rPr>
          <w:rFonts w:ascii="宋体" w:hAnsi="宋体" w:cs="宋体" w:eastAsia="宋体" w:hint="default"/>
          <w:spacing w:val="-2"/>
          <w:sz w:val="18"/>
          <w:szCs w:val="18"/>
        </w:rPr>
        <w:t> </w:t>
      </w:r>
      <w:r>
        <w:rPr>
          <w:rFonts w:ascii="宋体" w:hAnsi="宋体" w:cs="宋体" w:eastAsia="宋体" w:hint="default"/>
          <w:sz w:val="18"/>
          <w:szCs w:val="18"/>
        </w:rPr>
        <w:t>财政部[资助向国外申请专利专项资金管理暂行办法]</w:t>
      </w:r>
    </w:p>
    <w:p>
      <w:pPr>
        <w:spacing w:line="218" w:lineRule="exact" w:before="0"/>
        <w:ind w:left="238" w:right="0" w:firstLine="0"/>
        <w:jc w:val="left"/>
        <w:rPr>
          <w:rFonts w:ascii="宋体" w:hAnsi="宋体" w:cs="宋体" w:eastAsia="宋体" w:hint="default"/>
          <w:sz w:val="18"/>
          <w:szCs w:val="18"/>
        </w:rPr>
      </w:pPr>
      <w:r>
        <w:rPr>
          <w:rFonts w:ascii="宋体" w:hAnsi="宋体" w:cs="宋体" w:eastAsia="宋体" w:hint="default"/>
          <w:spacing w:val="7"/>
          <w:sz w:val="18"/>
          <w:szCs w:val="18"/>
        </w:rPr>
        <w:t>企业技术中心补助</w:t>
      </w:r>
      <w:r>
        <w:rPr>
          <w:rFonts w:ascii="宋体" w:hAnsi="宋体" w:cs="宋体" w:eastAsia="宋体" w:hint="default"/>
          <w:sz w:val="18"/>
          <w:szCs w:val="18"/>
        </w:rPr>
      </w:r>
    </w:p>
    <w:p>
      <w:pPr>
        <w:spacing w:after="0" w:line="218" w:lineRule="exact"/>
        <w:jc w:val="left"/>
        <w:rPr>
          <w:rFonts w:ascii="宋体" w:hAnsi="宋体" w:cs="宋体" w:eastAsia="宋体" w:hint="default"/>
          <w:sz w:val="18"/>
          <w:szCs w:val="18"/>
        </w:rPr>
        <w:sectPr>
          <w:type w:val="continuous"/>
          <w:pgSz w:w="11910" w:h="16840"/>
          <w:pgMar w:top="1600" w:bottom="280" w:left="1180" w:right="1060"/>
        </w:sectPr>
      </w:pPr>
    </w:p>
    <w:p>
      <w:pPr>
        <w:spacing w:line="200" w:lineRule="exact" w:before="15"/>
        <w:ind w:left="238" w:right="-16" w:firstLine="0"/>
        <w:jc w:val="left"/>
        <w:rPr>
          <w:rFonts w:ascii="宋体" w:hAnsi="宋体" w:cs="宋体" w:eastAsia="宋体" w:hint="default"/>
          <w:sz w:val="18"/>
          <w:szCs w:val="18"/>
        </w:rPr>
      </w:pPr>
      <w:r>
        <w:rPr>
          <w:rFonts w:ascii="宋体" w:hAnsi="宋体" w:cs="宋体" w:eastAsia="宋体" w:hint="default"/>
          <w:spacing w:val="7"/>
          <w:sz w:val="18"/>
          <w:szCs w:val="18"/>
        </w:rPr>
        <w:t>资金（中小企业发 </w:t>
      </w:r>
      <w:r>
        <w:rPr>
          <w:rFonts w:ascii="宋体" w:hAnsi="宋体" w:cs="宋体" w:eastAsia="宋体" w:hint="default"/>
          <w:sz w:val="18"/>
          <w:szCs w:val="18"/>
        </w:rPr>
        <w:t>展专项资金）</w:t>
      </w:r>
    </w:p>
    <w:p>
      <w:pPr>
        <w:spacing w:line="129" w:lineRule="exact" w:before="0"/>
        <w:ind w:left="238" w:right="-16" w:firstLine="0"/>
        <w:jc w:val="left"/>
        <w:rPr>
          <w:rFonts w:ascii="宋体" w:hAnsi="宋体" w:cs="宋体" w:eastAsia="宋体" w:hint="default"/>
          <w:sz w:val="18"/>
          <w:szCs w:val="18"/>
        </w:rPr>
      </w:pPr>
      <w:r>
        <w:rPr>
          <w:rFonts w:ascii="宋体" w:hAnsi="宋体" w:cs="宋体" w:eastAsia="宋体" w:hint="default"/>
          <w:spacing w:val="7"/>
          <w:sz w:val="18"/>
          <w:szCs w:val="18"/>
        </w:rPr>
        <w:t>沈阳同方科技园项</w:t>
      </w:r>
      <w:r>
        <w:rPr>
          <w:rFonts w:ascii="宋体" w:hAnsi="宋体" w:cs="宋体" w:eastAsia="宋体" w:hint="default"/>
          <w:sz w:val="18"/>
          <w:szCs w:val="18"/>
        </w:rPr>
      </w:r>
    </w:p>
    <w:p>
      <w:pPr>
        <w:tabs>
          <w:tab w:pos="2445" w:val="left" w:leader="none"/>
        </w:tabs>
        <w:spacing w:line="199" w:lineRule="exact" w:before="0"/>
        <w:ind w:left="2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1,000,000.00</w:t>
        <w:tab/>
        <w:t>0.00 京经信委发[2010]194</w:t>
      </w:r>
      <w:r>
        <w:rPr>
          <w:rFonts w:ascii="宋体" w:hAnsi="宋体" w:cs="宋体" w:eastAsia="宋体" w:hint="default"/>
          <w:spacing w:val="-48"/>
          <w:sz w:val="18"/>
          <w:szCs w:val="18"/>
        </w:rPr>
        <w:t> </w:t>
      </w:r>
      <w:r>
        <w:rPr>
          <w:rFonts w:ascii="宋体" w:hAnsi="宋体" w:cs="宋体" w:eastAsia="宋体" w:hint="default"/>
          <w:sz w:val="18"/>
          <w:szCs w:val="18"/>
        </w:rPr>
        <w:t>号</w:t>
      </w:r>
    </w:p>
    <w:p>
      <w:pPr>
        <w:spacing w:after="0" w:line="199" w:lineRule="exact"/>
        <w:jc w:val="left"/>
        <w:rPr>
          <w:rFonts w:ascii="宋体" w:hAnsi="宋体" w:cs="宋体" w:eastAsia="宋体" w:hint="default"/>
          <w:sz w:val="18"/>
          <w:szCs w:val="18"/>
        </w:rPr>
        <w:sectPr>
          <w:type w:val="continuous"/>
          <w:pgSz w:w="11910" w:h="16840"/>
          <w:pgMar w:top="1600" w:bottom="280" w:left="1180" w:right="1060"/>
          <w:cols w:num="2" w:equalWidth="0">
            <w:col w:w="1739" w:space="69"/>
            <w:col w:w="7862"/>
          </w:cols>
        </w:sectPr>
      </w:pPr>
    </w:p>
    <w:p>
      <w:pPr>
        <w:tabs>
          <w:tab w:pos="2766" w:val="left" w:leader="none"/>
          <w:tab w:pos="3443" w:val="left" w:leader="none"/>
        </w:tabs>
        <w:spacing w:line="280"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目</w:t>
        <w:tab/>
      </w:r>
      <w:r>
        <w:rPr>
          <w:rFonts w:ascii="宋体" w:hAnsi="宋体" w:cs="宋体" w:eastAsia="宋体" w:hint="default"/>
          <w:sz w:val="18"/>
          <w:szCs w:val="18"/>
        </w:rPr>
        <w:t>0.00</w:t>
        <w:tab/>
        <w:t>42,300,000.00</w:t>
      </w:r>
      <w:r>
        <w:rPr>
          <w:rFonts w:ascii="宋体" w:hAnsi="宋体" w:cs="宋体" w:eastAsia="宋体" w:hint="default"/>
          <w:spacing w:val="-2"/>
          <w:sz w:val="18"/>
          <w:szCs w:val="18"/>
        </w:rPr>
        <w:t> </w:t>
      </w:r>
      <w:r>
        <w:rPr>
          <w:rFonts w:ascii="宋体" w:hAnsi="宋体" w:cs="宋体" w:eastAsia="宋体" w:hint="default"/>
          <w:sz w:val="18"/>
          <w:szCs w:val="18"/>
        </w:rPr>
        <w:t>沈新区委发[2009]79</w:t>
      </w:r>
      <w:r>
        <w:rPr>
          <w:rFonts w:ascii="宋体" w:hAnsi="宋体" w:cs="宋体" w:eastAsia="宋体" w:hint="default"/>
          <w:spacing w:val="-46"/>
          <w:sz w:val="18"/>
          <w:szCs w:val="18"/>
        </w:rPr>
        <w:t> </w:t>
      </w:r>
      <w:r>
        <w:rPr>
          <w:rFonts w:ascii="宋体" w:hAnsi="宋体" w:cs="宋体" w:eastAsia="宋体" w:hint="default"/>
          <w:sz w:val="18"/>
          <w:szCs w:val="18"/>
        </w:rPr>
        <w:t>号、沈新区经便字[2009]49</w:t>
      </w:r>
      <w:r>
        <w:rPr>
          <w:rFonts w:ascii="宋体" w:hAnsi="宋体" w:cs="宋体" w:eastAsia="宋体" w:hint="default"/>
          <w:spacing w:val="-46"/>
          <w:sz w:val="18"/>
          <w:szCs w:val="18"/>
        </w:rPr>
        <w:t> </w:t>
      </w:r>
      <w:r>
        <w:rPr>
          <w:rFonts w:ascii="宋体" w:hAnsi="宋体" w:cs="宋体" w:eastAsia="宋体" w:hint="default"/>
          <w:sz w:val="18"/>
          <w:szCs w:val="18"/>
        </w:rPr>
        <w:t>号文件</w:t>
      </w:r>
    </w:p>
    <w:p>
      <w:pPr>
        <w:tabs>
          <w:tab w:pos="2766" w:val="left" w:leader="none"/>
          <w:tab w:pos="3533" w:val="left" w:leader="none"/>
        </w:tabs>
        <w:spacing w:before="17"/>
        <w:ind w:left="238" w:right="0" w:firstLine="0"/>
        <w:jc w:val="left"/>
        <w:rPr>
          <w:rFonts w:ascii="宋体" w:hAnsi="宋体" w:cs="宋体" w:eastAsia="宋体" w:hint="default"/>
          <w:sz w:val="18"/>
          <w:szCs w:val="18"/>
        </w:rPr>
      </w:pPr>
      <w:r>
        <w:rPr>
          <w:rFonts w:ascii="宋体" w:hAnsi="宋体" w:cs="宋体" w:eastAsia="宋体" w:hint="default"/>
          <w:sz w:val="18"/>
          <w:szCs w:val="18"/>
        </w:rPr>
        <w:t>出口优惠补助</w:t>
        <w:tab/>
        <w:t>0.00</w:t>
        <w:tab/>
        <w:t>3,651,918.75</w:t>
      </w:r>
      <w:r>
        <w:rPr>
          <w:rFonts w:ascii="宋体" w:hAnsi="宋体" w:cs="宋体" w:eastAsia="宋体" w:hint="default"/>
          <w:spacing w:val="-2"/>
          <w:sz w:val="18"/>
          <w:szCs w:val="18"/>
        </w:rPr>
        <w:t> </w:t>
      </w:r>
      <w:r>
        <w:rPr>
          <w:rFonts w:ascii="宋体" w:hAnsi="宋体" w:cs="宋体" w:eastAsia="宋体" w:hint="default"/>
          <w:sz w:val="18"/>
          <w:szCs w:val="18"/>
        </w:rPr>
        <w:t>沈阳市支持企业发展促进经济增长若干政策措施</w:t>
      </w:r>
    </w:p>
    <w:p>
      <w:pPr>
        <w:tabs>
          <w:tab w:pos="4702" w:val="left" w:leader="none"/>
        </w:tabs>
        <w:spacing w:line="155" w:lineRule="exact" w:before="17"/>
        <w:ind w:left="238" w:right="0" w:firstLine="0"/>
        <w:jc w:val="left"/>
        <w:rPr>
          <w:rFonts w:ascii="宋体" w:hAnsi="宋体" w:cs="宋体" w:eastAsia="宋体" w:hint="default"/>
          <w:sz w:val="18"/>
          <w:szCs w:val="18"/>
        </w:rPr>
      </w:pPr>
      <w:r>
        <w:rPr>
          <w:rFonts w:ascii="宋体" w:hAnsi="宋体" w:cs="宋体" w:eastAsia="宋体" w:hint="default"/>
          <w:spacing w:val="6"/>
          <w:sz w:val="18"/>
          <w:szCs w:val="18"/>
        </w:rPr>
        <w:t>数字电视发射及同</w:t>
        <w:tab/>
      </w:r>
      <w:r>
        <w:rPr>
          <w:rFonts w:ascii="宋体" w:hAnsi="宋体" w:cs="宋体" w:eastAsia="宋体" w:hint="default"/>
          <w:sz w:val="18"/>
          <w:szCs w:val="18"/>
        </w:rPr>
        <w:t>国财建[2006]549 文件、辽财企指[2006]341</w:t>
      </w:r>
      <w:r>
        <w:rPr>
          <w:rFonts w:ascii="宋体" w:hAnsi="宋体" w:cs="宋体" w:eastAsia="宋体" w:hint="default"/>
          <w:spacing w:val="34"/>
          <w:sz w:val="18"/>
          <w:szCs w:val="18"/>
        </w:rPr>
        <w:t> </w:t>
      </w:r>
      <w:r>
        <w:rPr>
          <w:rFonts w:ascii="宋体" w:hAnsi="宋体" w:cs="宋体" w:eastAsia="宋体" w:hint="default"/>
          <w:spacing w:val="2"/>
          <w:sz w:val="18"/>
          <w:szCs w:val="18"/>
        </w:rPr>
        <w:t>号、鞍财企指</w:t>
      </w:r>
    </w:p>
    <w:p>
      <w:pPr>
        <w:tabs>
          <w:tab w:pos="2766" w:val="left" w:leader="none"/>
          <w:tab w:pos="3533" w:val="left" w:leader="none"/>
        </w:tabs>
        <w:spacing w:line="275" w:lineRule="exact"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频转发设备项目</w:t>
        <w:tab/>
      </w:r>
      <w:r>
        <w:rPr>
          <w:rFonts w:ascii="宋体" w:hAnsi="宋体" w:cs="宋体" w:eastAsia="宋体" w:hint="default"/>
          <w:position w:val="10"/>
          <w:sz w:val="18"/>
          <w:szCs w:val="18"/>
        </w:rPr>
        <w:t>0.00</w:t>
        <w:tab/>
        <w:t>1,900,000.00</w:t>
      </w:r>
      <w:r>
        <w:rPr>
          <w:rFonts w:ascii="宋体" w:hAnsi="宋体" w:cs="宋体" w:eastAsia="宋体" w:hint="default"/>
          <w:spacing w:val="-28"/>
          <w:position w:val="10"/>
          <w:sz w:val="18"/>
          <w:szCs w:val="18"/>
        </w:rPr>
        <w:t> </w:t>
      </w:r>
      <w:r>
        <w:rPr>
          <w:rFonts w:ascii="宋体" w:hAnsi="宋体" w:cs="宋体" w:eastAsia="宋体" w:hint="default"/>
          <w:sz w:val="18"/>
          <w:szCs w:val="18"/>
        </w:rPr>
        <w:t>[2006]392</w:t>
      </w:r>
      <w:r>
        <w:rPr>
          <w:rFonts w:ascii="宋体" w:hAnsi="宋体" w:cs="宋体" w:eastAsia="宋体" w:hint="default"/>
          <w:spacing w:val="-46"/>
          <w:sz w:val="18"/>
          <w:szCs w:val="18"/>
        </w:rPr>
        <w:t> </w:t>
      </w:r>
      <w:r>
        <w:rPr>
          <w:rFonts w:ascii="宋体" w:hAnsi="宋体" w:cs="宋体" w:eastAsia="宋体" w:hint="default"/>
          <w:sz w:val="18"/>
          <w:szCs w:val="18"/>
        </w:rPr>
        <w:t>号、辽财企指[2007]88</w:t>
      </w:r>
      <w:r>
        <w:rPr>
          <w:rFonts w:ascii="宋体" w:hAnsi="宋体" w:cs="宋体" w:eastAsia="宋体" w:hint="default"/>
          <w:spacing w:val="-46"/>
          <w:sz w:val="18"/>
          <w:szCs w:val="18"/>
        </w:rPr>
        <w:t> </w:t>
      </w:r>
      <w:r>
        <w:rPr>
          <w:rFonts w:ascii="宋体" w:hAnsi="宋体" w:cs="宋体" w:eastAsia="宋体" w:hint="default"/>
          <w:sz w:val="18"/>
          <w:szCs w:val="18"/>
        </w:rPr>
        <w:t>号文件</w:t>
      </w:r>
    </w:p>
    <w:p>
      <w:pPr>
        <w:spacing w:line="163" w:lineRule="exact" w:before="0"/>
        <w:ind w:left="238" w:right="0" w:firstLine="0"/>
        <w:jc w:val="left"/>
        <w:rPr>
          <w:rFonts w:ascii="宋体" w:hAnsi="宋体" w:cs="宋体" w:eastAsia="宋体" w:hint="default"/>
          <w:sz w:val="18"/>
          <w:szCs w:val="18"/>
        </w:rPr>
      </w:pPr>
      <w:r>
        <w:rPr>
          <w:rFonts w:ascii="宋体" w:hAnsi="宋体" w:cs="宋体" w:eastAsia="宋体" w:hint="default"/>
          <w:spacing w:val="7"/>
          <w:sz w:val="18"/>
          <w:szCs w:val="18"/>
        </w:rPr>
        <w:t>产学研究重大专项</w:t>
      </w:r>
      <w:r>
        <w:rPr>
          <w:rFonts w:ascii="宋体" w:hAnsi="宋体" w:cs="宋体" w:eastAsia="宋体" w:hint="default"/>
          <w:sz w:val="18"/>
          <w:szCs w:val="18"/>
        </w:rPr>
      </w:r>
    </w:p>
    <w:p>
      <w:pPr>
        <w:tabs>
          <w:tab w:pos="2766" w:val="left" w:leader="none"/>
          <w:tab w:pos="3533" w:val="left" w:leader="none"/>
        </w:tabs>
        <w:spacing w:line="250"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资金</w:t>
        <w:tab/>
      </w:r>
      <w:r>
        <w:rPr>
          <w:rFonts w:ascii="宋体" w:hAnsi="宋体" w:cs="宋体" w:eastAsia="宋体" w:hint="default"/>
          <w:sz w:val="18"/>
          <w:szCs w:val="18"/>
        </w:rPr>
        <w:t>0.00</w:t>
        <w:tab/>
        <w:t>1,500,000.00 拨粤财政[2009]222</w:t>
      </w:r>
      <w:r>
        <w:rPr>
          <w:rFonts w:ascii="宋体" w:hAnsi="宋体" w:cs="宋体" w:eastAsia="宋体" w:hint="default"/>
          <w:spacing w:val="-48"/>
          <w:sz w:val="18"/>
          <w:szCs w:val="18"/>
        </w:rPr>
        <w:t> </w:t>
      </w:r>
      <w:r>
        <w:rPr>
          <w:rFonts w:ascii="宋体" w:hAnsi="宋体" w:cs="宋体" w:eastAsia="宋体" w:hint="default"/>
          <w:sz w:val="18"/>
          <w:szCs w:val="18"/>
        </w:rPr>
        <w:t>号省部产学研究重大专项资金</w:t>
      </w:r>
    </w:p>
    <w:p>
      <w:pPr>
        <w:spacing w:line="150" w:lineRule="exact"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北京市科委</w:t>
      </w:r>
      <w:r>
        <w:rPr>
          <w:rFonts w:ascii="宋体" w:hAnsi="宋体" w:cs="宋体" w:eastAsia="宋体" w:hint="default"/>
          <w:spacing w:val="-64"/>
          <w:sz w:val="18"/>
          <w:szCs w:val="18"/>
        </w:rPr>
        <w:t> </w:t>
      </w:r>
      <w:r>
        <w:rPr>
          <w:rFonts w:ascii="宋体" w:hAnsi="宋体" w:cs="宋体" w:eastAsia="宋体" w:hint="default"/>
          <w:sz w:val="18"/>
          <w:szCs w:val="18"/>
        </w:rPr>
        <w:t>RFID</w:t>
      </w:r>
      <w:r>
        <w:rPr>
          <w:rFonts w:ascii="宋体" w:hAnsi="宋体" w:cs="宋体" w:eastAsia="宋体" w:hint="default"/>
          <w:spacing w:val="-64"/>
          <w:sz w:val="18"/>
          <w:szCs w:val="18"/>
        </w:rPr>
        <w:t> </w:t>
      </w:r>
      <w:r>
        <w:rPr>
          <w:rFonts w:ascii="宋体" w:hAnsi="宋体" w:cs="宋体" w:eastAsia="宋体" w:hint="default"/>
          <w:sz w:val="18"/>
          <w:szCs w:val="18"/>
        </w:rPr>
        <w:t>标</w:t>
      </w:r>
    </w:p>
    <w:p>
      <w:pPr>
        <w:tabs>
          <w:tab w:pos="2766" w:val="left" w:leader="none"/>
          <w:tab w:pos="3533" w:val="left" w:leader="none"/>
        </w:tabs>
        <w:spacing w:line="268"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签技术研究项目</w:t>
        <w:tab/>
      </w:r>
      <w:r>
        <w:rPr>
          <w:rFonts w:ascii="宋体" w:hAnsi="宋体" w:cs="宋体" w:eastAsia="宋体" w:hint="default"/>
          <w:sz w:val="18"/>
          <w:szCs w:val="18"/>
        </w:rPr>
        <w:t>0.00</w:t>
        <w:tab/>
        <w:t>2,000,000.00</w:t>
      </w:r>
      <w:r>
        <w:rPr>
          <w:rFonts w:ascii="宋体" w:hAnsi="宋体" w:cs="宋体" w:eastAsia="宋体" w:hint="default"/>
          <w:spacing w:val="-2"/>
          <w:sz w:val="18"/>
          <w:szCs w:val="18"/>
        </w:rPr>
        <w:t> </w:t>
      </w:r>
      <w:r>
        <w:rPr>
          <w:rFonts w:ascii="宋体" w:hAnsi="宋体" w:cs="宋体" w:eastAsia="宋体" w:hint="default"/>
          <w:sz w:val="18"/>
          <w:szCs w:val="18"/>
        </w:rPr>
        <w:t>北京市科技计划项目结题审计意见书</w:t>
      </w: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1pt;height:1.5pt;mso-position-horizontal-relative:char;mso-position-vertical-relative:line" coordorigin="0,0" coordsize="9462,30">
            <v:group style="position:absolute;left:15;top:15;width:1724;height:2" coordorigin="15,15" coordsize="1724,2">
              <v:shape style="position:absolute;left:15;top:15;width:1724;height:2" coordorigin="15,15" coordsize="1724,0" path="m15,15l1738,15e" filled="false" stroked="true" strokeweight="1.5pt" strokecolor="#000000">
                <v:path arrowok="t"/>
              </v:shape>
            </v:group>
            <v:group style="position:absolute;left:1724;top:15;width:1412;height:2" coordorigin="1724,15" coordsize="1412,2">
              <v:shape style="position:absolute;left:1724;top:15;width:1412;height:2" coordorigin="1724,15" coordsize="1412,0" path="m1724,15l3135,15e" filled="false" stroked="true" strokeweight="1.5pt" strokecolor="#000000">
                <v:path arrowok="t"/>
              </v:shape>
            </v:group>
            <v:group style="position:absolute;left:3121;top:15;width:1500;height:2" coordorigin="3121,15" coordsize="1500,2">
              <v:shape style="position:absolute;left:3121;top:15;width:1500;height:2" coordorigin="3121,15" coordsize="1500,0" path="m3121,15l4621,15e" filled="false" stroked="true" strokeweight="1.5pt" strokecolor="#000000">
                <v:path arrowok="t"/>
              </v:shape>
            </v:group>
            <v:group style="position:absolute;left:4606;top:15;width:4841;height:2" coordorigin="4606,15" coordsize="4841,2">
              <v:shape style="position:absolute;left:4606;top:15;width:4841;height:2" coordorigin="4606,15" coordsize="4841,0" path="m4606,15l944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1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44"/>
        <w:ind w:left="0" w:right="1047" w:firstLine="0"/>
        <w:jc w:val="right"/>
        <w:rPr>
          <w:rFonts w:ascii="宋体" w:hAnsi="宋体" w:cs="宋体" w:eastAsia="宋体" w:hint="default"/>
          <w:sz w:val="18"/>
          <w:szCs w:val="18"/>
        </w:rPr>
      </w:pPr>
      <w:r>
        <w:rPr/>
        <w:pict>
          <v:shape style="position:absolute;margin-left:65.519997pt;margin-top:-77.798004pt;width:470.55pt;height:86.75pt;mso-position-horizontal-relative:page;mso-position-vertical-relative:paragraph;z-index:5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4"/>
                    <w:gridCol w:w="1962"/>
                    <w:gridCol w:w="2292"/>
                    <w:gridCol w:w="3628"/>
                    <w:gridCol w:w="385"/>
                  </w:tblGrid>
                  <w:tr>
                    <w:trPr>
                      <w:trHeight w:val="304" w:hRule="exact"/>
                    </w:trPr>
                    <w:tc>
                      <w:tcPr>
                        <w:tcW w:w="114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6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3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9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4013" w:type="dxa"/>
                        <w:gridSpan w:val="2"/>
                        <w:tcBorders>
                          <w:top w:val="single" w:sz="12" w:space="0" w:color="000000"/>
                          <w:left w:val="nil" w:sz="6" w:space="0" w:color="auto"/>
                          <w:bottom w:val="single" w:sz="4" w:space="0" w:color="000000"/>
                          <w:right w:val="nil" w:sz="6" w:space="0" w:color="auto"/>
                        </w:tcBorders>
                      </w:tcPr>
                      <w:p>
                        <w:pPr>
                          <w:pStyle w:val="TableParagraph"/>
                          <w:spacing w:line="227" w:lineRule="exact"/>
                          <w:ind w:left="1054"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265" w:hRule="exact"/>
                    </w:trPr>
                    <w:tc>
                      <w:tcPr>
                        <w:tcW w:w="1144"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2"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9,562,712.78</w:t>
                        </w:r>
                      </w:p>
                    </w:tc>
                    <w:tc>
                      <w:tcPr>
                        <w:tcW w:w="2292"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207" w:right="0"/>
                          <w:jc w:val="left"/>
                          <w:rPr>
                            <w:rFonts w:ascii="宋体" w:hAnsi="宋体" w:cs="宋体" w:eastAsia="宋体" w:hint="default"/>
                            <w:sz w:val="18"/>
                            <w:szCs w:val="18"/>
                          </w:rPr>
                        </w:pPr>
                        <w:r>
                          <w:rPr>
                            <w:rFonts w:ascii="宋体"/>
                            <w:sz w:val="18"/>
                          </w:rPr>
                          <w:t>27,062,435.74</w:t>
                        </w:r>
                      </w:p>
                    </w:tc>
                    <w:tc>
                      <w:tcPr>
                        <w:tcW w:w="4013" w:type="dxa"/>
                        <w:gridSpan w:val="2"/>
                        <w:tcBorders>
                          <w:top w:val="single" w:sz="4" w:space="0" w:color="000000"/>
                          <w:left w:val="nil" w:sz="6" w:space="0" w:color="auto"/>
                          <w:bottom w:val="single" w:sz="4" w:space="0" w:color="000000"/>
                          <w:right w:val="nil" w:sz="6" w:space="0" w:color="auto"/>
                        </w:tcBorders>
                      </w:tcPr>
                      <w:p>
                        <w:pPr/>
                      </w:p>
                    </w:tc>
                  </w:tr>
                  <w:tr>
                    <w:trPr>
                      <w:trHeight w:val="290" w:hRule="exact"/>
                    </w:trPr>
                    <w:tc>
                      <w:tcPr>
                        <w:tcW w:w="1144" w:type="dxa"/>
                        <w:tcBorders>
                          <w:top w:val="single" w:sz="4" w:space="0" w:color="000000"/>
                          <w:left w:val="nil" w:sz="6" w:space="0" w:color="auto"/>
                          <w:bottom w:val="single" w:sz="12" w:space="0" w:color="000000"/>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62" w:type="dxa"/>
                        <w:tcBorders>
                          <w:top w:val="single" w:sz="4" w:space="0" w:color="000000"/>
                          <w:left w:val="nil" w:sz="6" w:space="0" w:color="auto"/>
                          <w:bottom w:val="single" w:sz="12" w:space="0" w:color="000000"/>
                          <w:right w:val="nil" w:sz="6" w:space="0" w:color="auto"/>
                        </w:tcBorders>
                      </w:tcPr>
                      <w:p>
                        <w:pPr>
                          <w:pStyle w:val="TableParagraph"/>
                          <w:spacing w:line="220" w:lineRule="exact"/>
                          <w:ind w:right="105"/>
                          <w:jc w:val="right"/>
                          <w:rPr>
                            <w:rFonts w:ascii="宋体" w:hAnsi="宋体" w:cs="宋体" w:eastAsia="宋体" w:hint="default"/>
                            <w:sz w:val="18"/>
                            <w:szCs w:val="18"/>
                          </w:rPr>
                        </w:pPr>
                        <w:r>
                          <w:rPr>
                            <w:rFonts w:ascii="宋体"/>
                            <w:b/>
                            <w:w w:val="95"/>
                            <w:sz w:val="18"/>
                          </w:rPr>
                          <w:t>95,221,672.16</w:t>
                        </w:r>
                        <w:r>
                          <w:rPr>
                            <w:rFonts w:ascii="宋体"/>
                            <w:sz w:val="18"/>
                          </w:rPr>
                        </w:r>
                      </w:p>
                    </w:tc>
                    <w:tc>
                      <w:tcPr>
                        <w:tcW w:w="2292" w:type="dxa"/>
                        <w:tcBorders>
                          <w:top w:val="single" w:sz="4" w:space="0" w:color="000000"/>
                          <w:left w:val="nil" w:sz="6" w:space="0" w:color="auto"/>
                          <w:bottom w:val="single" w:sz="12" w:space="0" w:color="000000"/>
                          <w:right w:val="nil" w:sz="6" w:space="0" w:color="auto"/>
                        </w:tcBorders>
                      </w:tcPr>
                      <w:p>
                        <w:pPr>
                          <w:pStyle w:val="TableParagraph"/>
                          <w:spacing w:line="220" w:lineRule="exact"/>
                          <w:ind w:left="107" w:right="0"/>
                          <w:jc w:val="left"/>
                          <w:rPr>
                            <w:rFonts w:ascii="宋体" w:hAnsi="宋体" w:cs="宋体" w:eastAsia="宋体" w:hint="default"/>
                            <w:sz w:val="18"/>
                            <w:szCs w:val="18"/>
                          </w:rPr>
                        </w:pPr>
                        <w:r>
                          <w:rPr>
                            <w:rFonts w:ascii="宋体"/>
                            <w:b/>
                            <w:sz w:val="18"/>
                          </w:rPr>
                          <w:t>131,551,373.08</w:t>
                        </w:r>
                        <w:r>
                          <w:rPr>
                            <w:rFonts w:ascii="宋体"/>
                            <w:sz w:val="18"/>
                          </w:rPr>
                        </w:r>
                      </w:p>
                    </w:tc>
                    <w:tc>
                      <w:tcPr>
                        <w:tcW w:w="4013" w:type="dxa"/>
                        <w:gridSpan w:val="2"/>
                        <w:tcBorders>
                          <w:top w:val="single" w:sz="4" w:space="0" w:color="000000"/>
                          <w:left w:val="nil" w:sz="6" w:space="0" w:color="auto"/>
                          <w:bottom w:val="single" w:sz="12" w:space="0" w:color="000000"/>
                          <w:right w:val="nil" w:sz="6" w:space="0" w:color="auto"/>
                        </w:tcBorders>
                      </w:tcPr>
                      <w:p>
                        <w:pPr/>
                      </w:p>
                    </w:tc>
                  </w:tr>
                  <w:tr>
                    <w:trPr>
                      <w:trHeight w:val="576" w:hRule="exact"/>
                    </w:trPr>
                    <w:tc>
                      <w:tcPr>
                        <w:tcW w:w="3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营业外支出</w:t>
                        </w:r>
                      </w:p>
                    </w:tc>
                    <w:tc>
                      <w:tcPr>
                        <w:tcW w:w="2292" w:type="dxa"/>
                        <w:tcBorders>
                          <w:top w:val="nil" w:sz="6" w:space="0" w:color="auto"/>
                          <w:left w:val="nil" w:sz="6" w:space="0" w:color="auto"/>
                          <w:bottom w:val="single" w:sz="12" w:space="0" w:color="000000"/>
                          <w:right w:val="nil" w:sz="6" w:space="0" w:color="auto"/>
                        </w:tcBorders>
                      </w:tcPr>
                      <w:p>
                        <w:pPr/>
                      </w:p>
                    </w:tc>
                    <w:tc>
                      <w:tcPr>
                        <w:tcW w:w="3628" w:type="dxa"/>
                        <w:tcBorders>
                          <w:top w:val="nil" w:sz="6" w:space="0" w:color="auto"/>
                          <w:left w:val="nil" w:sz="6" w:space="0" w:color="auto"/>
                          <w:bottom w:val="single" w:sz="12" w:space="0" w:color="000000"/>
                          <w:right w:val="nil" w:sz="6" w:space="0" w:color="auto"/>
                        </w:tcBorders>
                      </w:tcPr>
                      <w:p>
                        <w:pPr/>
                      </w:p>
                    </w:tc>
                    <w:tc>
                      <w:tcPr>
                        <w:tcW w:w="385" w:type="dxa"/>
                        <w:tcBorders>
                          <w:top w:val="nil" w:sz="6" w:space="0" w:color="auto"/>
                          <w:left w:val="nil" w:sz="6" w:space="0" w:color="auto"/>
                          <w:bottom w:val="nil" w:sz="6" w:space="0" w:color="auto"/>
                          <w:right w:val="nil" w:sz="6" w:space="0" w:color="auto"/>
                        </w:tcBorders>
                      </w:tcPr>
                      <w:p>
                        <w:pPr/>
                      </w:p>
                    </w:tc>
                  </w:tr>
                  <w:tr>
                    <w:trPr>
                      <w:trHeight w:val="300" w:hRule="exact"/>
                    </w:trPr>
                    <w:tc>
                      <w:tcPr>
                        <w:tcW w:w="3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9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92"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left="127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28" w:type="dxa"/>
                        <w:tcBorders>
                          <w:top w:val="single" w:sz="12" w:space="0" w:color="000000"/>
                          <w:left w:val="nil" w:sz="6" w:space="0" w:color="auto"/>
                          <w:bottom w:val="nil" w:sz="6" w:space="0" w:color="auto"/>
                          <w:right w:val="nil" w:sz="6" w:space="0" w:color="auto"/>
                        </w:tcBorders>
                      </w:tcPr>
                      <w:p>
                        <w:pPr>
                          <w:pStyle w:val="TableParagraph"/>
                          <w:tabs>
                            <w:tab w:pos="1892" w:val="left" w:leader="none"/>
                          </w:tabs>
                          <w:spacing w:line="285" w:lineRule="exact"/>
                          <w:ind w:left="564"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上年金额</w:t>
                          <w:tab/>
                        </w:r>
                        <w:r>
                          <w:rPr>
                            <w:rFonts w:ascii="宋体" w:hAnsi="宋体" w:cs="宋体" w:eastAsia="宋体" w:hint="default"/>
                            <w:b/>
                            <w:bCs/>
                            <w:sz w:val="18"/>
                            <w:szCs w:val="18"/>
                          </w:rPr>
                          <w:t>计入本年非经常性</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18"/>
          <w:szCs w:val="18"/>
        </w:rPr>
        <w:t>损益的金额</w:t>
      </w:r>
      <w:r>
        <w:rPr>
          <w:rFonts w:ascii="宋体" w:hAnsi="宋体" w:cs="宋体" w:eastAsia="宋体" w:hint="default"/>
          <w:sz w:val="18"/>
          <w:szCs w:val="18"/>
        </w:rPr>
      </w:r>
    </w:p>
    <w:p>
      <w:pPr>
        <w:spacing w:line="20" w:lineRule="exact"/>
        <w:ind w:left="49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6611;height:2" coordorigin="5,5" coordsize="6611,2">
              <v:shape style="position:absolute;left:5;top:5;width:6611;height:2" coordorigin="5,5" coordsize="6611,0" path="m5,5l6616,5e" filled="false" stroked="true" strokeweight=".48pt" strokecolor="#000000">
                <v:path arrowok="t"/>
              </v:shape>
            </v:group>
            <v:group style="position:absolute;left:6616;top:5;width:2030;height:2" coordorigin="6616,5" coordsize="2030,2">
              <v:shape style="position:absolute;left:6616;top:5;width:2030;height:2" coordorigin="6616,5" coordsize="2030,0" path="m6616,5l8645,5e" filled="false" stroked="true" strokeweight=".48pt" strokecolor="#000000">
                <v:path arrowok="t"/>
              </v:shape>
            </v:group>
          </v:group>
        </w:pict>
      </w:r>
      <w:r>
        <w:rPr>
          <w:rFonts w:ascii="宋体" w:hAnsi="宋体" w:cs="宋体" w:eastAsia="宋体" w:hint="default"/>
          <w:sz w:val="2"/>
          <w:szCs w:val="2"/>
        </w:rPr>
      </w:r>
    </w:p>
    <w:p>
      <w:pPr>
        <w:tabs>
          <w:tab w:pos="4333" w:val="left" w:leader="none"/>
          <w:tab w:pos="5824" w:val="left" w:leader="none"/>
          <w:tab w:pos="7954" w:val="left" w:leader="none"/>
        </w:tabs>
        <w:spacing w:before="0"/>
        <w:ind w:left="603" w:right="0" w:firstLine="0"/>
        <w:jc w:val="left"/>
        <w:rPr>
          <w:rFonts w:ascii="宋体" w:hAnsi="宋体" w:cs="宋体" w:eastAsia="宋体" w:hint="default"/>
          <w:sz w:val="18"/>
          <w:szCs w:val="18"/>
        </w:rPr>
      </w:pPr>
      <w:r>
        <w:rPr>
          <w:rFonts w:ascii="宋体" w:hAnsi="宋体" w:cs="宋体" w:eastAsia="宋体" w:hint="default"/>
          <w:sz w:val="18"/>
          <w:szCs w:val="18"/>
        </w:rPr>
        <w:t>非流动资产处置损失</w:t>
        <w:tab/>
        <w:t>4,150,115.34</w:t>
        <w:tab/>
        <w:t>11,354,540.61</w:t>
        <w:tab/>
        <w:t>4,150,115.34</w:t>
      </w:r>
    </w:p>
    <w:p>
      <w:pPr>
        <w:tabs>
          <w:tab w:pos="4333" w:val="left" w:leader="none"/>
          <w:tab w:pos="5824" w:val="left" w:leader="none"/>
          <w:tab w:pos="7954" w:val="left" w:leader="none"/>
        </w:tabs>
        <w:spacing w:before="49"/>
        <w:ind w:left="603" w:right="0" w:firstLine="0"/>
        <w:jc w:val="left"/>
        <w:rPr>
          <w:rFonts w:ascii="宋体" w:hAnsi="宋体" w:cs="宋体" w:eastAsia="宋体" w:hint="default"/>
          <w:sz w:val="18"/>
          <w:szCs w:val="18"/>
        </w:rPr>
      </w:pPr>
      <w:r>
        <w:rPr>
          <w:rFonts w:ascii="宋体" w:hAnsi="宋体" w:cs="宋体" w:eastAsia="宋体" w:hint="default"/>
          <w:sz w:val="18"/>
          <w:szCs w:val="18"/>
        </w:rPr>
        <w:t>其中：固定资产处置损失</w:t>
        <w:tab/>
        <w:t>4,150,115.34</w:t>
        <w:tab/>
        <w:t>11,354,540.61</w:t>
        <w:tab/>
        <w:t>4,150,115.34</w:t>
      </w:r>
    </w:p>
    <w:p>
      <w:pPr>
        <w:tabs>
          <w:tab w:pos="5053" w:val="left" w:leader="none"/>
          <w:tab w:pos="5824" w:val="left" w:leader="none"/>
          <w:tab w:pos="8674" w:val="left" w:leader="none"/>
        </w:tabs>
        <w:spacing w:before="46"/>
        <w:ind w:left="603" w:right="0" w:firstLine="0"/>
        <w:jc w:val="left"/>
        <w:rPr>
          <w:rFonts w:ascii="宋体" w:hAnsi="宋体" w:cs="宋体" w:eastAsia="宋体" w:hint="default"/>
          <w:sz w:val="18"/>
          <w:szCs w:val="18"/>
        </w:rPr>
      </w:pPr>
      <w:r>
        <w:rPr>
          <w:rFonts w:ascii="宋体" w:hAnsi="宋体" w:cs="宋体" w:eastAsia="宋体" w:hint="default"/>
          <w:sz w:val="18"/>
          <w:szCs w:val="18"/>
        </w:rPr>
        <w:t>债务重组损失</w:t>
        <w:tab/>
        <w:t>0.00</w:t>
        <w:tab/>
        <w:t>13,901,093.11</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4243" w:val="left" w:leader="none"/>
          <w:tab w:pos="5914" w:val="left" w:leader="none"/>
          <w:tab w:pos="7864" w:val="left" w:leader="none"/>
        </w:tabs>
        <w:spacing w:before="47"/>
        <w:ind w:left="603" w:right="0" w:firstLine="0"/>
        <w:jc w:val="left"/>
        <w:rPr>
          <w:rFonts w:ascii="宋体" w:hAnsi="宋体" w:cs="宋体" w:eastAsia="宋体" w:hint="default"/>
          <w:sz w:val="18"/>
          <w:szCs w:val="18"/>
        </w:rPr>
      </w:pPr>
      <w:r>
        <w:rPr>
          <w:rFonts w:ascii="宋体" w:hAnsi="宋体" w:cs="宋体" w:eastAsia="宋体" w:hint="default"/>
          <w:sz w:val="18"/>
          <w:szCs w:val="18"/>
        </w:rPr>
        <w:t>对外捐赠</w:t>
        <w:tab/>
        <w:t>22,798,550.00</w:t>
        <w:tab/>
        <w:t>2,960,628.15</w:t>
        <w:tab/>
        <w:t>22,798,550.00</w:t>
      </w:r>
    </w:p>
    <w:p>
      <w:pPr>
        <w:tabs>
          <w:tab w:pos="4243" w:val="left" w:leader="none"/>
          <w:tab w:pos="6634" w:val="left" w:leader="none"/>
          <w:tab w:pos="7864" w:val="left" w:leader="none"/>
        </w:tabs>
        <w:spacing w:before="47"/>
        <w:ind w:left="603" w:right="0" w:firstLine="0"/>
        <w:jc w:val="left"/>
        <w:rPr>
          <w:rFonts w:ascii="宋体" w:hAnsi="宋体" w:cs="宋体" w:eastAsia="宋体" w:hint="default"/>
          <w:sz w:val="18"/>
          <w:szCs w:val="18"/>
        </w:rPr>
      </w:pPr>
      <w:r>
        <w:rPr>
          <w:rFonts w:ascii="宋体" w:hAnsi="宋体" w:cs="宋体" w:eastAsia="宋体" w:hint="default"/>
          <w:sz w:val="18"/>
          <w:szCs w:val="18"/>
        </w:rPr>
        <w:t>对外担保损失</w:t>
        <w:tab/>
        <w:t>16,090,744.00</w:t>
        <w:tab/>
        <w:t>0.00</w:t>
        <w:tab/>
        <w:t>16,090,744.00</w:t>
      </w:r>
    </w:p>
    <w:p>
      <w:pPr>
        <w:tabs>
          <w:tab w:pos="4333" w:val="left" w:leader="none"/>
          <w:tab w:pos="5914" w:val="left" w:leader="none"/>
          <w:tab w:pos="7954" w:val="left" w:leader="none"/>
        </w:tabs>
        <w:spacing w:before="47"/>
        <w:ind w:left="603" w:right="0" w:firstLine="0"/>
        <w:jc w:val="left"/>
        <w:rPr>
          <w:rFonts w:ascii="宋体" w:hAnsi="宋体" w:cs="宋体" w:eastAsia="宋体" w:hint="default"/>
          <w:sz w:val="18"/>
          <w:szCs w:val="18"/>
        </w:rPr>
      </w:pPr>
      <w:r>
        <w:rPr>
          <w:rFonts w:ascii="宋体" w:hAnsi="宋体" w:cs="宋体" w:eastAsia="宋体" w:hint="default"/>
          <w:sz w:val="18"/>
          <w:szCs w:val="18"/>
        </w:rPr>
        <w:t>其他</w:t>
        <w:tab/>
        <w:t>4,904,220.80</w:t>
        <w:tab/>
        <w:t>7,755,219.72</w:t>
        <w:tab/>
        <w:t>4,631,549.66</w:t>
      </w:r>
    </w:p>
    <w:p>
      <w:pPr>
        <w:spacing w:line="240" w:lineRule="auto" w:before="5"/>
        <w:rPr>
          <w:rFonts w:ascii="宋体" w:hAnsi="宋体" w:cs="宋体" w:eastAsia="宋体" w:hint="default"/>
          <w:sz w:val="4"/>
          <w:szCs w:val="4"/>
        </w:rPr>
      </w:pPr>
    </w:p>
    <w:p>
      <w:pPr>
        <w:spacing w:line="20" w:lineRule="exact"/>
        <w:ind w:left="49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6611;height:2" coordorigin="5,5" coordsize="6611,2">
              <v:shape style="position:absolute;left:5;top:5;width:6611;height:2" coordorigin="5,5" coordsize="6611,0" path="m5,5l6616,5e" filled="false" stroked="true" strokeweight=".48pt" strokecolor="#000000">
                <v:path arrowok="t"/>
              </v:shape>
            </v:group>
            <v:group style="position:absolute;left:6616;top:5;width:2030;height:2" coordorigin="6616,5" coordsize="2030,2">
              <v:shape style="position:absolute;left:6616;top:5;width:2030;height:2" coordorigin="6616,5" coordsize="2030,0" path="m6616,5l8645,5e" filled="false" stroked="true" strokeweight=".48pt" strokecolor="#000000">
                <v:path arrowok="t"/>
              </v:shape>
            </v:group>
          </v:group>
        </w:pict>
      </w:r>
      <w:r>
        <w:rPr>
          <w:rFonts w:ascii="宋体" w:hAnsi="宋体" w:cs="宋体" w:eastAsia="宋体" w:hint="default"/>
          <w:sz w:val="2"/>
          <w:szCs w:val="2"/>
        </w:rPr>
      </w:r>
    </w:p>
    <w:p>
      <w:pPr>
        <w:tabs>
          <w:tab w:pos="4233" w:val="left" w:leader="none"/>
          <w:tab w:pos="5815" w:val="left" w:leader="none"/>
          <w:tab w:pos="7854" w:val="left" w:leader="none"/>
        </w:tabs>
        <w:spacing w:before="0"/>
        <w:ind w:left="60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47,943,630.14</w:t>
        <w:tab/>
        <w:t>35,971,481.59</w:t>
        <w:tab/>
      </w:r>
      <w:r>
        <w:rPr>
          <w:rFonts w:ascii="宋体" w:hAnsi="宋体" w:cs="宋体" w:eastAsia="宋体" w:hint="default"/>
          <w:b/>
          <w:bCs/>
          <w:sz w:val="18"/>
          <w:szCs w:val="18"/>
        </w:rPr>
        <w:t>47,670,959.00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3359;height:2" coordorigin="15,15" coordsize="3359,2">
              <v:shape style="position:absolute;left:15;top:15;width:3359;height:2" coordorigin="15,15" coordsize="3359,0" path="m15,15l3374,15e" filled="false" stroked="true" strokeweight="1.5pt" strokecolor="#000000">
                <v:path arrowok="t"/>
              </v:shape>
            </v:group>
            <v:group style="position:absolute;left:3359;top:15;width:1696;height:2" coordorigin="3359,15" coordsize="1696,2">
              <v:shape style="position:absolute;left:3359;top:15;width:1696;height:2" coordorigin="3359,15" coordsize="1696,0" path="m3359,15l5055,15e" filled="false" stroked="true" strokeweight="1.5pt" strokecolor="#000000">
                <v:path arrowok="t"/>
              </v:shape>
            </v:group>
            <v:group style="position:absolute;left:5041;top:15;width:1598;height:2" coordorigin="5041,15" coordsize="1598,2">
              <v:shape style="position:absolute;left:5041;top:15;width:1598;height:2" coordorigin="5041,15" coordsize="1598,0" path="m5041,15l6638,15e" filled="false" stroked="true" strokeweight="1.5pt" strokecolor="#000000">
                <v:path arrowok="t"/>
              </v:shape>
            </v:group>
            <v:group style="position:absolute;left:6623;top:15;width:2054;height:2" coordorigin="6623,15" coordsize="2054,2">
              <v:shape style="position:absolute;left:6623;top:15;width:2054;height:2" coordorigin="6623,15" coordsize="2054,0" path="m6623,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67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55.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所得税费用</w:t>
      </w:r>
    </w:p>
    <w:p>
      <w:pPr>
        <w:spacing w:line="240" w:lineRule="auto" w:before="3"/>
        <w:rPr>
          <w:rFonts w:ascii="宋体" w:hAnsi="宋体" w:cs="宋体" w:eastAsia="宋体" w:hint="default"/>
          <w:sz w:val="11"/>
          <w:szCs w:val="11"/>
        </w:rPr>
      </w:pPr>
    </w:p>
    <w:p>
      <w:pPr>
        <w:spacing w:line="30" w:lineRule="exact"/>
        <w:ind w:left="48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5907" w:val="left" w:leader="none"/>
          <w:tab w:pos="8069" w:val="left" w:leader="none"/>
        </w:tabs>
        <w:spacing w:before="0"/>
        <w:ind w:left="604"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5611" w:val="left" w:leader="none"/>
          <w:tab w:pos="7863" w:val="left" w:leader="none"/>
        </w:tabs>
        <w:spacing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当期所得税</w:t>
        <w:tab/>
        <w:t>124,587,143.40</w:t>
        <w:tab/>
        <w:t>88,546,961.80</w:t>
      </w:r>
    </w:p>
    <w:p>
      <w:pPr>
        <w:tabs>
          <w:tab w:pos="5701" w:val="left" w:leader="none"/>
          <w:tab w:pos="7773" w:val="left" w:leader="none"/>
        </w:tabs>
        <w:spacing w:before="47"/>
        <w:ind w:left="604" w:right="0" w:firstLine="0"/>
        <w:jc w:val="left"/>
        <w:rPr>
          <w:rFonts w:ascii="宋体" w:hAnsi="宋体" w:cs="宋体" w:eastAsia="宋体" w:hint="default"/>
          <w:sz w:val="18"/>
          <w:szCs w:val="18"/>
        </w:rPr>
      </w:pPr>
      <w:r>
        <w:rPr>
          <w:rFonts w:ascii="宋体" w:hAnsi="宋体" w:cs="宋体" w:eastAsia="宋体" w:hint="default"/>
          <w:sz w:val="18"/>
          <w:szCs w:val="18"/>
        </w:rPr>
        <w:t>递延所得税</w:t>
        <w:tab/>
        <w:t>-6,309,853.05</w:t>
        <w:tab/>
        <w:t>-14,887,416.81</w:t>
      </w:r>
    </w:p>
    <w:p>
      <w:pPr>
        <w:spacing w:line="240" w:lineRule="auto" w:before="5"/>
        <w:rPr>
          <w:rFonts w:ascii="宋体" w:hAnsi="宋体" w:cs="宋体" w:eastAsia="宋体" w:hint="default"/>
          <w:sz w:val="4"/>
          <w:szCs w:val="4"/>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宋体" w:hAnsi="宋体" w:cs="宋体" w:eastAsia="宋体" w:hint="default"/>
          <w:sz w:val="2"/>
          <w:szCs w:val="2"/>
        </w:rPr>
      </w:r>
    </w:p>
    <w:p>
      <w:pPr>
        <w:tabs>
          <w:tab w:pos="5600" w:val="left" w:leader="none"/>
          <w:tab w:pos="7853" w:val="left" w:leader="none"/>
        </w:tabs>
        <w:spacing w:before="0"/>
        <w:ind w:left="604"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118,277,290.35</w:t>
        <w:tab/>
      </w:r>
      <w:r>
        <w:rPr>
          <w:rFonts w:ascii="宋体" w:hAnsi="宋体" w:cs="宋体" w:eastAsia="宋体" w:hint="default"/>
          <w:b/>
          <w:bCs/>
          <w:sz w:val="18"/>
          <w:szCs w:val="18"/>
        </w:rPr>
        <w:t>73,659,544.99</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46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4157;height:2" coordorigin="15,15" coordsize="4157,2">
              <v:shape style="position:absolute;left:15;top:15;width:4157;height:2" coordorigin="15,15" coordsize="4157,0" path="m15,15l4172,15e" filled="false" stroked="true" strokeweight="1.5pt" strokecolor="#000000">
                <v:path arrowok="t"/>
              </v:shape>
            </v:group>
            <v:group style="position:absolute;left:4157;top:15;width:2355;height:2" coordorigin="4157,15" coordsize="2355,2">
              <v:shape style="position:absolute;left:4157;top:15;width:2355;height:2" coordorigin="4157,15" coordsize="2355,0" path="m4157,15l6512,15e" filled="false" stroked="true" strokeweight="1.5pt" strokecolor="#000000">
                <v:path arrowok="t"/>
              </v:shape>
            </v:group>
            <v:group style="position:absolute;left:6497;top:15;width:2177;height:2" coordorigin="6497,15" coordsize="2177,2">
              <v:shape style="position:absolute;left:6497;top:15;width:2177;height:2" coordorigin="6497,15" coordsize="2177,0" path="m6497,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67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56.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基本每股收益和稀释每股收益的计算过程</w:t>
      </w:r>
    </w:p>
    <w:p>
      <w:pPr>
        <w:spacing w:line="240" w:lineRule="auto" w:before="3"/>
        <w:rPr>
          <w:rFonts w:ascii="宋体" w:hAnsi="宋体" w:cs="宋体" w:eastAsia="宋体" w:hint="default"/>
          <w:sz w:val="11"/>
          <w:szCs w:val="11"/>
        </w:rPr>
      </w:pPr>
    </w:p>
    <w:p>
      <w:pPr>
        <w:spacing w:line="30" w:lineRule="exact"/>
        <w:ind w:left="4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3291" w:val="left" w:leader="none"/>
          <w:tab w:pos="6298" w:val="left" w:leader="none"/>
          <w:tab w:pos="6566" w:val="left" w:leader="none"/>
          <w:tab w:pos="7774" w:val="left" w:leader="none"/>
          <w:tab w:pos="8042" w:val="left" w:leader="none"/>
        </w:tabs>
        <w:spacing w:line="297" w:lineRule="auto" w:before="0"/>
        <w:ind w:left="508" w:right="587" w:firstLine="94"/>
        <w:jc w:val="left"/>
        <w:rPr>
          <w:rFonts w:ascii="宋体" w:hAnsi="宋体" w:cs="宋体" w:eastAsia="宋体" w:hint="default"/>
          <w:sz w:val="18"/>
          <w:szCs w:val="18"/>
        </w:rPr>
      </w:pPr>
      <w:r>
        <w:rPr/>
        <w:pict>
          <v:group style="position:absolute;margin-left:84.779999pt;margin-top:14.892029pt;width:432pt;height:.1pt;mso-position-horizontal-relative:page;mso-position-vertical-relative:paragraph;z-index:-1045144" coordorigin="1696,298" coordsize="8640,2">
            <v:shape style="position:absolute;left:1696;top:298;width:8640;height:2" coordorigin="1696,298" coordsize="8640,0" path="m1696,298l10336,298e" filled="false" stroked="true" strokeweight=".48pt" strokecolor="#000000">
              <v:path arrowok="t"/>
            </v:shape>
            <w10:wrap type="none"/>
          </v:group>
        </w:pict>
      </w:r>
      <w:r>
        <w:rPr>
          <w:rFonts w:ascii="宋体" w:hAnsi="宋体" w:cs="宋体" w:eastAsia="宋体" w:hint="default"/>
          <w:b/>
          <w:bCs/>
          <w:w w:val="95"/>
          <w:sz w:val="18"/>
          <w:szCs w:val="18"/>
        </w:rPr>
        <w:t>项目</w:t>
        <w:tab/>
        <w:t>序号</w:t>
        <w:tab/>
        <w:tab/>
        <w:t>本年金额</w:t>
        <w:tab/>
        <w:tab/>
      </w:r>
      <w:r>
        <w:rPr>
          <w:rFonts w:ascii="宋体" w:hAnsi="宋体" w:cs="宋体" w:eastAsia="宋体" w:hint="default"/>
          <w:b/>
          <w:bCs/>
          <w:sz w:val="18"/>
          <w:szCs w:val="18"/>
        </w:rPr>
        <w:t>上年金额</w:t>
      </w:r>
      <w:r>
        <w:rPr>
          <w:rFonts w:ascii="宋体" w:hAnsi="宋体" w:cs="宋体" w:eastAsia="宋体" w:hint="default"/>
          <w:b/>
          <w:bCs/>
          <w:w w:val="99"/>
          <w:sz w:val="18"/>
          <w:szCs w:val="18"/>
        </w:rPr>
        <w:t> </w:t>
      </w:r>
      <w:r>
        <w:rPr>
          <w:rFonts w:ascii="宋体" w:hAnsi="宋体" w:cs="宋体" w:eastAsia="宋体" w:hint="default"/>
          <w:sz w:val="18"/>
          <w:szCs w:val="18"/>
        </w:rPr>
        <w:t>归属于母公司股东的净利润</w:t>
        <w:tab/>
        <w:t>1</w:t>
        <w:tab/>
        <w:t>479,555,528.80</w:t>
        <w:tab/>
        <w:t>351,370,202.43</w:t>
      </w:r>
    </w:p>
    <w:p>
      <w:pPr>
        <w:tabs>
          <w:tab w:pos="3291" w:val="left" w:leader="none"/>
          <w:tab w:pos="6298" w:val="left" w:leader="none"/>
          <w:tab w:pos="7774" w:val="left" w:leader="none"/>
        </w:tabs>
        <w:spacing w:line="242" w:lineRule="exact" w:before="21"/>
        <w:ind w:left="508" w:right="587" w:firstLine="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tab/>
        <w:t>2</w:t>
        <w:tab/>
        <w:t>287,656,178.85</w:t>
        <w:tab/>
        <w:t>101,421,834.38 </w:t>
      </w:r>
      <w:r>
        <w:rPr>
          <w:rFonts w:ascii="宋体" w:hAnsi="宋体" w:cs="宋体" w:eastAsia="宋体" w:hint="default"/>
          <w:spacing w:val="-6"/>
          <w:sz w:val="18"/>
          <w:szCs w:val="18"/>
        </w:rPr>
        <w:t>归属于母公司股东、扣除非经常性损</w:t>
      </w:r>
    </w:p>
    <w:p>
      <w:pPr>
        <w:tabs>
          <w:tab w:pos="2795" w:val="left" w:leader="none"/>
          <w:tab w:pos="5803" w:val="left" w:leader="none"/>
          <w:tab w:pos="7279" w:val="left" w:leader="none"/>
        </w:tabs>
        <w:spacing w:line="177" w:lineRule="exact" w:before="0"/>
        <w:ind w:left="0" w:right="93" w:firstLine="0"/>
        <w:jc w:val="center"/>
        <w:rPr>
          <w:rFonts w:ascii="宋体" w:hAnsi="宋体" w:cs="宋体" w:eastAsia="宋体" w:hint="default"/>
          <w:sz w:val="18"/>
          <w:szCs w:val="18"/>
        </w:rPr>
      </w:pPr>
      <w:r>
        <w:rPr>
          <w:rFonts w:ascii="宋体" w:hAnsi="宋体" w:cs="宋体" w:eastAsia="宋体" w:hint="default"/>
          <w:position w:val="-9"/>
          <w:sz w:val="18"/>
          <w:szCs w:val="18"/>
        </w:rPr>
        <w:t>益后的净利润</w:t>
        <w:tab/>
      </w:r>
      <w:r>
        <w:rPr>
          <w:rFonts w:ascii="宋体" w:hAnsi="宋体" w:cs="宋体" w:eastAsia="宋体" w:hint="default"/>
          <w:sz w:val="18"/>
          <w:szCs w:val="18"/>
        </w:rPr>
        <w:t>3=1-2</w:t>
        <w:tab/>
        <w:t>191,899,349.95</w:t>
        <w:tab/>
        <w:t>249,948,368.05</w:t>
      </w:r>
    </w:p>
    <w:p>
      <w:pPr>
        <w:tabs>
          <w:tab w:pos="3291" w:val="left" w:leader="none"/>
          <w:tab w:pos="6568" w:val="left" w:leader="none"/>
          <w:tab w:pos="8044" w:val="left" w:leader="none"/>
        </w:tabs>
        <w:spacing w:before="5"/>
        <w:ind w:left="508" w:right="0" w:firstLine="0"/>
        <w:jc w:val="left"/>
        <w:rPr>
          <w:rFonts w:ascii="宋体" w:hAnsi="宋体" w:cs="宋体" w:eastAsia="宋体" w:hint="default"/>
          <w:sz w:val="18"/>
          <w:szCs w:val="18"/>
        </w:rPr>
      </w:pPr>
      <w:r>
        <w:rPr>
          <w:rFonts w:ascii="宋体" w:hAnsi="宋体" w:cs="宋体" w:eastAsia="宋体" w:hint="default"/>
          <w:sz w:val="18"/>
          <w:szCs w:val="18"/>
        </w:rPr>
        <w:t>期初股份总数</w:t>
        <w:tab/>
        <w:t>4</w:t>
        <w:tab/>
        <w:t>976,970,554</w:t>
        <w:tab/>
        <w:t>976,970,554</w:t>
      </w:r>
    </w:p>
    <w:p>
      <w:pPr>
        <w:spacing w:line="168" w:lineRule="exact" w:before="7"/>
        <w:ind w:left="508" w:right="0" w:firstLine="0"/>
        <w:jc w:val="left"/>
        <w:rPr>
          <w:rFonts w:ascii="宋体" w:hAnsi="宋体" w:cs="宋体" w:eastAsia="宋体" w:hint="default"/>
          <w:sz w:val="18"/>
          <w:szCs w:val="18"/>
        </w:rPr>
      </w:pPr>
      <w:r>
        <w:rPr>
          <w:rFonts w:ascii="宋体" w:hAnsi="宋体" w:cs="宋体" w:eastAsia="宋体" w:hint="default"/>
          <w:spacing w:val="6"/>
          <w:sz w:val="18"/>
          <w:szCs w:val="18"/>
        </w:rPr>
        <w:t>公积金转增股本或股票股利分配等</w:t>
      </w:r>
    </w:p>
    <w:p>
      <w:pPr>
        <w:tabs>
          <w:tab w:pos="3291" w:val="left" w:leader="none"/>
          <w:tab w:pos="7198" w:val="left" w:leader="none"/>
          <w:tab w:pos="8674" w:val="left" w:leader="none"/>
        </w:tabs>
        <w:spacing w:line="250" w:lineRule="exact" w:before="0"/>
        <w:ind w:left="495" w:right="0" w:firstLine="0"/>
        <w:jc w:val="left"/>
        <w:rPr>
          <w:rFonts w:ascii="宋体" w:hAnsi="宋体" w:cs="宋体" w:eastAsia="宋体" w:hint="default"/>
          <w:sz w:val="18"/>
          <w:szCs w:val="18"/>
        </w:rPr>
      </w:pPr>
      <w:r>
        <w:rPr>
          <w:rFonts w:ascii="宋体" w:hAnsi="宋体" w:cs="宋体" w:eastAsia="宋体" w:hint="default"/>
          <w:position w:val="-9"/>
          <w:sz w:val="18"/>
          <w:szCs w:val="18"/>
        </w:rPr>
        <w:t>增加股份数（Ⅰ）</w:t>
        <w:tab/>
      </w:r>
      <w:r>
        <w:rPr>
          <w:rFonts w:ascii="宋体" w:hAnsi="宋体" w:cs="宋体" w:eastAsia="宋体" w:hint="default"/>
          <w:sz w:val="18"/>
          <w:szCs w:val="18"/>
        </w:rPr>
        <w:t>5</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150" w:lineRule="exact" w:before="0"/>
        <w:ind w:left="508" w:right="0" w:firstLine="0"/>
        <w:jc w:val="left"/>
        <w:rPr>
          <w:rFonts w:ascii="宋体" w:hAnsi="宋体" w:cs="宋体" w:eastAsia="宋体" w:hint="default"/>
          <w:sz w:val="18"/>
          <w:szCs w:val="18"/>
        </w:rPr>
      </w:pPr>
      <w:r>
        <w:rPr>
          <w:rFonts w:ascii="宋体" w:hAnsi="宋体" w:cs="宋体" w:eastAsia="宋体" w:hint="default"/>
          <w:spacing w:val="19"/>
          <w:sz w:val="18"/>
          <w:szCs w:val="18"/>
        </w:rPr>
        <w:t>发行新股或债转股等增加股份数</w:t>
      </w:r>
    </w:p>
    <w:p>
      <w:pPr>
        <w:tabs>
          <w:tab w:pos="3291" w:val="left" w:leader="none"/>
          <w:tab w:pos="6658" w:val="left" w:leader="none"/>
          <w:tab w:pos="8674" w:val="left" w:leader="none"/>
        </w:tabs>
        <w:spacing w:line="250" w:lineRule="exact" w:before="0"/>
        <w:ind w:left="495" w:right="0" w:firstLine="0"/>
        <w:jc w:val="left"/>
        <w:rPr>
          <w:rFonts w:ascii="宋体" w:hAnsi="宋体" w:cs="宋体" w:eastAsia="宋体" w:hint="default"/>
          <w:sz w:val="18"/>
          <w:szCs w:val="18"/>
        </w:rPr>
      </w:pPr>
      <w:r>
        <w:rPr>
          <w:rFonts w:ascii="宋体" w:hAnsi="宋体" w:cs="宋体" w:eastAsia="宋体" w:hint="default"/>
          <w:position w:val="-9"/>
          <w:sz w:val="18"/>
          <w:szCs w:val="18"/>
        </w:rPr>
        <w:t>（Ⅱ）</w:t>
        <w:tab/>
      </w:r>
      <w:r>
        <w:rPr>
          <w:rFonts w:ascii="宋体" w:hAnsi="宋体" w:cs="宋体" w:eastAsia="宋体" w:hint="default"/>
          <w:sz w:val="18"/>
          <w:szCs w:val="18"/>
        </w:rPr>
        <w:t>6</w:t>
        <w:tab/>
        <w:t>16,880,000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150" w:lineRule="exact" w:before="0"/>
        <w:ind w:left="508" w:right="0" w:firstLine="0"/>
        <w:jc w:val="left"/>
        <w:rPr>
          <w:rFonts w:ascii="宋体" w:hAnsi="宋体" w:cs="宋体" w:eastAsia="宋体" w:hint="default"/>
          <w:sz w:val="18"/>
          <w:szCs w:val="18"/>
        </w:rPr>
      </w:pPr>
      <w:r>
        <w:rPr>
          <w:rFonts w:ascii="宋体" w:hAnsi="宋体" w:cs="宋体" w:eastAsia="宋体" w:hint="default"/>
          <w:spacing w:val="-6"/>
          <w:sz w:val="18"/>
          <w:szCs w:val="18"/>
        </w:rPr>
        <w:t>增加股份（Ⅱ）下一月份起至报告期</w:t>
      </w:r>
    </w:p>
    <w:p>
      <w:pPr>
        <w:tabs>
          <w:tab w:pos="3291" w:val="left" w:leader="none"/>
          <w:tab w:pos="7198" w:val="left" w:leader="none"/>
          <w:tab w:pos="8674" w:val="left" w:leader="none"/>
        </w:tabs>
        <w:spacing w:line="268" w:lineRule="exact" w:before="0"/>
        <w:ind w:left="495" w:right="0" w:firstLine="0"/>
        <w:jc w:val="left"/>
        <w:rPr>
          <w:rFonts w:ascii="宋体" w:hAnsi="宋体" w:cs="宋体" w:eastAsia="宋体" w:hint="default"/>
          <w:sz w:val="18"/>
          <w:szCs w:val="18"/>
        </w:rPr>
      </w:pPr>
      <w:r>
        <w:rPr>
          <w:rFonts w:ascii="宋体" w:hAnsi="宋体" w:cs="宋体" w:eastAsia="宋体" w:hint="default"/>
          <w:position w:val="-9"/>
          <w:sz w:val="18"/>
          <w:szCs w:val="18"/>
        </w:rPr>
        <w:t>期末的月份数</w:t>
        <w:tab/>
      </w:r>
      <w:r>
        <w:rPr>
          <w:rFonts w:ascii="宋体" w:hAnsi="宋体" w:cs="宋体" w:eastAsia="宋体" w:hint="default"/>
          <w:sz w:val="18"/>
          <w:szCs w:val="18"/>
        </w:rPr>
        <w:t>7</w:t>
        <w:tab/>
        <w:t>6.00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7198" w:val="left" w:leader="none"/>
          <w:tab w:pos="8674" w:val="left" w:leader="none"/>
        </w:tabs>
        <w:spacing w:before="5"/>
        <w:ind w:left="508" w:right="0" w:firstLine="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r>
        <w:rPr>
          <w:rFonts w:ascii="宋体" w:hAnsi="宋体" w:cs="宋体" w:eastAsia="宋体" w:hint="default"/>
          <w:spacing w:val="-8"/>
          <w:sz w:val="18"/>
          <w:szCs w:val="18"/>
        </w:rPr>
        <w:t> </w:t>
      </w:r>
      <w:r>
        <w:rPr>
          <w:rFonts w:ascii="宋体" w:hAnsi="宋体" w:cs="宋体" w:eastAsia="宋体" w:hint="default"/>
          <w:sz w:val="18"/>
          <w:szCs w:val="18"/>
        </w:rPr>
        <w:t>8</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168" w:lineRule="exact" w:before="7"/>
        <w:ind w:left="508" w:right="0" w:firstLine="0"/>
        <w:jc w:val="left"/>
        <w:rPr>
          <w:rFonts w:ascii="宋体" w:hAnsi="宋体" w:cs="宋体" w:eastAsia="宋体" w:hint="default"/>
          <w:sz w:val="18"/>
          <w:szCs w:val="18"/>
        </w:rPr>
      </w:pPr>
      <w:r>
        <w:rPr>
          <w:rFonts w:ascii="宋体" w:hAnsi="宋体" w:cs="宋体" w:eastAsia="宋体" w:hint="default"/>
          <w:spacing w:val="6"/>
          <w:sz w:val="18"/>
          <w:szCs w:val="18"/>
        </w:rPr>
        <w:t>减少股份下一月份起至报告期期末</w:t>
      </w:r>
    </w:p>
    <w:p>
      <w:pPr>
        <w:tabs>
          <w:tab w:pos="3291" w:val="left" w:leader="none"/>
          <w:tab w:pos="7198" w:val="left" w:leader="none"/>
          <w:tab w:pos="8674" w:val="left" w:leader="none"/>
        </w:tabs>
        <w:spacing w:line="268" w:lineRule="exact" w:before="0"/>
        <w:ind w:left="495" w:right="0" w:firstLine="0"/>
        <w:jc w:val="left"/>
        <w:rPr>
          <w:rFonts w:ascii="宋体" w:hAnsi="宋体" w:cs="宋体" w:eastAsia="宋体" w:hint="default"/>
          <w:sz w:val="18"/>
          <w:szCs w:val="18"/>
        </w:rPr>
      </w:pPr>
      <w:r>
        <w:rPr>
          <w:rFonts w:ascii="宋体" w:hAnsi="宋体" w:cs="宋体" w:eastAsia="宋体" w:hint="default"/>
          <w:position w:val="-9"/>
          <w:sz w:val="18"/>
          <w:szCs w:val="18"/>
        </w:rPr>
        <w:t>的月份数</w:t>
        <w:tab/>
      </w:r>
      <w:r>
        <w:rPr>
          <w:rFonts w:ascii="宋体" w:hAnsi="宋体" w:cs="宋体" w:eastAsia="宋体" w:hint="default"/>
          <w:sz w:val="18"/>
          <w:szCs w:val="18"/>
        </w:rPr>
        <w:t>9</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3291" w:val="left" w:leader="none"/>
          <w:tab w:pos="7108" w:val="left" w:leader="none"/>
          <w:tab w:pos="8584" w:val="left" w:leader="none"/>
        </w:tabs>
        <w:spacing w:before="5"/>
        <w:ind w:left="508" w:right="0" w:firstLine="0"/>
        <w:jc w:val="left"/>
        <w:rPr>
          <w:rFonts w:ascii="宋体" w:hAnsi="宋体" w:cs="宋体" w:eastAsia="宋体" w:hint="default"/>
          <w:sz w:val="18"/>
          <w:szCs w:val="18"/>
        </w:rPr>
      </w:pPr>
      <w:r>
        <w:rPr>
          <w:rFonts w:ascii="宋体" w:hAnsi="宋体" w:cs="宋体" w:eastAsia="宋体" w:hint="default"/>
          <w:sz w:val="18"/>
          <w:szCs w:val="18"/>
        </w:rPr>
        <w:t>报告期月份数</w:t>
        <w:tab/>
        <w:t>10</w:t>
        <w:tab/>
        <w:t>12.00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12.00</w:t>
      </w:r>
    </w:p>
    <w:p>
      <w:pPr>
        <w:tabs>
          <w:tab w:pos="3291" w:val="left" w:leader="none"/>
          <w:tab w:pos="6298" w:val="left" w:leader="none"/>
          <w:tab w:pos="7774" w:val="left" w:leader="none"/>
        </w:tabs>
        <w:spacing w:before="47"/>
        <w:ind w:left="508" w:right="0" w:firstLine="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tab/>
        <w:t>11=4+5+6×7÷10-8×9÷10</w:t>
        <w:tab/>
        <w:t>985,410,554.00</w:t>
        <w:tab/>
        <w:t>976,970,554.00</w:t>
      </w:r>
    </w:p>
    <w:p>
      <w:pPr>
        <w:tabs>
          <w:tab w:pos="3291" w:val="left" w:leader="none"/>
          <w:tab w:pos="7198" w:val="left" w:leader="none"/>
          <w:tab w:pos="9034" w:val="right" w:leader="none"/>
        </w:tabs>
        <w:spacing w:before="47"/>
        <w:ind w:left="508" w:right="0" w:firstLine="0"/>
        <w:jc w:val="left"/>
        <w:rPr>
          <w:rFonts w:ascii="宋体" w:hAnsi="宋体" w:cs="宋体" w:eastAsia="宋体" w:hint="default"/>
          <w:sz w:val="18"/>
          <w:szCs w:val="18"/>
        </w:rPr>
      </w:pPr>
      <w:r>
        <w:rPr>
          <w:rFonts w:ascii="宋体" w:hAnsi="宋体" w:cs="宋体" w:eastAsia="宋体" w:hint="default"/>
          <w:b/>
          <w:bCs/>
          <w:w w:val="95"/>
          <w:sz w:val="18"/>
          <w:szCs w:val="18"/>
        </w:rPr>
        <w:t>基本每股收益（Ⅰ）</w:t>
        <w:tab/>
      </w:r>
      <w:r>
        <w:rPr>
          <w:rFonts w:ascii="宋体" w:hAnsi="宋体" w:cs="宋体" w:eastAsia="宋体" w:hint="default"/>
          <w:sz w:val="18"/>
          <w:szCs w:val="18"/>
        </w:rPr>
        <w:t>12=1÷11</w:t>
        <w:tab/>
        <w:t>0.49</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0.36</w:t>
      </w:r>
    </w:p>
    <w:p>
      <w:pPr>
        <w:tabs>
          <w:tab w:pos="3291" w:val="left" w:leader="none"/>
          <w:tab w:pos="7198" w:val="left" w:leader="none"/>
          <w:tab w:pos="9034" w:val="right" w:leader="none"/>
        </w:tabs>
        <w:spacing w:before="47"/>
        <w:ind w:left="478" w:right="0" w:firstLine="0"/>
        <w:jc w:val="left"/>
        <w:rPr>
          <w:rFonts w:ascii="宋体" w:hAnsi="宋体" w:cs="宋体" w:eastAsia="宋体" w:hint="default"/>
          <w:sz w:val="18"/>
          <w:szCs w:val="18"/>
        </w:rPr>
      </w:pPr>
      <w:r>
        <w:rPr>
          <w:rFonts w:ascii="宋体" w:hAnsi="宋体" w:cs="宋体" w:eastAsia="宋体" w:hint="default"/>
          <w:b/>
          <w:bCs/>
          <w:w w:val="95"/>
          <w:sz w:val="18"/>
          <w:szCs w:val="18"/>
        </w:rPr>
        <w:t>基本每股收益（Ⅱ）</w:t>
        <w:tab/>
      </w:r>
      <w:r>
        <w:rPr>
          <w:rFonts w:ascii="宋体" w:hAnsi="宋体" w:cs="宋体" w:eastAsia="宋体" w:hint="default"/>
          <w:sz w:val="18"/>
          <w:szCs w:val="18"/>
        </w:rPr>
        <w:t>13=3÷11</w:t>
        <w:tab/>
        <w:t>0.19</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0.26</w:t>
      </w:r>
    </w:p>
    <w:p>
      <w:pPr>
        <w:spacing w:line="168" w:lineRule="exact" w:before="5"/>
        <w:ind w:left="603" w:right="0" w:firstLine="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w:t>
      </w:r>
    </w:p>
    <w:p>
      <w:pPr>
        <w:tabs>
          <w:tab w:pos="3291" w:val="left" w:leader="none"/>
          <w:tab w:pos="7198" w:val="left" w:leader="none"/>
          <w:tab w:pos="8674" w:val="left" w:leader="none"/>
        </w:tabs>
        <w:spacing w:line="268" w:lineRule="exact" w:before="0"/>
        <w:ind w:left="603" w:right="0" w:firstLine="0"/>
        <w:jc w:val="left"/>
        <w:rPr>
          <w:rFonts w:ascii="宋体" w:hAnsi="宋体" w:cs="宋体" w:eastAsia="宋体" w:hint="default"/>
          <w:sz w:val="18"/>
          <w:szCs w:val="18"/>
        </w:rPr>
      </w:pPr>
      <w:r>
        <w:rPr>
          <w:rFonts w:ascii="宋体" w:hAnsi="宋体" w:cs="宋体" w:eastAsia="宋体" w:hint="default"/>
          <w:position w:val="-9"/>
          <w:sz w:val="18"/>
          <w:szCs w:val="18"/>
        </w:rPr>
        <w:t>利息</w:t>
        <w:tab/>
      </w:r>
      <w:r>
        <w:rPr>
          <w:rFonts w:ascii="宋体" w:hAnsi="宋体" w:cs="宋体" w:eastAsia="宋体" w:hint="default"/>
          <w:sz w:val="18"/>
          <w:szCs w:val="18"/>
        </w:rPr>
        <w:t>14</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3291" w:val="left" w:leader="none"/>
          <w:tab w:pos="7198" w:val="left" w:leader="none"/>
          <w:tab w:pos="8674" w:val="left" w:leader="none"/>
        </w:tabs>
        <w:spacing w:before="6"/>
        <w:ind w:left="603" w:right="0" w:firstLine="0"/>
        <w:jc w:val="left"/>
        <w:rPr>
          <w:rFonts w:ascii="宋体" w:hAnsi="宋体" w:cs="宋体" w:eastAsia="宋体" w:hint="default"/>
          <w:sz w:val="18"/>
          <w:szCs w:val="18"/>
        </w:rPr>
      </w:pPr>
      <w:r>
        <w:rPr>
          <w:rFonts w:ascii="宋体" w:hAnsi="宋体" w:cs="宋体" w:eastAsia="宋体" w:hint="default"/>
          <w:sz w:val="18"/>
          <w:szCs w:val="18"/>
        </w:rPr>
        <w:t>转换费用</w:t>
        <w:tab/>
        <w:t>15</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3291" w:val="left" w:leader="none"/>
          <w:tab w:pos="7198" w:val="left" w:leader="none"/>
          <w:tab w:pos="8674" w:val="left" w:leader="none"/>
        </w:tabs>
        <w:spacing w:before="47"/>
        <w:ind w:left="603" w:right="0" w:firstLine="0"/>
        <w:jc w:val="left"/>
        <w:rPr>
          <w:rFonts w:ascii="宋体" w:hAnsi="宋体" w:cs="宋体" w:eastAsia="宋体" w:hint="default"/>
          <w:sz w:val="18"/>
          <w:szCs w:val="18"/>
        </w:rPr>
      </w:pPr>
      <w:r>
        <w:rPr>
          <w:rFonts w:ascii="宋体" w:hAnsi="宋体" w:cs="宋体" w:eastAsia="宋体" w:hint="default"/>
          <w:sz w:val="18"/>
          <w:szCs w:val="18"/>
        </w:rPr>
        <w:t>所得税率</w:t>
        <w:tab/>
        <w:t>16</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7198" w:val="left" w:leader="none"/>
          <w:tab w:pos="8674" w:val="left" w:leader="none"/>
        </w:tabs>
        <w:spacing w:before="46"/>
        <w:ind w:left="603" w:right="0" w:firstLine="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r>
        <w:rPr>
          <w:rFonts w:ascii="宋体" w:hAnsi="宋体" w:cs="宋体" w:eastAsia="宋体" w:hint="default"/>
          <w:spacing w:val="77"/>
          <w:sz w:val="18"/>
          <w:szCs w:val="18"/>
        </w:rPr>
        <w:t> </w:t>
      </w:r>
      <w:r>
        <w:rPr>
          <w:rFonts w:ascii="宋体" w:hAnsi="宋体" w:cs="宋体" w:eastAsia="宋体" w:hint="default"/>
          <w:sz w:val="18"/>
          <w:szCs w:val="18"/>
        </w:rPr>
        <w:t>17</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3291" w:val="left" w:leader="none"/>
          <w:tab w:pos="7198" w:val="left" w:leader="none"/>
          <w:tab w:pos="9034" w:val="right" w:leader="none"/>
        </w:tabs>
        <w:spacing w:before="47"/>
        <w:ind w:left="603" w:right="0" w:firstLine="0"/>
        <w:jc w:val="left"/>
        <w:rPr>
          <w:rFonts w:ascii="宋体" w:hAnsi="宋体" w:cs="宋体" w:eastAsia="宋体" w:hint="default"/>
          <w:sz w:val="18"/>
          <w:szCs w:val="18"/>
        </w:rPr>
      </w:pPr>
      <w:r>
        <w:rPr>
          <w:rFonts w:ascii="宋体" w:hAnsi="宋体" w:cs="宋体" w:eastAsia="宋体" w:hint="default"/>
          <w:b/>
          <w:bCs/>
          <w:w w:val="95"/>
          <w:sz w:val="18"/>
          <w:szCs w:val="18"/>
        </w:rPr>
        <w:t>稀释每股收益（Ⅰ）</w:t>
        <w:tab/>
      </w:r>
      <w:r>
        <w:rPr>
          <w:rFonts w:ascii="宋体" w:hAnsi="宋体" w:cs="宋体" w:eastAsia="宋体" w:hint="default"/>
          <w:sz w:val="18"/>
          <w:szCs w:val="18"/>
        </w:rPr>
        <w:t>18=[1+(14-15)×(1-16)]÷(11+17)</w:t>
        <w:tab/>
        <w:t>0.49</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0.36</w:t>
      </w:r>
    </w:p>
    <w:p>
      <w:pPr>
        <w:tabs>
          <w:tab w:pos="3291" w:val="left" w:leader="none"/>
          <w:tab w:pos="7198" w:val="left" w:leader="none"/>
          <w:tab w:pos="9034" w:val="right" w:leader="none"/>
        </w:tabs>
        <w:spacing w:before="47"/>
        <w:ind w:left="603" w:right="0" w:firstLine="0"/>
        <w:jc w:val="left"/>
        <w:rPr>
          <w:rFonts w:ascii="宋体" w:hAnsi="宋体" w:cs="宋体" w:eastAsia="宋体" w:hint="default"/>
          <w:sz w:val="18"/>
          <w:szCs w:val="18"/>
        </w:rPr>
      </w:pPr>
      <w:r>
        <w:rPr>
          <w:rFonts w:ascii="宋体" w:hAnsi="宋体" w:cs="宋体" w:eastAsia="宋体" w:hint="default"/>
          <w:b/>
          <w:bCs/>
          <w:w w:val="95"/>
          <w:sz w:val="18"/>
          <w:szCs w:val="18"/>
        </w:rPr>
        <w:t>稀释每股收益（Ⅱ）</w:t>
        <w:tab/>
      </w:r>
      <w:r>
        <w:rPr>
          <w:rFonts w:ascii="宋体" w:hAnsi="宋体" w:cs="宋体" w:eastAsia="宋体" w:hint="default"/>
          <w:sz w:val="18"/>
          <w:szCs w:val="18"/>
        </w:rPr>
        <w:t>19=[3+(14-15)×(1-16)]÷(11+17)</w:t>
        <w:tab/>
        <w:t>0.19</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0.26</w:t>
      </w:r>
    </w:p>
    <w:p>
      <w:pPr>
        <w:spacing w:line="240" w:lineRule="auto" w:before="5"/>
        <w:rPr>
          <w:rFonts w:ascii="宋体" w:hAnsi="宋体" w:cs="宋体" w:eastAsia="宋体" w:hint="default"/>
          <w:sz w:val="4"/>
          <w:szCs w:val="4"/>
        </w:rPr>
      </w:pP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806;height:2" coordorigin="15,15" coordsize="2806,2">
              <v:shape style="position:absolute;left:15;top:15;width:2806;height:2" coordorigin="15,15" coordsize="2806,0" path="m15,15l2821,15e" filled="false" stroked="true" strokeweight="1.5pt" strokecolor="#000000">
                <v:path arrowok="t"/>
              </v:shape>
            </v:group>
            <v:group style="position:absolute;left:2806;top:15;width:2919;height:2" coordorigin="2806,15" coordsize="2919,2">
              <v:shape style="position:absolute;left:2806;top:15;width:2919;height:2" coordorigin="2806,15" coordsize="2919,0" path="m2806,15l5725,15e" filled="false" stroked="true" strokeweight="1.5pt" strokecolor="#000000">
                <v:path arrowok="t"/>
              </v:shape>
            </v:group>
            <v:group style="position:absolute;left:5710;top:15;width:1491;height:2" coordorigin="5710,15" coordsize="1491,2">
              <v:shape style="position:absolute;left:5710;top:15;width:1491;height:2" coordorigin="5710,15" coordsize="1491,0" path="m5710,15l7201,15e" filled="false" stroked="true" strokeweight="1.5pt" strokecolor="#000000">
                <v:path arrowok="t"/>
              </v:shape>
            </v:group>
            <v:group style="position:absolute;left:7186;top:15;width:1491;height:2" coordorigin="7186,15" coordsize="1491,2">
              <v:shape style="position:absolute;left:7186;top:15;width:1491;height:2" coordorigin="7186,15" coordsize="1491,0" path="m7186,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00" w:right="1080"/>
        </w:sectPr>
      </w:pPr>
    </w:p>
    <w:p>
      <w:pPr>
        <w:spacing w:line="240" w:lineRule="auto" w:before="0"/>
        <w:rPr>
          <w:rFonts w:ascii="宋体" w:hAnsi="宋体" w:cs="宋体" w:eastAsia="宋体" w:hint="default"/>
          <w:sz w:val="20"/>
          <w:szCs w:val="20"/>
        </w:rPr>
      </w:pPr>
      <w:r>
        <w:rPr/>
        <w:pict>
          <v:shape style="position:absolute;margin-left:84.779999pt;margin-top:84.323761pt;width:432pt;height:681.8pt;mso-position-horizontal-relative:page;mso-position-vertical-relative:page;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32"/>
                    <w:gridCol w:w="1554"/>
                    <w:gridCol w:w="1654"/>
                  </w:tblGrid>
                  <w:tr>
                    <w:trPr>
                      <w:trHeight w:val="497" w:hRule="exact"/>
                    </w:trPr>
                    <w:tc>
                      <w:tcPr>
                        <w:tcW w:w="5432"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57.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其他综合收益</w:t>
                        </w:r>
                      </w:p>
                    </w:tc>
                    <w:tc>
                      <w:tcPr>
                        <w:tcW w:w="3208"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5432"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543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1．可供出售金融资产产生的利得（损失）金额</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sz w:val="18"/>
                          </w:rPr>
                          <w:t>-4,836,790.80</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6,385,788.36</w:t>
                        </w:r>
                      </w:p>
                    </w:tc>
                  </w:tr>
                  <w:tr>
                    <w:trPr>
                      <w:trHeight w:val="283"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554"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-725,518.65</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957,868.25</w:t>
                        </w:r>
                      </w:p>
                    </w:tc>
                  </w:tr>
                  <w:tr>
                    <w:trPr>
                      <w:trHeight w:val="283"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738"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554"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0.00</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4" w:type="dxa"/>
                        <w:tcBorders>
                          <w:top w:val="nil" w:sz="6" w:space="0" w:color="auto"/>
                          <w:left w:val="nil" w:sz="6" w:space="0" w:color="auto"/>
                          <w:bottom w:val="nil" w:sz="6" w:space="0" w:color="auto"/>
                          <w:right w:val="nil" w:sz="6" w:space="0" w:color="auto"/>
                        </w:tcBorders>
                      </w:tcPr>
                      <w:p>
                        <w:pPr>
                          <w:pStyle w:val="TableParagraph"/>
                          <w:spacing w:line="232" w:lineRule="exact"/>
                          <w:ind w:right="96"/>
                          <w:jc w:val="right"/>
                          <w:rPr>
                            <w:rFonts w:ascii="宋体" w:hAnsi="宋体" w:cs="宋体" w:eastAsia="宋体" w:hint="default"/>
                            <w:sz w:val="18"/>
                            <w:szCs w:val="18"/>
                          </w:rPr>
                        </w:pPr>
                        <w:r>
                          <w:rPr>
                            <w:rFonts w:ascii="宋体"/>
                            <w:b/>
                            <w:w w:val="95"/>
                            <w:sz w:val="18"/>
                          </w:rPr>
                          <w:t>-4,111,272.15</w:t>
                        </w:r>
                        <w:r>
                          <w:rPr>
                            <w:rFonts w:ascii="宋体"/>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b/>
                            <w:w w:val="95"/>
                            <w:sz w:val="18"/>
                          </w:rPr>
                          <w:t>5,427,920.11</w:t>
                        </w:r>
                        <w:r>
                          <w:rPr>
                            <w:rFonts w:ascii="宋体"/>
                            <w:sz w:val="18"/>
                          </w:rPr>
                        </w:r>
                      </w:p>
                    </w:tc>
                  </w:tr>
                  <w:tr>
                    <w:trPr>
                      <w:trHeight w:val="232"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2．按照权益法核算的在被投资单位其他综合收益中所享有的份额</w:t>
                        </w:r>
                      </w:p>
                    </w:tc>
                    <w:tc>
                      <w:tcPr>
                        <w:tcW w:w="1554"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-54,790,772.07</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-36,794,618.21</w:t>
                        </w:r>
                      </w:p>
                    </w:tc>
                  </w:tr>
                  <w:tr>
                    <w:trPr>
                      <w:trHeight w:val="242"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8" w:right="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w:t>
                        </w:r>
                      </w:p>
                    </w:tc>
                    <w:tc>
                      <w:tcPr>
                        <w:tcW w:w="15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r>
                  <w:tr>
                    <w:trPr>
                      <w:trHeight w:val="230"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6526" w:val="left" w:leader="none"/>
                          </w:tabs>
                          <w:spacing w:line="180" w:lineRule="exact"/>
                          <w:ind w:left="738" w:right="0"/>
                          <w:jc w:val="left"/>
                          <w:rPr>
                            <w:rFonts w:ascii="宋体" w:hAnsi="宋体" w:cs="宋体" w:eastAsia="宋体" w:hint="default"/>
                            <w:sz w:val="18"/>
                            <w:szCs w:val="18"/>
                          </w:rPr>
                        </w:pPr>
                        <w:r>
                          <w:rPr>
                            <w:rFonts w:ascii="宋体" w:hAnsi="宋体" w:cs="宋体" w:eastAsia="宋体" w:hint="default"/>
                            <w:sz w:val="18"/>
                            <w:szCs w:val="18"/>
                          </w:rPr>
                          <w:t>所享有的份额产生的所得税影响</w:t>
                        </w:r>
                        <w:r>
                          <w:rPr>
                            <w:rFonts w:ascii="Times New Roman" w:hAnsi="Times New Roman" w:cs="Times New Roman" w:eastAsia="Times New Roman" w:hint="default"/>
                            <w:b/>
                            <w:bCs/>
                            <w:position w:val="10"/>
                            <w:sz w:val="18"/>
                            <w:szCs w:val="18"/>
                          </w:rPr>
                          <w:tab/>
                        </w:r>
                        <w:r>
                          <w:rPr>
                            <w:rFonts w:ascii="宋体" w:hAnsi="宋体" w:cs="宋体" w:eastAsia="宋体" w:hint="default"/>
                            <w:position w:val="10"/>
                            <w:sz w:val="18"/>
                            <w:szCs w:val="18"/>
                          </w:rPr>
                          <w:t>0.00</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r>
                  <w:tr>
                    <w:trPr>
                      <w:trHeight w:val="262"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6526" w:val="left" w:leader="none"/>
                          </w:tabs>
                          <w:spacing w:line="211" w:lineRule="exact"/>
                          <w:ind w:left="738"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54" w:type="dxa"/>
                        <w:tcBorders>
                          <w:top w:val="nil" w:sz="6" w:space="0" w:color="auto"/>
                          <w:left w:val="nil" w:sz="6" w:space="0" w:color="auto"/>
                          <w:bottom w:val="nil" w:sz="6" w:space="0" w:color="auto"/>
                          <w:right w:val="nil" w:sz="6" w:space="0" w:color="auto"/>
                        </w:tcBorders>
                      </w:tcPr>
                      <w:p>
                        <w:pPr>
                          <w:pStyle w:val="TableParagraph"/>
                          <w:spacing w:line="21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61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tab/>
                        </w:r>
                        <w:r>
                          <w:rPr>
                            <w:rFonts w:ascii="宋体" w:hAnsi="宋体" w:cs="宋体" w:eastAsia="宋体" w:hint="default"/>
                            <w:b/>
                            <w:bCs/>
                            <w:sz w:val="18"/>
                            <w:szCs w:val="18"/>
                          </w:rPr>
                          <w:t>-54,790,772.07</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b/>
                            <w:w w:val="95"/>
                            <w:sz w:val="18"/>
                          </w:rPr>
                          <w:t>-36,794,618.21</w:t>
                        </w:r>
                        <w:r>
                          <w:rPr>
                            <w:rFonts w:ascii="宋体"/>
                            <w:sz w:val="18"/>
                          </w:rPr>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6076"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3．外币财务报表折算差额</w:t>
                          <w:tab/>
                          <w:t>72,445.42</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8,381,255.58</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6526" w:val="left" w:leader="none"/>
                          </w:tabs>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6986" w:type="dxa"/>
                        <w:gridSpan w:val="2"/>
                        <w:tcBorders>
                          <w:top w:val="nil" w:sz="6" w:space="0" w:color="auto"/>
                          <w:left w:val="nil" w:sz="6" w:space="0" w:color="auto"/>
                          <w:bottom w:val="single" w:sz="4" w:space="0" w:color="000000"/>
                          <w:right w:val="nil" w:sz="6" w:space="0" w:color="auto"/>
                        </w:tcBorders>
                      </w:tcPr>
                      <w:p>
                        <w:pPr>
                          <w:pStyle w:val="TableParagraph"/>
                          <w:tabs>
                            <w:tab w:pos="6069" w:val="left" w:leader="none"/>
                          </w:tabs>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tab/>
                        </w:r>
                        <w:r>
                          <w:rPr>
                            <w:rFonts w:ascii="宋体" w:hAnsi="宋体" w:cs="宋体" w:eastAsia="宋体" w:hint="default"/>
                            <w:b/>
                            <w:bCs/>
                            <w:sz w:val="18"/>
                            <w:szCs w:val="18"/>
                          </w:rPr>
                          <w:t>72,445.42</w:t>
                        </w:r>
                        <w:r>
                          <w:rPr>
                            <w:rFonts w:ascii="宋体" w:hAnsi="宋体" w:cs="宋体" w:eastAsia="宋体" w:hint="default"/>
                            <w:sz w:val="18"/>
                            <w:szCs w:val="18"/>
                          </w:rPr>
                        </w:r>
                      </w:p>
                    </w:tc>
                    <w:tc>
                      <w:tcPr>
                        <w:tcW w:w="1654" w:type="dxa"/>
                        <w:tcBorders>
                          <w:top w:val="nil" w:sz="6" w:space="0" w:color="auto"/>
                          <w:left w:val="nil" w:sz="6" w:space="0" w:color="auto"/>
                          <w:bottom w:val="single" w:sz="4" w:space="0" w:color="000000"/>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b/>
                            <w:w w:val="95"/>
                            <w:sz w:val="18"/>
                          </w:rPr>
                          <w:t>8,381,255.58</w:t>
                        </w:r>
                        <w:r>
                          <w:rPr>
                            <w:rFonts w:ascii="宋体"/>
                            <w:sz w:val="18"/>
                          </w:rPr>
                        </w:r>
                      </w:p>
                    </w:tc>
                  </w:tr>
                  <w:tr>
                    <w:trPr>
                      <w:trHeight w:val="303" w:hRule="exact"/>
                    </w:trPr>
                    <w:tc>
                      <w:tcPr>
                        <w:tcW w:w="6986" w:type="dxa"/>
                        <w:gridSpan w:val="2"/>
                        <w:tcBorders>
                          <w:top w:val="single" w:sz="4" w:space="0" w:color="000000"/>
                          <w:left w:val="nil" w:sz="6" w:space="0" w:color="auto"/>
                          <w:bottom w:val="single" w:sz="12" w:space="0" w:color="000000"/>
                          <w:right w:val="nil" w:sz="6" w:space="0" w:color="auto"/>
                        </w:tcBorders>
                      </w:tcPr>
                      <w:p>
                        <w:pPr>
                          <w:pStyle w:val="TableParagraph"/>
                          <w:tabs>
                            <w:tab w:pos="5615" w:val="left" w:leader="none"/>
                          </w:tabs>
                          <w:spacing w:line="226"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-58,829,598.80</w:t>
                        </w:r>
                        <w:r>
                          <w:rPr>
                            <w:rFonts w:ascii="宋体" w:hAnsi="宋体" w:cs="宋体" w:eastAsia="宋体" w:hint="default"/>
                            <w:sz w:val="18"/>
                            <w:szCs w:val="18"/>
                          </w:rPr>
                        </w: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-22,985,442.52</w:t>
                        </w:r>
                        <w:r>
                          <w:rPr>
                            <w:rFonts w:ascii="宋体"/>
                            <w:sz w:val="18"/>
                          </w:rPr>
                        </w:r>
                      </w:p>
                    </w:tc>
                  </w:tr>
                  <w:tr>
                    <w:trPr>
                      <w:trHeight w:val="528" w:hRule="exact"/>
                    </w:trPr>
                    <w:tc>
                      <w:tcPr>
                        <w:tcW w:w="698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58.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现金流量表</w:t>
                        </w:r>
                      </w:p>
                    </w:tc>
                    <w:tc>
                      <w:tcPr>
                        <w:tcW w:w="1654"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698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0"/>
                          <w:ind w:left="176"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列示于现金流量表的现金和现金等价物包括：</w:t>
                        </w:r>
                      </w:p>
                    </w:tc>
                    <w:tc>
                      <w:tcPr>
                        <w:tcW w:w="1654"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6986" w:type="dxa"/>
                        <w:gridSpan w:val="2"/>
                        <w:tcBorders>
                          <w:top w:val="single" w:sz="12" w:space="0" w:color="000000"/>
                          <w:left w:val="nil" w:sz="6" w:space="0" w:color="auto"/>
                          <w:bottom w:val="single" w:sz="4" w:space="0" w:color="000000"/>
                          <w:right w:val="nil" w:sz="6" w:space="0" w:color="auto"/>
                        </w:tcBorders>
                      </w:tcPr>
                      <w:p>
                        <w:pPr>
                          <w:pStyle w:val="TableParagraph"/>
                          <w:tabs>
                            <w:tab w:pos="5945"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2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6986" w:type="dxa"/>
                        <w:gridSpan w:val="2"/>
                        <w:tcBorders>
                          <w:top w:val="single" w:sz="4" w:space="0" w:color="000000"/>
                          <w:left w:val="nil" w:sz="6" w:space="0" w:color="auto"/>
                          <w:bottom w:val="nil" w:sz="6" w:space="0" w:color="auto"/>
                          <w:right w:val="nil" w:sz="6" w:space="0" w:color="auto"/>
                        </w:tcBorders>
                      </w:tcPr>
                      <w:p>
                        <w:pPr>
                          <w:pStyle w:val="TableParagraph"/>
                          <w:tabs>
                            <w:tab w:pos="5429"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现金</w:t>
                          <w:tab/>
                          <w:t>4,676,869,743.95</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sz w:val="18"/>
                          </w:rPr>
                          <w:t>4,420,926,348.63</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789"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其中：库存现金</w:t>
                          <w:tab/>
                          <w:t>8,325,625.39</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13,325,120.11</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429" w:val="left" w:leader="none"/>
                          </w:tabs>
                          <w:spacing w:line="232" w:lineRule="exact"/>
                          <w:ind w:left="64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tab/>
                          <w:t>4,610,865,935.53</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4,305,057,354.75</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699" w:val="left" w:leader="none"/>
                          </w:tabs>
                          <w:spacing w:line="232" w:lineRule="exact"/>
                          <w:ind w:left="649"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tab/>
                          <w:t>57,678,183.03</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102,543,873.77</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6509"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现金等价物</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0.00</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417"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期末现金和现金等价物余额</w:t>
                          <w:tab/>
                        </w:r>
                        <w:r>
                          <w:rPr>
                            <w:rFonts w:ascii="宋体" w:hAnsi="宋体" w:cs="宋体" w:eastAsia="宋体" w:hint="default"/>
                            <w:b/>
                            <w:bCs/>
                            <w:sz w:val="18"/>
                            <w:szCs w:val="18"/>
                          </w:rPr>
                          <w:t>4,676,869,743.95</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4,420,926,348.63</w:t>
                        </w:r>
                        <w:r>
                          <w:rPr>
                            <w:rFonts w:ascii="宋体"/>
                            <w:sz w:val="18"/>
                          </w:rPr>
                        </w:r>
                      </w:p>
                    </w:tc>
                  </w:tr>
                  <w:tr>
                    <w:trPr>
                      <w:trHeight w:val="303" w:hRule="exact"/>
                    </w:trPr>
                    <w:tc>
                      <w:tcPr>
                        <w:tcW w:w="6986" w:type="dxa"/>
                        <w:gridSpan w:val="2"/>
                        <w:tcBorders>
                          <w:top w:val="nil" w:sz="6" w:space="0" w:color="auto"/>
                          <w:left w:val="nil" w:sz="6" w:space="0" w:color="auto"/>
                          <w:bottom w:val="single" w:sz="12" w:space="0" w:color="000000"/>
                          <w:right w:val="nil" w:sz="6" w:space="0" w:color="auto"/>
                        </w:tcBorders>
                      </w:tcPr>
                      <w:p>
                        <w:pPr>
                          <w:pStyle w:val="TableParagraph"/>
                          <w:tabs>
                            <w:tab w:pos="6509"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54" w:type="dxa"/>
                        <w:tcBorders>
                          <w:top w:val="nil" w:sz="6" w:space="0" w:color="auto"/>
                          <w:left w:val="nil" w:sz="6" w:space="0" w:color="auto"/>
                          <w:bottom w:val="single" w:sz="12" w:space="0" w:color="000000"/>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0.00</w:t>
                        </w:r>
                      </w:p>
                    </w:tc>
                  </w:tr>
                  <w:tr>
                    <w:trPr>
                      <w:trHeight w:val="522" w:hRule="exact"/>
                    </w:trPr>
                    <w:tc>
                      <w:tcPr>
                        <w:tcW w:w="698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收到/支付的其他与经营/投资/筹资活动有关的现金</w:t>
                        </w:r>
                      </w:p>
                    </w:tc>
                    <w:tc>
                      <w:tcPr>
                        <w:tcW w:w="1654" w:type="dxa"/>
                        <w:tcBorders>
                          <w:top w:val="single" w:sz="12" w:space="0" w:color="000000"/>
                          <w:left w:val="nil" w:sz="6" w:space="0" w:color="auto"/>
                          <w:bottom w:val="nil" w:sz="6" w:space="0" w:color="auto"/>
                          <w:right w:val="nil" w:sz="6" w:space="0" w:color="auto"/>
                        </w:tcBorders>
                      </w:tcPr>
                      <w:p>
                        <w:pPr/>
                      </w:p>
                    </w:tc>
                  </w:tr>
                  <w:tr>
                    <w:trPr>
                      <w:trHeight w:val="522" w:hRule="exact"/>
                    </w:trPr>
                    <w:tc>
                      <w:tcPr>
                        <w:tcW w:w="698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6"/>
                          <w:ind w:left="290"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收到的其他与经营活动有关的现金</w:t>
                        </w:r>
                      </w:p>
                    </w:tc>
                    <w:tc>
                      <w:tcPr>
                        <w:tcW w:w="1654" w:type="dxa"/>
                        <w:tcBorders>
                          <w:top w:val="nil" w:sz="6" w:space="0" w:color="auto"/>
                          <w:left w:val="nil" w:sz="6" w:space="0" w:color="auto"/>
                          <w:bottom w:val="single" w:sz="12" w:space="0" w:color="000000"/>
                          <w:right w:val="nil" w:sz="6" w:space="0" w:color="auto"/>
                        </w:tcBorders>
                      </w:tcPr>
                      <w:p>
                        <w:pPr/>
                      </w:p>
                    </w:tc>
                  </w:tr>
                  <w:tr>
                    <w:trPr>
                      <w:trHeight w:val="208" w:hRule="exact"/>
                    </w:trPr>
                    <w:tc>
                      <w:tcPr>
                        <w:tcW w:w="6986" w:type="dxa"/>
                        <w:gridSpan w:val="2"/>
                        <w:tcBorders>
                          <w:top w:val="single" w:sz="12" w:space="0" w:color="000000"/>
                          <w:left w:val="nil" w:sz="6" w:space="0" w:color="auto"/>
                          <w:bottom w:val="single" w:sz="2" w:space="0" w:color="000000"/>
                          <w:right w:val="nil" w:sz="6" w:space="0" w:color="auto"/>
                        </w:tcBorders>
                      </w:tcPr>
                      <w:p>
                        <w:pPr>
                          <w:pStyle w:val="TableParagraph"/>
                          <w:tabs>
                            <w:tab w:pos="5085" w:val="left" w:leader="none"/>
                          </w:tabs>
                          <w:spacing w:line="185"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4" w:type="dxa"/>
                        <w:tcBorders>
                          <w:top w:val="single" w:sz="12" w:space="0" w:color="000000"/>
                          <w:left w:val="nil" w:sz="6" w:space="0" w:color="auto"/>
                          <w:bottom w:val="single" w:sz="2" w:space="0" w:color="000000"/>
                          <w:right w:val="nil" w:sz="6" w:space="0" w:color="auto"/>
                        </w:tcBorders>
                      </w:tcPr>
                      <w:p>
                        <w:pPr>
                          <w:pStyle w:val="TableParagraph"/>
                          <w:spacing w:line="185"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13" w:hRule="exact"/>
                    </w:trPr>
                    <w:tc>
                      <w:tcPr>
                        <w:tcW w:w="6986" w:type="dxa"/>
                        <w:gridSpan w:val="2"/>
                        <w:tcBorders>
                          <w:top w:val="single" w:sz="2" w:space="0" w:color="000000"/>
                          <w:left w:val="nil" w:sz="6" w:space="0" w:color="auto"/>
                          <w:bottom w:val="nil" w:sz="6" w:space="0" w:color="auto"/>
                          <w:right w:val="nil" w:sz="6" w:space="0" w:color="auto"/>
                        </w:tcBorders>
                      </w:tcPr>
                      <w:p>
                        <w:pPr>
                          <w:pStyle w:val="TableParagraph"/>
                          <w:tabs>
                            <w:tab w:pos="4909" w:val="left" w:leader="none"/>
                          </w:tabs>
                          <w:spacing w:line="192"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tab/>
                          <w:t>478,461,224.60</w:t>
                        </w:r>
                      </w:p>
                    </w:tc>
                    <w:tc>
                      <w:tcPr>
                        <w:tcW w:w="1654" w:type="dxa"/>
                        <w:tcBorders>
                          <w:top w:val="single" w:sz="2" w:space="0" w:color="000000"/>
                          <w:left w:val="nil" w:sz="6" w:space="0" w:color="auto"/>
                          <w:bottom w:val="nil" w:sz="6" w:space="0" w:color="auto"/>
                          <w:right w:val="nil" w:sz="6" w:space="0" w:color="auto"/>
                        </w:tcBorders>
                      </w:tcPr>
                      <w:p>
                        <w:pPr>
                          <w:pStyle w:val="TableParagraph"/>
                          <w:spacing w:line="192" w:lineRule="exact"/>
                          <w:ind w:right="98"/>
                          <w:jc w:val="right"/>
                          <w:rPr>
                            <w:rFonts w:ascii="宋体" w:hAnsi="宋体" w:cs="宋体" w:eastAsia="宋体" w:hint="default"/>
                            <w:sz w:val="18"/>
                            <w:szCs w:val="18"/>
                          </w:rPr>
                        </w:pPr>
                        <w:r>
                          <w:rPr>
                            <w:rFonts w:ascii="宋体"/>
                            <w:sz w:val="18"/>
                          </w:rPr>
                          <w:t>368,396,544.37</w:t>
                        </w:r>
                      </w:p>
                    </w:tc>
                  </w:tr>
                  <w:tr>
                    <w:trPr>
                      <w:trHeight w:val="218"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4909" w:val="left" w:leader="none"/>
                          </w:tabs>
                          <w:spacing w:line="199"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w:t>
                          <w:tab/>
                          <w:t>125,033,110.73</w:t>
                        </w:r>
                      </w:p>
                    </w:tc>
                    <w:tc>
                      <w:tcPr>
                        <w:tcW w:w="1654" w:type="dxa"/>
                        <w:tcBorders>
                          <w:top w:val="nil" w:sz="6" w:space="0" w:color="auto"/>
                          <w:left w:val="nil" w:sz="6" w:space="0" w:color="auto"/>
                          <w:bottom w:val="nil" w:sz="6" w:space="0" w:color="auto"/>
                          <w:right w:val="nil" w:sz="6" w:space="0" w:color="auto"/>
                        </w:tcBorders>
                      </w:tcPr>
                      <w:p>
                        <w:pPr>
                          <w:pStyle w:val="TableParagraph"/>
                          <w:spacing w:line="199" w:lineRule="exact"/>
                          <w:ind w:right="98"/>
                          <w:jc w:val="right"/>
                          <w:rPr>
                            <w:rFonts w:ascii="宋体" w:hAnsi="宋体" w:cs="宋体" w:eastAsia="宋体" w:hint="default"/>
                            <w:sz w:val="18"/>
                            <w:szCs w:val="18"/>
                          </w:rPr>
                        </w:pPr>
                        <w:r>
                          <w:rPr>
                            <w:rFonts w:ascii="宋体"/>
                            <w:sz w:val="18"/>
                          </w:rPr>
                          <w:t>160,256,317.33</w:t>
                        </w:r>
                      </w:p>
                    </w:tc>
                  </w:tr>
                  <w:tr>
                    <w:trPr>
                      <w:trHeight w:val="220"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tab/>
                          <w:t>75,928,468.15</w:t>
                        </w:r>
                      </w:p>
                    </w:tc>
                    <w:tc>
                      <w:tcPr>
                        <w:tcW w:w="1654" w:type="dxa"/>
                        <w:tcBorders>
                          <w:top w:val="nil" w:sz="6" w:space="0" w:color="auto"/>
                          <w:left w:val="nil" w:sz="6" w:space="0" w:color="auto"/>
                          <w:bottom w:val="nil" w:sz="6" w:space="0" w:color="auto"/>
                          <w:right w:val="nil" w:sz="6" w:space="0" w:color="auto"/>
                        </w:tcBorders>
                      </w:tcPr>
                      <w:p>
                        <w:pPr>
                          <w:pStyle w:val="TableParagraph"/>
                          <w:spacing w:line="200" w:lineRule="exact"/>
                          <w:ind w:right="98"/>
                          <w:jc w:val="right"/>
                          <w:rPr>
                            <w:rFonts w:ascii="宋体" w:hAnsi="宋体" w:cs="宋体" w:eastAsia="宋体" w:hint="default"/>
                            <w:sz w:val="18"/>
                            <w:szCs w:val="18"/>
                          </w:rPr>
                        </w:pPr>
                        <w:r>
                          <w:rPr>
                            <w:rFonts w:ascii="宋体"/>
                            <w:sz w:val="18"/>
                          </w:rPr>
                          <w:t>55,631,658.21</w:t>
                        </w:r>
                      </w:p>
                    </w:tc>
                  </w:tr>
                  <w:tr>
                    <w:trPr>
                      <w:trHeight w:val="220"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利息收入</w:t>
                          <w:tab/>
                          <w:t>45,745,578.97</w:t>
                        </w:r>
                      </w:p>
                    </w:tc>
                    <w:tc>
                      <w:tcPr>
                        <w:tcW w:w="1654" w:type="dxa"/>
                        <w:tcBorders>
                          <w:top w:val="nil" w:sz="6" w:space="0" w:color="auto"/>
                          <w:left w:val="nil" w:sz="6" w:space="0" w:color="auto"/>
                          <w:bottom w:val="nil" w:sz="6" w:space="0" w:color="auto"/>
                          <w:right w:val="nil" w:sz="6" w:space="0" w:color="auto"/>
                        </w:tcBorders>
                      </w:tcPr>
                      <w:p>
                        <w:pPr>
                          <w:pStyle w:val="TableParagraph"/>
                          <w:spacing w:line="200" w:lineRule="exact"/>
                          <w:ind w:right="98"/>
                          <w:jc w:val="right"/>
                          <w:rPr>
                            <w:rFonts w:ascii="宋体" w:hAnsi="宋体" w:cs="宋体" w:eastAsia="宋体" w:hint="default"/>
                            <w:sz w:val="18"/>
                            <w:szCs w:val="18"/>
                          </w:rPr>
                        </w:pPr>
                        <w:r>
                          <w:rPr>
                            <w:rFonts w:ascii="宋体"/>
                            <w:sz w:val="18"/>
                          </w:rPr>
                          <w:t>38,907,005.47</w:t>
                        </w:r>
                      </w:p>
                    </w:tc>
                  </w:tr>
                  <w:tr>
                    <w:trPr>
                      <w:trHeight w:val="220"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各项补贴</w:t>
                          <w:tab/>
                          <w:t>38,515,342.13</w:t>
                        </w:r>
                      </w:p>
                    </w:tc>
                    <w:tc>
                      <w:tcPr>
                        <w:tcW w:w="1654" w:type="dxa"/>
                        <w:tcBorders>
                          <w:top w:val="nil" w:sz="6" w:space="0" w:color="auto"/>
                          <w:left w:val="nil" w:sz="6" w:space="0" w:color="auto"/>
                          <w:bottom w:val="nil" w:sz="6" w:space="0" w:color="auto"/>
                          <w:right w:val="nil" w:sz="6" w:space="0" w:color="auto"/>
                        </w:tcBorders>
                      </w:tcPr>
                      <w:p>
                        <w:pPr>
                          <w:pStyle w:val="TableParagraph"/>
                          <w:spacing w:line="200" w:lineRule="exact"/>
                          <w:ind w:right="98"/>
                          <w:jc w:val="right"/>
                          <w:rPr>
                            <w:rFonts w:ascii="宋体" w:hAnsi="宋体" w:cs="宋体" w:eastAsia="宋体" w:hint="default"/>
                            <w:sz w:val="18"/>
                            <w:szCs w:val="18"/>
                          </w:rPr>
                        </w:pPr>
                        <w:r>
                          <w:rPr>
                            <w:rFonts w:ascii="宋体"/>
                            <w:sz w:val="18"/>
                          </w:rPr>
                          <w:t>59,457,428.62</w:t>
                        </w:r>
                      </w:p>
                    </w:tc>
                  </w:tr>
                  <w:tr>
                    <w:trPr>
                      <w:trHeight w:val="220"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代收款</w:t>
                          <w:tab/>
                          <w:t>20,650,582.08</w:t>
                        </w:r>
                      </w:p>
                    </w:tc>
                    <w:tc>
                      <w:tcPr>
                        <w:tcW w:w="1654" w:type="dxa"/>
                        <w:tcBorders>
                          <w:top w:val="nil" w:sz="6" w:space="0" w:color="auto"/>
                          <w:left w:val="nil" w:sz="6" w:space="0" w:color="auto"/>
                          <w:bottom w:val="nil" w:sz="6" w:space="0" w:color="auto"/>
                          <w:right w:val="nil" w:sz="6" w:space="0" w:color="auto"/>
                        </w:tcBorders>
                      </w:tcPr>
                      <w:p>
                        <w:pPr>
                          <w:pStyle w:val="TableParagraph"/>
                          <w:spacing w:line="200" w:lineRule="exact"/>
                          <w:ind w:right="98"/>
                          <w:jc w:val="right"/>
                          <w:rPr>
                            <w:rFonts w:ascii="宋体" w:hAnsi="宋体" w:cs="宋体" w:eastAsia="宋体" w:hint="default"/>
                            <w:sz w:val="18"/>
                            <w:szCs w:val="18"/>
                          </w:rPr>
                        </w:pPr>
                        <w:r>
                          <w:rPr>
                            <w:rFonts w:ascii="宋体"/>
                            <w:sz w:val="18"/>
                          </w:rPr>
                          <w:t>0.00</w:t>
                        </w:r>
                      </w:p>
                    </w:tc>
                  </w:tr>
                  <w:tr>
                    <w:trPr>
                      <w:trHeight w:val="228" w:hRule="exact"/>
                    </w:trPr>
                    <w:tc>
                      <w:tcPr>
                        <w:tcW w:w="6986" w:type="dxa"/>
                        <w:gridSpan w:val="2"/>
                        <w:tcBorders>
                          <w:top w:val="nil" w:sz="6" w:space="0" w:color="auto"/>
                          <w:left w:val="nil" w:sz="6" w:space="0" w:color="auto"/>
                          <w:bottom w:val="single" w:sz="2" w:space="0" w:color="000000"/>
                          <w:right w:val="nil" w:sz="6" w:space="0" w:color="auto"/>
                        </w:tcBorders>
                      </w:tcPr>
                      <w:p>
                        <w:pPr>
                          <w:pStyle w:val="TableParagraph"/>
                          <w:tabs>
                            <w:tab w:pos="4999" w:val="left" w:leader="none"/>
                          </w:tabs>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tab/>
                          <w:t>16,559,437.28</w:t>
                        </w:r>
                      </w:p>
                    </w:tc>
                    <w:tc>
                      <w:tcPr>
                        <w:tcW w:w="1654" w:type="dxa"/>
                        <w:tcBorders>
                          <w:top w:val="nil" w:sz="6" w:space="0" w:color="auto"/>
                          <w:left w:val="nil" w:sz="6" w:space="0" w:color="auto"/>
                          <w:bottom w:val="single" w:sz="2" w:space="0" w:color="000000"/>
                          <w:right w:val="nil" w:sz="6" w:space="0" w:color="auto"/>
                        </w:tcBorders>
                      </w:tcPr>
                      <w:p>
                        <w:pPr>
                          <w:pStyle w:val="TableParagraph"/>
                          <w:spacing w:line="200" w:lineRule="exact"/>
                          <w:ind w:right="98"/>
                          <w:jc w:val="right"/>
                          <w:rPr>
                            <w:rFonts w:ascii="宋体" w:hAnsi="宋体" w:cs="宋体" w:eastAsia="宋体" w:hint="default"/>
                            <w:sz w:val="18"/>
                            <w:szCs w:val="18"/>
                          </w:rPr>
                        </w:pPr>
                        <w:r>
                          <w:rPr>
                            <w:rFonts w:ascii="宋体"/>
                            <w:sz w:val="18"/>
                          </w:rPr>
                          <w:t>17,780,508.69</w:t>
                        </w:r>
                      </w:p>
                    </w:tc>
                  </w:tr>
                  <w:tr>
                    <w:trPr>
                      <w:trHeight w:val="232" w:hRule="exact"/>
                    </w:trPr>
                    <w:tc>
                      <w:tcPr>
                        <w:tcW w:w="6986" w:type="dxa"/>
                        <w:gridSpan w:val="2"/>
                        <w:tcBorders>
                          <w:top w:val="single" w:sz="2" w:space="0" w:color="000000"/>
                          <w:left w:val="nil" w:sz="6" w:space="0" w:color="auto"/>
                          <w:bottom w:val="single" w:sz="12" w:space="0" w:color="000000"/>
                          <w:right w:val="nil" w:sz="6" w:space="0" w:color="auto"/>
                        </w:tcBorders>
                      </w:tcPr>
                      <w:p>
                        <w:pPr>
                          <w:pStyle w:val="TableParagraph"/>
                          <w:tabs>
                            <w:tab w:pos="4898" w:val="left" w:leader="none"/>
                          </w:tabs>
                          <w:spacing w:line="192"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800,893,743.94</w:t>
                        </w:r>
                        <w:r>
                          <w:rPr>
                            <w:rFonts w:ascii="宋体" w:hAnsi="宋体" w:cs="宋体" w:eastAsia="宋体" w:hint="default"/>
                            <w:sz w:val="18"/>
                            <w:szCs w:val="18"/>
                          </w:rPr>
                        </w:r>
                      </w:p>
                    </w:tc>
                    <w:tc>
                      <w:tcPr>
                        <w:tcW w:w="1654" w:type="dxa"/>
                        <w:tcBorders>
                          <w:top w:val="single" w:sz="2" w:space="0" w:color="000000"/>
                          <w:left w:val="nil" w:sz="6" w:space="0" w:color="auto"/>
                          <w:bottom w:val="single" w:sz="12" w:space="0" w:color="000000"/>
                          <w:right w:val="nil" w:sz="6" w:space="0" w:color="auto"/>
                        </w:tcBorders>
                      </w:tcPr>
                      <w:p>
                        <w:pPr>
                          <w:pStyle w:val="TableParagraph"/>
                          <w:spacing w:line="192" w:lineRule="exact"/>
                          <w:ind w:right="100"/>
                          <w:jc w:val="right"/>
                          <w:rPr>
                            <w:rFonts w:ascii="宋体" w:hAnsi="宋体" w:cs="宋体" w:eastAsia="宋体" w:hint="default"/>
                            <w:sz w:val="18"/>
                            <w:szCs w:val="18"/>
                          </w:rPr>
                        </w:pPr>
                        <w:r>
                          <w:rPr>
                            <w:rFonts w:ascii="宋体"/>
                            <w:b/>
                            <w:w w:val="95"/>
                            <w:sz w:val="18"/>
                          </w:rPr>
                          <w:t>700,429,462.69</w:t>
                        </w:r>
                        <w:r>
                          <w:rPr>
                            <w:rFonts w:ascii="宋体"/>
                            <w:sz w:val="18"/>
                          </w:rPr>
                        </w:r>
                      </w:p>
                    </w:tc>
                  </w:tr>
                  <w:tr>
                    <w:trPr>
                      <w:trHeight w:val="576" w:hRule="exact"/>
                    </w:trPr>
                    <w:tc>
                      <w:tcPr>
                        <w:tcW w:w="6986"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90"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支付的其他与经营活动有关的现金</w:t>
                        </w:r>
                      </w:p>
                    </w:tc>
                    <w:tc>
                      <w:tcPr>
                        <w:tcW w:w="165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6986" w:type="dxa"/>
                        <w:gridSpan w:val="2"/>
                        <w:tcBorders>
                          <w:top w:val="single" w:sz="12" w:space="0" w:color="000000"/>
                          <w:left w:val="nil" w:sz="6" w:space="0" w:color="auto"/>
                          <w:bottom w:val="single" w:sz="4" w:space="0" w:color="000000"/>
                          <w:right w:val="nil" w:sz="6" w:space="0" w:color="auto"/>
                        </w:tcBorders>
                      </w:tcPr>
                      <w:p>
                        <w:pPr>
                          <w:pStyle w:val="TableParagraph"/>
                          <w:tabs>
                            <w:tab w:pos="5270"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6986" w:type="dxa"/>
                        <w:gridSpan w:val="2"/>
                        <w:tcBorders>
                          <w:top w:val="single" w:sz="4" w:space="0" w:color="000000"/>
                          <w:left w:val="nil" w:sz="6" w:space="0" w:color="auto"/>
                          <w:bottom w:val="nil" w:sz="6" w:space="0" w:color="auto"/>
                          <w:right w:val="nil" w:sz="6" w:space="0" w:color="auto"/>
                        </w:tcBorders>
                      </w:tcPr>
                      <w:p>
                        <w:pPr>
                          <w:pStyle w:val="TableParagraph"/>
                          <w:tabs>
                            <w:tab w:pos="5093"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往来款</w:t>
                          <w:tab/>
                          <w:t>546,090,652.60</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325,331,816.84</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093"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期间费用</w:t>
                          <w:tab/>
                          <w:t>339,555,853.92</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586,798,453.61</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093"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保证金</w:t>
                          <w:tab/>
                          <w:t>197,175,788.34</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284,483,190.26</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093"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备用金</w:t>
                          <w:tab/>
                          <w:t>134,959,448.34</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64,273,977.92</w:t>
                        </w:r>
                      </w:p>
                    </w:tc>
                  </w:tr>
                  <w:tr>
                    <w:trPr>
                      <w:trHeight w:val="283" w:hRule="exact"/>
                    </w:trPr>
                    <w:tc>
                      <w:tcPr>
                        <w:tcW w:w="6986" w:type="dxa"/>
                        <w:gridSpan w:val="2"/>
                        <w:tcBorders>
                          <w:top w:val="nil" w:sz="6" w:space="0" w:color="auto"/>
                          <w:left w:val="nil" w:sz="6" w:space="0" w:color="auto"/>
                          <w:bottom w:val="nil" w:sz="6" w:space="0" w:color="auto"/>
                          <w:right w:val="nil" w:sz="6" w:space="0" w:color="auto"/>
                        </w:tcBorders>
                      </w:tcPr>
                      <w:p>
                        <w:pPr>
                          <w:pStyle w:val="TableParagraph"/>
                          <w:tabs>
                            <w:tab w:pos="5183"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其他</w:t>
                          <w:tab/>
                          <w:t>88,185,075.42</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336,751,154.93</w:t>
                        </w:r>
                      </w:p>
                    </w:tc>
                  </w:tr>
                  <w:tr>
                    <w:trPr>
                      <w:trHeight w:val="294" w:hRule="exact"/>
                    </w:trPr>
                    <w:tc>
                      <w:tcPr>
                        <w:tcW w:w="6986" w:type="dxa"/>
                        <w:gridSpan w:val="2"/>
                        <w:tcBorders>
                          <w:top w:val="nil" w:sz="6" w:space="0" w:color="auto"/>
                          <w:left w:val="nil" w:sz="6" w:space="0" w:color="auto"/>
                          <w:bottom w:val="single" w:sz="4" w:space="0" w:color="000000"/>
                          <w:right w:val="nil" w:sz="6" w:space="0" w:color="auto"/>
                        </w:tcBorders>
                      </w:tcPr>
                      <w:p>
                        <w:pPr>
                          <w:pStyle w:val="TableParagraph"/>
                          <w:tabs>
                            <w:tab w:pos="5273"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代付款</w:t>
                          <w:tab/>
                          <w:t>6,861,504.19</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303" w:hRule="exact"/>
                    </w:trPr>
                    <w:tc>
                      <w:tcPr>
                        <w:tcW w:w="6986" w:type="dxa"/>
                        <w:gridSpan w:val="2"/>
                        <w:tcBorders>
                          <w:top w:val="single" w:sz="4" w:space="0" w:color="000000"/>
                          <w:left w:val="nil" w:sz="6" w:space="0" w:color="auto"/>
                          <w:bottom w:val="single" w:sz="12" w:space="0" w:color="000000"/>
                          <w:right w:val="nil" w:sz="6" w:space="0" w:color="auto"/>
                        </w:tcBorders>
                      </w:tcPr>
                      <w:p>
                        <w:pPr>
                          <w:pStyle w:val="TableParagraph"/>
                          <w:tabs>
                            <w:tab w:pos="4900"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1,312,828,322.81</w:t>
                        </w:r>
                        <w:r>
                          <w:rPr>
                            <w:rFonts w:ascii="宋体" w:hAnsi="宋体" w:cs="宋体" w:eastAsia="宋体" w:hint="default"/>
                            <w:sz w:val="18"/>
                            <w:szCs w:val="18"/>
                          </w:rPr>
                        </w: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b/>
                            <w:w w:val="95"/>
                            <w:sz w:val="18"/>
                          </w:rPr>
                          <w:t>1,597,638,593.56</w:t>
                        </w:r>
                        <w:r>
                          <w:rPr>
                            <w:rFonts w:ascii="宋体"/>
                            <w:sz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527" w:firstLine="0"/>
        <w:jc w:val="right"/>
        <w:rPr>
          <w:rFonts w:ascii="宋体" w:hAnsi="宋体" w:cs="宋体" w:eastAsia="宋体" w:hint="default"/>
          <w:sz w:val="18"/>
          <w:szCs w:val="18"/>
        </w:rPr>
      </w:pPr>
      <w:r>
        <w:rPr>
          <w:rFonts w:ascii="宋体"/>
          <w:sz w:val="18"/>
        </w:rPr>
        <w:t>0.00</w:t>
      </w:r>
    </w:p>
    <w:p>
      <w:pPr>
        <w:spacing w:after="0"/>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706"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收到的其他与投资活动有关的现金</w:t>
      </w:r>
    </w:p>
    <w:p>
      <w:pPr>
        <w:spacing w:line="240" w:lineRule="auto" w:before="7"/>
        <w:rPr>
          <w:rFonts w:ascii="宋体" w:hAnsi="宋体" w:cs="宋体" w:eastAsia="宋体" w:hint="default"/>
          <w:sz w:val="13"/>
          <w:szCs w:val="13"/>
        </w:rPr>
      </w:pPr>
    </w:p>
    <w:tbl>
      <w:tblPr>
        <w:tblW w:w="0" w:type="auto"/>
        <w:jc w:val="left"/>
        <w:tblInd w:w="415" w:type="dxa"/>
        <w:tblLayout w:type="fixed"/>
        <w:tblCellMar>
          <w:top w:w="0" w:type="dxa"/>
          <w:left w:w="0" w:type="dxa"/>
          <w:bottom w:w="0" w:type="dxa"/>
          <w:right w:w="0" w:type="dxa"/>
        </w:tblCellMar>
        <w:tblLook w:val="01E0"/>
      </w:tblPr>
      <w:tblGrid>
        <w:gridCol w:w="4327"/>
        <w:gridCol w:w="2473"/>
        <w:gridCol w:w="1840"/>
      </w:tblGrid>
      <w:tr>
        <w:trPr>
          <w:trHeight w:val="320" w:hRule="exact"/>
        </w:trPr>
        <w:tc>
          <w:tcPr>
            <w:tcW w:w="432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7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76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4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5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4327"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473" w:type="dxa"/>
            <w:tcBorders>
              <w:top w:val="single" w:sz="4" w:space="0" w:color="000000"/>
              <w:left w:val="nil" w:sz="6" w:space="0" w:color="auto"/>
              <w:bottom w:val="nil" w:sz="6" w:space="0" w:color="auto"/>
              <w:right w:val="nil" w:sz="6" w:space="0" w:color="auto"/>
            </w:tcBorders>
          </w:tcPr>
          <w:p>
            <w:pPr>
              <w:pStyle w:val="TableParagraph"/>
              <w:spacing w:line="234" w:lineRule="exact"/>
              <w:ind w:left="590" w:right="0"/>
              <w:jc w:val="left"/>
              <w:rPr>
                <w:rFonts w:ascii="宋体" w:hAnsi="宋体" w:cs="宋体" w:eastAsia="宋体" w:hint="default"/>
                <w:sz w:val="18"/>
                <w:szCs w:val="18"/>
              </w:rPr>
            </w:pPr>
            <w:r>
              <w:rPr>
                <w:rFonts w:ascii="宋体"/>
                <w:sz w:val="18"/>
              </w:rPr>
              <w:t>675,000,000.00</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50,000,000.00</w:t>
            </w:r>
          </w:p>
        </w:tc>
      </w:tr>
      <w:tr>
        <w:trPr>
          <w:trHeight w:val="301"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90" w:right="0"/>
              <w:jc w:val="left"/>
              <w:rPr>
                <w:rFonts w:ascii="宋体" w:hAnsi="宋体" w:cs="宋体" w:eastAsia="宋体" w:hint="default"/>
                <w:sz w:val="18"/>
                <w:szCs w:val="18"/>
              </w:rPr>
            </w:pPr>
            <w:r>
              <w:rPr>
                <w:rFonts w:ascii="宋体"/>
                <w:sz w:val="18"/>
              </w:rPr>
              <w:t>320,000,000.00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18"/>
                <w:szCs w:val="18"/>
              </w:rPr>
            </w:pPr>
            <w:r>
              <w:rPr>
                <w:rFonts w:ascii="宋体"/>
                <w:sz w:val="18"/>
              </w:rPr>
              <w:t>629,466,032.50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本年新纳入合并范围的子公司货币资金余额</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680" w:right="0"/>
              <w:jc w:val="left"/>
              <w:rPr>
                <w:rFonts w:ascii="宋体" w:hAnsi="宋体" w:cs="宋体" w:eastAsia="宋体" w:hint="default"/>
                <w:sz w:val="18"/>
                <w:szCs w:val="18"/>
              </w:rPr>
            </w:pPr>
            <w:r>
              <w:rPr>
                <w:rFonts w:ascii="宋体"/>
                <w:sz w:val="18"/>
              </w:rPr>
              <w:t>60,675,996.64</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65,258,482.73</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宋体" w:hAnsi="宋体" w:cs="宋体" w:eastAsia="宋体" w:hint="default"/>
                <w:sz w:val="18"/>
                <w:szCs w:val="18"/>
              </w:rPr>
              <w:t>Superfaith</w:t>
            </w:r>
            <w:r>
              <w:rPr>
                <w:rFonts w:ascii="宋体" w:hAnsi="宋体" w:cs="宋体" w:eastAsia="宋体" w:hint="default"/>
                <w:spacing w:val="-46"/>
                <w:sz w:val="18"/>
                <w:szCs w:val="18"/>
              </w:rPr>
              <w:t> </w:t>
            </w:r>
            <w:r>
              <w:rPr>
                <w:rFonts w:ascii="宋体" w:hAnsi="宋体" w:cs="宋体" w:eastAsia="宋体" w:hint="default"/>
                <w:sz w:val="18"/>
                <w:szCs w:val="18"/>
              </w:rPr>
              <w:t>的还款</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680" w:right="0"/>
              <w:jc w:val="left"/>
              <w:rPr>
                <w:rFonts w:ascii="宋体" w:hAnsi="宋体" w:cs="宋体" w:eastAsia="宋体" w:hint="default"/>
                <w:sz w:val="18"/>
                <w:szCs w:val="18"/>
              </w:rPr>
            </w:pPr>
            <w:r>
              <w:rPr>
                <w:rFonts w:ascii="宋体"/>
                <w:sz w:val="18"/>
              </w:rPr>
              <w:t>36,452,210.00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680" w:right="0"/>
              <w:jc w:val="left"/>
              <w:rPr>
                <w:rFonts w:ascii="宋体" w:hAnsi="宋体" w:cs="宋体" w:eastAsia="宋体" w:hint="default"/>
                <w:sz w:val="18"/>
                <w:szCs w:val="18"/>
              </w:rPr>
            </w:pPr>
            <w:r>
              <w:rPr>
                <w:rFonts w:ascii="宋体"/>
                <w:sz w:val="18"/>
              </w:rPr>
              <w:t>30,000,000.00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60,000,000.00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680" w:right="0"/>
              <w:jc w:val="left"/>
              <w:rPr>
                <w:rFonts w:ascii="宋体" w:hAnsi="宋体" w:cs="宋体" w:eastAsia="宋体" w:hint="default"/>
                <w:sz w:val="18"/>
                <w:szCs w:val="18"/>
              </w:rPr>
            </w:pPr>
            <w:r>
              <w:rPr>
                <w:rFonts w:ascii="宋体"/>
                <w:sz w:val="18"/>
              </w:rPr>
              <w:t>14,170,000.00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洋浦基正实业有限公司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770" w:right="0"/>
              <w:jc w:val="left"/>
              <w:rPr>
                <w:rFonts w:ascii="宋体" w:hAnsi="宋体" w:cs="宋体" w:eastAsia="宋体" w:hint="default"/>
                <w:sz w:val="18"/>
                <w:szCs w:val="18"/>
              </w:rPr>
            </w:pPr>
            <w:r>
              <w:rPr>
                <w:rFonts w:ascii="宋体"/>
                <w:sz w:val="18"/>
              </w:rPr>
              <w:t>9,000,000.00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770" w:right="0"/>
              <w:jc w:val="left"/>
              <w:rPr>
                <w:rFonts w:ascii="宋体" w:hAnsi="宋体" w:cs="宋体" w:eastAsia="宋体" w:hint="default"/>
                <w:sz w:val="18"/>
                <w:szCs w:val="18"/>
              </w:rPr>
            </w:pPr>
            <w:r>
              <w:rPr>
                <w:rFonts w:ascii="宋体"/>
                <w:sz w:val="18"/>
              </w:rPr>
              <w:t>5,300,000.00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770" w:right="0"/>
              <w:jc w:val="left"/>
              <w:rPr>
                <w:rFonts w:ascii="宋体" w:hAnsi="宋体" w:cs="宋体" w:eastAsia="宋体" w:hint="default"/>
                <w:sz w:val="18"/>
                <w:szCs w:val="18"/>
              </w:rPr>
            </w:pPr>
            <w:r>
              <w:rPr>
                <w:rFonts w:ascii="宋体"/>
                <w:sz w:val="18"/>
              </w:rPr>
              <w:t>4,440,652.89</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5,009,944.50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155,229,625.00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哈尔滨平义龙江环保治水有限责任公司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50,000,000.00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45,000,000.00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江西康富置业有限公司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35,000,000.00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24,000,000.00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15,000,000.00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北京信远置业有限公司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14,000,000.00</w:t>
            </w:r>
          </w:p>
        </w:tc>
      </w:tr>
      <w:tr>
        <w:trPr>
          <w:trHeight w:val="310" w:hRule="exact"/>
        </w:trPr>
        <w:tc>
          <w:tcPr>
            <w:tcW w:w="432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清华同方(鞍山)环保设备有限公司</w:t>
            </w:r>
          </w:p>
        </w:tc>
        <w:tc>
          <w:tcPr>
            <w:tcW w:w="247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90" w:right="0"/>
              <w:jc w:val="lef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5,000,000.00</w:t>
            </w:r>
          </w:p>
        </w:tc>
      </w:tr>
      <w:tr>
        <w:trPr>
          <w:trHeight w:val="320" w:hRule="exact"/>
        </w:trPr>
        <w:tc>
          <w:tcPr>
            <w:tcW w:w="4327"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73"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397" w:right="0"/>
              <w:jc w:val="left"/>
              <w:rPr>
                <w:rFonts w:ascii="宋体" w:hAnsi="宋体" w:cs="宋体" w:eastAsia="宋体" w:hint="default"/>
                <w:sz w:val="18"/>
                <w:szCs w:val="18"/>
              </w:rPr>
            </w:pPr>
            <w:r>
              <w:rPr>
                <w:rFonts w:ascii="宋体"/>
                <w:b/>
                <w:sz w:val="18"/>
              </w:rPr>
              <w:t>1,155,038,859.53</w:t>
            </w:r>
            <w:r>
              <w:rPr>
                <w:rFonts w:ascii="宋体"/>
                <w:sz w:val="18"/>
              </w:rPr>
            </w:r>
          </w:p>
        </w:tc>
        <w:tc>
          <w:tcPr>
            <w:tcW w:w="184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99"/>
              <w:jc w:val="right"/>
              <w:rPr>
                <w:rFonts w:ascii="宋体" w:hAnsi="宋体" w:cs="宋体" w:eastAsia="宋体" w:hint="default"/>
                <w:sz w:val="18"/>
                <w:szCs w:val="18"/>
              </w:rPr>
            </w:pPr>
            <w:r>
              <w:rPr>
                <w:rFonts w:ascii="宋体"/>
                <w:b/>
                <w:w w:val="95"/>
                <w:sz w:val="18"/>
              </w:rPr>
              <w:t>1,154,964,084.73</w:t>
            </w:r>
            <w:r>
              <w:rPr>
                <w:rFonts w:ascii="宋体"/>
                <w:sz w:val="18"/>
              </w:rPr>
            </w:r>
          </w:p>
        </w:tc>
      </w:tr>
      <w:tr>
        <w:trPr>
          <w:trHeight w:val="576" w:hRule="exact"/>
        </w:trPr>
        <w:tc>
          <w:tcPr>
            <w:tcW w:w="43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90"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支付的其他与投资活动有关的现金</w:t>
            </w:r>
          </w:p>
        </w:tc>
        <w:tc>
          <w:tcPr>
            <w:tcW w:w="2473" w:type="dxa"/>
            <w:tcBorders>
              <w:top w:val="single" w:sz="12" w:space="0" w:color="000000"/>
              <w:left w:val="nil" w:sz="6" w:space="0" w:color="auto"/>
              <w:bottom w:val="single" w:sz="12" w:space="0" w:color="000000"/>
              <w:right w:val="nil" w:sz="6" w:space="0" w:color="auto"/>
            </w:tcBorders>
          </w:tcPr>
          <w:p>
            <w:pPr/>
          </w:p>
        </w:tc>
        <w:tc>
          <w:tcPr>
            <w:tcW w:w="1840" w:type="dxa"/>
            <w:tcBorders>
              <w:top w:val="single" w:sz="12" w:space="0" w:color="000000"/>
              <w:left w:val="nil" w:sz="6" w:space="0" w:color="auto"/>
              <w:bottom w:val="single" w:sz="12" w:space="0" w:color="000000"/>
              <w:right w:val="nil" w:sz="6" w:space="0" w:color="auto"/>
            </w:tcBorders>
          </w:tcPr>
          <w:p>
            <w:pPr/>
          </w:p>
        </w:tc>
      </w:tr>
      <w:tr>
        <w:trPr>
          <w:trHeight w:val="320" w:hRule="exact"/>
        </w:trPr>
        <w:tc>
          <w:tcPr>
            <w:tcW w:w="432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7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10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4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5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9" w:hRule="exact"/>
        </w:trPr>
        <w:tc>
          <w:tcPr>
            <w:tcW w:w="4327"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473" w:type="dxa"/>
            <w:tcBorders>
              <w:top w:val="single" w:sz="4" w:space="0" w:color="000000"/>
              <w:left w:val="nil" w:sz="6" w:space="0" w:color="auto"/>
              <w:bottom w:val="nil" w:sz="6" w:space="0" w:color="auto"/>
              <w:right w:val="nil" w:sz="6" w:space="0" w:color="auto"/>
            </w:tcBorders>
          </w:tcPr>
          <w:p>
            <w:pPr>
              <w:pStyle w:val="TableParagraph"/>
              <w:spacing w:line="234" w:lineRule="exact"/>
              <w:ind w:right="283"/>
              <w:jc w:val="right"/>
              <w:rPr>
                <w:rFonts w:ascii="宋体" w:hAnsi="宋体" w:cs="宋体" w:eastAsia="宋体" w:hint="default"/>
                <w:sz w:val="18"/>
                <w:szCs w:val="18"/>
              </w:rPr>
            </w:pPr>
            <w:r>
              <w:rPr>
                <w:rFonts w:ascii="宋体"/>
                <w:sz w:val="18"/>
              </w:rPr>
              <w:t>675,000,000.00</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34" w:lineRule="exact"/>
              <w:ind w:right="100"/>
              <w:jc w:val="right"/>
              <w:rPr>
                <w:rFonts w:ascii="宋体" w:hAnsi="宋体" w:cs="宋体" w:eastAsia="宋体" w:hint="default"/>
                <w:sz w:val="18"/>
                <w:szCs w:val="18"/>
              </w:rPr>
            </w:pPr>
            <w:r>
              <w:rPr>
                <w:rFonts w:ascii="宋体"/>
                <w:sz w:val="18"/>
              </w:rPr>
              <w:t>50,000,000.00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320,000,000.00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500,000,000.00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30,000,000.00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100,000,000.00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本年不再纳入合并范围的子公司货币资金余额</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21,626,246.10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14,272,912.73</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TONGFANG GLOBAL LLC</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13,451,000.00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TONGFANG GLOBAL (UK) CO.LIMITED</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9,014,826.98</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洋浦基正实业有限公司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9,000,000.00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Top Glory LTD</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6,408,728.94</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7,300,000.00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5,000,000.00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北京同方试金石新技术有限公司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3,500,000.00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Excellent Holding Group LTD</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1,478,937.45</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1,065,929.42</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631.09</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500,000.00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50,000,000.00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45,000,000.00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Superfaith International Finance Limited</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39,678,586.94</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哈尔滨平义龙江环保治水有限责任公司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30,000,000.00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北京盛世纪元房地产开发有限公司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18,750,000.00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15,000,000.00</w:t>
            </w:r>
          </w:p>
        </w:tc>
      </w:tr>
      <w:tr>
        <w:trPr>
          <w:trHeight w:val="30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14,170,000.00</w:t>
            </w:r>
          </w:p>
        </w:tc>
      </w:tr>
      <w:tr>
        <w:trPr>
          <w:trHeight w:val="320" w:hRule="exact"/>
        </w:trPr>
        <w:tc>
          <w:tcPr>
            <w:tcW w:w="4327"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47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283"/>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8,000,000.00</w:t>
            </w:r>
          </w:p>
        </w:tc>
      </w:tr>
    </w:tbl>
    <w:p>
      <w:pPr>
        <w:spacing w:after="0" w:line="240" w:lineRule="auto"/>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415" w:type="dxa"/>
        <w:tblLayout w:type="fixed"/>
        <w:tblCellMar>
          <w:top w:w="0" w:type="dxa"/>
          <w:left w:w="0" w:type="dxa"/>
          <w:bottom w:w="0" w:type="dxa"/>
          <w:right w:w="0" w:type="dxa"/>
        </w:tblCellMar>
        <w:tblLook w:val="01E0"/>
      </w:tblPr>
      <w:tblGrid>
        <w:gridCol w:w="4210"/>
        <w:gridCol w:w="1945"/>
        <w:gridCol w:w="830"/>
        <w:gridCol w:w="1655"/>
      </w:tblGrid>
      <w:tr>
        <w:trPr>
          <w:trHeight w:val="320" w:hRule="exact"/>
        </w:trPr>
        <w:tc>
          <w:tcPr>
            <w:tcW w:w="421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1" w:right="0"/>
              <w:jc w:val="lef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830" w:type="dxa"/>
            <w:tcBorders>
              <w:top w:val="single" w:sz="12" w:space="0" w:color="000000"/>
              <w:left w:val="nil" w:sz="6" w:space="0" w:color="auto"/>
              <w:bottom w:val="single" w:sz="4" w:space="0" w:color="000000"/>
              <w:right w:val="nil" w:sz="6" w:space="0" w:color="auto"/>
            </w:tcBorders>
          </w:tcPr>
          <w:p>
            <w:pPr/>
          </w:p>
        </w:tc>
        <w:tc>
          <w:tcPr>
            <w:tcW w:w="165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8" w:hRule="exact"/>
        </w:trPr>
        <w:tc>
          <w:tcPr>
            <w:tcW w:w="4210" w:type="dxa"/>
            <w:tcBorders>
              <w:top w:val="single" w:sz="4" w:space="0" w:color="000000"/>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清华同方（鞍山）环保设备有限公司</w:t>
            </w:r>
          </w:p>
        </w:tc>
        <w:tc>
          <w:tcPr>
            <w:tcW w:w="1945" w:type="dxa"/>
            <w:tcBorders>
              <w:top w:val="single" w:sz="4" w:space="0" w:color="000000"/>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Style w:val="TableParagraph"/>
              <w:spacing w:line="233" w:lineRule="exact"/>
              <w:ind w:right="0"/>
              <w:jc w:val="left"/>
              <w:rPr>
                <w:rFonts w:ascii="宋体" w:hAnsi="宋体" w:cs="宋体" w:eastAsia="宋体" w:hint="default"/>
                <w:sz w:val="18"/>
                <w:szCs w:val="18"/>
              </w:rPr>
            </w:pPr>
            <w:r>
              <w:rPr>
                <w:rFonts w:ascii="宋体"/>
                <w:sz w:val="18"/>
              </w:rPr>
              <w:t>0.00</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33" w:lineRule="exact"/>
              <w:ind w:left="473" w:right="0"/>
              <w:jc w:val="left"/>
              <w:rPr>
                <w:rFonts w:ascii="宋体" w:hAnsi="宋体" w:cs="宋体" w:eastAsia="宋体" w:hint="default"/>
                <w:sz w:val="18"/>
                <w:szCs w:val="18"/>
              </w:rPr>
            </w:pPr>
            <w:r>
              <w:rPr>
                <w:rFonts w:ascii="宋体"/>
                <w:sz w:val="18"/>
              </w:rPr>
              <w:t>5,000,000.00</w:t>
            </w:r>
          </w:p>
        </w:tc>
      </w:tr>
      <w:tr>
        <w:trPr>
          <w:trHeight w:val="311" w:hRule="exact"/>
        </w:trPr>
        <w:tc>
          <w:tcPr>
            <w:tcW w:w="421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瑞思文化传播有限公司</w:t>
            </w:r>
          </w:p>
        </w:tc>
        <w:tc>
          <w:tcPr>
            <w:tcW w:w="1945"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r>
              <w:rPr>
                <w:rFonts w:ascii="宋体"/>
                <w:sz w:val="18"/>
              </w:rPr>
              <w:t>0.00</w:t>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473" w:right="0"/>
              <w:jc w:val="left"/>
              <w:rPr>
                <w:rFonts w:ascii="宋体" w:hAnsi="宋体" w:cs="宋体" w:eastAsia="宋体" w:hint="default"/>
                <w:sz w:val="18"/>
                <w:szCs w:val="18"/>
              </w:rPr>
            </w:pPr>
            <w:r>
              <w:rPr>
                <w:rFonts w:ascii="宋体"/>
                <w:sz w:val="18"/>
              </w:rPr>
              <w:t>2,300,000.00</w:t>
            </w:r>
          </w:p>
        </w:tc>
      </w:tr>
    </w:tbl>
    <w:p>
      <w:pPr>
        <w:tabs>
          <w:tab w:pos="5477" w:val="left" w:leader="none"/>
          <w:tab w:pos="7682" w:val="left" w:leader="none"/>
        </w:tabs>
        <w:spacing w:line="229" w:lineRule="exact"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1,098,345,668.89</w:t>
        <w:tab/>
      </w:r>
      <w:r>
        <w:rPr>
          <w:rFonts w:ascii="宋体" w:hAnsi="宋体" w:cs="宋体" w:eastAsia="宋体" w:hint="default"/>
          <w:b/>
          <w:bCs/>
          <w:sz w:val="18"/>
          <w:szCs w:val="18"/>
        </w:rPr>
        <w:t>897,172,130.76</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553;height:2" coordorigin="15,15" coordsize="4553,2">
              <v:shape style="position:absolute;left:15;top:15;width:4553;height:2" coordorigin="15,15" coordsize="4553,0" path="m15,15l4568,15e" filled="false" stroked="true" strokeweight="1.5pt" strokecolor="#000000">
                <v:path arrowok="t"/>
              </v:shape>
            </v:group>
            <v:group style="position:absolute;left:4553;top:15;width:2098;height:2" coordorigin="4553,15" coordsize="2098,2">
              <v:shape style="position:absolute;left:4553;top:15;width:2098;height:2" coordorigin="4553,15" coordsize="2098,0" path="m4553,15l6651,15e" filled="false" stroked="true" strokeweight="1.5pt" strokecolor="#000000">
                <v:path arrowok="t"/>
              </v:shape>
            </v:group>
            <v:group style="position:absolute;left:6637;top:15;width:2040;height:2" coordorigin="6637,15" coordsize="2040,2">
              <v:shape style="position:absolute;left:6637;top:15;width:2040;height:2" coordorigin="6637,15" coordsize="2040,0" path="m6637,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706"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4"/>
          <w:sz w:val="22"/>
          <w:szCs w:val="22"/>
        </w:rPr>
        <w:t> </w:t>
      </w:r>
      <w:r>
        <w:rPr>
          <w:rFonts w:ascii="宋体" w:hAnsi="宋体" w:cs="宋体" w:eastAsia="宋体" w:hint="default"/>
          <w:sz w:val="22"/>
          <w:szCs w:val="22"/>
        </w:rPr>
        <w:t>收到的其他与筹资活动有关的现金</w:t>
      </w:r>
    </w:p>
    <w:p>
      <w:pPr>
        <w:spacing w:line="240" w:lineRule="auto" w:before="6"/>
        <w:rPr>
          <w:rFonts w:ascii="宋体" w:hAnsi="宋体" w:cs="宋体" w:eastAsia="宋体" w:hint="default"/>
          <w:sz w:val="12"/>
          <w:szCs w:val="12"/>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5666" w:val="left" w:leader="none"/>
          <w:tab w:pos="7991"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415" w:type="dxa"/>
        <w:tblLayout w:type="fixed"/>
        <w:tblCellMar>
          <w:top w:w="0" w:type="dxa"/>
          <w:left w:w="0" w:type="dxa"/>
          <w:bottom w:w="0" w:type="dxa"/>
          <w:right w:w="0" w:type="dxa"/>
        </w:tblCellMar>
        <w:tblLook w:val="01E0"/>
      </w:tblPr>
      <w:tblGrid>
        <w:gridCol w:w="7036"/>
        <w:gridCol w:w="1604"/>
      </w:tblGrid>
      <w:tr>
        <w:trPr>
          <w:trHeight w:val="297" w:hRule="exact"/>
        </w:trPr>
        <w:tc>
          <w:tcPr>
            <w:tcW w:w="7036" w:type="dxa"/>
            <w:tcBorders>
              <w:top w:val="single" w:sz="2" w:space="0" w:color="000000"/>
              <w:left w:val="nil" w:sz="6" w:space="0" w:color="auto"/>
              <w:bottom w:val="nil" w:sz="6" w:space="0" w:color="auto"/>
              <w:right w:val="nil" w:sz="6" w:space="0" w:color="auto"/>
            </w:tcBorders>
          </w:tcPr>
          <w:p>
            <w:pPr>
              <w:pStyle w:val="TableParagraph"/>
              <w:tabs>
                <w:tab w:pos="4954"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收回受限的货币资金</w:t>
              <w:tab/>
              <w:t>220,236,484.21</w:t>
            </w:r>
          </w:p>
        </w:tc>
        <w:tc>
          <w:tcPr>
            <w:tcW w:w="1604" w:type="dxa"/>
            <w:tcBorders>
              <w:top w:val="single" w:sz="2" w:space="0" w:color="000000"/>
              <w:left w:val="nil" w:sz="6" w:space="0" w:color="auto"/>
              <w:bottom w:val="nil" w:sz="6" w:space="0" w:color="auto"/>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0.00</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044"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专项拨付款</w:t>
              <w:tab/>
              <w:t>49,512,300.00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72,477,200.00</w:t>
            </w:r>
          </w:p>
        </w:tc>
      </w:tr>
      <w:tr>
        <w:trPr>
          <w:trHeight w:val="308" w:hRule="exact"/>
        </w:trPr>
        <w:tc>
          <w:tcPr>
            <w:tcW w:w="7036" w:type="dxa"/>
            <w:tcBorders>
              <w:top w:val="nil" w:sz="6" w:space="0" w:color="auto"/>
              <w:left w:val="nil" w:sz="6" w:space="0" w:color="auto"/>
              <w:bottom w:val="single" w:sz="2" w:space="0" w:color="000000"/>
              <w:right w:val="nil" w:sz="6" w:space="0" w:color="auto"/>
            </w:tcBorders>
          </w:tcPr>
          <w:p>
            <w:pPr>
              <w:pStyle w:val="TableParagraph"/>
              <w:tabs>
                <w:tab w:pos="5404"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tab/>
              <w:t>28,138.80</w:t>
            </w:r>
          </w:p>
        </w:tc>
        <w:tc>
          <w:tcPr>
            <w:tcW w:w="1604"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17" w:hRule="exact"/>
        </w:trPr>
        <w:tc>
          <w:tcPr>
            <w:tcW w:w="7036" w:type="dxa"/>
            <w:tcBorders>
              <w:top w:val="single" w:sz="2" w:space="0" w:color="000000"/>
              <w:left w:val="nil" w:sz="6" w:space="0" w:color="auto"/>
              <w:bottom w:val="single" w:sz="12" w:space="0" w:color="000000"/>
              <w:right w:val="nil" w:sz="6" w:space="0" w:color="auto"/>
            </w:tcBorders>
          </w:tcPr>
          <w:p>
            <w:pPr>
              <w:pStyle w:val="TableParagraph"/>
              <w:tabs>
                <w:tab w:pos="4943"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269,776,923.01</w:t>
            </w:r>
            <w:r>
              <w:rPr>
                <w:rFonts w:ascii="宋体" w:hAnsi="宋体" w:cs="宋体" w:eastAsia="宋体" w:hint="default"/>
                <w:sz w:val="18"/>
                <w:szCs w:val="18"/>
              </w:rPr>
            </w:r>
          </w:p>
        </w:tc>
        <w:tc>
          <w:tcPr>
            <w:tcW w:w="1604" w:type="dxa"/>
            <w:tcBorders>
              <w:top w:val="single" w:sz="2" w:space="0" w:color="000000"/>
              <w:left w:val="nil" w:sz="6" w:space="0" w:color="auto"/>
              <w:bottom w:val="single" w:sz="12" w:space="0" w:color="000000"/>
              <w:right w:val="nil" w:sz="6" w:space="0" w:color="auto"/>
            </w:tcBorders>
          </w:tcPr>
          <w:p>
            <w:pPr>
              <w:pStyle w:val="TableParagraph"/>
              <w:spacing w:line="234" w:lineRule="exact"/>
              <w:ind w:right="97"/>
              <w:jc w:val="right"/>
              <w:rPr>
                <w:rFonts w:ascii="宋体" w:hAnsi="宋体" w:cs="宋体" w:eastAsia="宋体" w:hint="default"/>
                <w:sz w:val="18"/>
                <w:szCs w:val="18"/>
              </w:rPr>
            </w:pPr>
            <w:r>
              <w:rPr>
                <w:rFonts w:ascii="宋体"/>
                <w:b/>
                <w:w w:val="95"/>
                <w:sz w:val="18"/>
              </w:rPr>
              <w:t>72,477,200.00</w:t>
            </w:r>
            <w:r>
              <w:rPr>
                <w:rFonts w:ascii="宋体"/>
                <w:sz w:val="18"/>
              </w:rPr>
            </w:r>
          </w:p>
        </w:tc>
      </w:tr>
      <w:tr>
        <w:trPr>
          <w:trHeight w:val="576" w:hRule="exact"/>
        </w:trPr>
        <w:tc>
          <w:tcPr>
            <w:tcW w:w="70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90" w:right="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4"/>
                <w:sz w:val="22"/>
                <w:szCs w:val="22"/>
              </w:rPr>
              <w:t> </w:t>
            </w:r>
            <w:r>
              <w:rPr>
                <w:rFonts w:ascii="宋体" w:hAnsi="宋体" w:cs="宋体" w:eastAsia="宋体" w:hint="default"/>
                <w:sz w:val="22"/>
                <w:szCs w:val="22"/>
              </w:rPr>
              <w:t>支付的其他与筹资活动有关的现金</w:t>
            </w:r>
          </w:p>
        </w:tc>
        <w:tc>
          <w:tcPr>
            <w:tcW w:w="1604" w:type="dxa"/>
            <w:tcBorders>
              <w:top w:val="single" w:sz="12" w:space="0" w:color="000000"/>
              <w:left w:val="nil" w:sz="6" w:space="0" w:color="auto"/>
              <w:bottom w:val="single" w:sz="12" w:space="0" w:color="000000"/>
              <w:right w:val="nil" w:sz="6" w:space="0" w:color="auto"/>
            </w:tcBorders>
          </w:tcPr>
          <w:p>
            <w:pPr/>
          </w:p>
        </w:tc>
      </w:tr>
      <w:tr>
        <w:trPr>
          <w:trHeight w:val="320" w:hRule="exact"/>
        </w:trPr>
        <w:tc>
          <w:tcPr>
            <w:tcW w:w="7036" w:type="dxa"/>
            <w:tcBorders>
              <w:top w:val="single" w:sz="12" w:space="0" w:color="000000"/>
              <w:left w:val="nil" w:sz="6" w:space="0" w:color="auto"/>
              <w:bottom w:val="single" w:sz="4" w:space="0" w:color="000000"/>
              <w:right w:val="nil" w:sz="6" w:space="0" w:color="auto"/>
            </w:tcBorders>
          </w:tcPr>
          <w:p>
            <w:pPr>
              <w:pStyle w:val="TableParagraph"/>
              <w:tabs>
                <w:tab w:pos="5437"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本年金额</w:t>
            </w:r>
            <w:r>
              <w:rPr>
                <w:rFonts w:ascii="宋体" w:hAnsi="宋体" w:cs="宋体" w:eastAsia="宋体" w:hint="default"/>
                <w:sz w:val="18"/>
                <w:szCs w:val="18"/>
              </w:rPr>
            </w:r>
          </w:p>
        </w:tc>
        <w:tc>
          <w:tcPr>
            <w:tcW w:w="160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7036" w:type="dxa"/>
            <w:tcBorders>
              <w:top w:val="single" w:sz="4" w:space="0" w:color="000000"/>
              <w:left w:val="nil" w:sz="6" w:space="0" w:color="auto"/>
              <w:bottom w:val="nil" w:sz="6" w:space="0" w:color="auto"/>
              <w:right w:val="nil" w:sz="6" w:space="0" w:color="auto"/>
            </w:tcBorders>
          </w:tcPr>
          <w:p>
            <w:pPr>
              <w:pStyle w:val="TableParagraph"/>
              <w:tabs>
                <w:tab w:pos="5140"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使用受限制的货币资金</w:t>
              <w:tab/>
              <w:t>322,289,687.13</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295,900,238.92</w:t>
            </w:r>
          </w:p>
        </w:tc>
      </w:tr>
      <w:tr>
        <w:trPr>
          <w:trHeight w:val="301"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40" w:val="left" w:leader="none"/>
              </w:tabs>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同方江新造船有限公司清退船东预付合同款本息</w:t>
              <w:tab/>
              <w:t>195,292,540.47</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18"/>
                <w:szCs w:val="18"/>
              </w:rPr>
            </w:pPr>
            <w:r>
              <w:rPr>
                <w:rFonts w:ascii="宋体"/>
                <w:sz w:val="18"/>
              </w:rPr>
              <w:t>0.00</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230"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募集费用</w:t>
              <w:tab/>
              <w:t>19,163,051.50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4,539,166.40</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320"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专付专项资金拨款</w:t>
              <w:tab/>
              <w:t>3,860,000.00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320"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tab/>
              <w:t>1,821,384.85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2,688,769.77</w:t>
            </w:r>
          </w:p>
        </w:tc>
      </w:tr>
      <w:tr>
        <w:trPr>
          <w:trHeight w:val="310" w:hRule="exact"/>
        </w:trPr>
        <w:tc>
          <w:tcPr>
            <w:tcW w:w="7036" w:type="dxa"/>
            <w:tcBorders>
              <w:top w:val="nil" w:sz="6" w:space="0" w:color="auto"/>
              <w:left w:val="nil" w:sz="6" w:space="0" w:color="auto"/>
              <w:bottom w:val="single" w:sz="4" w:space="0" w:color="000000"/>
              <w:right w:val="nil" w:sz="6" w:space="0" w:color="auto"/>
            </w:tcBorders>
          </w:tcPr>
          <w:p>
            <w:pPr>
              <w:pStyle w:val="TableParagraph"/>
              <w:tabs>
                <w:tab w:pos="6040"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付中国电子信息产业集团公司拨改贷资金</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1,101,559.52</w:t>
            </w:r>
          </w:p>
        </w:tc>
      </w:tr>
      <w:tr>
        <w:trPr>
          <w:trHeight w:val="320" w:hRule="exact"/>
        </w:trPr>
        <w:tc>
          <w:tcPr>
            <w:tcW w:w="7036" w:type="dxa"/>
            <w:tcBorders>
              <w:top w:val="single" w:sz="4" w:space="0" w:color="000000"/>
              <w:left w:val="nil" w:sz="6" w:space="0" w:color="auto"/>
              <w:bottom w:val="single" w:sz="12" w:space="0" w:color="000000"/>
              <w:right w:val="nil" w:sz="6" w:space="0" w:color="auto"/>
            </w:tcBorders>
          </w:tcPr>
          <w:p>
            <w:pPr>
              <w:pStyle w:val="TableParagraph"/>
              <w:tabs>
                <w:tab w:pos="5129"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542,426,663.95</w:t>
            </w:r>
            <w:r>
              <w:rPr>
                <w:rFonts w:ascii="宋体" w:hAnsi="宋体" w:cs="宋体" w:eastAsia="宋体" w:hint="default"/>
                <w:sz w:val="18"/>
                <w:szCs w:val="18"/>
              </w:rPr>
            </w:r>
          </w:p>
        </w:tc>
        <w:tc>
          <w:tcPr>
            <w:tcW w:w="1604"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0"/>
              <w:jc w:val="right"/>
              <w:rPr>
                <w:rFonts w:ascii="宋体" w:hAnsi="宋体" w:cs="宋体" w:eastAsia="宋体" w:hint="default"/>
                <w:sz w:val="18"/>
                <w:szCs w:val="18"/>
              </w:rPr>
            </w:pPr>
            <w:r>
              <w:rPr>
                <w:rFonts w:ascii="宋体"/>
                <w:b/>
                <w:w w:val="95"/>
                <w:sz w:val="18"/>
              </w:rPr>
              <w:t>304,229,734.61</w:t>
            </w:r>
            <w:r>
              <w:rPr>
                <w:rFonts w:ascii="宋体"/>
                <w:sz w:val="18"/>
              </w:rPr>
            </w:r>
          </w:p>
        </w:tc>
      </w:tr>
      <w:tr>
        <w:trPr>
          <w:trHeight w:val="576" w:hRule="exact"/>
        </w:trPr>
        <w:tc>
          <w:tcPr>
            <w:tcW w:w="70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合并现金流量表补充资料</w:t>
            </w:r>
          </w:p>
        </w:tc>
        <w:tc>
          <w:tcPr>
            <w:tcW w:w="1604" w:type="dxa"/>
            <w:tcBorders>
              <w:top w:val="single" w:sz="12" w:space="0" w:color="000000"/>
              <w:left w:val="nil" w:sz="6" w:space="0" w:color="auto"/>
              <w:bottom w:val="single" w:sz="12" w:space="0" w:color="000000"/>
              <w:right w:val="nil" w:sz="6" w:space="0" w:color="auto"/>
            </w:tcBorders>
          </w:tcPr>
          <w:p>
            <w:pPr/>
          </w:p>
        </w:tc>
      </w:tr>
      <w:tr>
        <w:trPr>
          <w:trHeight w:val="320" w:hRule="exact"/>
        </w:trPr>
        <w:tc>
          <w:tcPr>
            <w:tcW w:w="7036" w:type="dxa"/>
            <w:tcBorders>
              <w:top w:val="single" w:sz="12" w:space="0" w:color="000000"/>
              <w:left w:val="nil" w:sz="6" w:space="0" w:color="auto"/>
              <w:bottom w:val="single" w:sz="4" w:space="0" w:color="000000"/>
              <w:right w:val="nil" w:sz="6" w:space="0" w:color="auto"/>
            </w:tcBorders>
          </w:tcPr>
          <w:p>
            <w:pPr>
              <w:pStyle w:val="TableParagraph"/>
              <w:tabs>
                <w:tab w:pos="5756"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本年金额</w:t>
            </w:r>
            <w:r>
              <w:rPr>
                <w:rFonts w:ascii="宋体" w:hAnsi="宋体" w:cs="宋体" w:eastAsia="宋体" w:hint="default"/>
                <w:sz w:val="18"/>
                <w:szCs w:val="18"/>
              </w:rPr>
            </w:r>
          </w:p>
        </w:tc>
        <w:tc>
          <w:tcPr>
            <w:tcW w:w="160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9" w:hRule="exact"/>
        </w:trPr>
        <w:tc>
          <w:tcPr>
            <w:tcW w:w="7036"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1604" w:type="dxa"/>
            <w:tcBorders>
              <w:top w:val="single" w:sz="4" w:space="0" w:color="000000"/>
              <w:left w:val="nil" w:sz="6" w:space="0" w:color="auto"/>
              <w:bottom w:val="nil" w:sz="6" w:space="0" w:color="auto"/>
              <w:right w:val="nil" w:sz="6" w:space="0" w:color="auto"/>
            </w:tcBorders>
          </w:tcPr>
          <w:p>
            <w:pP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623"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净利润</w:t>
              <w:tab/>
              <w:t>599,737,818.79</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489,533,040.90</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623"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tab/>
              <w:t>246,988,843.75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193,786,847.21</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固定资产折旧</w:t>
              <w:tab/>
              <w:t>222,456,485.88</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203,511,951.57</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无形资产摊销</w:t>
              <w:tab/>
              <w:t>110,065,486.10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110,086,341.98</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24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长期待摊费用摊销</w:t>
              <w:tab/>
              <w:t>13,464,578.26</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8,503,825.74</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4"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处置固定资产、无形资产和其他长期资产的损失（减：收益）</w:t>
              <w:tab/>
            </w:r>
            <w:r>
              <w:rPr>
                <w:rFonts w:ascii="宋体" w:hAnsi="宋体" w:cs="宋体" w:eastAsia="宋体" w:hint="default"/>
                <w:sz w:val="18"/>
                <w:szCs w:val="18"/>
              </w:rPr>
              <w:t>-31,771,143.28</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3,079,180.84</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33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固定资产报废损失（减：收益）</w:t>
              <w:tab/>
              <w:t>2,662,849.55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065" w:val="left" w:leader="none"/>
              </w:tabs>
              <w:spacing w:line="240" w:lineRule="auto" w:before="4"/>
              <w:ind w:right="152"/>
              <w:jc w:val="right"/>
              <w:rPr>
                <w:rFonts w:ascii="宋体" w:hAnsi="宋体" w:cs="宋体" w:eastAsia="宋体" w:hint="default"/>
                <w:sz w:val="18"/>
                <w:szCs w:val="18"/>
              </w:rPr>
            </w:pPr>
            <w:r>
              <w:rPr>
                <w:rFonts w:ascii="宋体" w:hAnsi="宋体" w:cs="宋体" w:eastAsia="宋体" w:hint="default"/>
                <w:sz w:val="18"/>
                <w:szCs w:val="18"/>
              </w:rPr>
              <w:t>公允价值变动损益（减：收益）</w:t>
              <w:tab/>
              <w:t>-141,181,221.62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-46,683,999.58</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财务费用（减：收益）</w:t>
              <w:tab/>
              <w:t>311,066,496.91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210,066,173.25</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06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投资损失（减：收益）</w:t>
              <w:tab/>
              <w:t>-514,958,860.27</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-345,987,145.77</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0" w:lineRule="auto" w:before="4"/>
              <w:ind w:right="152"/>
              <w:jc w:val="right"/>
              <w:rPr>
                <w:rFonts w:ascii="宋体" w:hAnsi="宋体" w:cs="宋体" w:eastAsia="宋体" w:hint="default"/>
                <w:sz w:val="18"/>
                <w:szCs w:val="18"/>
              </w:rPr>
            </w:pPr>
            <w:r>
              <w:rPr>
                <w:rFonts w:ascii="宋体" w:hAnsi="宋体" w:cs="宋体" w:eastAsia="宋体" w:hint="default"/>
                <w:sz w:val="18"/>
                <w:szCs w:val="18"/>
              </w:rPr>
              <w:t>递延所得税资产的减少（减：增加）</w:t>
              <w:tab/>
              <w:t>-33,301,666.51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-21,206,969.34</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245" w:val="left" w:leader="none"/>
              </w:tabs>
              <w:spacing w:line="240" w:lineRule="auto" w:before="4"/>
              <w:ind w:right="152"/>
              <w:jc w:val="right"/>
              <w:rPr>
                <w:rFonts w:ascii="宋体" w:hAnsi="宋体" w:cs="宋体" w:eastAsia="宋体" w:hint="default"/>
                <w:sz w:val="18"/>
                <w:szCs w:val="18"/>
              </w:rPr>
            </w:pPr>
            <w:r>
              <w:rPr>
                <w:rFonts w:ascii="宋体" w:hAnsi="宋体" w:cs="宋体" w:eastAsia="宋体" w:hint="default"/>
                <w:sz w:val="18"/>
                <w:szCs w:val="18"/>
              </w:rPr>
              <w:t>递延所得税负债的增加（减：减少）</w:t>
              <w:tab/>
              <w:t>12,004,440.44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9,435,613.72</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存货的减少（减：增加）</w:t>
              <w:tab/>
              <w:t>253,367,309.36</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-152,168,099.28</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4885" w:val="left" w:leader="none"/>
              </w:tabs>
              <w:spacing w:line="240" w:lineRule="auto" w:before="4"/>
              <w:ind w:right="152"/>
              <w:jc w:val="right"/>
              <w:rPr>
                <w:rFonts w:ascii="宋体" w:hAnsi="宋体" w:cs="宋体" w:eastAsia="宋体" w:hint="default"/>
                <w:sz w:val="18"/>
                <w:szCs w:val="18"/>
              </w:rPr>
            </w:pPr>
            <w:r>
              <w:rPr>
                <w:rFonts w:ascii="宋体" w:hAnsi="宋体" w:cs="宋体" w:eastAsia="宋体" w:hint="default"/>
                <w:sz w:val="18"/>
                <w:szCs w:val="18"/>
              </w:rPr>
              <w:t>经营性应收项目的减少（减：增加）</w:t>
              <w:tab/>
              <w:t>-1,360,243,511.24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-842,703,522.79</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0" w:lineRule="auto" w:before="4"/>
              <w:ind w:right="152"/>
              <w:jc w:val="right"/>
              <w:rPr>
                <w:rFonts w:ascii="宋体" w:hAnsi="宋体" w:cs="宋体" w:eastAsia="宋体" w:hint="default"/>
                <w:sz w:val="18"/>
                <w:szCs w:val="18"/>
              </w:rPr>
            </w:pPr>
            <w:r>
              <w:rPr>
                <w:rFonts w:ascii="宋体" w:hAnsi="宋体" w:cs="宋体" w:eastAsia="宋体" w:hint="default"/>
                <w:sz w:val="18"/>
                <w:szCs w:val="18"/>
              </w:rPr>
              <w:t>经营性应付项目的增加（减：减少）</w:t>
              <w:tab/>
              <w:t>558,408,239.73</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936,210,836.26</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24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预计负债的增加（减：减少）</w:t>
              <w:tab/>
              <w:t>21,013,207.61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173,380.00</w:t>
            </w:r>
          </w:p>
        </w:tc>
      </w:tr>
      <w:tr>
        <w:trPr>
          <w:trHeight w:val="30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605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20" w:hRule="exact"/>
        </w:trPr>
        <w:tc>
          <w:tcPr>
            <w:tcW w:w="7036"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0" w:lineRule="auto" w:before="4"/>
              <w:ind w:right="151"/>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tab/>
              <w:t>269,779,353.46</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755,637,454.71</w:t>
            </w:r>
          </w:p>
        </w:tc>
      </w:tr>
    </w:tbl>
    <w:p>
      <w:pPr>
        <w:spacing w:line="220" w:lineRule="exact" w:before="0"/>
        <w:ind w:left="523" w:right="0" w:firstLine="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p>
      <w:pPr>
        <w:tabs>
          <w:tab w:pos="6938" w:val="left" w:leader="none"/>
          <w:tab w:pos="8594" w:val="left" w:leader="none"/>
        </w:tabs>
        <w:spacing w:before="64"/>
        <w:ind w:left="883" w:right="0" w:firstLine="0"/>
        <w:jc w:val="left"/>
        <w:rPr>
          <w:rFonts w:ascii="宋体" w:hAnsi="宋体" w:cs="宋体" w:eastAsia="宋体" w:hint="default"/>
          <w:sz w:val="18"/>
          <w:szCs w:val="18"/>
        </w:rPr>
      </w:pPr>
      <w:r>
        <w:rPr>
          <w:rFonts w:ascii="宋体" w:hAnsi="宋体" w:cs="宋体" w:eastAsia="宋体" w:hint="default"/>
          <w:sz w:val="18"/>
          <w:szCs w:val="18"/>
        </w:rPr>
        <w:t>债务转为资本</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40" w:lineRule="auto" w:before="12"/>
        <w:rPr>
          <w:rFonts w:ascii="宋体" w:hAnsi="宋体" w:cs="宋体" w:eastAsia="宋体" w:hint="default"/>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5260;height:2" coordorigin="15,15" coordsize="5260,2">
              <v:shape style="position:absolute;left:15;top:15;width:5260;height:2" coordorigin="15,15" coordsize="5260,0" path="m15,15l5275,15e" filled="false" stroked="true" strokeweight="1.5pt" strokecolor="#000000">
                <v:path arrowok="t"/>
              </v:shape>
            </v:group>
            <v:group style="position:absolute;left:5260;top:15;width:1761;height:2" coordorigin="5260,15" coordsize="1761,2">
              <v:shape style="position:absolute;left:5260;top:15;width:1761;height:2" coordorigin="5260,15" coordsize="1761,0" path="m5260,15l7021,15e" filled="false" stroked="true" strokeweight="1.5pt" strokecolor="#000000">
                <v:path arrowok="t"/>
              </v:shape>
            </v:group>
            <v:group style="position:absolute;left:7006;top:15;width:1671;height:2" coordorigin="7006,15" coordsize="1671,2">
              <v:shape style="position:absolute;left:7006;top:15;width:1671;height:2" coordorigin="7006,15" coordsize="1671,0" path="m7006,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tabs>
          <w:tab w:pos="6171" w:val="left" w:leader="none"/>
          <w:tab w:pos="7872" w:val="left" w:leader="none"/>
        </w:tabs>
        <w:spacing w:line="234" w:lineRule="exact"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6938" w:val="left" w:leader="none"/>
          <w:tab w:pos="8594" w:val="left" w:leader="none"/>
        </w:tabs>
        <w:spacing w:before="0"/>
        <w:ind w:left="883" w:right="0" w:firstLine="0"/>
        <w:jc w:val="left"/>
        <w:rPr>
          <w:rFonts w:ascii="宋体" w:hAnsi="宋体" w:cs="宋体" w:eastAsia="宋体" w:hint="default"/>
          <w:sz w:val="18"/>
          <w:szCs w:val="18"/>
        </w:rPr>
      </w:pPr>
      <w:r>
        <w:rPr>
          <w:rFonts w:ascii="宋体" w:hAnsi="宋体" w:cs="宋体" w:eastAsia="宋体" w:hint="default"/>
          <w:sz w:val="18"/>
          <w:szCs w:val="18"/>
        </w:rPr>
        <w:t>一年内到期的可转换公司债</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tabs>
          <w:tab w:pos="6938" w:val="left" w:leader="none"/>
          <w:tab w:pos="8594" w:val="left" w:leader="none"/>
        </w:tabs>
        <w:spacing w:before="65"/>
        <w:ind w:left="883" w:right="0" w:firstLine="0"/>
        <w:jc w:val="left"/>
        <w:rPr>
          <w:rFonts w:ascii="宋体" w:hAnsi="宋体" w:cs="宋体" w:eastAsia="宋体" w:hint="default"/>
          <w:sz w:val="18"/>
          <w:szCs w:val="18"/>
        </w:rPr>
      </w:pPr>
      <w:r>
        <w:rPr>
          <w:rFonts w:ascii="宋体" w:hAnsi="宋体" w:cs="宋体" w:eastAsia="宋体" w:hint="default"/>
          <w:sz w:val="18"/>
          <w:szCs w:val="18"/>
        </w:rPr>
        <w:t>融资租入固定资产</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before="64"/>
        <w:ind w:left="523" w:right="0" w:firstLine="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p>
      <w:pPr>
        <w:spacing w:line="240" w:lineRule="auto" w:before="1"/>
        <w:rPr>
          <w:rFonts w:ascii="宋体" w:hAnsi="宋体" w:cs="宋体" w:eastAsia="宋体" w:hint="default"/>
          <w:b/>
          <w:bCs/>
          <w:sz w:val="3"/>
          <w:szCs w:val="3"/>
        </w:rPr>
      </w:pPr>
    </w:p>
    <w:tbl>
      <w:tblPr>
        <w:tblW w:w="0" w:type="auto"/>
        <w:jc w:val="left"/>
        <w:tblInd w:w="488" w:type="dxa"/>
        <w:tblLayout w:type="fixed"/>
        <w:tblCellMar>
          <w:top w:w="0" w:type="dxa"/>
          <w:left w:w="0" w:type="dxa"/>
          <w:bottom w:w="0" w:type="dxa"/>
          <w:right w:w="0" w:type="dxa"/>
        </w:tblCellMar>
        <w:tblLook w:val="01E0"/>
      </w:tblPr>
      <w:tblGrid>
        <w:gridCol w:w="3783"/>
        <w:gridCol w:w="3136"/>
        <w:gridCol w:w="1583"/>
      </w:tblGrid>
      <w:tr>
        <w:trPr>
          <w:trHeight w:val="320" w:hRule="exact"/>
        </w:trPr>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4,676,869,743.95</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4,420,926,348.63</w:t>
            </w:r>
          </w:p>
        </w:tc>
      </w:tr>
      <w:tr>
        <w:trPr>
          <w:trHeight w:val="300" w:hRule="exact"/>
        </w:trPr>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4,420,926,348.63</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3,241,319,108.47</w:t>
            </w:r>
          </w:p>
        </w:tc>
      </w:tr>
      <w:tr>
        <w:trPr>
          <w:trHeight w:val="321" w:hRule="exact"/>
        </w:trPr>
        <w:tc>
          <w:tcPr>
            <w:tcW w:w="378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13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255,943,395.32</w:t>
            </w:r>
          </w:p>
        </w:tc>
        <w:tc>
          <w:tcPr>
            <w:tcW w:w="158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1,179,607,240.16</w:t>
            </w:r>
          </w:p>
        </w:tc>
      </w:tr>
    </w:tbl>
    <w:p>
      <w:pPr>
        <w:spacing w:line="369" w:lineRule="auto" w:before="79"/>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59.</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股东权益变动表项目</w:t>
      </w:r>
      <w:r>
        <w:rPr>
          <w:rFonts w:ascii="宋体" w:hAnsi="宋体" w:cs="宋体" w:eastAsia="宋体" w:hint="default"/>
          <w:w w:val="99"/>
          <w:sz w:val="22"/>
          <w:szCs w:val="22"/>
        </w:rPr>
        <w:t> </w:t>
      </w:r>
      <w:r>
        <w:rPr>
          <w:rFonts w:ascii="宋体" w:hAnsi="宋体" w:cs="宋体" w:eastAsia="宋体" w:hint="default"/>
          <w:spacing w:val="-1"/>
          <w:sz w:val="22"/>
          <w:szCs w:val="22"/>
        </w:rPr>
        <w:t>本公司之控股子公司、联营企业及合营企业的所有者权益变化，本公司按照持股比例计算应</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享有的金额，增加资本公积-其他资本公积 56,977,541.57</w:t>
      </w:r>
      <w:r>
        <w:rPr>
          <w:rFonts w:ascii="宋体" w:hAnsi="宋体" w:cs="宋体" w:eastAsia="宋体" w:hint="default"/>
          <w:spacing w:val="-58"/>
          <w:sz w:val="22"/>
          <w:szCs w:val="22"/>
        </w:rPr>
        <w:t> </w:t>
      </w:r>
      <w:r>
        <w:rPr>
          <w:rFonts w:ascii="宋体" w:hAnsi="宋体" w:cs="宋体" w:eastAsia="宋体" w:hint="default"/>
          <w:sz w:val="22"/>
          <w:szCs w:val="22"/>
        </w:rPr>
        <w:t>元；少数股东按照持股比例计算应享</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有的金额，增加少数股东权益</w:t>
      </w:r>
      <w:r>
        <w:rPr>
          <w:rFonts w:ascii="宋体" w:hAnsi="宋体" w:cs="宋体" w:eastAsia="宋体" w:hint="default"/>
          <w:spacing w:val="-62"/>
          <w:sz w:val="22"/>
          <w:szCs w:val="22"/>
        </w:rPr>
        <w:t> </w:t>
      </w:r>
      <w:r>
        <w:rPr>
          <w:rFonts w:ascii="宋体" w:hAnsi="宋体" w:cs="宋体" w:eastAsia="宋体" w:hint="default"/>
          <w:sz w:val="22"/>
          <w:szCs w:val="22"/>
        </w:rPr>
        <w:t>351,223,852.40</w:t>
      </w:r>
      <w:r>
        <w:rPr>
          <w:rFonts w:ascii="宋体" w:hAnsi="宋体" w:cs="宋体" w:eastAsia="宋体" w:hint="default"/>
          <w:spacing w:val="-63"/>
          <w:sz w:val="22"/>
          <w:szCs w:val="22"/>
        </w:rPr>
        <w:t> </w:t>
      </w:r>
      <w:r>
        <w:rPr>
          <w:rFonts w:ascii="宋体" w:hAnsi="宋体" w:cs="宋体" w:eastAsia="宋体" w:hint="default"/>
          <w:sz w:val="22"/>
          <w:szCs w:val="22"/>
        </w:rPr>
        <w:t>元。</w:t>
      </w:r>
    </w:p>
    <w:p>
      <w:pPr>
        <w:pStyle w:val="Heading3"/>
        <w:tabs>
          <w:tab w:pos="1398" w:val="left" w:leader="none"/>
        </w:tabs>
        <w:spacing w:line="240" w:lineRule="auto" w:before="164"/>
        <w:ind w:left="620" w:right="0"/>
        <w:jc w:val="left"/>
        <w:rPr>
          <w:b w:val="0"/>
          <w:bCs w:val="0"/>
        </w:rPr>
      </w:pPr>
      <w:bookmarkStart w:name="九、 债务重组 " w:id="12"/>
      <w:bookmarkEnd w:id="12"/>
      <w:r>
        <w:rPr>
          <w:b w:val="0"/>
          <w:bCs w:val="0"/>
        </w:rPr>
      </w:r>
      <w:r>
        <w:rPr>
          <w:w w:val="95"/>
        </w:rPr>
        <w:t>九、</w:t>
        <w:tab/>
      </w:r>
      <w:r>
        <w:rPr/>
        <w:t>债务重组</w:t>
      </w:r>
      <w:r>
        <w:rPr>
          <w:b w:val="0"/>
          <w:bCs w:val="0"/>
        </w:rPr>
      </w:r>
    </w:p>
    <w:p>
      <w:pPr>
        <w:spacing w:before="170"/>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日，本公司无需披露的债务重组事项。</w:t>
      </w:r>
    </w:p>
    <w:p>
      <w:pPr>
        <w:pStyle w:val="Heading3"/>
        <w:tabs>
          <w:tab w:pos="1398" w:val="left" w:leader="none"/>
        </w:tabs>
        <w:spacing w:line="240" w:lineRule="auto" w:before="164"/>
        <w:ind w:left="620" w:right="0"/>
        <w:jc w:val="left"/>
        <w:rPr>
          <w:b w:val="0"/>
          <w:bCs w:val="0"/>
        </w:rPr>
      </w:pPr>
      <w:bookmarkStart w:name="十、 关联方关系及其交易 " w:id="13"/>
      <w:bookmarkEnd w:id="13"/>
      <w:r>
        <w:rPr>
          <w:b w:val="0"/>
          <w:bCs w:val="0"/>
        </w:rPr>
      </w:r>
      <w:r>
        <w:rPr>
          <w:w w:val="95"/>
        </w:rPr>
        <w:t>十、</w:t>
        <w:tab/>
      </w:r>
      <w:r>
        <w:rPr/>
        <w:t>关联方关系及其交易</w:t>
      </w:r>
      <w:r>
        <w:rPr>
          <w:b w:val="0"/>
          <w:bCs w:val="0"/>
        </w:rPr>
      </w:r>
    </w:p>
    <w:p>
      <w:pPr>
        <w:spacing w:line="369" w:lineRule="auto" w:before="170"/>
        <w:ind w:left="591" w:right="73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一</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29"/>
          <w:sz w:val="22"/>
          <w:szCs w:val="22"/>
        </w:rPr>
        <w:t> </w:t>
      </w:r>
      <w:r>
        <w:rPr>
          <w:rFonts w:ascii="宋体" w:hAnsi="宋体" w:cs="宋体" w:eastAsia="宋体" w:hint="default"/>
          <w:b/>
          <w:bCs/>
          <w:sz w:val="22"/>
          <w:szCs w:val="22"/>
        </w:rPr>
        <w:t>关联方关系</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母公司</w:t>
      </w:r>
    </w:p>
    <w:p>
      <w:pPr>
        <w:spacing w:before="6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母公司基本情况</w:t>
      </w:r>
    </w:p>
    <w:p>
      <w:pPr>
        <w:spacing w:line="240" w:lineRule="auto" w:before="7"/>
        <w:rPr>
          <w:rFonts w:ascii="宋体" w:hAnsi="宋体" w:cs="宋体" w:eastAsia="宋体" w:hint="default"/>
          <w:sz w:val="6"/>
          <w:szCs w:val="6"/>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2425" w:val="left" w:leader="none"/>
          <w:tab w:pos="4055" w:val="left" w:leader="none"/>
          <w:tab w:pos="5505" w:val="left" w:leader="none"/>
          <w:tab w:pos="6727" w:val="left" w:leader="none"/>
          <w:tab w:pos="7950" w:val="left" w:leader="none"/>
        </w:tabs>
        <w:spacing w:before="0"/>
        <w:ind w:left="524" w:right="0" w:firstLine="0"/>
        <w:jc w:val="left"/>
        <w:rPr>
          <w:rFonts w:ascii="宋体" w:hAnsi="宋体" w:cs="宋体" w:eastAsia="宋体" w:hint="default"/>
          <w:sz w:val="18"/>
          <w:szCs w:val="18"/>
        </w:rPr>
      </w:pPr>
      <w:r>
        <w:rPr/>
        <w:pict>
          <v:group style="position:absolute;margin-left:84.839996pt;margin-top:14.892025pt;width:431.9pt;height:.1pt;mso-position-horizontal-relative:page;mso-position-vertical-relative:paragraph;z-index:-1044832" coordorigin="1697,298" coordsize="8638,2">
            <v:shape style="position:absolute;left:1697;top:298;width:8638;height:2" coordorigin="1697,298" coordsize="8638,0" path="m1697,298l10334,298e" filled="false" stroked="true" strokeweight=".48pt" strokecolor="#000000">
              <v:path arrowok="t"/>
            </v:shape>
            <w10:wrap type="none"/>
          </v:group>
        </w:pict>
      </w:r>
      <w:r>
        <w:rPr>
          <w:rFonts w:ascii="宋体" w:hAnsi="宋体" w:cs="宋体" w:eastAsia="宋体" w:hint="default"/>
          <w:b/>
          <w:bCs/>
          <w:w w:val="95"/>
          <w:sz w:val="18"/>
          <w:szCs w:val="18"/>
        </w:rPr>
        <w:t>母公司</w:t>
        <w:tab/>
        <w:t>企业类型</w:t>
        <w:tab/>
        <w:t>注册地</w:t>
        <w:tab/>
        <w:t>法人代表</w:t>
        <w:tab/>
        <w:t>业务性质</w:t>
        <w:tab/>
      </w:r>
      <w:r>
        <w:rPr>
          <w:rFonts w:ascii="宋体" w:hAnsi="宋体" w:cs="宋体" w:eastAsia="宋体" w:hint="default"/>
          <w:b/>
          <w:bCs/>
          <w:sz w:val="18"/>
          <w:szCs w:val="18"/>
        </w:rPr>
        <w:t>最终控制方</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42"/>
          <w:pgSz w:w="11910" w:h="16840"/>
          <w:pgMar w:header="610" w:footer="784" w:top="1720" w:bottom="980" w:left="1280" w:right="1140"/>
        </w:sectPr>
      </w:pPr>
    </w:p>
    <w:p>
      <w:pPr>
        <w:tabs>
          <w:tab w:pos="2426" w:val="left" w:leader="none"/>
          <w:tab w:pos="3461" w:val="left" w:leader="none"/>
          <w:tab w:pos="5597" w:val="left" w:leader="none"/>
          <w:tab w:pos="6541" w:val="left" w:leader="none"/>
        </w:tabs>
        <w:spacing w:line="268" w:lineRule="exact" w:before="16"/>
        <w:ind w:left="524" w:right="0"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国有独资</w:t>
        <w:tab/>
        <w:t>北京市海淀区中关村</w:t>
        <w:tab/>
        <w:t>荣泳霖</w:t>
        <w:tab/>
      </w:r>
      <w:r>
        <w:rPr>
          <w:rFonts w:ascii="宋体" w:hAnsi="宋体" w:cs="宋体" w:eastAsia="宋体" w:hint="default"/>
          <w:position w:val="10"/>
          <w:sz w:val="18"/>
          <w:szCs w:val="18"/>
        </w:rPr>
        <w:t>资产管理</w:t>
      </w:r>
      <w:r>
        <w:rPr>
          <w:rFonts w:ascii="宋体" w:hAnsi="宋体" w:cs="宋体" w:eastAsia="宋体" w:hint="default"/>
          <w:sz w:val="18"/>
          <w:szCs w:val="18"/>
        </w:rPr>
      </w:r>
    </w:p>
    <w:p>
      <w:pPr>
        <w:spacing w:line="16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实业投资等</w:t>
      </w:r>
    </w:p>
    <w:p>
      <w:pPr>
        <w:spacing w:before="116"/>
        <w:ind w:left="52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教育部</w:t>
      </w:r>
    </w:p>
    <w:p>
      <w:pPr>
        <w:spacing w:after="0"/>
        <w:jc w:val="left"/>
        <w:rPr>
          <w:rFonts w:ascii="宋体" w:hAnsi="宋体" w:cs="宋体" w:eastAsia="宋体" w:hint="default"/>
          <w:sz w:val="18"/>
          <w:szCs w:val="18"/>
        </w:rPr>
        <w:sectPr>
          <w:type w:val="continuous"/>
          <w:pgSz w:w="11910" w:h="16840"/>
          <w:pgMar w:top="1600" w:bottom="280" w:left="1280" w:right="1140"/>
          <w:cols w:num="2" w:equalWidth="0">
            <w:col w:w="7442" w:space="166"/>
            <w:col w:w="1882"/>
          </w:cols>
        </w:sect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1820;height:2" coordorigin="15,15" coordsize="1820,2">
              <v:shape style="position:absolute;left:15;top:15;width:1820;height:2" coordorigin="15,15" coordsize="1820,0" path="m15,15l1834,15e" filled="false" stroked="true" strokeweight="1.5pt" strokecolor="#000000">
                <v:path arrowok="t"/>
              </v:shape>
            </v:group>
            <v:group style="position:absolute;left:1820;top:15;width:1146;height:2" coordorigin="1820,15" coordsize="1146,2">
              <v:shape style="position:absolute;left:1820;top:15;width:1146;height:2" coordorigin="1820,15" coordsize="1146,0" path="m1820,15l2966,15e" filled="false" stroked="true" strokeweight="1.5pt" strokecolor="#000000">
                <v:path arrowok="t"/>
              </v:shape>
            </v:group>
            <v:group style="position:absolute;left:2951;top:15;width:1964;height:2" coordorigin="2951,15" coordsize="1964,2">
              <v:shape style="position:absolute;left:2951;top:15;width:1964;height:2" coordorigin="2951,15" coordsize="1964,0" path="m2951,15l4915,15e" filled="false" stroked="true" strokeweight="1.5pt" strokecolor="#000000">
                <v:path arrowok="t"/>
              </v:shape>
            </v:group>
            <v:group style="position:absolute;left:4900;top:15;width:1146;height:2" coordorigin="4900,15" coordsize="1146,2">
              <v:shape style="position:absolute;left:4900;top:15;width:1146;height:2" coordorigin="4900,15" coordsize="1146,0" path="m4900,15l6046,15e" filled="false" stroked="true" strokeweight="1.5pt" strokecolor="#000000">
                <v:path arrowok="t"/>
              </v:shape>
            </v:group>
            <v:group style="position:absolute;left:6032;top:15;width:1326;height:2" coordorigin="6032,15" coordsize="1326,2">
              <v:shape style="position:absolute;left:6032;top:15;width:1326;height:2" coordorigin="6032,15" coordsize="1326,0" path="m6032,15l7358,15e" filled="false" stroked="true" strokeweight="1.5pt" strokecolor="#000000">
                <v:path arrowok="t"/>
              </v:shape>
            </v:group>
            <v:group style="position:absolute;left:7343;top:15;width:1331;height:2" coordorigin="7343,15" coordsize="1331,2">
              <v:shape style="position:absolute;left:7343;top:15;width:1331;height:2" coordorigin="7343,15" coordsize="1331,0" path="m7343,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3"/>
        <w:rPr>
          <w:rFonts w:ascii="宋体" w:hAnsi="宋体" w:cs="宋体" w:eastAsia="宋体" w:hint="default"/>
          <w:sz w:val="5"/>
          <w:szCs w:val="5"/>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母公司注册资本及其变化</w:t>
      </w:r>
    </w:p>
    <w:p>
      <w:pPr>
        <w:spacing w:line="240" w:lineRule="auto" w:before="8"/>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123"/>
        <w:gridCol w:w="2256"/>
        <w:gridCol w:w="1528"/>
        <w:gridCol w:w="1459"/>
        <w:gridCol w:w="1814"/>
      </w:tblGrid>
      <w:tr>
        <w:trPr>
          <w:trHeight w:val="303" w:hRule="exact"/>
        </w:trPr>
        <w:tc>
          <w:tcPr>
            <w:tcW w:w="212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225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96"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1"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1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3" w:hRule="exact"/>
        </w:trPr>
        <w:tc>
          <w:tcPr>
            <w:tcW w:w="212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25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98" w:right="0"/>
              <w:jc w:val="center"/>
              <w:rPr>
                <w:rFonts w:ascii="宋体" w:hAnsi="宋体" w:cs="宋体" w:eastAsia="宋体" w:hint="default"/>
                <w:sz w:val="18"/>
                <w:szCs w:val="18"/>
              </w:rPr>
            </w:pPr>
            <w:r>
              <w:rPr>
                <w:rFonts w:ascii="宋体" w:hAnsi="宋体" w:cs="宋体" w:eastAsia="宋体" w:hint="default"/>
                <w:sz w:val="18"/>
                <w:szCs w:val="18"/>
              </w:rPr>
              <w:t>200,000.00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7"/>
              <w:jc w:val="center"/>
              <w:rPr>
                <w:rFonts w:ascii="宋体" w:hAnsi="宋体" w:cs="宋体" w:eastAsia="宋体" w:hint="default"/>
                <w:sz w:val="18"/>
                <w:szCs w:val="18"/>
              </w:rPr>
            </w:pPr>
            <w:r>
              <w:rPr>
                <w:rFonts w:ascii="宋体"/>
                <w:sz w:val="18"/>
              </w:rPr>
              <w:t>0.00</w:t>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24" w:right="0"/>
              <w:jc w:val="center"/>
              <w:rPr>
                <w:rFonts w:ascii="宋体" w:hAnsi="宋体" w:cs="宋体" w:eastAsia="宋体" w:hint="default"/>
                <w:sz w:val="18"/>
                <w:szCs w:val="18"/>
              </w:rPr>
            </w:pPr>
            <w:r>
              <w:rPr>
                <w:rFonts w:ascii="宋体"/>
                <w:sz w:val="18"/>
              </w:rPr>
              <w:t>0.00</w:t>
            </w:r>
          </w:p>
        </w:tc>
        <w:tc>
          <w:tcPr>
            <w:tcW w:w="181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4" w:right="0"/>
              <w:jc w:val="center"/>
              <w:rPr>
                <w:rFonts w:ascii="宋体" w:hAnsi="宋体" w:cs="宋体" w:eastAsia="宋体" w:hint="default"/>
                <w:sz w:val="18"/>
                <w:szCs w:val="18"/>
              </w:rPr>
            </w:pPr>
            <w:r>
              <w:rPr>
                <w:rFonts w:ascii="宋体" w:hAnsi="宋体" w:cs="宋体" w:eastAsia="宋体" w:hint="default"/>
                <w:sz w:val="18"/>
                <w:szCs w:val="18"/>
              </w:rPr>
              <w:t>200,000.00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before="79"/>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母公司所持股份及其变化</w:t>
      </w:r>
    </w:p>
    <w:p>
      <w:pPr>
        <w:spacing w:line="240" w:lineRule="auto" w:before="6"/>
        <w:rPr>
          <w:rFonts w:ascii="宋体" w:hAnsi="宋体" w:cs="宋体" w:eastAsia="宋体" w:hint="default"/>
          <w:sz w:val="12"/>
          <w:szCs w:val="12"/>
        </w:rPr>
      </w:pPr>
    </w:p>
    <w:p>
      <w:pPr>
        <w:spacing w:line="30" w:lineRule="exact"/>
        <w:ind w:left="13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2.8pt;height:1.5pt;mso-position-horizontal-relative:char;mso-position-vertical-relative:line" coordorigin="0,0" coordsize="8656,30">
            <v:group style="position:absolute;left:15;top:15;width:8626;height:2" coordorigin="15,15" coordsize="8626,2">
              <v:shape style="position:absolute;left:15;top:15;width:8626;height:2" coordorigin="15,15" coordsize="8626,0" path="m15,15l864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1140"/>
        </w:sectPr>
      </w:pPr>
    </w:p>
    <w:p>
      <w:pPr>
        <w:spacing w:before="122"/>
        <w:ind w:left="246" w:right="-19" w:firstLine="0"/>
        <w:jc w:val="left"/>
        <w:rPr>
          <w:rFonts w:ascii="宋体" w:hAnsi="宋体" w:cs="宋体" w:eastAsia="宋体" w:hint="default"/>
          <w:sz w:val="18"/>
          <w:szCs w:val="18"/>
        </w:rPr>
      </w:pPr>
      <w:r>
        <w:rPr/>
        <w:pict>
          <v:shape style="position:absolute;margin-left:70.919998pt;margin-top:14.39203pt;width:431.65pt;height:54.7pt;mso-position-horizontal-relative:page;mso-position-vertical-relative:paragraph;z-index:6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0"/>
                    <w:gridCol w:w="1738"/>
                    <w:gridCol w:w="1711"/>
                    <w:gridCol w:w="1375"/>
                    <w:gridCol w:w="1569"/>
                  </w:tblGrid>
                  <w:tr>
                    <w:trPr>
                      <w:trHeight w:val="293" w:hRule="exact"/>
                    </w:trPr>
                    <w:tc>
                      <w:tcPr>
                        <w:tcW w:w="2240" w:type="dxa"/>
                        <w:tcBorders>
                          <w:top w:val="nil" w:sz="6" w:space="0" w:color="auto"/>
                          <w:left w:val="nil" w:sz="6" w:space="0" w:color="auto"/>
                          <w:bottom w:val="single" w:sz="4" w:space="0" w:color="000000"/>
                          <w:right w:val="nil" w:sz="6" w:space="0" w:color="auto"/>
                        </w:tcBorders>
                      </w:tcPr>
                      <w:p>
                        <w:pPr/>
                      </w:p>
                    </w:tc>
                    <w:tc>
                      <w:tcPr>
                        <w:tcW w:w="1738"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69"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11"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7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53"/>
                          <w:jc w:val="center"/>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69"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37"/>
                          <w:jc w:val="center"/>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03" w:hRule="exact"/>
                    </w:trPr>
                    <w:tc>
                      <w:tcPr>
                        <w:tcW w:w="22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90"/>
                          <w:jc w:val="righ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73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1" w:right="0"/>
                          <w:jc w:val="center"/>
                          <w:rPr>
                            <w:rFonts w:ascii="宋体" w:hAnsi="宋体" w:cs="宋体" w:eastAsia="宋体" w:hint="default"/>
                            <w:sz w:val="18"/>
                            <w:szCs w:val="18"/>
                          </w:rPr>
                        </w:pPr>
                        <w:r>
                          <w:rPr>
                            <w:rFonts w:ascii="宋体"/>
                            <w:sz w:val="18"/>
                          </w:rPr>
                          <w:t>237,379,689.00</w:t>
                        </w:r>
                      </w:p>
                    </w:tc>
                    <w:tc>
                      <w:tcPr>
                        <w:tcW w:w="171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3"/>
                          <w:jc w:val="center"/>
                          <w:rPr>
                            <w:rFonts w:ascii="宋体" w:hAnsi="宋体" w:cs="宋体" w:eastAsia="宋体" w:hint="default"/>
                            <w:sz w:val="18"/>
                            <w:szCs w:val="18"/>
                          </w:rPr>
                        </w:pPr>
                        <w:r>
                          <w:rPr>
                            <w:rFonts w:ascii="宋体"/>
                            <w:sz w:val="18"/>
                          </w:rPr>
                          <w:t>287,379,689.00</w:t>
                        </w:r>
                      </w:p>
                    </w:tc>
                    <w:tc>
                      <w:tcPr>
                        <w:tcW w:w="137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3"/>
                          <w:jc w:val="center"/>
                          <w:rPr>
                            <w:rFonts w:ascii="宋体" w:hAnsi="宋体" w:cs="宋体" w:eastAsia="宋体" w:hint="default"/>
                            <w:sz w:val="18"/>
                            <w:szCs w:val="18"/>
                          </w:rPr>
                        </w:pPr>
                        <w:r>
                          <w:rPr>
                            <w:rFonts w:ascii="宋体"/>
                            <w:sz w:val="18"/>
                          </w:rPr>
                          <w:t>23.88%</w:t>
                        </w:r>
                      </w:p>
                    </w:tc>
                    <w:tc>
                      <w:tcPr>
                        <w:tcW w:w="156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7"/>
                          <w:jc w:val="center"/>
                          <w:rPr>
                            <w:rFonts w:ascii="宋体" w:hAnsi="宋体" w:cs="宋体" w:eastAsia="宋体" w:hint="default"/>
                            <w:sz w:val="18"/>
                            <w:szCs w:val="18"/>
                          </w:rPr>
                        </w:pPr>
                        <w:r>
                          <w:rPr>
                            <w:rFonts w:ascii="宋体"/>
                            <w:sz w:val="18"/>
                          </w:rPr>
                          <w:t>29.42%</w:t>
                        </w:r>
                      </w:p>
                    </w:tc>
                  </w:tr>
                  <w:tr>
                    <w:trPr>
                      <w:trHeight w:val="497" w:hRule="exact"/>
                    </w:trPr>
                    <w:tc>
                      <w:tcPr>
                        <w:tcW w:w="2240"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right="672"/>
                          <w:jc w:val="righ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子公司</w:t>
                        </w:r>
                      </w:p>
                    </w:tc>
                    <w:tc>
                      <w:tcPr>
                        <w:tcW w:w="1738" w:type="dxa"/>
                        <w:tcBorders>
                          <w:top w:val="single" w:sz="12" w:space="0" w:color="000000"/>
                          <w:left w:val="nil" w:sz="6" w:space="0" w:color="auto"/>
                          <w:bottom w:val="nil" w:sz="6" w:space="0" w:color="auto"/>
                          <w:right w:val="nil" w:sz="6" w:space="0" w:color="auto"/>
                        </w:tcBorders>
                      </w:tcPr>
                      <w:p>
                        <w:pPr/>
                      </w:p>
                    </w:tc>
                    <w:tc>
                      <w:tcPr>
                        <w:tcW w:w="1711" w:type="dxa"/>
                        <w:tcBorders>
                          <w:top w:val="single" w:sz="12" w:space="0" w:color="000000"/>
                          <w:left w:val="nil" w:sz="6" w:space="0" w:color="auto"/>
                          <w:bottom w:val="nil" w:sz="6" w:space="0" w:color="auto"/>
                          <w:right w:val="nil" w:sz="6" w:space="0" w:color="auto"/>
                        </w:tcBorders>
                      </w:tcPr>
                      <w:p>
                        <w:pPr/>
                      </w:p>
                    </w:tc>
                    <w:tc>
                      <w:tcPr>
                        <w:tcW w:w="1375" w:type="dxa"/>
                        <w:tcBorders>
                          <w:top w:val="single" w:sz="12" w:space="0" w:color="000000"/>
                          <w:left w:val="nil" w:sz="6" w:space="0" w:color="auto"/>
                          <w:bottom w:val="nil" w:sz="6" w:space="0" w:color="auto"/>
                          <w:right w:val="nil" w:sz="6" w:space="0" w:color="auto"/>
                        </w:tcBorders>
                      </w:tcPr>
                      <w:p>
                        <w:pPr/>
                      </w:p>
                    </w:tc>
                    <w:tc>
                      <w:tcPr>
                        <w:tcW w:w="1569"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8"/>
          <w:szCs w:val="18"/>
        </w:rPr>
        <w:t>母公司</w:t>
      </w:r>
      <w:r>
        <w:rPr>
          <w:rFonts w:ascii="宋体" w:hAnsi="宋体" w:cs="宋体" w:eastAsia="宋体" w:hint="default"/>
          <w:sz w:val="18"/>
          <w:szCs w:val="18"/>
        </w:rPr>
      </w:r>
    </w:p>
    <w:p>
      <w:pPr>
        <w:tabs>
          <w:tab w:pos="3441" w:val="left" w:leader="none"/>
        </w:tabs>
        <w:spacing w:line="226" w:lineRule="exact" w:before="0"/>
        <w:ind w:left="246"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持股金额</w:t>
        <w:tab/>
      </w:r>
      <w:r>
        <w:rPr>
          <w:rFonts w:ascii="宋体" w:hAnsi="宋体" w:cs="宋体" w:eastAsia="宋体" w:hint="default"/>
          <w:b/>
          <w:bCs/>
          <w:sz w:val="18"/>
          <w:szCs w:val="18"/>
        </w:rPr>
        <w:t>持股比例</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1600" w:bottom="280" w:left="1280" w:right="1140"/>
          <w:cols w:num="2" w:equalWidth="0">
            <w:col w:w="791" w:space="2653"/>
            <w:col w:w="604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line="391" w:lineRule="auto" w:before="31"/>
        <w:ind w:left="591" w:right="2727" w:hanging="14"/>
        <w:jc w:val="left"/>
        <w:rPr>
          <w:rFonts w:ascii="宋体" w:hAnsi="宋体" w:cs="宋体" w:eastAsia="宋体" w:hint="default"/>
          <w:sz w:val="22"/>
          <w:szCs w:val="22"/>
        </w:rPr>
      </w:pPr>
      <w:r>
        <w:rPr>
          <w:rFonts w:ascii="宋体" w:hAnsi="宋体" w:cs="宋体" w:eastAsia="宋体" w:hint="default"/>
          <w:sz w:val="22"/>
          <w:szCs w:val="22"/>
        </w:rPr>
        <w:t>存在控制关系的子公司详见附注七、企业合并及合并财务报表。</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其他关联方</w:t>
      </w:r>
    </w:p>
    <w:p>
      <w:pPr>
        <w:spacing w:line="240" w:lineRule="auto" w:before="0"/>
        <w:rPr>
          <w:rFonts w:ascii="宋体" w:hAnsi="宋体" w:cs="宋体" w:eastAsia="宋体" w:hint="default"/>
          <w:sz w:val="2"/>
          <w:szCs w:val="2"/>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6524"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关联方名称</w:t>
        <w:tab/>
      </w:r>
      <w:r>
        <w:rPr>
          <w:rFonts w:ascii="宋体" w:hAnsi="宋体" w:cs="宋体" w:eastAsia="宋体" w:hint="default"/>
          <w:b/>
          <w:bCs/>
          <w:sz w:val="18"/>
          <w:szCs w:val="18"/>
        </w:rPr>
        <w:t>关联关系类型</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5897"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北京清能创新科技有限公司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诚志股份有限公司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紫光集团有限公司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紫光捷通科技股份有限公司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启迪（江西）发展有限公司</w:t>
        <w:tab/>
        <w:t>受同一母公司控制的其他企业</w:t>
      </w:r>
    </w:p>
    <w:p>
      <w:pPr>
        <w:spacing w:line="240" w:lineRule="auto" w:before="5"/>
        <w:rPr>
          <w:rFonts w:ascii="宋体" w:hAnsi="宋体" w:cs="宋体" w:eastAsia="宋体" w:hint="default"/>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671;height:2" coordorigin="15,15" coordsize="4671,2">
              <v:shape style="position:absolute;left:15;top:15;width:4671;height:2" coordorigin="15,15" coordsize="4671,0" path="m15,15l4685,15e" filled="false" stroked="true" strokeweight="1.5pt" strokecolor="#000000">
                <v:path arrowok="t"/>
              </v:shape>
            </v:group>
            <v:group style="position:absolute;left:4671;top:15;width:4006;height:2" coordorigin="4671,15" coordsize="4006,2">
              <v:shape style="position:absolute;left:4671;top:15;width:4006;height:2" coordorigin="4671,15" coordsize="4006,0" path="m4671,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1140"/>
        </w:sectPr>
      </w:pPr>
    </w:p>
    <w:p>
      <w:pPr>
        <w:tabs>
          <w:tab w:pos="6524" w:val="left" w:leader="none"/>
        </w:tabs>
        <w:spacing w:line="226" w:lineRule="exact"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关联方名称</w:t>
        <w:tab/>
      </w:r>
      <w:r>
        <w:rPr>
          <w:rFonts w:ascii="宋体" w:hAnsi="宋体" w:cs="宋体" w:eastAsia="宋体" w:hint="default"/>
          <w:b/>
          <w:bCs/>
          <w:sz w:val="18"/>
          <w:szCs w:val="18"/>
        </w:rPr>
        <w:t>关联关系类型</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宋体" w:hAnsi="宋体" w:cs="宋体" w:eastAsia="宋体" w:hint="default"/>
          <w:sz w:val="2"/>
          <w:szCs w:val="2"/>
        </w:rPr>
      </w:r>
    </w:p>
    <w:p>
      <w:pPr>
        <w:tabs>
          <w:tab w:pos="5897" w:val="left" w:leader="none"/>
          <w:tab w:pos="6707" w:val="left" w:leader="none"/>
        </w:tabs>
        <w:spacing w:line="288" w:lineRule="auto" w:before="0"/>
        <w:ind w:left="523" w:right="1245" w:firstLine="0"/>
        <w:jc w:val="left"/>
        <w:rPr>
          <w:rFonts w:ascii="宋体" w:hAnsi="宋体" w:cs="宋体" w:eastAsia="宋体" w:hint="default"/>
          <w:sz w:val="18"/>
          <w:szCs w:val="18"/>
        </w:rPr>
      </w:pPr>
      <w:r>
        <w:rPr>
          <w:rFonts w:ascii="宋体" w:hAnsi="宋体" w:cs="宋体" w:eastAsia="宋体" w:hint="default"/>
          <w:sz w:val="18"/>
          <w:szCs w:val="18"/>
        </w:rPr>
        <w:t>北京宇信电子有限公司</w:t>
        <w:tab/>
        <w:t>受同一母公司控制的其他企业 同方知好乐教育科技（北京）有限公司</w:t>
        <w:tab/>
        <w:tab/>
        <w:t>联营企业</w:t>
      </w:r>
    </w:p>
    <w:p>
      <w:pPr>
        <w:tabs>
          <w:tab w:pos="6707" w:val="left" w:leader="none"/>
        </w:tabs>
        <w:spacing w:before="11"/>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北京同方神火科技有限公司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北京威视科技发展有限公司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北京威视数据系统有限公司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北京亚仕同方科技有限公司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tab/>
        <w:t>联营企业</w:t>
      </w:r>
    </w:p>
    <w:p>
      <w:pPr>
        <w:tabs>
          <w:tab w:pos="670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哈尔滨平义龙江环保治水有限责任公司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鸡西龙江环保治水有限公司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吉林同方科贸有限责任公司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嘉融投资有限公司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北京同方易豪科技有限公司</w:t>
        <w:tab/>
        <w:t>联营企业</w:t>
      </w:r>
    </w:p>
    <w:p>
      <w:pPr>
        <w:tabs>
          <w:tab w:pos="670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龙江环保集团股份有限公司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同方佰宜科技（北京）有限公司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同方环境股份有限公司</w:t>
        <w:tab/>
        <w:t>联营企业</w:t>
      </w:r>
    </w:p>
    <w:p>
      <w:pPr>
        <w:tabs>
          <w:tab w:pos="670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同方投资有限公司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易程科技股份有限公司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牡丹江龙江环保水务有限公司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重庆同方合志科技有限公司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北京辰安伟业科技有限公司</w:t>
        <w:tab/>
        <w:t>联营企业</w:t>
      </w:r>
    </w:p>
    <w:p>
      <w:pPr>
        <w:tabs>
          <w:tab w:pos="670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北京同方时讯电子有限公司</w:t>
        <w:tab/>
        <w:t>联营企业</w:t>
      </w:r>
    </w:p>
    <w:p>
      <w:pPr>
        <w:tabs>
          <w:tab w:pos="670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tab/>
        <w:t>联营企业</w:t>
      </w:r>
    </w:p>
    <w:p>
      <w:pPr>
        <w:tabs>
          <w:tab w:pos="670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tab/>
        <w:t>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北京同方洁净技术有限公司</w:t>
        <w:tab/>
        <w:t>其他关联关系方</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同方川崎空调设备有限公司</w:t>
        <w:tab/>
        <w:t>其他关联关系方</w:t>
      </w:r>
    </w:p>
    <w:p>
      <w:pPr>
        <w:spacing w:line="240" w:lineRule="auto" w:before="6"/>
        <w:rPr>
          <w:rFonts w:ascii="宋体" w:hAnsi="宋体" w:cs="宋体" w:eastAsia="宋体" w:hint="default"/>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671;height:2" coordorigin="15,15" coordsize="4671,2">
              <v:shape style="position:absolute;left:15;top:15;width:4671;height:2" coordorigin="15,15" coordsize="4671,0" path="m15,15l4685,15e" filled="false" stroked="true" strokeweight="1.5pt" strokecolor="#000000">
                <v:path arrowok="t"/>
              </v:shape>
            </v:group>
            <v:group style="position:absolute;left:4671;top:15;width:4006;height:2" coordorigin="4671,15" coordsize="4006,2">
              <v:shape style="position:absolute;left:4671;top:15;width:4006;height:2" coordorigin="4671,15" coordsize="4006,0" path="m4671,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line="369" w:lineRule="auto" w:before="31"/>
        <w:ind w:left="578" w:right="7538"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二</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41"/>
          <w:sz w:val="22"/>
          <w:szCs w:val="22"/>
        </w:rPr>
        <w:t> </w:t>
      </w:r>
      <w:r>
        <w:rPr>
          <w:rFonts w:ascii="宋体" w:hAnsi="宋体" w:cs="宋体" w:eastAsia="宋体" w:hint="default"/>
          <w:b/>
          <w:bCs/>
          <w:sz w:val="22"/>
          <w:szCs w:val="22"/>
        </w:rPr>
        <w:t>关联交易</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pacing w:val="21"/>
          <w:sz w:val="22"/>
          <w:szCs w:val="22"/>
        </w:rPr>
        <w:t> </w:t>
      </w:r>
      <w:r>
        <w:rPr>
          <w:rFonts w:ascii="宋体" w:hAnsi="宋体" w:cs="宋体" w:eastAsia="宋体" w:hint="default"/>
          <w:sz w:val="22"/>
          <w:szCs w:val="22"/>
        </w:rPr>
        <w:t>定价政策</w:t>
      </w:r>
    </w:p>
    <w:p>
      <w:pPr>
        <w:spacing w:before="6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有国家规定价格的，依据该价格进行；</w:t>
      </w:r>
    </w:p>
    <w:p>
      <w:pPr>
        <w:spacing w:before="18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没有政府定价的，按当时当地的市场价格标准执行；</w:t>
      </w:r>
    </w:p>
    <w:p>
      <w:pPr>
        <w:spacing w:before="18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若无适用的市场价格标准的，则通过在成本核算加税费的基础上双方协商来确定。</w:t>
      </w:r>
    </w:p>
    <w:p>
      <w:pPr>
        <w:spacing w:after="0"/>
        <w:jc w:val="left"/>
        <w:rPr>
          <w:rFonts w:ascii="宋体" w:hAnsi="宋体" w:cs="宋体" w:eastAsia="宋体" w:hint="default"/>
          <w:sz w:val="22"/>
          <w:szCs w:val="22"/>
        </w:rPr>
        <w:sectPr>
          <w:pgSz w:w="11910" w:h="16840"/>
          <w:pgMar w:header="610" w:footer="784" w:top="172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78"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1"/>
          <w:sz w:val="22"/>
          <w:szCs w:val="22"/>
        </w:rPr>
        <w:t> </w:t>
      </w:r>
      <w:r>
        <w:rPr>
          <w:rFonts w:ascii="宋体" w:hAnsi="宋体" w:cs="宋体" w:eastAsia="宋体" w:hint="default"/>
          <w:sz w:val="22"/>
          <w:szCs w:val="22"/>
        </w:rPr>
        <w:t>购买商品、接受劳务等关联交易</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3937"/>
        <w:gridCol w:w="2763"/>
        <w:gridCol w:w="1937"/>
      </w:tblGrid>
      <w:tr>
        <w:trPr>
          <w:trHeight w:val="303" w:hRule="exact"/>
        </w:trPr>
        <w:tc>
          <w:tcPr>
            <w:tcW w:w="393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7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1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3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9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3937"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763" w:type="dxa"/>
            <w:tcBorders>
              <w:top w:val="single" w:sz="4" w:space="0" w:color="000000"/>
              <w:left w:val="nil" w:sz="6" w:space="0" w:color="auto"/>
              <w:bottom w:val="nil" w:sz="6" w:space="0" w:color="auto"/>
              <w:right w:val="nil" w:sz="6" w:space="0" w:color="auto"/>
            </w:tcBorders>
          </w:tcPr>
          <w:p>
            <w:pPr>
              <w:pStyle w:val="TableParagraph"/>
              <w:spacing w:line="226" w:lineRule="exact"/>
              <w:ind w:right="422"/>
              <w:jc w:val="right"/>
              <w:rPr>
                <w:rFonts w:ascii="宋体" w:hAnsi="宋体" w:cs="宋体" w:eastAsia="宋体" w:hint="default"/>
                <w:sz w:val="18"/>
                <w:szCs w:val="18"/>
              </w:rPr>
            </w:pPr>
            <w:r>
              <w:rPr>
                <w:rFonts w:ascii="宋体"/>
                <w:sz w:val="18"/>
              </w:rPr>
              <w:t>43,587,530.16</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26" w:lineRule="exact"/>
              <w:ind w:right="20"/>
              <w:jc w:val="right"/>
              <w:rPr>
                <w:rFonts w:ascii="宋体" w:hAnsi="宋体" w:cs="宋体" w:eastAsia="宋体" w:hint="default"/>
                <w:sz w:val="18"/>
                <w:szCs w:val="18"/>
              </w:rPr>
            </w:pPr>
            <w:r>
              <w:rPr>
                <w:rFonts w:ascii="宋体"/>
                <w:sz w:val="18"/>
              </w:rPr>
              <w:t>36,552,244.49</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14,828,628.79</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15,799,842.00</w:t>
            </w:r>
          </w:p>
        </w:tc>
      </w:tr>
      <w:tr>
        <w:trPr>
          <w:trHeight w:val="26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13,002,333.10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7,068,944.22</w:t>
            </w:r>
          </w:p>
        </w:tc>
      </w:tr>
      <w:tr>
        <w:trPr>
          <w:trHeight w:val="304"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4,674,000.00</w:t>
            </w:r>
          </w:p>
        </w:tc>
      </w:tr>
      <w:tr>
        <w:trPr>
          <w:trHeight w:val="26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101,435.90</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3,289,709.14</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2,710,000.00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紫光捷通科技股份有限公司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1,709,401.80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1,349,316.25</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3,423.08</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726,080.41</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676,287.50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153,010.13</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81,000.00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22"/>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66,890.26</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22"/>
              <w:jc w:val="right"/>
              <w:rPr>
                <w:rFonts w:ascii="宋体" w:hAnsi="宋体" w:cs="宋体" w:eastAsia="宋体" w:hint="default"/>
                <w:sz w:val="18"/>
                <w:szCs w:val="18"/>
              </w:rPr>
            </w:pPr>
            <w:r>
              <w:rPr>
                <w:rFonts w:ascii="宋体"/>
                <w:sz w:val="18"/>
              </w:rPr>
              <w:t>5,427,042.51</w:t>
            </w:r>
          </w:p>
        </w:tc>
        <w:tc>
          <w:tcPr>
            <w:tcW w:w="1937"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22"/>
              <w:jc w:val="right"/>
              <w:rPr>
                <w:rFonts w:ascii="宋体" w:hAnsi="宋体" w:cs="宋体" w:eastAsia="宋体" w:hint="default"/>
                <w:sz w:val="18"/>
                <w:szCs w:val="18"/>
              </w:rPr>
            </w:pPr>
            <w:r>
              <w:rPr>
                <w:rFonts w:ascii="宋体"/>
                <w:sz w:val="18"/>
              </w:rPr>
              <w:t>2,483,302.00</w:t>
            </w:r>
          </w:p>
        </w:tc>
        <w:tc>
          <w:tcPr>
            <w:tcW w:w="1937"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22"/>
              <w:jc w:val="right"/>
              <w:rPr>
                <w:rFonts w:ascii="宋体" w:hAnsi="宋体" w:cs="宋体" w:eastAsia="宋体" w:hint="default"/>
                <w:sz w:val="18"/>
                <w:szCs w:val="18"/>
              </w:rPr>
            </w:pPr>
            <w:r>
              <w:rPr>
                <w:rFonts w:ascii="宋体"/>
                <w:sz w:val="18"/>
              </w:rPr>
              <w:t>9,265,000.00</w:t>
            </w:r>
          </w:p>
        </w:tc>
        <w:tc>
          <w:tcPr>
            <w:tcW w:w="1937"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22"/>
              <w:jc w:val="right"/>
              <w:rPr>
                <w:rFonts w:ascii="宋体" w:hAnsi="宋体" w:cs="宋体" w:eastAsia="宋体" w:hint="default"/>
                <w:sz w:val="18"/>
                <w:szCs w:val="18"/>
              </w:rPr>
            </w:pPr>
            <w:r>
              <w:rPr>
                <w:rFonts w:ascii="宋体"/>
                <w:sz w:val="18"/>
              </w:rPr>
              <w:t>11,295,118.66</w:t>
            </w:r>
          </w:p>
        </w:tc>
        <w:tc>
          <w:tcPr>
            <w:tcW w:w="1937"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r>
      <w:tr>
        <w:trPr>
          <w:trHeight w:val="314" w:hRule="exact"/>
        </w:trPr>
        <w:tc>
          <w:tcPr>
            <w:tcW w:w="393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6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422"/>
              <w:jc w:val="right"/>
              <w:rPr>
                <w:rFonts w:ascii="宋体" w:hAnsi="宋体" w:cs="宋体" w:eastAsia="宋体" w:hint="default"/>
                <w:sz w:val="18"/>
                <w:szCs w:val="18"/>
              </w:rPr>
            </w:pPr>
            <w:r>
              <w:rPr>
                <w:rFonts w:ascii="宋体"/>
                <w:sz w:val="18"/>
              </w:rPr>
              <w:t>121,166,442.51</w:t>
            </w:r>
          </w:p>
        </w:tc>
        <w:tc>
          <w:tcPr>
            <w:tcW w:w="1937" w:type="dxa"/>
            <w:tcBorders>
              <w:top w:val="nil" w:sz="6" w:space="0" w:color="auto"/>
              <w:left w:val="nil" w:sz="6" w:space="0" w:color="auto"/>
              <w:bottom w:val="single" w:sz="4" w:space="0" w:color="000000"/>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r>
      <w:tr>
        <w:trPr>
          <w:trHeight w:val="304" w:hRule="exact"/>
        </w:trPr>
        <w:tc>
          <w:tcPr>
            <w:tcW w:w="3937"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3"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423"/>
              <w:jc w:val="right"/>
              <w:rPr>
                <w:rFonts w:ascii="宋体" w:hAnsi="宋体" w:cs="宋体" w:eastAsia="宋体" w:hint="default"/>
                <w:sz w:val="18"/>
                <w:szCs w:val="18"/>
              </w:rPr>
            </w:pPr>
            <w:r>
              <w:rPr>
                <w:rFonts w:ascii="宋体"/>
                <w:b/>
                <w:w w:val="95"/>
                <w:sz w:val="18"/>
              </w:rPr>
              <w:t>208,157,923.61</w:t>
            </w:r>
            <w:r>
              <w:rPr>
                <w:rFonts w:ascii="宋体"/>
                <w:sz w:val="18"/>
              </w:rPr>
            </w:r>
          </w:p>
        </w:tc>
        <w:tc>
          <w:tcPr>
            <w:tcW w:w="1937"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b/>
                <w:w w:val="95"/>
                <w:sz w:val="18"/>
              </w:rPr>
              <w:t>87,859,059.30</w:t>
            </w:r>
            <w:r>
              <w:rPr>
                <w:rFonts w:ascii="宋体"/>
                <w:sz w:val="18"/>
              </w:rPr>
            </w:r>
          </w:p>
        </w:tc>
      </w:tr>
      <w:tr>
        <w:trPr>
          <w:trHeight w:val="576" w:hRule="exact"/>
        </w:trPr>
        <w:tc>
          <w:tcPr>
            <w:tcW w:w="6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470"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1"/>
                <w:sz w:val="22"/>
                <w:szCs w:val="22"/>
              </w:rPr>
              <w:t> </w:t>
            </w:r>
            <w:r>
              <w:rPr>
                <w:rFonts w:ascii="宋体" w:hAnsi="宋体" w:cs="宋体" w:eastAsia="宋体" w:hint="default"/>
                <w:sz w:val="22"/>
                <w:szCs w:val="22"/>
              </w:rPr>
              <w:t>销售商品、提供劳务等关联交易</w:t>
            </w:r>
          </w:p>
        </w:tc>
        <w:tc>
          <w:tcPr>
            <w:tcW w:w="1937" w:type="dxa"/>
            <w:tcBorders>
              <w:top w:val="nil" w:sz="6" w:space="0" w:color="auto"/>
              <w:left w:val="nil" w:sz="6" w:space="0" w:color="auto"/>
              <w:bottom w:val="nil" w:sz="6" w:space="0" w:color="auto"/>
              <w:right w:val="nil" w:sz="6" w:space="0" w:color="auto"/>
            </w:tcBorders>
          </w:tcPr>
          <w:p>
            <w:pPr/>
          </w:p>
        </w:tc>
      </w:tr>
      <w:tr>
        <w:trPr>
          <w:trHeight w:val="302" w:hRule="exact"/>
        </w:trPr>
        <w:tc>
          <w:tcPr>
            <w:tcW w:w="393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7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4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3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3" w:hRule="exact"/>
        </w:trPr>
        <w:tc>
          <w:tcPr>
            <w:tcW w:w="3937"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763" w:type="dxa"/>
            <w:tcBorders>
              <w:top w:val="single" w:sz="4" w:space="0" w:color="000000"/>
              <w:left w:val="nil" w:sz="6" w:space="0" w:color="auto"/>
              <w:bottom w:val="nil" w:sz="6" w:space="0" w:color="auto"/>
              <w:right w:val="nil" w:sz="6" w:space="0" w:color="auto"/>
            </w:tcBorders>
          </w:tcPr>
          <w:p>
            <w:pPr>
              <w:pStyle w:val="TableParagraph"/>
              <w:spacing w:line="226" w:lineRule="exact"/>
              <w:ind w:right="415"/>
              <w:jc w:val="right"/>
              <w:rPr>
                <w:rFonts w:ascii="宋体" w:hAnsi="宋体" w:cs="宋体" w:eastAsia="宋体" w:hint="default"/>
                <w:sz w:val="18"/>
                <w:szCs w:val="18"/>
              </w:rPr>
            </w:pPr>
            <w:r>
              <w:rPr>
                <w:rFonts w:ascii="宋体"/>
                <w:sz w:val="18"/>
              </w:rPr>
              <w:t>5,270,829.23</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26" w:lineRule="exact"/>
              <w:ind w:right="20"/>
              <w:jc w:val="right"/>
              <w:rPr>
                <w:rFonts w:ascii="宋体" w:hAnsi="宋体" w:cs="宋体" w:eastAsia="宋体" w:hint="default"/>
                <w:sz w:val="18"/>
                <w:szCs w:val="18"/>
              </w:rPr>
            </w:pPr>
            <w:r>
              <w:rPr>
                <w:rFonts w:ascii="宋体"/>
                <w:sz w:val="18"/>
              </w:rPr>
              <w:t>8,358,987.10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93,675.24</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46,863.26</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1" w:lineRule="exact"/>
              <w:ind w:right="415"/>
              <w:jc w:val="right"/>
              <w:rPr>
                <w:rFonts w:ascii="宋体" w:hAnsi="宋体" w:cs="宋体" w:eastAsia="宋体" w:hint="default"/>
                <w:sz w:val="18"/>
                <w:szCs w:val="18"/>
              </w:rPr>
            </w:pPr>
            <w:r>
              <w:rPr>
                <w:rFonts w:ascii="宋体"/>
                <w:sz w:val="18"/>
              </w:rPr>
              <w:t>30,112,503.11</w:t>
            </w:r>
          </w:p>
        </w:tc>
        <w:tc>
          <w:tcPr>
            <w:tcW w:w="1937" w:type="dxa"/>
            <w:tcBorders>
              <w:top w:val="nil" w:sz="6" w:space="0" w:color="auto"/>
              <w:left w:val="nil" w:sz="6" w:space="0" w:color="auto"/>
              <w:bottom w:val="nil" w:sz="6" w:space="0" w:color="auto"/>
              <w:right w:val="nil" w:sz="6" w:space="0" w:color="auto"/>
            </w:tcBorders>
          </w:tcPr>
          <w:p>
            <w:pPr>
              <w:pStyle w:val="TableParagraph"/>
              <w:spacing w:line="231" w:lineRule="exact"/>
              <w:ind w:right="20"/>
              <w:jc w:val="right"/>
              <w:rPr>
                <w:rFonts w:ascii="宋体" w:hAnsi="宋体" w:cs="宋体" w:eastAsia="宋体" w:hint="default"/>
                <w:sz w:val="18"/>
                <w:szCs w:val="18"/>
              </w:rPr>
            </w:pPr>
            <w:r>
              <w:rPr>
                <w:rFonts w:ascii="宋体"/>
                <w:sz w:val="18"/>
              </w:rPr>
              <w:t>57,136,016.02</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鸡西龙江环保治水有限公司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40,000,000.00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21,006,601.04</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34,717,529.77</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7,460,829.93</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4"/>
              <w:jc w:val="right"/>
              <w:rPr>
                <w:rFonts w:ascii="宋体" w:hAnsi="宋体" w:cs="宋体" w:eastAsia="宋体" w:hint="default"/>
                <w:sz w:val="18"/>
                <w:szCs w:val="18"/>
              </w:rPr>
            </w:pPr>
            <w:r>
              <w:rPr>
                <w:rFonts w:ascii="宋体"/>
                <w:sz w:val="18"/>
              </w:rPr>
              <w:t>421,517.98</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5,376,104.42</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4,023,795.20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1" w:lineRule="exact"/>
              <w:ind w:right="415"/>
              <w:jc w:val="right"/>
              <w:rPr>
                <w:rFonts w:ascii="宋体" w:hAnsi="宋体" w:cs="宋体" w:eastAsia="宋体" w:hint="default"/>
                <w:sz w:val="18"/>
                <w:szCs w:val="18"/>
              </w:rPr>
            </w:pPr>
            <w:r>
              <w:rPr>
                <w:rFonts w:ascii="宋体"/>
                <w:sz w:val="18"/>
              </w:rPr>
              <w:t>836,779.99</w:t>
            </w:r>
          </w:p>
        </w:tc>
        <w:tc>
          <w:tcPr>
            <w:tcW w:w="1937" w:type="dxa"/>
            <w:tcBorders>
              <w:top w:val="nil" w:sz="6" w:space="0" w:color="auto"/>
              <w:left w:val="nil" w:sz="6" w:space="0" w:color="auto"/>
              <w:bottom w:val="nil" w:sz="6" w:space="0" w:color="auto"/>
              <w:right w:val="nil" w:sz="6" w:space="0" w:color="auto"/>
            </w:tcBorders>
          </w:tcPr>
          <w:p>
            <w:pPr>
              <w:pStyle w:val="TableParagraph"/>
              <w:spacing w:line="231" w:lineRule="exact"/>
              <w:ind w:right="20"/>
              <w:jc w:val="right"/>
              <w:rPr>
                <w:rFonts w:ascii="宋体" w:hAnsi="宋体" w:cs="宋体" w:eastAsia="宋体" w:hint="default"/>
                <w:sz w:val="18"/>
                <w:szCs w:val="18"/>
              </w:rPr>
            </w:pPr>
            <w:r>
              <w:rPr>
                <w:rFonts w:ascii="宋体"/>
                <w:sz w:val="18"/>
              </w:rPr>
              <w:t>3,267,239.02</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194,200.52</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2,296,815.29</w:t>
            </w:r>
          </w:p>
        </w:tc>
      </w:tr>
      <w:tr>
        <w:trPr>
          <w:trHeight w:val="26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548,346.22</w:t>
            </w:r>
          </w:p>
        </w:tc>
        <w:tc>
          <w:tcPr>
            <w:tcW w:w="193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1,492,521.38</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1,350,427.36</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239,304.00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1,126,191.44</w:t>
            </w:r>
          </w:p>
        </w:tc>
      </w:tr>
      <w:tr>
        <w:trPr>
          <w:trHeight w:val="30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498,267.44</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518,873.74</w:t>
            </w:r>
          </w:p>
        </w:tc>
      </w:tr>
      <w:tr>
        <w:trPr>
          <w:trHeight w:val="262"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31" w:lineRule="exact"/>
              <w:ind w:right="415"/>
              <w:jc w:val="right"/>
              <w:rPr>
                <w:rFonts w:ascii="宋体" w:hAnsi="宋体" w:cs="宋体" w:eastAsia="宋体" w:hint="default"/>
                <w:sz w:val="18"/>
                <w:szCs w:val="18"/>
              </w:rPr>
            </w:pPr>
            <w:r>
              <w:rPr>
                <w:rFonts w:ascii="宋体"/>
                <w:sz w:val="18"/>
              </w:rPr>
              <w:t>18,300,837.05</w:t>
            </w:r>
          </w:p>
        </w:tc>
        <w:tc>
          <w:tcPr>
            <w:tcW w:w="1937" w:type="dxa"/>
            <w:tcBorders>
              <w:top w:val="nil" w:sz="6" w:space="0" w:color="auto"/>
              <w:left w:val="nil" w:sz="6" w:space="0" w:color="auto"/>
              <w:bottom w:val="nil" w:sz="6" w:space="0" w:color="auto"/>
              <w:right w:val="nil" w:sz="6" w:space="0" w:color="auto"/>
            </w:tcBorders>
          </w:tcPr>
          <w:p>
            <w:pPr>
              <w:pStyle w:val="TableParagraph"/>
              <w:spacing w:line="231" w:lineRule="exact"/>
              <w:ind w:right="20"/>
              <w:jc w:val="right"/>
              <w:rPr>
                <w:rFonts w:ascii="宋体" w:hAnsi="宋体" w:cs="宋体" w:eastAsia="宋体" w:hint="default"/>
                <w:sz w:val="18"/>
                <w:szCs w:val="18"/>
              </w:rPr>
            </w:pPr>
            <w:r>
              <w:rPr>
                <w:rFonts w:ascii="宋体"/>
                <w:sz w:val="18"/>
              </w:rPr>
              <w:t>287,046.31</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137,181.94</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90,107.50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20,949.50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17,543.12</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北京艾克斯特科技有限公司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7,900.00</w:t>
            </w:r>
          </w:p>
        </w:tc>
      </w:tr>
      <w:tr>
        <w:trPr>
          <w:trHeight w:val="283"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2763" w:type="dxa"/>
            <w:tcBorders>
              <w:top w:val="nil" w:sz="6" w:space="0" w:color="auto"/>
              <w:left w:val="nil" w:sz="6" w:space="0" w:color="auto"/>
              <w:bottom w:val="nil" w:sz="6" w:space="0" w:color="auto"/>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3,630.76</w:t>
            </w:r>
          </w:p>
        </w:tc>
      </w:tr>
      <w:tr>
        <w:trPr>
          <w:trHeight w:val="325" w:hRule="exact"/>
        </w:trPr>
        <w:tc>
          <w:tcPr>
            <w:tcW w:w="3937"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763" w:type="dxa"/>
            <w:tcBorders>
              <w:top w:val="nil" w:sz="6" w:space="0" w:color="auto"/>
              <w:left w:val="nil" w:sz="6" w:space="0" w:color="auto"/>
              <w:bottom w:val="single" w:sz="12" w:space="0" w:color="000000"/>
              <w:right w:val="nil" w:sz="6" w:space="0" w:color="auto"/>
            </w:tcBorders>
          </w:tcPr>
          <w:p>
            <w:pPr>
              <w:pStyle w:val="TableParagraph"/>
              <w:spacing w:line="211" w:lineRule="exact"/>
              <w:ind w:right="415"/>
              <w:jc w:val="right"/>
              <w:rPr>
                <w:rFonts w:ascii="宋体" w:hAnsi="宋体" w:cs="宋体" w:eastAsia="宋体" w:hint="default"/>
                <w:sz w:val="18"/>
                <w:szCs w:val="18"/>
              </w:rPr>
            </w:pPr>
            <w:r>
              <w:rPr>
                <w:rFonts w:ascii="宋体"/>
                <w:sz w:val="18"/>
              </w:rPr>
              <w:t>0.00</w:t>
            </w:r>
          </w:p>
        </w:tc>
        <w:tc>
          <w:tcPr>
            <w:tcW w:w="1937"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1,840.94</w:t>
            </w:r>
          </w:p>
        </w:tc>
      </w:tr>
    </w:tbl>
    <w:p>
      <w:pPr>
        <w:spacing w:after="0" w:line="240" w:lineRule="auto"/>
        <w:jc w:val="right"/>
        <w:rPr>
          <w:rFonts w:ascii="宋体" w:hAnsi="宋体" w:cs="宋体" w:eastAsia="宋体" w:hint="default"/>
          <w:sz w:val="18"/>
          <w:szCs w:val="18"/>
        </w:rPr>
        <w:sectPr>
          <w:headerReference w:type="default" r:id="rId43"/>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229"/>
        <w:gridCol w:w="2219"/>
        <w:gridCol w:w="1655"/>
        <w:gridCol w:w="1535"/>
        <w:gridCol w:w="308"/>
      </w:tblGrid>
      <w:tr>
        <w:trPr>
          <w:trHeight w:val="554" w:hRule="exact"/>
        </w:trPr>
        <w:tc>
          <w:tcPr>
            <w:tcW w:w="3229" w:type="dxa"/>
            <w:tcBorders>
              <w:top w:val="single" w:sz="12" w:space="0" w:color="000000"/>
              <w:left w:val="nil" w:sz="6" w:space="0" w:color="auto"/>
              <w:bottom w:val="nil" w:sz="6" w:space="0" w:color="auto"/>
              <w:right w:val="nil" w:sz="6" w:space="0" w:color="auto"/>
            </w:tcBorders>
          </w:tcPr>
          <w:p>
            <w:pPr>
              <w:pStyle w:val="TableParagraph"/>
              <w:spacing w:line="288" w:lineRule="auto"/>
              <w:ind w:left="30" w:right="1037"/>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b/>
                <w:bCs/>
                <w:spacing w:val="1"/>
                <w:w w:val="99"/>
                <w:sz w:val="18"/>
                <w:szCs w:val="18"/>
              </w:rPr>
              <w:t> </w:t>
            </w:r>
            <w:r>
              <w:rPr>
                <w:rFonts w:ascii="宋体" w:hAnsi="宋体" w:cs="宋体" w:eastAsia="宋体" w:hint="default"/>
                <w:sz w:val="18"/>
                <w:szCs w:val="18"/>
              </w:rPr>
              <w:t>北京同方时讯电子有限公司</w:t>
            </w:r>
          </w:p>
        </w:tc>
        <w:tc>
          <w:tcPr>
            <w:tcW w:w="3874" w:type="dxa"/>
            <w:gridSpan w:val="2"/>
            <w:tcBorders>
              <w:top w:val="single" w:sz="12" w:space="0" w:color="000000"/>
              <w:left w:val="nil" w:sz="6" w:space="0" w:color="auto"/>
              <w:bottom w:val="nil" w:sz="6" w:space="0" w:color="auto"/>
              <w:right w:val="nil" w:sz="6" w:space="0" w:color="auto"/>
            </w:tcBorders>
          </w:tcPr>
          <w:p>
            <w:pPr>
              <w:pStyle w:val="TableParagraph"/>
              <w:spacing w:line="226" w:lineRule="exact"/>
              <w:ind w:right="38"/>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p>
            <w:pPr>
              <w:pStyle w:val="TableParagraph"/>
              <w:spacing w:line="240" w:lineRule="auto" w:before="5"/>
              <w:ind w:left="2154" w:right="0"/>
              <w:jc w:val="left"/>
              <w:rPr>
                <w:rFonts w:ascii="宋体" w:hAnsi="宋体" w:cs="宋体" w:eastAsia="宋体" w:hint="default"/>
                <w:sz w:val="18"/>
                <w:szCs w:val="18"/>
              </w:rPr>
            </w:pPr>
            <w:r>
              <w:rPr>
                <w:rFonts w:ascii="宋体"/>
                <w:sz w:val="18"/>
              </w:rPr>
              <w:t>316,538.00</w:t>
            </w:r>
          </w:p>
        </w:tc>
        <w:tc>
          <w:tcPr>
            <w:tcW w:w="1535" w:type="dxa"/>
            <w:tcBorders>
              <w:top w:val="single" w:sz="12" w:space="0" w:color="000000"/>
              <w:left w:val="nil" w:sz="6" w:space="0" w:color="auto"/>
              <w:bottom w:val="nil" w:sz="6" w:space="0" w:color="auto"/>
              <w:right w:val="nil" w:sz="6" w:space="0" w:color="auto"/>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p>
            <w:pPr>
              <w:pStyle w:val="TableParagraph"/>
              <w:spacing w:line="240" w:lineRule="auto" w:before="46"/>
              <w:ind w:right="20"/>
              <w:jc w:val="right"/>
              <w:rPr>
                <w:rFonts w:ascii="宋体" w:hAnsi="宋体" w:cs="宋体" w:eastAsia="宋体" w:hint="default"/>
                <w:sz w:val="18"/>
                <w:szCs w:val="18"/>
              </w:rPr>
            </w:pPr>
            <w:r>
              <w:rPr>
                <w:rFonts w:ascii="宋体"/>
                <w:sz w:val="18"/>
              </w:rPr>
              <w:t>0.00</w:t>
            </w:r>
          </w:p>
        </w:tc>
        <w:tc>
          <w:tcPr>
            <w:tcW w:w="308" w:type="dxa"/>
            <w:vMerge w:val="restart"/>
            <w:tcBorders>
              <w:top w:val="nil" w:sz="6" w:space="0" w:color="auto"/>
              <w:left w:val="nil" w:sz="6" w:space="0" w:color="auto"/>
              <w:right w:val="nil" w:sz="6" w:space="0" w:color="auto"/>
            </w:tcBorders>
          </w:tcPr>
          <w:p>
            <w:pPr/>
          </w:p>
        </w:tc>
      </w:tr>
      <w:tr>
        <w:trPr>
          <w:trHeight w:val="283"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38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154" w:right="0"/>
              <w:jc w:val="left"/>
              <w:rPr>
                <w:rFonts w:ascii="宋体" w:hAnsi="宋体" w:cs="宋体" w:eastAsia="宋体" w:hint="default"/>
                <w:sz w:val="18"/>
                <w:szCs w:val="18"/>
              </w:rPr>
            </w:pPr>
            <w:r>
              <w:rPr>
                <w:rFonts w:ascii="宋体"/>
                <w:sz w:val="18"/>
              </w:rPr>
              <w:t>683,760.69</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38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244" w:right="0"/>
              <w:jc w:val="left"/>
              <w:rPr>
                <w:rFonts w:ascii="宋体" w:hAnsi="宋体" w:cs="宋体" w:eastAsia="宋体" w:hint="default"/>
                <w:sz w:val="18"/>
                <w:szCs w:val="18"/>
              </w:rPr>
            </w:pPr>
            <w:r>
              <w:rPr>
                <w:rFonts w:ascii="宋体"/>
                <w:sz w:val="18"/>
              </w:rPr>
              <w:t>17,786.32</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38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334" w:right="0"/>
              <w:jc w:val="left"/>
              <w:rPr>
                <w:rFonts w:ascii="宋体" w:hAnsi="宋体" w:cs="宋体" w:eastAsia="宋体" w:hint="default"/>
                <w:sz w:val="18"/>
                <w:szCs w:val="18"/>
              </w:rPr>
            </w:pPr>
            <w:r>
              <w:rPr>
                <w:rFonts w:ascii="宋体"/>
                <w:sz w:val="18"/>
              </w:rPr>
              <w:t>1,049.57</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38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514" w:right="0"/>
              <w:jc w:val="left"/>
              <w:rPr>
                <w:rFonts w:ascii="宋体" w:hAnsi="宋体" w:cs="宋体" w:eastAsia="宋体" w:hint="default"/>
                <w:sz w:val="18"/>
                <w:szCs w:val="18"/>
              </w:rPr>
            </w:pPr>
            <w:r>
              <w:rPr>
                <w:rFonts w:ascii="宋体"/>
                <w:sz w:val="18"/>
              </w:rPr>
              <w:t>170.94</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38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334" w:right="0"/>
              <w:jc w:val="left"/>
              <w:rPr>
                <w:rFonts w:ascii="宋体" w:hAnsi="宋体" w:cs="宋体" w:eastAsia="宋体" w:hint="default"/>
                <w:sz w:val="18"/>
                <w:szCs w:val="18"/>
              </w:rPr>
            </w:pPr>
            <w:r>
              <w:rPr>
                <w:rFonts w:ascii="宋体"/>
                <w:sz w:val="18"/>
              </w:rPr>
              <w:t>8,000.00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8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334" w:right="0"/>
              <w:jc w:val="left"/>
              <w:rPr>
                <w:rFonts w:ascii="宋体" w:hAnsi="宋体" w:cs="宋体" w:eastAsia="宋体" w:hint="default"/>
                <w:sz w:val="18"/>
                <w:szCs w:val="18"/>
              </w:rPr>
            </w:pPr>
            <w:r>
              <w:rPr>
                <w:rFonts w:ascii="宋体"/>
                <w:sz w:val="18"/>
              </w:rPr>
              <w:t>7,180.76</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38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244" w:right="0"/>
              <w:jc w:val="left"/>
              <w:rPr>
                <w:rFonts w:ascii="宋体" w:hAnsi="宋体" w:cs="宋体" w:eastAsia="宋体" w:hint="default"/>
                <w:sz w:val="18"/>
                <w:szCs w:val="18"/>
              </w:rPr>
            </w:pPr>
            <w:r>
              <w:rPr>
                <w:rFonts w:ascii="宋体"/>
                <w:sz w:val="18"/>
              </w:rPr>
              <w:t>10,012.82</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315" w:hRule="exact"/>
        </w:trPr>
        <w:tc>
          <w:tcPr>
            <w:tcW w:w="322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87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
              <w:ind w:left="1974" w:right="0"/>
              <w:jc w:val="left"/>
              <w:rPr>
                <w:rFonts w:ascii="宋体" w:hAnsi="宋体" w:cs="宋体" w:eastAsia="宋体" w:hint="default"/>
                <w:sz w:val="18"/>
                <w:szCs w:val="18"/>
              </w:rPr>
            </w:pPr>
            <w:r>
              <w:rPr>
                <w:rFonts w:ascii="宋体"/>
                <w:sz w:val="18"/>
              </w:rPr>
              <w:t>2,128,168.50</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11"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303" w:hRule="exact"/>
        </w:trPr>
        <w:tc>
          <w:tcPr>
            <w:tcW w:w="3229"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74" w:type="dxa"/>
            <w:gridSpan w:val="2"/>
            <w:tcBorders>
              <w:top w:val="single" w:sz="4" w:space="0" w:color="000000"/>
              <w:left w:val="nil" w:sz="6" w:space="0" w:color="auto"/>
              <w:bottom w:val="single" w:sz="12" w:space="0" w:color="000000"/>
              <w:right w:val="nil" w:sz="6" w:space="0" w:color="auto"/>
            </w:tcBorders>
          </w:tcPr>
          <w:p>
            <w:pPr>
              <w:pStyle w:val="TableParagraph"/>
              <w:spacing w:line="225" w:lineRule="exact"/>
              <w:ind w:left="1874" w:right="0"/>
              <w:jc w:val="left"/>
              <w:rPr>
                <w:rFonts w:ascii="宋体" w:hAnsi="宋体" w:cs="宋体" w:eastAsia="宋体" w:hint="default"/>
                <w:sz w:val="18"/>
                <w:szCs w:val="18"/>
              </w:rPr>
            </w:pPr>
            <w:r>
              <w:rPr>
                <w:rFonts w:ascii="宋体"/>
                <w:b/>
                <w:sz w:val="18"/>
              </w:rPr>
              <w:t>80,695,529.42</w:t>
            </w:r>
            <w:r>
              <w:rPr>
                <w:rFonts w:ascii="宋体"/>
                <w:sz w:val="18"/>
              </w:rPr>
            </w:r>
          </w:p>
        </w:tc>
        <w:tc>
          <w:tcPr>
            <w:tcW w:w="1535"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241" w:right="0"/>
              <w:jc w:val="left"/>
              <w:rPr>
                <w:rFonts w:ascii="宋体" w:hAnsi="宋体" w:cs="宋体" w:eastAsia="宋体" w:hint="default"/>
                <w:sz w:val="18"/>
                <w:szCs w:val="18"/>
              </w:rPr>
            </w:pPr>
            <w:r>
              <w:rPr>
                <w:rFonts w:ascii="宋体"/>
                <w:b/>
                <w:sz w:val="18"/>
              </w:rPr>
              <w:t>167,738,394.00</w:t>
            </w:r>
            <w:r>
              <w:rPr>
                <w:rFonts w:ascii="宋体"/>
                <w:sz w:val="18"/>
              </w:rPr>
            </w:r>
          </w:p>
        </w:tc>
        <w:tc>
          <w:tcPr>
            <w:tcW w:w="308" w:type="dxa"/>
            <w:vMerge/>
            <w:tcBorders>
              <w:left w:val="nil" w:sz="6" w:space="0" w:color="auto"/>
              <w:right w:val="nil" w:sz="6" w:space="0" w:color="auto"/>
            </w:tcBorders>
          </w:tcPr>
          <w:p>
            <w:pPr/>
          </w:p>
        </w:tc>
      </w:tr>
      <w:tr>
        <w:trPr>
          <w:trHeight w:val="576"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70"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1"/>
                <w:sz w:val="22"/>
                <w:szCs w:val="22"/>
              </w:rPr>
              <w:t> </w:t>
            </w:r>
            <w:r>
              <w:rPr>
                <w:rFonts w:ascii="宋体" w:hAnsi="宋体" w:cs="宋体" w:eastAsia="宋体" w:hint="default"/>
                <w:sz w:val="22"/>
                <w:szCs w:val="22"/>
              </w:rPr>
              <w:t>资产出租</w:t>
            </w:r>
          </w:p>
        </w:tc>
        <w:tc>
          <w:tcPr>
            <w:tcW w:w="3874" w:type="dxa"/>
            <w:gridSpan w:val="2"/>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308" w:type="dxa"/>
            <w:vMerge/>
            <w:tcBorders>
              <w:left w:val="nil" w:sz="6" w:space="0" w:color="auto"/>
              <w:bottom w:val="nil" w:sz="6" w:space="0" w:color="auto"/>
              <w:right w:val="nil" w:sz="6" w:space="0" w:color="auto"/>
            </w:tcBorders>
          </w:tcPr>
          <w:p>
            <w:pPr/>
          </w:p>
        </w:tc>
      </w:tr>
      <w:tr>
        <w:trPr>
          <w:trHeight w:val="30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997" w:val="left" w:leader="none"/>
              </w:tabs>
              <w:spacing w:line="240" w:lineRule="auto" w:before="5"/>
              <w:ind w:left="338" w:right="0"/>
              <w:jc w:val="left"/>
              <w:rPr>
                <w:rFonts w:ascii="宋体" w:hAnsi="宋体" w:cs="宋体" w:eastAsia="宋体" w:hint="default"/>
                <w:sz w:val="18"/>
                <w:szCs w:val="18"/>
              </w:rPr>
            </w:pPr>
            <w:r>
              <w:rPr>
                <w:rFonts w:ascii="宋体" w:hAnsi="宋体" w:cs="宋体" w:eastAsia="宋体" w:hint="default"/>
                <w:b/>
                <w:bCs/>
                <w:w w:val="95"/>
                <w:sz w:val="18"/>
                <w:szCs w:val="18"/>
              </w:rPr>
              <w:t>关联方</w:t>
              <w:tab/>
            </w:r>
            <w:r>
              <w:rPr>
                <w:rFonts w:ascii="宋体" w:hAnsi="宋体" w:cs="宋体" w:eastAsia="宋体" w:hint="default"/>
                <w:b/>
                <w:bCs/>
                <w:sz w:val="18"/>
                <w:szCs w:val="18"/>
              </w:rPr>
              <w:t>交易内容</w:t>
            </w:r>
            <w:r>
              <w:rPr>
                <w:rFonts w:ascii="宋体" w:hAnsi="宋体" w:cs="宋体" w:eastAsia="宋体" w:hint="default"/>
                <w:sz w:val="18"/>
                <w:szCs w:val="18"/>
              </w:rPr>
            </w:r>
          </w:p>
        </w:tc>
        <w:tc>
          <w:tcPr>
            <w:tcW w:w="16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43"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89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4178" w:val="left" w:leader="none"/>
              </w:tabs>
              <w:spacing w:line="231" w:lineRule="exact"/>
              <w:ind w:left="338" w:right="0"/>
              <w:jc w:val="left"/>
              <w:rPr>
                <w:rFonts w:ascii="宋体" w:hAnsi="宋体" w:cs="宋体" w:eastAsia="宋体" w:hint="default"/>
                <w:sz w:val="18"/>
                <w:szCs w:val="18"/>
              </w:rPr>
            </w:pPr>
            <w:r>
              <w:rPr>
                <w:rFonts w:ascii="宋体" w:hAnsi="宋体" w:cs="宋体" w:eastAsia="宋体" w:hint="default"/>
                <w:sz w:val="18"/>
                <w:szCs w:val="18"/>
              </w:rPr>
              <w:t>清华大学</w:t>
              <w:tab/>
              <w:t>房租</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26" w:lineRule="exact"/>
              <w:ind w:right="13"/>
              <w:jc w:val="right"/>
              <w:rPr>
                <w:rFonts w:ascii="宋体" w:hAnsi="宋体" w:cs="宋体" w:eastAsia="宋体" w:hint="default"/>
                <w:sz w:val="18"/>
                <w:szCs w:val="18"/>
              </w:rPr>
            </w:pPr>
            <w:r>
              <w:rPr>
                <w:rFonts w:ascii="宋体"/>
                <w:sz w:val="18"/>
              </w:rPr>
              <w:t>221,545.00</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26" w:lineRule="exact"/>
              <w:ind w:right="-16"/>
              <w:jc w:val="right"/>
              <w:rPr>
                <w:rFonts w:ascii="宋体" w:hAnsi="宋体" w:cs="宋体" w:eastAsia="宋体" w:hint="default"/>
                <w:sz w:val="18"/>
                <w:szCs w:val="18"/>
              </w:rPr>
            </w:pPr>
            <w:r>
              <w:rPr>
                <w:rFonts w:ascii="宋体"/>
                <w:sz w:val="18"/>
              </w:rPr>
              <w:t>0</w:t>
            </w:r>
          </w:p>
        </w:tc>
        <w:tc>
          <w:tcPr>
            <w:tcW w:w="308" w:type="dxa"/>
            <w:tcBorders>
              <w:top w:val="single" w:sz="4" w:space="0" w:color="000000"/>
              <w:left w:val="nil" w:sz="6" w:space="0" w:color="auto"/>
              <w:bottom w:val="nil" w:sz="6" w:space="0" w:color="auto"/>
              <w:right w:val="nil" w:sz="6" w:space="0" w:color="auto"/>
            </w:tcBorders>
          </w:tcPr>
          <w:p>
            <w:pPr>
              <w:pStyle w:val="TableParagraph"/>
              <w:spacing w:line="226" w:lineRule="exact"/>
              <w:ind w:right="20"/>
              <w:jc w:val="right"/>
              <w:rPr>
                <w:rFonts w:ascii="宋体" w:hAnsi="宋体" w:cs="宋体" w:eastAsia="宋体" w:hint="default"/>
                <w:sz w:val="18"/>
                <w:szCs w:val="18"/>
              </w:rPr>
            </w:pPr>
            <w:r>
              <w:rPr>
                <w:rFonts w:ascii="宋体"/>
                <w:sz w:val="18"/>
              </w:rPr>
              <w:t>.00</w:t>
            </w:r>
          </w:p>
        </w:tc>
      </w:tr>
      <w:tr>
        <w:trPr>
          <w:trHeight w:val="28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728" w:val="left" w:leader="none"/>
              </w:tabs>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tab/>
              <w:t>租赁厂房及设备</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4,744,745.43</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left="740" w:right="-16"/>
              <w:jc w:val="left"/>
              <w:rPr>
                <w:rFonts w:ascii="宋体" w:hAnsi="宋体" w:cs="宋体" w:eastAsia="宋体" w:hint="default"/>
                <w:sz w:val="18"/>
                <w:szCs w:val="18"/>
              </w:rPr>
            </w:pPr>
            <w:r>
              <w:rPr>
                <w:rFonts w:ascii="宋体"/>
                <w:sz w:val="18"/>
              </w:rPr>
              <w:t>3,676,768</w:t>
            </w:r>
          </w:p>
        </w:tc>
        <w:tc>
          <w:tcPr>
            <w:tcW w:w="308"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w:t>
            </w:r>
          </w:p>
        </w:tc>
      </w:tr>
      <w:tr>
        <w:trPr>
          <w:trHeight w:val="28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728" w:val="left" w:leader="none"/>
              </w:tabs>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tab/>
              <w:t>租赁办公区租金</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10,593,453.11</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left="740" w:right="-16"/>
              <w:jc w:val="left"/>
              <w:rPr>
                <w:rFonts w:ascii="宋体" w:hAnsi="宋体" w:cs="宋体" w:eastAsia="宋体" w:hint="default"/>
                <w:sz w:val="18"/>
                <w:szCs w:val="18"/>
              </w:rPr>
            </w:pPr>
            <w:r>
              <w:rPr>
                <w:rFonts w:ascii="宋体"/>
                <w:sz w:val="18"/>
              </w:rPr>
              <w:t>2,541,662</w:t>
            </w:r>
          </w:p>
        </w:tc>
        <w:tc>
          <w:tcPr>
            <w:tcW w:w="308"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.16</w:t>
            </w:r>
          </w:p>
        </w:tc>
      </w:tr>
      <w:tr>
        <w:trPr>
          <w:trHeight w:val="28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998" w:val="left" w:leader="none"/>
              </w:tabs>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tab/>
              <w:t>资产出租</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16,858.12</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right="-16"/>
              <w:jc w:val="right"/>
              <w:rPr>
                <w:rFonts w:ascii="宋体" w:hAnsi="宋体" w:cs="宋体" w:eastAsia="宋体" w:hint="default"/>
                <w:sz w:val="18"/>
                <w:szCs w:val="18"/>
              </w:rPr>
            </w:pPr>
            <w:r>
              <w:rPr>
                <w:rFonts w:ascii="宋体"/>
                <w:sz w:val="18"/>
              </w:rPr>
              <w:t>0</w:t>
            </w:r>
          </w:p>
        </w:tc>
        <w:tc>
          <w:tcPr>
            <w:tcW w:w="308"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w:t>
            </w:r>
          </w:p>
        </w:tc>
      </w:tr>
      <w:tr>
        <w:trPr>
          <w:trHeight w:val="28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998" w:val="left" w:leader="none"/>
              </w:tabs>
              <w:spacing w:line="231" w:lineRule="exact"/>
              <w:ind w:left="33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tab/>
              <w:t>资产出租</w:t>
            </w:r>
          </w:p>
        </w:tc>
        <w:tc>
          <w:tcPr>
            <w:tcW w:w="1655" w:type="dxa"/>
            <w:tcBorders>
              <w:top w:val="nil" w:sz="6" w:space="0" w:color="auto"/>
              <w:left w:val="nil" w:sz="6" w:space="0" w:color="auto"/>
              <w:bottom w:val="nil" w:sz="6" w:space="0" w:color="auto"/>
              <w:right w:val="nil" w:sz="6" w:space="0" w:color="auto"/>
            </w:tcBorders>
          </w:tcPr>
          <w:p>
            <w:pPr>
              <w:pStyle w:val="TableParagraph"/>
              <w:spacing w:line="231" w:lineRule="exact"/>
              <w:ind w:right="13"/>
              <w:jc w:val="right"/>
              <w:rPr>
                <w:rFonts w:ascii="宋体" w:hAnsi="宋体" w:cs="宋体" w:eastAsia="宋体" w:hint="default"/>
                <w:sz w:val="18"/>
                <w:szCs w:val="18"/>
              </w:rPr>
            </w:pPr>
            <w:r>
              <w:rPr>
                <w:rFonts w:ascii="宋体"/>
                <w:sz w:val="18"/>
              </w:rPr>
              <w:t>877,104.10</w:t>
            </w:r>
          </w:p>
        </w:tc>
        <w:tc>
          <w:tcPr>
            <w:tcW w:w="1535" w:type="dxa"/>
            <w:tcBorders>
              <w:top w:val="nil" w:sz="6" w:space="0" w:color="auto"/>
              <w:left w:val="nil" w:sz="6" w:space="0" w:color="auto"/>
              <w:bottom w:val="nil" w:sz="6" w:space="0" w:color="auto"/>
              <w:right w:val="nil" w:sz="6" w:space="0" w:color="auto"/>
            </w:tcBorders>
          </w:tcPr>
          <w:p>
            <w:pPr>
              <w:pStyle w:val="TableParagraph"/>
              <w:spacing w:line="231" w:lineRule="exact"/>
              <w:ind w:right="-16"/>
              <w:jc w:val="right"/>
              <w:rPr>
                <w:rFonts w:ascii="宋体" w:hAnsi="宋体" w:cs="宋体" w:eastAsia="宋体" w:hint="default"/>
                <w:sz w:val="18"/>
                <w:szCs w:val="18"/>
              </w:rPr>
            </w:pPr>
            <w:r>
              <w:rPr>
                <w:rFonts w:ascii="宋体"/>
                <w:sz w:val="18"/>
              </w:rPr>
              <w:t>0</w:t>
            </w:r>
          </w:p>
        </w:tc>
        <w:tc>
          <w:tcPr>
            <w:tcW w:w="308" w:type="dxa"/>
            <w:tcBorders>
              <w:top w:val="nil" w:sz="6" w:space="0" w:color="auto"/>
              <w:left w:val="nil" w:sz="6" w:space="0" w:color="auto"/>
              <w:bottom w:val="nil" w:sz="6" w:space="0" w:color="auto"/>
              <w:right w:val="nil" w:sz="6" w:space="0" w:color="auto"/>
            </w:tcBorders>
          </w:tcPr>
          <w:p>
            <w:pPr>
              <w:pStyle w:val="TableParagraph"/>
              <w:spacing w:line="231" w:lineRule="exact"/>
              <w:ind w:right="20"/>
              <w:jc w:val="right"/>
              <w:rPr>
                <w:rFonts w:ascii="宋体" w:hAnsi="宋体" w:cs="宋体" w:eastAsia="宋体" w:hint="default"/>
                <w:sz w:val="18"/>
                <w:szCs w:val="18"/>
              </w:rPr>
            </w:pPr>
            <w:r>
              <w:rPr>
                <w:rFonts w:ascii="宋体"/>
                <w:sz w:val="18"/>
              </w:rPr>
              <w:t>.00</w:t>
            </w:r>
          </w:p>
        </w:tc>
      </w:tr>
      <w:tr>
        <w:trPr>
          <w:trHeight w:val="28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998" w:val="left" w:leader="none"/>
              </w:tabs>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tab/>
              <w:t>资产出租</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8,750.00</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right="-16"/>
              <w:jc w:val="right"/>
              <w:rPr>
                <w:rFonts w:ascii="宋体" w:hAnsi="宋体" w:cs="宋体" w:eastAsia="宋体" w:hint="default"/>
                <w:sz w:val="18"/>
                <w:szCs w:val="18"/>
              </w:rPr>
            </w:pPr>
            <w:r>
              <w:rPr>
                <w:rFonts w:ascii="宋体"/>
                <w:sz w:val="18"/>
              </w:rPr>
              <w:t>0</w:t>
            </w:r>
          </w:p>
        </w:tc>
        <w:tc>
          <w:tcPr>
            <w:tcW w:w="308"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w:t>
            </w:r>
          </w:p>
        </w:tc>
      </w:tr>
      <w:tr>
        <w:trPr>
          <w:trHeight w:val="28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998" w:val="left" w:leader="none"/>
              </w:tabs>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吉林同方科贸有限公司</w:t>
              <w:tab/>
              <w:t>资产出租</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39,657.60</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right="-16"/>
              <w:jc w:val="right"/>
              <w:rPr>
                <w:rFonts w:ascii="宋体" w:hAnsi="宋体" w:cs="宋体" w:eastAsia="宋体" w:hint="default"/>
                <w:sz w:val="18"/>
                <w:szCs w:val="18"/>
              </w:rPr>
            </w:pPr>
            <w:r>
              <w:rPr>
                <w:rFonts w:ascii="宋体"/>
                <w:sz w:val="18"/>
              </w:rPr>
              <w:t>0</w:t>
            </w:r>
          </w:p>
        </w:tc>
        <w:tc>
          <w:tcPr>
            <w:tcW w:w="308"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w:t>
            </w:r>
          </w:p>
        </w:tc>
      </w:tr>
      <w:tr>
        <w:trPr>
          <w:trHeight w:val="28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998" w:val="left" w:leader="none"/>
              </w:tabs>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同方投资有限公司</w:t>
              <w:tab/>
              <w:t>资产出租</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841,671.72</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right="-16"/>
              <w:jc w:val="right"/>
              <w:rPr>
                <w:rFonts w:ascii="宋体" w:hAnsi="宋体" w:cs="宋体" w:eastAsia="宋体" w:hint="default"/>
                <w:sz w:val="18"/>
                <w:szCs w:val="18"/>
              </w:rPr>
            </w:pPr>
            <w:r>
              <w:rPr>
                <w:rFonts w:ascii="宋体"/>
                <w:sz w:val="18"/>
              </w:rPr>
              <w:t>0</w:t>
            </w:r>
          </w:p>
        </w:tc>
        <w:tc>
          <w:tcPr>
            <w:tcW w:w="308"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w:t>
            </w:r>
          </w:p>
        </w:tc>
      </w:tr>
      <w:tr>
        <w:trPr>
          <w:trHeight w:val="294"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tabs>
                <w:tab w:pos="3998" w:val="left" w:leader="none"/>
              </w:tabs>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tab/>
              <w:t>资产出租</w:t>
            </w:r>
          </w:p>
        </w:tc>
        <w:tc>
          <w:tcPr>
            <w:tcW w:w="1655" w:type="dxa"/>
            <w:tcBorders>
              <w:top w:val="nil" w:sz="6" w:space="0" w:color="auto"/>
              <w:left w:val="nil" w:sz="6" w:space="0" w:color="auto"/>
              <w:bottom w:val="single" w:sz="4" w:space="0" w:color="000000"/>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1,464,801.12</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32" w:lineRule="exact"/>
              <w:ind w:right="-16"/>
              <w:jc w:val="right"/>
              <w:rPr>
                <w:rFonts w:ascii="宋体" w:hAnsi="宋体" w:cs="宋体" w:eastAsia="宋体" w:hint="default"/>
                <w:sz w:val="18"/>
                <w:szCs w:val="18"/>
              </w:rPr>
            </w:pPr>
            <w:r>
              <w:rPr>
                <w:rFonts w:ascii="宋体"/>
                <w:sz w:val="18"/>
              </w:rPr>
              <w:t>0</w:t>
            </w:r>
          </w:p>
        </w:tc>
        <w:tc>
          <w:tcPr>
            <w:tcW w:w="308" w:type="dxa"/>
            <w:tcBorders>
              <w:top w:val="nil" w:sz="6" w:space="0" w:color="auto"/>
              <w:left w:val="nil" w:sz="6" w:space="0" w:color="auto"/>
              <w:bottom w:val="single" w:sz="4" w:space="0" w:color="000000"/>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w:t>
            </w:r>
          </w:p>
        </w:tc>
      </w:tr>
      <w:tr>
        <w:trPr>
          <w:trHeight w:val="30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3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5"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2"/>
              <w:jc w:val="right"/>
              <w:rPr>
                <w:rFonts w:ascii="宋体" w:hAnsi="宋体" w:cs="宋体" w:eastAsia="宋体" w:hint="default"/>
                <w:sz w:val="18"/>
                <w:szCs w:val="18"/>
              </w:rPr>
            </w:pPr>
            <w:r>
              <w:rPr>
                <w:rFonts w:ascii="宋体"/>
                <w:b/>
                <w:w w:val="95"/>
                <w:sz w:val="18"/>
              </w:rPr>
              <w:t>18,808,586.20</w:t>
            </w:r>
            <w:r>
              <w:rPr>
                <w:rFonts w:ascii="宋体"/>
                <w:sz w:val="18"/>
              </w:rPr>
            </w:r>
          </w:p>
        </w:tc>
        <w:tc>
          <w:tcPr>
            <w:tcW w:w="1535"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731" w:right="-15"/>
              <w:jc w:val="left"/>
              <w:rPr>
                <w:rFonts w:ascii="宋体" w:hAnsi="宋体" w:cs="宋体" w:eastAsia="宋体" w:hint="default"/>
                <w:sz w:val="18"/>
                <w:szCs w:val="18"/>
              </w:rPr>
            </w:pPr>
            <w:r>
              <w:rPr>
                <w:rFonts w:ascii="宋体"/>
                <w:b/>
                <w:sz w:val="18"/>
              </w:rPr>
              <w:t>6,218,430</w:t>
            </w:r>
            <w:r>
              <w:rPr>
                <w:rFonts w:ascii="宋体"/>
                <w:sz w:val="18"/>
              </w:rPr>
            </w:r>
          </w:p>
        </w:tc>
        <w:tc>
          <w:tcPr>
            <w:tcW w:w="308"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b/>
                <w:w w:val="95"/>
                <w:sz w:val="18"/>
              </w:rPr>
              <w:t>.16</w:t>
            </w:r>
            <w:r>
              <w:rPr>
                <w:rFonts w:ascii="宋体"/>
                <w:sz w:val="18"/>
              </w:rPr>
            </w:r>
          </w:p>
        </w:tc>
      </w:tr>
      <w:tr>
        <w:trPr>
          <w:trHeight w:val="576"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70" w:right="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21"/>
                <w:sz w:val="22"/>
                <w:szCs w:val="22"/>
              </w:rPr>
              <w:t> </w:t>
            </w:r>
            <w:r>
              <w:rPr>
                <w:rFonts w:ascii="宋体" w:hAnsi="宋体" w:cs="宋体" w:eastAsia="宋体" w:hint="default"/>
                <w:sz w:val="22"/>
                <w:szCs w:val="22"/>
              </w:rPr>
              <w:t>资产租入</w:t>
            </w:r>
          </w:p>
        </w:tc>
        <w:tc>
          <w:tcPr>
            <w:tcW w:w="2219"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r>
      <w:tr>
        <w:trPr>
          <w:trHeight w:val="30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3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03"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153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3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511"/>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282"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33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26" w:lineRule="exact"/>
              <w:ind w:left="603" w:right="0"/>
              <w:jc w:val="center"/>
              <w:rPr>
                <w:rFonts w:ascii="宋体" w:hAnsi="宋体" w:cs="宋体" w:eastAsia="宋体" w:hint="default"/>
                <w:sz w:val="18"/>
                <w:szCs w:val="18"/>
              </w:rPr>
            </w:pPr>
            <w:r>
              <w:rPr>
                <w:rFonts w:ascii="宋体" w:hAnsi="宋体" w:cs="宋体" w:eastAsia="宋体" w:hint="default"/>
                <w:sz w:val="18"/>
                <w:szCs w:val="18"/>
              </w:rPr>
              <w:t>房租</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z w:val="18"/>
              </w:rPr>
              <w:t>50,000.04</w:t>
            </w:r>
          </w:p>
        </w:tc>
        <w:tc>
          <w:tcPr>
            <w:tcW w:w="308" w:type="dxa"/>
            <w:tcBorders>
              <w:top w:val="single" w:sz="4" w:space="0" w:color="000000"/>
              <w:left w:val="nil" w:sz="6" w:space="0" w:color="auto"/>
              <w:bottom w:val="nil" w:sz="6" w:space="0" w:color="auto"/>
              <w:right w:val="nil" w:sz="6" w:space="0" w:color="auto"/>
            </w:tcBorders>
          </w:tcPr>
          <w:p>
            <w:pPr>
              <w:pStyle w:val="TableParagraph"/>
              <w:spacing w:line="226" w:lineRule="exact"/>
              <w:ind w:right="-1513"/>
              <w:jc w:val="right"/>
              <w:rPr>
                <w:rFonts w:ascii="宋体" w:hAnsi="宋体" w:cs="宋体" w:eastAsia="宋体" w:hint="default"/>
                <w:sz w:val="18"/>
                <w:szCs w:val="18"/>
              </w:rPr>
            </w:pPr>
            <w:r>
              <w:rPr>
                <w:rFonts w:ascii="宋体"/>
                <w:sz w:val="18"/>
              </w:rPr>
              <w:t>0.00</w:t>
            </w:r>
          </w:p>
        </w:tc>
      </w:tr>
      <w:tr>
        <w:trPr>
          <w:trHeight w:val="294"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655" w:type="dxa"/>
            <w:tcBorders>
              <w:top w:val="nil" w:sz="6" w:space="0" w:color="auto"/>
              <w:left w:val="nil" w:sz="6" w:space="0" w:color="auto"/>
              <w:bottom w:val="single" w:sz="4" w:space="0" w:color="000000"/>
              <w:right w:val="nil" w:sz="6" w:space="0" w:color="auto"/>
            </w:tcBorders>
          </w:tcPr>
          <w:p>
            <w:pPr>
              <w:pStyle w:val="TableParagraph"/>
              <w:spacing w:line="232" w:lineRule="exact"/>
              <w:ind w:left="499" w:right="-105"/>
              <w:jc w:val="center"/>
              <w:rPr>
                <w:rFonts w:ascii="宋体" w:hAnsi="宋体" w:cs="宋体" w:eastAsia="宋体" w:hint="default"/>
                <w:sz w:val="18"/>
                <w:szCs w:val="18"/>
              </w:rPr>
            </w:pPr>
            <w:r>
              <w:rPr>
                <w:rFonts w:ascii="宋体" w:hAnsi="宋体" w:cs="宋体" w:eastAsia="宋体" w:hint="default"/>
                <w:sz w:val="18"/>
                <w:szCs w:val="18"/>
              </w:rPr>
              <w:t>租用办公区租金</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827,376.54</w:t>
            </w:r>
          </w:p>
        </w:tc>
        <w:tc>
          <w:tcPr>
            <w:tcW w:w="308" w:type="dxa"/>
            <w:tcBorders>
              <w:top w:val="nil" w:sz="6" w:space="0" w:color="auto"/>
              <w:left w:val="nil" w:sz="6" w:space="0" w:color="auto"/>
              <w:bottom w:val="single" w:sz="4" w:space="0" w:color="000000"/>
              <w:right w:val="nil" w:sz="6" w:space="0" w:color="auto"/>
            </w:tcBorders>
          </w:tcPr>
          <w:p>
            <w:pPr>
              <w:pStyle w:val="TableParagraph"/>
              <w:spacing w:line="232" w:lineRule="exact"/>
              <w:ind w:right="-1513"/>
              <w:jc w:val="right"/>
              <w:rPr>
                <w:rFonts w:ascii="宋体" w:hAnsi="宋体" w:cs="宋体" w:eastAsia="宋体" w:hint="default"/>
                <w:sz w:val="18"/>
                <w:szCs w:val="18"/>
              </w:rPr>
            </w:pPr>
            <w:r>
              <w:rPr>
                <w:rFonts w:ascii="宋体"/>
                <w:sz w:val="18"/>
              </w:rPr>
              <w:t>2,125,385.40</w:t>
            </w:r>
          </w:p>
        </w:tc>
      </w:tr>
      <w:tr>
        <w:trPr>
          <w:trHeight w:val="303" w:hRule="exact"/>
        </w:trPr>
        <w:tc>
          <w:tcPr>
            <w:tcW w:w="544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33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5" w:type="dxa"/>
            <w:tcBorders>
              <w:top w:val="single" w:sz="4" w:space="0" w:color="000000"/>
              <w:left w:val="nil" w:sz="6" w:space="0" w:color="auto"/>
              <w:bottom w:val="single" w:sz="12" w:space="0" w:color="000000"/>
              <w:right w:val="nil" w:sz="6" w:space="0" w:color="auto"/>
            </w:tcBorders>
          </w:tcPr>
          <w:p>
            <w:pPr/>
          </w:p>
        </w:tc>
        <w:tc>
          <w:tcPr>
            <w:tcW w:w="153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877,376.58</w:t>
            </w:r>
            <w:r>
              <w:rPr>
                <w:rFonts w:ascii="宋体"/>
                <w:sz w:val="18"/>
              </w:rPr>
            </w:r>
          </w:p>
        </w:tc>
        <w:tc>
          <w:tcPr>
            <w:tcW w:w="30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13"/>
              <w:jc w:val="right"/>
              <w:rPr>
                <w:rFonts w:ascii="宋体" w:hAnsi="宋体" w:cs="宋体" w:eastAsia="宋体" w:hint="default"/>
                <w:sz w:val="18"/>
                <w:szCs w:val="18"/>
              </w:rPr>
            </w:pPr>
            <w:r>
              <w:rPr>
                <w:rFonts w:ascii="宋体"/>
                <w:b/>
                <w:w w:val="95"/>
                <w:sz w:val="18"/>
              </w:rPr>
              <w:t>2,125,385.40</w:t>
            </w:r>
            <w:r>
              <w:rPr>
                <w:rFonts w:ascii="宋体"/>
                <w:sz w:val="18"/>
              </w:rPr>
            </w:r>
          </w:p>
        </w:tc>
      </w:tr>
    </w:tbl>
    <w:p>
      <w:pPr>
        <w:spacing w:before="79"/>
        <w:ind w:left="578" w:right="0"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21"/>
          <w:sz w:val="22"/>
          <w:szCs w:val="22"/>
        </w:rPr>
        <w:t> </w:t>
      </w:r>
      <w:r>
        <w:rPr>
          <w:rFonts w:ascii="宋体" w:hAnsi="宋体" w:cs="宋体" w:eastAsia="宋体" w:hint="default"/>
          <w:sz w:val="22"/>
          <w:szCs w:val="22"/>
        </w:rPr>
        <w:t>支付许可授权费</w:t>
      </w:r>
    </w:p>
    <w:p>
      <w:pPr>
        <w:spacing w:line="324" w:lineRule="auto" w:before="180"/>
        <w:ind w:left="138" w:right="0" w:firstLine="441"/>
        <w:jc w:val="left"/>
        <w:rPr>
          <w:rFonts w:ascii="宋体" w:hAnsi="宋体" w:cs="宋体" w:eastAsia="宋体" w:hint="default"/>
          <w:sz w:val="22"/>
          <w:szCs w:val="22"/>
        </w:rPr>
      </w:pPr>
      <w:r>
        <w:rPr>
          <w:rFonts w:ascii="宋体" w:hAnsi="宋体" w:cs="宋体" w:eastAsia="宋体" w:hint="default"/>
          <w:spacing w:val="9"/>
          <w:sz w:val="22"/>
          <w:szCs w:val="22"/>
        </w:rPr>
        <w:t>本公司及下属子公司2010年度应向清华大学支付的专利等技术成果实施许可使用费共计</w:t>
      </w:r>
      <w:r>
        <w:rPr>
          <w:rFonts w:ascii="宋体" w:hAnsi="宋体" w:cs="宋体" w:eastAsia="宋体" w:hint="default"/>
          <w:w w:val="99"/>
          <w:sz w:val="22"/>
          <w:szCs w:val="22"/>
        </w:rPr>
        <w:t> </w:t>
      </w:r>
      <w:r>
        <w:rPr>
          <w:rFonts w:ascii="宋体" w:hAnsi="宋体" w:cs="宋体" w:eastAsia="宋体" w:hint="default"/>
          <w:sz w:val="22"/>
          <w:szCs w:val="22"/>
        </w:rPr>
        <w:t>25,700,000.00元，实际支付0.00元；2009年度应支付上述费用共计3,500,000.00元，实际支付</w:t>
      </w:r>
    </w:p>
    <w:p>
      <w:pPr>
        <w:spacing w:before="25"/>
        <w:ind w:left="138" w:right="0" w:firstLine="0"/>
        <w:jc w:val="left"/>
        <w:rPr>
          <w:rFonts w:ascii="宋体" w:hAnsi="宋体" w:cs="宋体" w:eastAsia="宋体" w:hint="default"/>
          <w:sz w:val="22"/>
          <w:szCs w:val="22"/>
        </w:rPr>
      </w:pPr>
      <w:r>
        <w:rPr>
          <w:rFonts w:ascii="宋体" w:hAnsi="宋体" w:cs="宋体" w:eastAsia="宋体" w:hint="default"/>
          <w:sz w:val="22"/>
          <w:szCs w:val="22"/>
        </w:rPr>
        <w:t>30,730,000.00元</w:t>
      </w:r>
    </w:p>
    <w:p>
      <w:pPr>
        <w:spacing w:line="391" w:lineRule="auto" w:before="180"/>
        <w:ind w:left="580" w:right="84" w:hanging="2"/>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23"/>
          <w:sz w:val="22"/>
          <w:szCs w:val="22"/>
        </w:rPr>
        <w:t> </w:t>
      </w:r>
      <w:r>
        <w:rPr>
          <w:rFonts w:ascii="宋体" w:hAnsi="宋体" w:cs="宋体" w:eastAsia="宋体" w:hint="default"/>
          <w:sz w:val="22"/>
          <w:szCs w:val="22"/>
        </w:rPr>
        <w:t>关联方资产转让</w:t>
      </w:r>
      <w:r>
        <w:rPr>
          <w:rFonts w:ascii="宋体" w:hAnsi="宋体" w:cs="宋体" w:eastAsia="宋体" w:hint="default"/>
          <w:w w:val="99"/>
          <w:sz w:val="22"/>
          <w:szCs w:val="22"/>
        </w:rPr>
        <w:t> </w:t>
      </w:r>
      <w:r>
        <w:rPr>
          <w:rFonts w:ascii="宋体" w:hAnsi="宋体" w:cs="宋体" w:eastAsia="宋体" w:hint="default"/>
          <w:sz w:val="22"/>
          <w:szCs w:val="22"/>
        </w:rPr>
        <w:t>中水资产评估有限公司于2010年10月对公司的水务工程业务出具了评估报告，评估结论为：</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经评估，于评估基准日2010年8月31日，同方股份有限公司水务工程业务委估经营性净资产评估</w:t>
      </w:r>
    </w:p>
    <w:p>
      <w:pPr>
        <w:spacing w:line="391" w:lineRule="auto" w:before="102"/>
        <w:ind w:left="580" w:right="128" w:hanging="442"/>
        <w:jc w:val="left"/>
        <w:rPr>
          <w:rFonts w:ascii="宋体" w:hAnsi="宋体" w:cs="宋体" w:eastAsia="宋体" w:hint="default"/>
          <w:sz w:val="22"/>
          <w:szCs w:val="22"/>
        </w:rPr>
      </w:pPr>
      <w:r>
        <w:rPr>
          <w:rFonts w:ascii="宋体" w:hAnsi="宋体" w:cs="宋体" w:eastAsia="宋体" w:hint="default"/>
          <w:sz w:val="22"/>
          <w:szCs w:val="22"/>
        </w:rPr>
        <w:t>值为5,057.62万元人民币。</w:t>
      </w:r>
      <w:r>
        <w:rPr>
          <w:rFonts w:ascii="宋体" w:hAnsi="宋体" w:cs="宋体" w:eastAsia="宋体" w:hint="default"/>
          <w:w w:val="99"/>
          <w:sz w:val="22"/>
          <w:szCs w:val="22"/>
        </w:rPr>
        <w:t> </w:t>
      </w:r>
      <w:r>
        <w:rPr>
          <w:rFonts w:ascii="宋体" w:hAnsi="宋体" w:cs="宋体" w:eastAsia="宋体" w:hint="default"/>
          <w:spacing w:val="-1"/>
          <w:sz w:val="22"/>
          <w:szCs w:val="22"/>
        </w:rPr>
        <w:t>为此，公司依据上述评估结果将水务工程业务以人民币5,057.62万元的对价转让给同方环境</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股份有限公司。转让价款由同方环境股份有限公司以现金支付。</w:t>
      </w:r>
    </w:p>
    <w:p>
      <w:pPr>
        <w:spacing w:after="0" w:line="251" w:lineRule="exact"/>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558" w:right="0" w:firstLine="0"/>
        <w:jc w:val="left"/>
        <w:rPr>
          <w:rFonts w:ascii="宋体" w:hAnsi="宋体" w:cs="宋体" w:eastAsia="宋体" w:hint="default"/>
          <w:sz w:val="22"/>
          <w:szCs w:val="22"/>
        </w:rPr>
      </w:pPr>
      <w:r>
        <w:rPr>
          <w:rFonts w:ascii="宋体" w:hAnsi="宋体" w:cs="宋体" w:eastAsia="宋体" w:hint="default"/>
          <w:b/>
          <w:bCs/>
          <w:sz w:val="22"/>
          <w:szCs w:val="22"/>
        </w:rPr>
        <w:t>8．</w:t>
      </w:r>
      <w:r>
        <w:rPr>
          <w:rFonts w:ascii="宋体" w:hAnsi="宋体" w:cs="宋体" w:eastAsia="宋体" w:hint="default"/>
          <w:b/>
          <w:bCs/>
          <w:spacing w:val="22"/>
          <w:sz w:val="22"/>
          <w:szCs w:val="22"/>
        </w:rPr>
        <w:t> </w:t>
      </w:r>
      <w:r>
        <w:rPr>
          <w:rFonts w:ascii="宋体" w:hAnsi="宋体" w:cs="宋体" w:eastAsia="宋体" w:hint="default"/>
          <w:sz w:val="22"/>
          <w:szCs w:val="22"/>
        </w:rPr>
        <w:t>关联担保情况</w:t>
      </w:r>
    </w:p>
    <w:p>
      <w:pPr>
        <w:spacing w:before="179"/>
        <w:ind w:left="157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公司法人实体为控股子公司提供担保</w:t>
      </w:r>
    </w:p>
    <w:p>
      <w:pPr>
        <w:spacing w:line="324" w:lineRule="auto" w:before="180"/>
        <w:ind w:left="1118" w:right="0"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日公司以保证方式为下列子公司的银行借款、公司债券、信用证、银</w:t>
      </w:r>
      <w:r>
        <w:rPr>
          <w:rFonts w:ascii="宋体" w:hAnsi="宋体" w:cs="宋体" w:eastAsia="宋体" w:hint="default"/>
          <w:w w:val="99"/>
          <w:sz w:val="22"/>
          <w:szCs w:val="22"/>
        </w:rPr>
        <w:t> </w:t>
      </w:r>
      <w:r>
        <w:rPr>
          <w:rFonts w:ascii="宋体" w:hAnsi="宋体" w:cs="宋体" w:eastAsia="宋体" w:hint="default"/>
          <w:sz w:val="22"/>
          <w:szCs w:val="22"/>
        </w:rPr>
        <w:t>行承兑汇票和保函提供连带责任担保：</w:t>
      </w:r>
    </w:p>
    <w:p>
      <w:pPr>
        <w:spacing w:before="103"/>
        <w:ind w:left="168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借款担保</w:t>
      </w:r>
    </w:p>
    <w:p>
      <w:pPr>
        <w:spacing w:before="180"/>
        <w:ind w:left="1685" w:right="0" w:firstLine="0"/>
        <w:jc w:val="left"/>
        <w:rPr>
          <w:rFonts w:ascii="宋体" w:hAnsi="宋体" w:cs="宋体" w:eastAsia="宋体" w:hint="default"/>
          <w:sz w:val="22"/>
          <w:szCs w:val="22"/>
        </w:rPr>
      </w:pPr>
      <w:r>
        <w:rPr>
          <w:rFonts w:ascii="宋体" w:hAnsi="宋体" w:cs="宋体" w:eastAsia="宋体" w:hint="default"/>
          <w:b/>
          <w:bCs/>
          <w:sz w:val="22"/>
          <w:szCs w:val="22"/>
        </w:rPr>
        <w:t>a)</w:t>
      </w:r>
      <w:r>
        <w:rPr>
          <w:rFonts w:ascii="宋体" w:hAnsi="宋体" w:cs="宋体" w:eastAsia="宋体" w:hint="default"/>
          <w:b/>
          <w:bCs/>
          <w:spacing w:val="4"/>
          <w:sz w:val="22"/>
          <w:szCs w:val="22"/>
        </w:rPr>
        <w:t> </w:t>
      </w:r>
      <w:r>
        <w:rPr>
          <w:rFonts w:ascii="宋体" w:hAnsi="宋体" w:cs="宋体" w:eastAsia="宋体" w:hint="default"/>
          <w:sz w:val="22"/>
          <w:szCs w:val="22"/>
        </w:rPr>
        <w:t>一般借款（流动资金借款、长期借款）担保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5499" w:right="4176" w:firstLine="0"/>
        <w:jc w:val="center"/>
        <w:rPr>
          <w:rFonts w:ascii="宋体" w:hAnsi="宋体" w:cs="宋体" w:eastAsia="宋体" w:hint="default"/>
          <w:sz w:val="18"/>
          <w:szCs w:val="18"/>
        </w:rPr>
      </w:pPr>
      <w:r>
        <w:rPr/>
        <w:pict>
          <v:shape style="position:absolute;margin-left:22.02pt;margin-top:-295.687988pt;width:558.4pt;height:384.6pt;mso-position-horizontal-relative:page;mso-position-vertical-relative:paragraph;z-index:6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9"/>
                    <w:gridCol w:w="2293"/>
                    <w:gridCol w:w="2064"/>
                    <w:gridCol w:w="1991"/>
                    <w:gridCol w:w="1991"/>
                  </w:tblGrid>
                  <w:tr>
                    <w:trPr>
                      <w:trHeight w:val="303" w:hRule="exact"/>
                    </w:trPr>
                    <w:tc>
                      <w:tcPr>
                        <w:tcW w:w="282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8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9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6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53"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199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199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9"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2" w:hRule="exact"/>
                    </w:trPr>
                    <w:tc>
                      <w:tcPr>
                        <w:tcW w:w="2829"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26" w:lineRule="exact"/>
                          <w:ind w:left="66"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2064" w:type="dxa"/>
                        <w:tcBorders>
                          <w:top w:val="single" w:sz="4" w:space="0" w:color="000000"/>
                          <w:left w:val="nil" w:sz="6" w:space="0" w:color="auto"/>
                          <w:bottom w:val="nil" w:sz="6" w:space="0" w:color="auto"/>
                          <w:right w:val="nil" w:sz="6" w:space="0" w:color="auto"/>
                        </w:tcBorders>
                      </w:tcPr>
                      <w:p>
                        <w:pPr>
                          <w:pStyle w:val="TableParagraph"/>
                          <w:spacing w:line="226" w:lineRule="exact"/>
                          <w:ind w:right="94"/>
                          <w:jc w:val="right"/>
                          <w:rPr>
                            <w:rFonts w:ascii="宋体" w:hAnsi="宋体" w:cs="宋体" w:eastAsia="宋体" w:hint="default"/>
                            <w:sz w:val="18"/>
                            <w:szCs w:val="18"/>
                          </w:rPr>
                        </w:pP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26" w:lineRule="exact"/>
                          <w:ind w:right="28"/>
                          <w:jc w:val="center"/>
                          <w:rPr>
                            <w:rFonts w:ascii="宋体" w:hAnsi="宋体" w:cs="宋体" w:eastAsia="宋体" w:hint="default"/>
                            <w:sz w:val="18"/>
                            <w:szCs w:val="18"/>
                          </w:rPr>
                        </w:pPr>
                        <w:r>
                          <w:rPr>
                            <w:rFonts w:ascii="宋体"/>
                            <w:sz w:val="18"/>
                          </w:rPr>
                          <w:t>2009.07.17-2011.06.10</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center"/>
                          <w:rPr>
                            <w:rFonts w:ascii="宋体" w:hAnsi="宋体" w:cs="宋体" w:eastAsia="宋体" w:hint="default"/>
                            <w:sz w:val="18"/>
                            <w:szCs w:val="18"/>
                          </w:rPr>
                        </w:pPr>
                        <w:r>
                          <w:rPr>
                            <w:rFonts w:ascii="宋体"/>
                            <w:sz w:val="18"/>
                          </w:rPr>
                          <w:t>2009.07.17-2013.06.10</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1,600.00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2010.03.26-2011.03.26</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2010.03.26-2013.03.26</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8,000.00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2010.07.16-2011.05.25</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2010.07.16-2013.05.25</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同方电子科技有限公司（713</w:t>
                        </w:r>
                        <w:r>
                          <w:rPr>
                            <w:rFonts w:ascii="宋体" w:hAnsi="宋体" w:cs="宋体" w:eastAsia="宋体" w:hint="default"/>
                            <w:spacing w:val="-46"/>
                            <w:sz w:val="18"/>
                            <w:szCs w:val="18"/>
                          </w:rPr>
                          <w:t> </w:t>
                        </w:r>
                        <w:r>
                          <w:rPr>
                            <w:rFonts w:ascii="宋体" w:hAnsi="宋体" w:cs="宋体" w:eastAsia="宋体" w:hint="default"/>
                            <w:sz w:val="18"/>
                            <w:szCs w:val="18"/>
                          </w:rPr>
                          <w:t>厂）</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中国建设银行九江分行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2010.03.04-2011.03.03</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2010.03.04-2013.03.03</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北京同方吉兆电子有限公司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3,700.00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2010.03.26-2011.11.25</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2010.03.26-2013.11.25</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北京同方吉兆电子有限公司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招商银行北京金融街支行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2,500.00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2010.02.23-2011.02.22</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2010.02.23-2013.02.22</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深圳市同方多媒体科技有限公司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中国建设银行深圳分行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3,000.00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2010.05.07-2011.05.06</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2010.05.07-2013.05.06</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深圳市同方多媒体科技有限公司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1" w:lineRule="exact"/>
                          <w:ind w:left="66" w:right="0"/>
                          <w:jc w:val="left"/>
                          <w:rPr>
                            <w:rFonts w:ascii="宋体" w:hAnsi="宋体" w:cs="宋体" w:eastAsia="宋体" w:hint="default"/>
                            <w:sz w:val="18"/>
                            <w:szCs w:val="18"/>
                          </w:rPr>
                        </w:pPr>
                        <w:r>
                          <w:rPr>
                            <w:rFonts w:ascii="宋体" w:hAnsi="宋体" w:cs="宋体" w:eastAsia="宋体" w:hint="default"/>
                            <w:sz w:val="18"/>
                            <w:szCs w:val="18"/>
                          </w:rPr>
                          <w:t>交通银行深圳振华支行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1" w:lineRule="exact"/>
                          <w:ind w:right="94"/>
                          <w:jc w:val="right"/>
                          <w:rPr>
                            <w:rFonts w:ascii="宋体" w:hAnsi="宋体" w:cs="宋体" w:eastAsia="宋体" w:hint="default"/>
                            <w:sz w:val="18"/>
                            <w:szCs w:val="18"/>
                          </w:rPr>
                        </w:pPr>
                        <w:r>
                          <w:rPr>
                            <w:rFonts w:ascii="宋体" w:hAnsi="宋体" w:cs="宋体" w:eastAsia="宋体" w:hint="default"/>
                            <w:sz w:val="18"/>
                            <w:szCs w:val="18"/>
                          </w:rPr>
                          <w:t>18,000.00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1" w:lineRule="exact"/>
                          <w:ind w:right="28"/>
                          <w:jc w:val="center"/>
                          <w:rPr>
                            <w:rFonts w:ascii="宋体" w:hAnsi="宋体" w:cs="宋体" w:eastAsia="宋体" w:hint="default"/>
                            <w:sz w:val="18"/>
                            <w:szCs w:val="18"/>
                          </w:rPr>
                        </w:pPr>
                        <w:r>
                          <w:rPr>
                            <w:rFonts w:ascii="宋体"/>
                            <w:sz w:val="18"/>
                          </w:rPr>
                          <w:t>2010.12.03-2011.12.22</w:t>
                        </w:r>
                      </w:p>
                    </w:tc>
                    <w:tc>
                      <w:tcPr>
                        <w:tcW w:w="1991"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center"/>
                          <w:rPr>
                            <w:rFonts w:ascii="宋体" w:hAnsi="宋体" w:cs="宋体" w:eastAsia="宋体" w:hint="default"/>
                            <w:sz w:val="18"/>
                            <w:szCs w:val="18"/>
                          </w:rPr>
                        </w:pPr>
                        <w:r>
                          <w:rPr>
                            <w:rFonts w:ascii="宋体"/>
                            <w:sz w:val="18"/>
                          </w:rPr>
                          <w:t>2010.12.03-2013.12.22</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中国进出口银行上海分行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30,000.00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2010.06.30-2013.06.29</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2010.06.30-2015.06.29</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同方节能工程技术有限公司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国家开发银行北京分行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300.00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2008.12.30-2011.12.29</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2008.12.30-2013.12.29</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工行沂南县支行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5,687.50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2009.03.30-2014.03.28</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2009.03.30-2016.03.28</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同方健康科技（北京）有限公司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国家开发银行北京市分行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400.00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2008.12.29-2011.12.28</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2008.12.29-2013.12.28</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工商银行淮安城南支行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4,960.21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2007.04.17-2016.12.31</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2007.04.17-2018.12.31</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1" w:lineRule="exact"/>
                          <w:ind w:left="66" w:right="0"/>
                          <w:jc w:val="left"/>
                          <w:rPr>
                            <w:rFonts w:ascii="宋体" w:hAnsi="宋体" w:cs="宋体" w:eastAsia="宋体" w:hint="default"/>
                            <w:sz w:val="18"/>
                            <w:szCs w:val="18"/>
                          </w:rPr>
                        </w:pPr>
                        <w:r>
                          <w:rPr>
                            <w:rFonts w:ascii="宋体" w:hAnsi="宋体" w:cs="宋体" w:eastAsia="宋体" w:hint="default"/>
                            <w:sz w:val="18"/>
                            <w:szCs w:val="18"/>
                          </w:rPr>
                          <w:t>建设银行北京清华园支行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1" w:lineRule="exact"/>
                          <w:ind w:right="94"/>
                          <w:jc w:val="right"/>
                          <w:rPr>
                            <w:rFonts w:ascii="宋体" w:hAnsi="宋体" w:cs="宋体" w:eastAsia="宋体" w:hint="default"/>
                            <w:sz w:val="18"/>
                            <w:szCs w:val="18"/>
                          </w:rPr>
                        </w:pPr>
                        <w:r>
                          <w:rPr>
                            <w:rFonts w:ascii="宋体" w:hAnsi="宋体" w:cs="宋体" w:eastAsia="宋体" w:hint="default"/>
                            <w:sz w:val="18"/>
                            <w:szCs w:val="18"/>
                          </w:rPr>
                          <w:t>7,590.00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1" w:lineRule="exact"/>
                          <w:ind w:right="28"/>
                          <w:jc w:val="center"/>
                          <w:rPr>
                            <w:rFonts w:ascii="宋体" w:hAnsi="宋体" w:cs="宋体" w:eastAsia="宋体" w:hint="default"/>
                            <w:sz w:val="18"/>
                            <w:szCs w:val="18"/>
                          </w:rPr>
                        </w:pPr>
                        <w:r>
                          <w:rPr>
                            <w:rFonts w:ascii="宋体"/>
                            <w:sz w:val="18"/>
                          </w:rPr>
                          <w:t>2009.11.10-2020.09.18</w:t>
                        </w:r>
                      </w:p>
                    </w:tc>
                    <w:tc>
                      <w:tcPr>
                        <w:tcW w:w="1991"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center"/>
                          <w:rPr>
                            <w:rFonts w:ascii="宋体" w:hAnsi="宋体" w:cs="宋体" w:eastAsia="宋体" w:hint="default"/>
                            <w:sz w:val="18"/>
                            <w:szCs w:val="18"/>
                          </w:rPr>
                        </w:pPr>
                        <w:r>
                          <w:rPr>
                            <w:rFonts w:ascii="宋体"/>
                            <w:sz w:val="18"/>
                          </w:rPr>
                          <w:t>2009.11.10-2022.09.18</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同方鞍山科技园有限公司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中国建设银行鞍山铁西支行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2006.01.05-2011.10.27</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2006.01.05-2013.10.27</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2010.02.09-2011.02.08</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2010.02.09-2013.02.08</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中国建设银行沈阳城内支行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6,900.00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2010.04.22-2011.07.19</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2010.04.22-2013.07.19</w:t>
                        </w:r>
                      </w:p>
                    </w:tc>
                  </w:tr>
                  <w:tr>
                    <w:trPr>
                      <w:trHeight w:val="283"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中信银行沈阳分行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10,000.00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2010.05.31-2011.06.15</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2010.05.31-2013.06.15</w:t>
                        </w:r>
                      </w:p>
                    </w:tc>
                  </w:tr>
                  <w:tr>
                    <w:trPr>
                      <w:trHeight w:val="232"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293" w:type="dxa"/>
                        <w:tcBorders>
                          <w:top w:val="nil" w:sz="6" w:space="0" w:color="auto"/>
                          <w:left w:val="nil" w:sz="6" w:space="0" w:color="auto"/>
                          <w:bottom w:val="nil" w:sz="6" w:space="0" w:color="auto"/>
                          <w:right w:val="nil" w:sz="6" w:space="0" w:color="auto"/>
                        </w:tcBorders>
                      </w:tcPr>
                      <w:p>
                        <w:pPr>
                          <w:pStyle w:val="TableParagraph"/>
                          <w:spacing w:line="232" w:lineRule="exact"/>
                          <w:ind w:left="66" w:right="0"/>
                          <w:jc w:val="left"/>
                          <w:rPr>
                            <w:rFonts w:ascii="宋体" w:hAnsi="宋体" w:cs="宋体" w:eastAsia="宋体" w:hint="default"/>
                            <w:sz w:val="18"/>
                            <w:szCs w:val="18"/>
                          </w:rPr>
                        </w:pPr>
                        <w:r>
                          <w:rPr>
                            <w:rFonts w:ascii="宋体" w:hAnsi="宋体" w:cs="宋体" w:eastAsia="宋体" w:hint="default"/>
                            <w:sz w:val="18"/>
                            <w:szCs w:val="18"/>
                          </w:rPr>
                          <w:t>上海浦东发展银行和平支行</w:t>
                        </w:r>
                      </w:p>
                    </w:tc>
                    <w:tc>
                      <w:tcPr>
                        <w:tcW w:w="2064"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hAnsi="宋体" w:cs="宋体" w:eastAsia="宋体" w:hint="default"/>
                            <w:sz w:val="18"/>
                            <w:szCs w:val="18"/>
                          </w:rPr>
                          <w:t>4,000.00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sz w:val="18"/>
                          </w:rPr>
                          <w:t>2010.02.02-2011.02.01</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sz w:val="18"/>
                          </w:rPr>
                          <w:t>2010.02.02-2013.02.01</w:t>
                        </w:r>
                      </w:p>
                    </w:tc>
                  </w:tr>
                  <w:tr>
                    <w:trPr>
                      <w:trHeight w:val="263" w:hRule="exact"/>
                    </w:trPr>
                    <w:tc>
                      <w:tcPr>
                        <w:tcW w:w="2829" w:type="dxa"/>
                        <w:tcBorders>
                          <w:top w:val="nil" w:sz="6" w:space="0" w:color="auto"/>
                          <w:left w:val="nil" w:sz="6" w:space="0" w:color="auto"/>
                          <w:bottom w:val="nil" w:sz="6" w:space="0" w:color="auto"/>
                          <w:right w:val="nil" w:sz="6" w:space="0" w:color="auto"/>
                        </w:tcBorders>
                      </w:tcPr>
                      <w:p>
                        <w:pPr/>
                      </w:p>
                    </w:tc>
                    <w:tc>
                      <w:tcPr>
                        <w:tcW w:w="2293"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4"/>
                          <w:jc w:val="right"/>
                          <w:rPr>
                            <w:rFonts w:ascii="宋体" w:hAnsi="宋体" w:cs="宋体" w:eastAsia="宋体" w:hint="default"/>
                            <w:sz w:val="18"/>
                            <w:szCs w:val="18"/>
                          </w:rPr>
                        </w:pPr>
                        <w:r>
                          <w:rPr>
                            <w:rFonts w:ascii="宋体" w:hAnsi="宋体" w:cs="宋体" w:eastAsia="宋体" w:hint="default"/>
                            <w:sz w:val="18"/>
                            <w:szCs w:val="18"/>
                          </w:rPr>
                          <w:t>890.00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91"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354" w:hRule="exact"/>
                    </w:trPr>
                    <w:tc>
                      <w:tcPr>
                        <w:tcW w:w="9176" w:type="dxa"/>
                        <w:gridSpan w:val="4"/>
                        <w:tcBorders>
                          <w:top w:val="nil" w:sz="6" w:space="0" w:color="auto"/>
                          <w:left w:val="nil" w:sz="6" w:space="0" w:color="auto"/>
                          <w:bottom w:val="nil" w:sz="6" w:space="0" w:color="auto"/>
                          <w:right w:val="nil" w:sz="6" w:space="0" w:color="auto"/>
                        </w:tcBorders>
                      </w:tcPr>
                      <w:p>
                        <w:pPr>
                          <w:pStyle w:val="TableParagraph"/>
                          <w:tabs>
                            <w:tab w:pos="2895" w:val="left" w:leader="none"/>
                            <w:tab w:pos="9110" w:val="right" w:leader="none"/>
                          </w:tabs>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tab/>
                          <w:t>中国建设银行沈阳城内支行</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2010.02.07-2011.03.18</w:t>
                        </w:r>
                      </w:p>
                    </w:tc>
                    <w:tc>
                      <w:tcPr>
                        <w:tcW w:w="1991" w:type="dxa"/>
                        <w:tcBorders>
                          <w:top w:val="nil" w:sz="6" w:space="0" w:color="auto"/>
                          <w:left w:val="nil" w:sz="6" w:space="0" w:color="auto"/>
                          <w:bottom w:val="nil" w:sz="6" w:space="0" w:color="auto"/>
                          <w:right w:val="nil" w:sz="6" w:space="0" w:color="auto"/>
                        </w:tcBorders>
                      </w:tcPr>
                      <w:p>
                        <w:pPr>
                          <w:pStyle w:val="TableParagraph"/>
                          <w:spacing w:line="180" w:lineRule="exact"/>
                          <w:ind w:left="30" w:right="0"/>
                          <w:jc w:val="center"/>
                          <w:rPr>
                            <w:rFonts w:ascii="宋体" w:hAnsi="宋体" w:cs="宋体" w:eastAsia="宋体" w:hint="default"/>
                            <w:sz w:val="18"/>
                            <w:szCs w:val="18"/>
                          </w:rPr>
                        </w:pPr>
                        <w:r>
                          <w:rPr>
                            <w:rFonts w:ascii="宋体"/>
                            <w:sz w:val="18"/>
                          </w:rPr>
                          <w:t>2010.02.07-2013.03.18</w:t>
                        </w:r>
                      </w:p>
                    </w:tc>
                  </w:tr>
                  <w:tr>
                    <w:trPr>
                      <w:trHeight w:val="566" w:hRule="exact"/>
                    </w:trPr>
                    <w:tc>
                      <w:tcPr>
                        <w:tcW w:w="9176" w:type="dxa"/>
                        <w:gridSpan w:val="4"/>
                        <w:tcBorders>
                          <w:top w:val="nil" w:sz="6" w:space="0" w:color="auto"/>
                          <w:left w:val="nil" w:sz="6" w:space="0" w:color="auto"/>
                          <w:bottom w:val="nil" w:sz="6" w:space="0" w:color="auto"/>
                          <w:right w:val="nil" w:sz="6" w:space="0" w:color="auto"/>
                        </w:tcBorders>
                      </w:tcPr>
                      <w:p>
                        <w:pPr>
                          <w:pStyle w:val="TableParagraph"/>
                          <w:spacing w:line="185" w:lineRule="exact"/>
                          <w:ind w:left="5784" w:right="0"/>
                          <w:jc w:val="lef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pStyle w:val="TableParagraph"/>
                          <w:tabs>
                            <w:tab w:pos="2895" w:val="left" w:leader="none"/>
                            <w:tab w:pos="9110" w:val="right" w:leader="none"/>
                          </w:tabs>
                          <w:spacing w:line="189" w:lineRule="exact"/>
                          <w:ind w:left="108" w:right="0"/>
                          <w:jc w:val="left"/>
                          <w:rPr>
                            <w:rFonts w:ascii="宋体" w:hAnsi="宋体" w:cs="宋体" w:eastAsia="宋体" w:hint="default"/>
                            <w:sz w:val="18"/>
                            <w:szCs w:val="18"/>
                          </w:rPr>
                        </w:pPr>
                        <w:r>
                          <w:rPr>
                            <w:rFonts w:ascii="宋体" w:hAnsi="宋体" w:cs="宋体" w:eastAsia="宋体" w:hint="default"/>
                            <w:sz w:val="18"/>
                            <w:szCs w:val="18"/>
                          </w:rPr>
                          <w:t>Resuccess Investments Ltd.</w:t>
                          <w:tab/>
                          <w:t>招商银行总行离岸部</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2010.09.28-2011.09.26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0" w:right="0"/>
                          <w:jc w:val="center"/>
                          <w:rPr>
                            <w:rFonts w:ascii="宋体" w:hAnsi="宋体" w:cs="宋体" w:eastAsia="宋体" w:hint="default"/>
                            <w:sz w:val="18"/>
                            <w:szCs w:val="18"/>
                          </w:rPr>
                        </w:pPr>
                        <w:r>
                          <w:rPr>
                            <w:rFonts w:ascii="宋体"/>
                            <w:sz w:val="18"/>
                          </w:rPr>
                          <w:t>2010.09.28-2013.09.26</w:t>
                        </w:r>
                      </w:p>
                    </w:tc>
                  </w:tr>
                  <w:tr>
                    <w:trPr>
                      <w:trHeight w:val="354" w:hRule="exact"/>
                    </w:trPr>
                    <w:tc>
                      <w:tcPr>
                        <w:tcW w:w="9176" w:type="dxa"/>
                        <w:gridSpan w:val="4"/>
                        <w:tcBorders>
                          <w:top w:val="nil" w:sz="6" w:space="0" w:color="auto"/>
                          <w:left w:val="nil" w:sz="6" w:space="0" w:color="auto"/>
                          <w:bottom w:val="nil" w:sz="6" w:space="0" w:color="auto"/>
                          <w:right w:val="nil" w:sz="6" w:space="0" w:color="auto"/>
                        </w:tcBorders>
                      </w:tcPr>
                      <w:p>
                        <w:pPr>
                          <w:pStyle w:val="TableParagraph"/>
                          <w:spacing w:line="185" w:lineRule="exact"/>
                          <w:ind w:left="5784" w:right="0"/>
                          <w:jc w:val="lef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pStyle w:val="TableParagraph"/>
                          <w:tabs>
                            <w:tab w:pos="2895" w:val="left" w:leader="none"/>
                            <w:tab w:pos="9110" w:val="right" w:leader="none"/>
                          </w:tabs>
                          <w:spacing w:line="189" w:lineRule="exact"/>
                          <w:ind w:left="108" w:right="0"/>
                          <w:jc w:val="left"/>
                          <w:rPr>
                            <w:rFonts w:ascii="宋体" w:hAnsi="宋体" w:cs="宋体" w:eastAsia="宋体" w:hint="default"/>
                            <w:sz w:val="18"/>
                            <w:szCs w:val="18"/>
                          </w:rPr>
                        </w:pPr>
                        <w:r>
                          <w:rPr>
                            <w:rFonts w:ascii="宋体" w:hAnsi="宋体" w:cs="宋体" w:eastAsia="宋体" w:hint="default"/>
                            <w:sz w:val="18"/>
                            <w:szCs w:val="18"/>
                          </w:rPr>
                          <w:t>TongFang Global Ltd.</w:t>
                          <w:tab/>
                          <w:t>招商银行总行离岸部</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2010.05.18-2011.09.09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0" w:right="0"/>
                          <w:jc w:val="center"/>
                          <w:rPr>
                            <w:rFonts w:ascii="宋体" w:hAnsi="宋体" w:cs="宋体" w:eastAsia="宋体" w:hint="default"/>
                            <w:sz w:val="18"/>
                            <w:szCs w:val="18"/>
                          </w:rPr>
                        </w:pPr>
                        <w:r>
                          <w:rPr>
                            <w:rFonts w:ascii="宋体"/>
                            <w:sz w:val="18"/>
                          </w:rPr>
                          <w:t>2010.05.18-2013.09.09</w:t>
                        </w:r>
                      </w:p>
                    </w:tc>
                  </w:tr>
                  <w:tr>
                    <w:trPr>
                      <w:trHeight w:val="222" w:hRule="exact"/>
                    </w:trPr>
                    <w:tc>
                      <w:tcPr>
                        <w:tcW w:w="2829" w:type="dxa"/>
                        <w:tcBorders>
                          <w:top w:val="nil" w:sz="6" w:space="0" w:color="auto"/>
                          <w:left w:val="nil" w:sz="6" w:space="0" w:color="auto"/>
                          <w:bottom w:val="nil" w:sz="6" w:space="0" w:color="auto"/>
                          <w:right w:val="nil" w:sz="6" w:space="0" w:color="auto"/>
                        </w:tcBorders>
                      </w:tcPr>
                      <w:p>
                        <w:pPr/>
                      </w:p>
                    </w:tc>
                    <w:tc>
                      <w:tcPr>
                        <w:tcW w:w="8338"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549" w:right="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6,622.70</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r>
                  <w:tr>
                    <w:trPr>
                      <w:trHeight w:val="304"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338" w:type="dxa"/>
                        <w:gridSpan w:val="4"/>
                        <w:tcBorders>
                          <w:top w:val="nil" w:sz="6" w:space="0" w:color="auto"/>
                          <w:left w:val="nil" w:sz="6" w:space="0" w:color="auto"/>
                          <w:bottom w:val="nil" w:sz="6" w:space="0" w:color="auto"/>
                          <w:right w:val="nil" w:sz="6" w:space="0" w:color="auto"/>
                        </w:tcBorders>
                      </w:tcPr>
                      <w:p>
                        <w:pPr>
                          <w:pStyle w:val="TableParagraph"/>
                          <w:spacing w:line="230" w:lineRule="exact"/>
                          <w:ind w:left="2358" w:right="0"/>
                          <w:jc w:val="lef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9"/>
                            <w:sz w:val="18"/>
                            <w:szCs w:val="18"/>
                          </w:rPr>
                          <w:t> </w:t>
                        </w:r>
                        <w:r>
                          <w:rPr>
                            <w:rFonts w:ascii="宋体" w:hAnsi="宋体" w:cs="宋体" w:eastAsia="宋体" w:hint="default"/>
                            <w:b/>
                            <w:bCs/>
                            <w:sz w:val="18"/>
                            <w:szCs w:val="18"/>
                          </w:rPr>
                          <w:t>148,277.31</w:t>
                        </w:r>
                        <w:r>
                          <w:rPr>
                            <w:rFonts w:ascii="宋体" w:hAnsi="宋体" w:cs="宋体" w:eastAsia="宋体" w:hint="default"/>
                            <w:b/>
                            <w:bCs/>
                            <w:spacing w:val="-51"/>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5,894.20</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40" w:lineRule="auto" w:before="12"/>
        <w:rPr>
          <w:rFonts w:ascii="宋体" w:hAnsi="宋体" w:cs="宋体" w:eastAsia="宋体" w:hint="default"/>
          <w:sz w:val="21"/>
          <w:szCs w:val="21"/>
        </w:rPr>
      </w:pPr>
    </w:p>
    <w:p>
      <w:pPr>
        <w:spacing w:before="44"/>
        <w:ind w:left="5499" w:right="4176" w:firstLine="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6,622.70</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557.950pt;height:.5pt;mso-position-horizontal-relative:char;mso-position-vertical-relative:line" coordorigin="0,0" coordsize="11159,10">
            <v:group style="position:absolute;left:5;top:5;width:11150;height:2" coordorigin="5,5" coordsize="11150,2">
              <v:shape style="position:absolute;left:5;top:5;width:11150;height:2" coordorigin="5,5" coordsize="11150,0" path="m5,5l11154,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line="30" w:lineRule="exact"/>
        <w:ind w:left="111" w:right="0" w:firstLine="0"/>
        <w:rPr>
          <w:rFonts w:ascii="宋体" w:hAnsi="宋体" w:cs="宋体" w:eastAsia="宋体" w:hint="default"/>
          <w:sz w:val="3"/>
          <w:szCs w:val="3"/>
        </w:rPr>
      </w:pPr>
      <w:r>
        <w:rPr>
          <w:rFonts w:ascii="宋体" w:hAnsi="宋体" w:cs="宋体" w:eastAsia="宋体" w:hint="default"/>
          <w:position w:val="0"/>
          <w:sz w:val="3"/>
          <w:szCs w:val="3"/>
        </w:rPr>
        <w:pict>
          <v:group style="width:560.050pt;height:1.5pt;mso-position-horizontal-relative:char;mso-position-vertical-relative:line" coordorigin="0,0" coordsize="11201,30">
            <v:group style="position:absolute;left:15;top:15;width:2802;height:2" coordorigin="15,15" coordsize="2802,2">
              <v:shape style="position:absolute;left:15;top:15;width:2802;height:2" coordorigin="15,15" coordsize="2802,0" path="m15,15l2817,15e" filled="false" stroked="true" strokeweight="1.5pt" strokecolor="#000000">
                <v:path arrowok="t"/>
              </v:shape>
            </v:group>
            <v:group style="position:absolute;left:2803;top:15;width:2307;height:2" coordorigin="2803,15" coordsize="2307,2">
              <v:shape style="position:absolute;left:2803;top:15;width:2307;height:2" coordorigin="2803,15" coordsize="2307,0" path="m2803,15l5109,15e" filled="false" stroked="true" strokeweight="1.5pt" strokecolor="#000000">
                <v:path arrowok="t"/>
              </v:shape>
            </v:group>
            <v:group style="position:absolute;left:5095;top:15;width:2048;height:2" coordorigin="5095,15" coordsize="2048,2">
              <v:shape style="position:absolute;left:5095;top:15;width:2048;height:2" coordorigin="5095,15" coordsize="2048,0" path="m5095,15l7142,15e" filled="false" stroked="true" strokeweight="1.5pt" strokecolor="#000000">
                <v:path arrowok="t"/>
              </v:shape>
            </v:group>
            <v:group style="position:absolute;left:7127;top:15;width:2037;height:2" coordorigin="7127,15" coordsize="2037,2">
              <v:shape style="position:absolute;left:7127;top:15;width:2037;height:2" coordorigin="7127,15" coordsize="2037,0" path="m7127,15l9164,15e" filled="false" stroked="true" strokeweight="1.5pt" strokecolor="#000000">
                <v:path arrowok="t"/>
              </v:shape>
            </v:group>
            <v:group style="position:absolute;left:9149;top:15;width:2037;height:2" coordorigin="9149,15" coordsize="2037,2">
              <v:shape style="position:absolute;left:9149;top:15;width:2037;height:2" coordorigin="9149,15" coordsize="2037,0" path="m9149,15l11186,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before="31"/>
        <w:ind w:left="1686" w:right="0" w:firstLine="0"/>
        <w:jc w:val="left"/>
        <w:rPr>
          <w:rFonts w:ascii="宋体" w:hAnsi="宋体" w:cs="宋体" w:eastAsia="宋体" w:hint="default"/>
          <w:sz w:val="22"/>
          <w:szCs w:val="22"/>
        </w:rPr>
      </w:pPr>
      <w:r>
        <w:rPr>
          <w:rFonts w:ascii="宋体" w:hAnsi="宋体" w:cs="宋体" w:eastAsia="宋体" w:hint="default"/>
          <w:b/>
          <w:bCs/>
          <w:sz w:val="22"/>
          <w:szCs w:val="22"/>
        </w:rPr>
        <w:t>b)</w:t>
      </w:r>
      <w:r>
        <w:rPr>
          <w:rFonts w:ascii="宋体" w:hAnsi="宋体" w:cs="宋体" w:eastAsia="宋体" w:hint="default"/>
          <w:b/>
          <w:bCs/>
          <w:spacing w:val="4"/>
          <w:sz w:val="22"/>
          <w:szCs w:val="22"/>
        </w:rPr>
        <w:t> </w:t>
      </w:r>
      <w:r>
        <w:rPr>
          <w:rFonts w:ascii="宋体" w:hAnsi="宋体" w:cs="宋体" w:eastAsia="宋体" w:hint="default"/>
          <w:sz w:val="22"/>
          <w:szCs w:val="22"/>
        </w:rPr>
        <w:t>贸易融资借款担保</w:t>
      </w:r>
    </w:p>
    <w:p>
      <w:pPr>
        <w:spacing w:line="240" w:lineRule="auto" w:before="6"/>
        <w:rPr>
          <w:rFonts w:ascii="宋体" w:hAnsi="宋体" w:cs="宋体" w:eastAsia="宋体" w:hint="default"/>
          <w:sz w:val="12"/>
          <w:szCs w:val="12"/>
        </w:rPr>
      </w:pPr>
    </w:p>
    <w:p>
      <w:pPr>
        <w:spacing w:line="30" w:lineRule="exact"/>
        <w:ind w:left="18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52.6pt;height:1.5pt;mso-position-horizontal-relative:char;mso-position-vertical-relative:line" coordorigin="0,0" coordsize="11052,30">
            <v:group style="position:absolute;left:15;top:15;width:7085;height:2" coordorigin="15,15" coordsize="7085,2">
              <v:shape style="position:absolute;left:15;top:15;width:7085;height:2" coordorigin="15,15" coordsize="7085,0" path="m15,15l7100,15e" filled="false" stroked="true" strokeweight="1.5pt" strokecolor="#000000">
                <v:path arrowok="t"/>
              </v:shape>
            </v:group>
            <v:group style="position:absolute;left:7100;top:15;width:2076;height:2" coordorigin="7100,15" coordsize="2076,2">
              <v:shape style="position:absolute;left:7100;top:15;width:2076;height:2" coordorigin="7100,15" coordsize="2076,0" path="m7100,15l9176,15e" filled="false" stroked="true" strokeweight="1.5pt" strokecolor="#000000">
                <v:path arrowok="t"/>
              </v:shape>
            </v:group>
            <v:group style="position:absolute;left:9176;top:15;width:1862;height:2" coordorigin="9176,15" coordsize="1862,2">
              <v:shape style="position:absolute;left:9176;top:15;width:1862;height:2" coordorigin="9176,15" coordsize="1862,0" path="m9176,15l11037,15e" filled="false" stroked="true" strokeweight="1.5pt" strokecolor="#000000">
                <v:path arrowok="t"/>
              </v:shape>
            </v:group>
          </v:group>
        </w:pict>
      </w:r>
      <w:r>
        <w:rPr>
          <w:rFonts w:ascii="宋体" w:hAnsi="宋体" w:cs="宋体" w:eastAsia="宋体" w:hint="default"/>
          <w:position w:val="0"/>
          <w:sz w:val="3"/>
          <w:szCs w:val="3"/>
        </w:rPr>
      </w:r>
    </w:p>
    <w:p>
      <w:pPr>
        <w:tabs>
          <w:tab w:pos="3687" w:val="left" w:leader="none"/>
          <w:tab w:pos="5889" w:val="left" w:leader="none"/>
          <w:tab w:pos="7957" w:val="left" w:leader="none"/>
          <w:tab w:pos="9760" w:val="left" w:leader="none"/>
        </w:tabs>
        <w:spacing w:before="0"/>
        <w:ind w:left="1080"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子公司名称</w:t>
        <w:tab/>
        <w:t>贷款银行</w:t>
        <w:tab/>
        <w:t>贷款金额</w:t>
        <w:tab/>
        <w:t>贷款期限</w:t>
        <w:tab/>
      </w:r>
      <w:r>
        <w:rPr>
          <w:rFonts w:ascii="宋体" w:hAnsi="宋体" w:cs="宋体" w:eastAsia="宋体" w:hint="default"/>
          <w:b/>
          <w:bCs/>
          <w:sz w:val="18"/>
          <w:szCs w:val="18"/>
        </w:rPr>
        <w:t>贸易融资类别</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551.6pt;height:.5pt;mso-position-horizontal-relative:char;mso-position-vertical-relative:line" coordorigin="0,0" coordsize="11032,10">
            <v:group style="position:absolute;left:5;top:5;width:11022;height:2" coordorigin="5,5" coordsize="11022,2">
              <v:shape style="position:absolute;left:5;top:5;width:11022;height:2" coordorigin="5,5" coordsize="11022,0" path="m5,5l11027,5e" filled="false" stroked="true" strokeweight=".48pt" strokecolor="#000000">
                <v:path arrowok="t"/>
              </v:shape>
            </v:group>
          </v:group>
        </w:pict>
      </w:r>
      <w:r>
        <w:rPr>
          <w:rFonts w:ascii="宋体" w:hAnsi="宋体" w:cs="宋体" w:eastAsia="宋体" w:hint="default"/>
          <w:sz w:val="2"/>
          <w:szCs w:val="2"/>
        </w:rPr>
      </w:r>
    </w:p>
    <w:p>
      <w:pPr>
        <w:spacing w:line="171" w:lineRule="exact" w:before="0"/>
        <w:ind w:left="5499" w:right="3915" w:firstLine="0"/>
        <w:jc w:val="center"/>
        <w:rPr>
          <w:rFonts w:ascii="宋体" w:hAnsi="宋体" w:cs="宋体" w:eastAsia="宋体" w:hint="default"/>
          <w:sz w:val="18"/>
          <w:szCs w:val="18"/>
        </w:rPr>
      </w:pPr>
      <w:r>
        <w:rPr/>
        <w:pict>
          <v:shape style="position:absolute;margin-left:381.955994pt;margin-top:4.617345pt;width:168pt;height:104.25pt;mso-position-horizontal-relative:page;mso-position-vertical-relative:paragraph;z-index:6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1095"/>
                  </w:tblGrid>
                  <w:tr>
                    <w:trPr>
                      <w:trHeight w:val="476"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2010.09.07-2011.03.28</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海外代付</w:t>
                        </w:r>
                      </w:p>
                    </w:tc>
                  </w:tr>
                  <w:tr>
                    <w:trPr>
                      <w:trHeight w:val="569"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宋体" w:hAnsi="宋体" w:cs="宋体" w:eastAsia="宋体" w:hint="default"/>
                            <w:sz w:val="18"/>
                            <w:szCs w:val="18"/>
                          </w:rPr>
                        </w:pPr>
                        <w:r>
                          <w:rPr>
                            <w:rFonts w:ascii="宋体"/>
                            <w:sz w:val="18"/>
                          </w:rPr>
                          <w:t>2010.12.21-2011.03.20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宋体" w:hAnsi="宋体" w:cs="宋体" w:eastAsia="宋体" w:hint="default"/>
                            <w:sz w:val="18"/>
                            <w:szCs w:val="18"/>
                          </w:rPr>
                        </w:pPr>
                        <w:r>
                          <w:rPr>
                            <w:rFonts w:ascii="宋体" w:hAnsi="宋体" w:cs="宋体" w:eastAsia="宋体" w:hint="default"/>
                            <w:sz w:val="18"/>
                            <w:szCs w:val="18"/>
                          </w:rPr>
                          <w:t>押汇贷款</w:t>
                        </w:r>
                      </w:p>
                    </w:tc>
                  </w:tr>
                  <w:tr>
                    <w:trPr>
                      <w:trHeight w:val="566"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18"/>
                            <w:szCs w:val="18"/>
                          </w:rPr>
                        </w:pPr>
                        <w:r>
                          <w:rPr>
                            <w:rFonts w:ascii="宋体"/>
                            <w:sz w:val="18"/>
                          </w:rPr>
                          <w:t>2010.08.23-2011.06.01</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宋体" w:hAnsi="宋体" w:cs="宋体" w:eastAsia="宋体" w:hint="default"/>
                            <w:sz w:val="18"/>
                            <w:szCs w:val="18"/>
                          </w:rPr>
                        </w:pPr>
                        <w:r>
                          <w:rPr>
                            <w:rFonts w:ascii="宋体" w:hAnsi="宋体" w:cs="宋体" w:eastAsia="宋体" w:hint="default"/>
                            <w:sz w:val="18"/>
                            <w:szCs w:val="18"/>
                          </w:rPr>
                          <w:t>押汇贷款</w:t>
                        </w:r>
                      </w:p>
                    </w:tc>
                  </w:tr>
                  <w:tr>
                    <w:trPr>
                      <w:trHeight w:val="473"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18"/>
                            <w:szCs w:val="18"/>
                          </w:rPr>
                        </w:pPr>
                        <w:r>
                          <w:rPr>
                            <w:rFonts w:ascii="宋体"/>
                            <w:sz w:val="18"/>
                          </w:rPr>
                          <w:t>2010.11.15-2011.04.22</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宋体" w:hAnsi="宋体" w:cs="宋体" w:eastAsia="宋体" w:hint="default"/>
                            <w:sz w:val="18"/>
                            <w:szCs w:val="18"/>
                          </w:rPr>
                        </w:pPr>
                        <w:r>
                          <w:rPr>
                            <w:rFonts w:ascii="宋体" w:hAnsi="宋体" w:cs="宋体" w:eastAsia="宋体" w:hint="default"/>
                            <w:sz w:val="18"/>
                            <w:szCs w:val="18"/>
                          </w:rPr>
                          <w:t>保理业务</w:t>
                        </w:r>
                      </w:p>
                    </w:tc>
                  </w:tr>
                </w:tbl>
                <w:p>
                  <w:pPr/>
                </w:p>
              </w:txbxContent>
            </v:textbox>
            <w10:wrap type="none"/>
          </v:shape>
        </w:pict>
      </w:r>
      <w:r>
        <w:rPr>
          <w:rFonts w:ascii="宋体" w:hAnsi="宋体" w:cs="宋体" w:eastAsia="宋体" w:hint="default"/>
          <w:sz w:val="18"/>
          <w:szCs w:val="18"/>
        </w:rPr>
        <w:t>2,036.03</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after="0" w:line="171" w:lineRule="exact"/>
        <w:jc w:val="center"/>
        <w:rPr>
          <w:rFonts w:ascii="宋体" w:hAnsi="宋体" w:cs="宋体" w:eastAsia="宋体" w:hint="default"/>
          <w:sz w:val="18"/>
          <w:szCs w:val="18"/>
        </w:rPr>
        <w:sectPr>
          <w:pgSz w:w="11910" w:h="16840"/>
          <w:pgMar w:header="610" w:footer="784" w:top="1080" w:bottom="980" w:left="300" w:right="180"/>
        </w:sectPr>
      </w:pPr>
    </w:p>
    <w:p>
      <w:pPr>
        <w:tabs>
          <w:tab w:pos="2969" w:val="left" w:leader="none"/>
        </w:tabs>
        <w:spacing w:line="180" w:lineRule="exact" w:before="0"/>
        <w:ind w:left="312" w:right="-19" w:hanging="1"/>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tab/>
        <w:t>中国建设银行沈阳城内支行</w:t>
      </w:r>
    </w:p>
    <w:p>
      <w:pPr>
        <w:spacing w:line="240" w:lineRule="auto" w:before="9"/>
        <w:rPr>
          <w:rFonts w:ascii="宋体" w:hAnsi="宋体" w:cs="宋体" w:eastAsia="宋体" w:hint="default"/>
          <w:sz w:val="25"/>
          <w:szCs w:val="25"/>
        </w:rPr>
      </w:pPr>
    </w:p>
    <w:p>
      <w:pPr>
        <w:tabs>
          <w:tab w:pos="2970" w:val="left" w:leader="none"/>
        </w:tabs>
        <w:spacing w:line="576" w:lineRule="auto" w:before="0"/>
        <w:ind w:left="312" w:right="0" w:hanging="1"/>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tab/>
        <w:t>上海浦东发展银行和平支行 沈阳同方多媒体科技有限公司</w:t>
        <w:tab/>
        <w:t>中国银行沈阳分行 同方光电（香港）有限公司</w:t>
        <w:tab/>
        <w:t>招商银行北京分行</w:t>
      </w:r>
    </w:p>
    <w:p>
      <w:pPr>
        <w:spacing w:before="92"/>
        <w:ind w:left="0" w:right="4265" w:firstLine="0"/>
        <w:jc w:val="righ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13,484.03</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line="288" w:lineRule="auto" w:before="46"/>
        <w:ind w:left="456" w:right="4265" w:firstLine="405"/>
        <w:jc w:val="right"/>
        <w:rPr>
          <w:rFonts w:ascii="宋体" w:hAnsi="宋体" w:cs="宋体" w:eastAsia="宋体" w:hint="default"/>
          <w:sz w:val="18"/>
          <w:szCs w:val="18"/>
        </w:rPr>
      </w:pPr>
      <w:r>
        <w:rPr>
          <w:rFonts w:ascii="宋体" w:hAnsi="宋体" w:cs="宋体" w:eastAsia="宋体" w:hint="default"/>
          <w:sz w:val="18"/>
          <w:szCs w:val="18"/>
        </w:rPr>
        <w:t>115.42</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764.42</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1,655.89</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before="11"/>
        <w:ind w:left="0" w:right="4265"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10,966.46</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line="288" w:lineRule="auto" w:before="47"/>
        <w:ind w:left="277" w:right="4264" w:firstLine="585"/>
        <w:jc w:val="right"/>
        <w:rPr>
          <w:rFonts w:ascii="宋体" w:hAnsi="宋体" w:cs="宋体" w:eastAsia="宋体" w:hint="default"/>
          <w:sz w:val="18"/>
          <w:szCs w:val="18"/>
        </w:rPr>
      </w:pPr>
      <w:r>
        <w:rPr>
          <w:rFonts w:ascii="宋体" w:hAnsi="宋体" w:cs="宋体" w:eastAsia="宋体" w:hint="default"/>
          <w:sz w:val="18"/>
          <w:szCs w:val="18"/>
        </w:rPr>
        <w:t>317.20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2,100.71</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after="0" w:line="288" w:lineRule="auto"/>
        <w:jc w:val="right"/>
        <w:rPr>
          <w:rFonts w:ascii="宋体" w:hAnsi="宋体" w:cs="宋体" w:eastAsia="宋体" w:hint="default"/>
          <w:sz w:val="18"/>
          <w:szCs w:val="18"/>
        </w:rPr>
        <w:sectPr>
          <w:type w:val="continuous"/>
          <w:pgSz w:w="11910" w:h="16840"/>
          <w:pgMar w:top="1600" w:bottom="280" w:left="300" w:right="180"/>
          <w:cols w:num="2" w:equalWidth="0">
            <w:col w:w="5131" w:space="40"/>
            <w:col w:w="625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52.6pt;height:1.5pt;mso-position-horizontal-relative:char;mso-position-vertical-relative:line" coordorigin="0,0" coordsize="11052,30">
            <v:group style="position:absolute;left:15;top:15;width:7085;height:2" coordorigin="15,15" coordsize="7085,2">
              <v:shape style="position:absolute;left:15;top:15;width:7085;height:2" coordorigin="15,15" coordsize="7085,0" path="m15,15l7100,15e" filled="false" stroked="true" strokeweight="1.5pt" strokecolor="#000000">
                <v:path arrowok="t"/>
              </v:shape>
            </v:group>
            <v:group style="position:absolute;left:7100;top:15;width:2076;height:2" coordorigin="7100,15" coordsize="2076,2">
              <v:shape style="position:absolute;left:7100;top:15;width:2076;height:2" coordorigin="7100,15" coordsize="2076,0" path="m7100,15l9176,15e" filled="false" stroked="true" strokeweight="1.5pt" strokecolor="#000000">
                <v:path arrowok="t"/>
              </v:shape>
            </v:group>
            <v:group style="position:absolute;left:9176;top:15;width:1862;height:2" coordorigin="9176,15" coordsize="1862,2">
              <v:shape style="position:absolute;left:9176;top:15;width:1862;height:2" coordorigin="9176,15" coordsize="1862,0" path="m9176,15l11037,15e" filled="false" stroked="true" strokeweight="1.5pt" strokecolor="#000000">
                <v:path arrowok="t"/>
              </v:shape>
            </v:group>
          </v:group>
        </w:pict>
      </w:r>
      <w:r>
        <w:rPr>
          <w:rFonts w:ascii="宋体" w:hAnsi="宋体" w:cs="宋体" w:eastAsia="宋体" w:hint="default"/>
          <w:position w:val="0"/>
          <w:sz w:val="3"/>
          <w:szCs w:val="3"/>
        </w:rPr>
      </w:r>
    </w:p>
    <w:p>
      <w:pPr>
        <w:tabs>
          <w:tab w:pos="3627" w:val="left" w:leader="none"/>
          <w:tab w:pos="5829" w:val="left" w:leader="none"/>
          <w:tab w:pos="7897" w:val="left" w:leader="none"/>
          <w:tab w:pos="9700" w:val="left" w:leader="none"/>
        </w:tabs>
        <w:spacing w:line="226" w:lineRule="exact" w:before="0"/>
        <w:ind w:left="1020"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子公司名称</w:t>
        <w:tab/>
        <w:t>贷款银行</w:t>
        <w:tab/>
        <w:t>贷款金额</w:t>
        <w:tab/>
        <w:t>贷款期限</w:t>
        <w:tab/>
      </w:r>
      <w:r>
        <w:rPr>
          <w:rFonts w:ascii="宋体" w:hAnsi="宋体" w:cs="宋体" w:eastAsia="宋体" w:hint="default"/>
          <w:b/>
          <w:bCs/>
          <w:sz w:val="18"/>
          <w:szCs w:val="18"/>
        </w:rPr>
        <w:t>贸易融资类别</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551.6pt;height:.5pt;mso-position-horizontal-relative:char;mso-position-vertical-relative:line" coordorigin="0,0" coordsize="11032,10">
            <v:group style="position:absolute;left:5;top:5;width:11022;height:2" coordorigin="5,5" coordsize="11022,2">
              <v:shape style="position:absolute;left:5;top:5;width:11022;height:2" coordorigin="5,5" coordsize="11022,0" path="m5,5l11027,5e" filled="false" stroked="true" strokeweight=".48pt" strokecolor="#000000">
                <v:path arrowok="t"/>
              </v:shape>
            </v:group>
          </v:group>
        </w:pict>
      </w:r>
      <w:r>
        <w:rPr>
          <w:rFonts w:ascii="宋体" w:hAnsi="宋体" w:cs="宋体" w:eastAsia="宋体" w:hint="default"/>
          <w:sz w:val="2"/>
          <w:szCs w:val="2"/>
        </w:rPr>
      </w:r>
    </w:p>
    <w:p>
      <w:pPr>
        <w:spacing w:line="167" w:lineRule="exact" w:before="0"/>
        <w:ind w:left="5972" w:right="0" w:firstLine="0"/>
        <w:jc w:val="left"/>
        <w:rPr>
          <w:rFonts w:ascii="宋体" w:hAnsi="宋体" w:cs="宋体" w:eastAsia="宋体" w:hint="default"/>
          <w:sz w:val="18"/>
          <w:szCs w:val="18"/>
        </w:rPr>
      </w:pPr>
      <w:r>
        <w:rPr>
          <w:rFonts w:ascii="宋体" w:hAnsi="宋体" w:cs="宋体" w:eastAsia="宋体" w:hint="default"/>
          <w:sz w:val="18"/>
          <w:szCs w:val="18"/>
        </w:rPr>
        <w:t>972.58</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after="0" w:line="167" w:lineRule="exact"/>
        <w:jc w:val="left"/>
        <w:rPr>
          <w:rFonts w:ascii="宋体" w:hAnsi="宋体" w:cs="宋体" w:eastAsia="宋体" w:hint="default"/>
          <w:sz w:val="18"/>
          <w:szCs w:val="18"/>
        </w:rPr>
        <w:sectPr>
          <w:pgSz w:w="11910" w:h="16840"/>
          <w:pgMar w:header="610" w:footer="784" w:top="1080" w:bottom="980" w:left="360" w:right="240"/>
        </w:sectPr>
      </w:pPr>
    </w:p>
    <w:p>
      <w:pPr>
        <w:tabs>
          <w:tab w:pos="2909" w:val="left" w:leader="none"/>
        </w:tabs>
        <w:spacing w:line="180" w:lineRule="exact" w:before="0"/>
        <w:ind w:left="252" w:right="-19" w:firstLine="0"/>
        <w:jc w:val="left"/>
        <w:rPr>
          <w:rFonts w:ascii="宋体" w:hAnsi="宋体" w:cs="宋体" w:eastAsia="宋体" w:hint="default"/>
          <w:sz w:val="18"/>
          <w:szCs w:val="18"/>
        </w:rPr>
      </w:pPr>
      <w:r>
        <w:rPr>
          <w:rFonts w:ascii="宋体" w:hAnsi="宋体" w:cs="宋体" w:eastAsia="宋体" w:hint="default"/>
          <w:sz w:val="18"/>
          <w:szCs w:val="18"/>
        </w:rPr>
        <w:t>TongFang Global Ltd.</w:t>
        <w:tab/>
        <w:t>招商银行北京分行</w:t>
      </w:r>
    </w:p>
    <w:p>
      <w:pPr>
        <w:spacing w:before="95"/>
        <w:ind w:left="252"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6,441.11</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tabs>
          <w:tab w:pos="2746" w:val="left" w:leader="none"/>
        </w:tabs>
        <w:spacing w:line="180" w:lineRule="exact" w:before="0"/>
        <w:ind w:left="17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2010.12.03-2011.04.21</w:t>
        <w:tab/>
        <w:t>保理业务</w:t>
      </w:r>
    </w:p>
    <w:p>
      <w:pPr>
        <w:spacing w:after="0" w:line="180" w:lineRule="exact"/>
        <w:jc w:val="left"/>
        <w:rPr>
          <w:rFonts w:ascii="宋体" w:hAnsi="宋体" w:cs="宋体" w:eastAsia="宋体" w:hint="default"/>
          <w:sz w:val="18"/>
          <w:szCs w:val="18"/>
        </w:rPr>
        <w:sectPr>
          <w:type w:val="continuous"/>
          <w:pgSz w:w="11910" w:h="16840"/>
          <w:pgMar w:top="1600" w:bottom="280" w:left="360" w:right="240"/>
          <w:cols w:num="3" w:equalWidth="0">
            <w:col w:w="4351" w:space="784"/>
            <w:col w:w="1963" w:space="40"/>
            <w:col w:w="4172"/>
          </w:cols>
        </w:sectPr>
      </w:pPr>
    </w:p>
    <w:p>
      <w:pPr>
        <w:spacing w:line="240" w:lineRule="auto" w:before="5"/>
        <w:rPr>
          <w:rFonts w:ascii="宋体" w:hAnsi="宋体" w:cs="宋体" w:eastAsia="宋体" w:hint="default"/>
          <w:sz w:val="4"/>
          <w:szCs w:val="4"/>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551.6pt;height:.5pt;mso-position-horizontal-relative:char;mso-position-vertical-relative:line" coordorigin="0,0" coordsize="11032,10">
            <v:group style="position:absolute;left:5;top:5;width:11022;height:2" coordorigin="5,5" coordsize="11022,2">
              <v:shape style="position:absolute;left:5;top:5;width:11022;height:2" coordorigin="5,5" coordsize="11022,0" path="m5,5l11027,5e" filled="false" stroked="true" strokeweight=".48pt" strokecolor="#000000">
                <v:path arrowok="t"/>
              </v:shape>
            </v:group>
          </v:group>
        </w:pict>
      </w:r>
      <w:r>
        <w:rPr>
          <w:rFonts w:ascii="宋体" w:hAnsi="宋体" w:cs="宋体" w:eastAsia="宋体" w:hint="default"/>
          <w:sz w:val="2"/>
          <w:szCs w:val="2"/>
        </w:rPr>
      </w:r>
    </w:p>
    <w:p>
      <w:pPr>
        <w:tabs>
          <w:tab w:pos="5285" w:val="left" w:leader="none"/>
        </w:tabs>
        <w:spacing w:before="0"/>
        <w:ind w:left="1291"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约</w:t>
      </w:r>
      <w:r>
        <w:rPr>
          <w:rFonts w:ascii="宋体" w:hAnsi="宋体" w:cs="宋体" w:eastAsia="宋体" w:hint="default"/>
          <w:b/>
          <w:bCs/>
          <w:spacing w:val="-49"/>
          <w:sz w:val="18"/>
          <w:szCs w:val="18"/>
        </w:rPr>
        <w:t> </w:t>
      </w:r>
      <w:r>
        <w:rPr>
          <w:rFonts w:ascii="宋体" w:hAnsi="宋体" w:cs="宋体" w:eastAsia="宋体" w:hint="default"/>
          <w:b/>
          <w:bCs/>
          <w:sz w:val="18"/>
          <w:szCs w:val="18"/>
        </w:rPr>
        <w:t>33,756.73</w:t>
      </w:r>
      <w:r>
        <w:rPr>
          <w:rFonts w:ascii="宋体" w:hAnsi="宋体" w:cs="宋体" w:eastAsia="宋体" w:hint="default"/>
          <w:b/>
          <w:bCs/>
          <w:spacing w:val="-51"/>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553.7pt;height:1.5pt;mso-position-horizontal-relative:char;mso-position-vertical-relative:line" coordorigin="0,0" coordsize="11074,30">
            <v:group style="position:absolute;left:15;top:15;width:2673;height:2" coordorigin="15,15" coordsize="2673,2">
              <v:shape style="position:absolute;left:15;top:15;width:2673;height:2" coordorigin="15,15" coordsize="2673,0" path="m15,15l2687,15e" filled="false" stroked="true" strokeweight="1.5pt" strokecolor="#000000">
                <v:path arrowok="t"/>
              </v:shape>
            </v:group>
            <v:group style="position:absolute;left:2673;top:15;width:2391;height:2" coordorigin="2673,15" coordsize="2391,2">
              <v:shape style="position:absolute;left:2673;top:15;width:2391;height:2" coordorigin="2673,15" coordsize="2391,0" path="m2673,15l5063,15e" filled="false" stroked="true" strokeweight="1.5pt" strokecolor="#000000">
                <v:path arrowok="t"/>
              </v:shape>
            </v:group>
            <v:group style="position:absolute;left:5049;top:15;width:2043;height:2" coordorigin="5049,15" coordsize="2043,2">
              <v:shape style="position:absolute;left:5049;top:15;width:2043;height:2" coordorigin="5049,15" coordsize="2043,0" path="m5049,15l7091,15e" filled="false" stroked="true" strokeweight="1.5pt" strokecolor="#000000">
                <v:path arrowok="t"/>
              </v:shape>
            </v:group>
            <v:group style="position:absolute;left:7077;top:15;width:2121;height:2" coordorigin="7077,15" coordsize="2121,2">
              <v:shape style="position:absolute;left:7077;top:15;width:2121;height:2" coordorigin="7077,15" coordsize="2121,0" path="m7077,15l9197,15e" filled="false" stroked="true" strokeweight="1.5pt" strokecolor="#000000">
                <v:path arrowok="t"/>
              </v:shape>
            </v:group>
            <v:group style="position:absolute;left:9183;top:15;width:1876;height:2" coordorigin="9183,15" coordsize="1876,2">
              <v:shape style="position:absolute;left:9183;top:15;width:1876;height:2" coordorigin="9183,15" coordsize="1876,0" path="m9183,15l1105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1626"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
          <w:sz w:val="22"/>
          <w:szCs w:val="22"/>
        </w:rPr>
        <w:t> </w:t>
      </w:r>
      <w:r>
        <w:rPr>
          <w:rFonts w:ascii="宋体" w:hAnsi="宋体" w:cs="宋体" w:eastAsia="宋体" w:hint="default"/>
          <w:sz w:val="22"/>
          <w:szCs w:val="22"/>
        </w:rPr>
        <w:t>公司债券担保</w:t>
      </w:r>
    </w:p>
    <w:p>
      <w:pPr>
        <w:spacing w:line="240" w:lineRule="auto" w:before="8"/>
        <w:rPr>
          <w:rFonts w:ascii="宋体" w:hAnsi="宋体" w:cs="宋体" w:eastAsia="宋体" w:hint="default"/>
          <w:sz w:val="13"/>
          <w:szCs w:val="13"/>
        </w:rPr>
      </w:pPr>
    </w:p>
    <w:tbl>
      <w:tblPr>
        <w:tblW w:w="0" w:type="auto"/>
        <w:jc w:val="left"/>
        <w:tblInd w:w="950" w:type="dxa"/>
        <w:tblLayout w:type="fixed"/>
        <w:tblCellMar>
          <w:top w:w="0" w:type="dxa"/>
          <w:left w:w="0" w:type="dxa"/>
          <w:bottom w:w="0" w:type="dxa"/>
          <w:right w:w="0" w:type="dxa"/>
        </w:tblCellMar>
        <w:tblLook w:val="01E0"/>
      </w:tblPr>
      <w:tblGrid>
        <w:gridCol w:w="386"/>
        <w:gridCol w:w="2593"/>
        <w:gridCol w:w="2200"/>
        <w:gridCol w:w="1926"/>
        <w:gridCol w:w="1919"/>
        <w:gridCol w:w="386"/>
      </w:tblGrid>
      <w:tr>
        <w:trPr>
          <w:trHeight w:val="303" w:hRule="exact"/>
        </w:trPr>
        <w:tc>
          <w:tcPr>
            <w:tcW w:w="386" w:type="dxa"/>
            <w:vMerge w:val="restart"/>
            <w:tcBorders>
              <w:top w:val="nil" w:sz="6" w:space="0" w:color="auto"/>
              <w:left w:val="nil" w:sz="6" w:space="0" w:color="auto"/>
              <w:right w:val="nil" w:sz="6" w:space="0" w:color="auto"/>
            </w:tcBorders>
          </w:tcPr>
          <w:p>
            <w:pPr/>
          </w:p>
        </w:tc>
        <w:tc>
          <w:tcPr>
            <w:tcW w:w="259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9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0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4" w:right="0"/>
              <w:jc w:val="left"/>
              <w:rPr>
                <w:rFonts w:ascii="宋体" w:hAnsi="宋体" w:cs="宋体" w:eastAsia="宋体" w:hint="default"/>
                <w:sz w:val="18"/>
                <w:szCs w:val="18"/>
              </w:rPr>
            </w:pPr>
            <w:r>
              <w:rPr>
                <w:rFonts w:ascii="宋体" w:hAnsi="宋体" w:cs="宋体" w:eastAsia="宋体" w:hint="default"/>
                <w:b/>
                <w:bCs/>
                <w:sz w:val="18"/>
                <w:szCs w:val="18"/>
              </w:rPr>
              <w:t>债券金额</w:t>
            </w:r>
            <w:r>
              <w:rPr>
                <w:rFonts w:ascii="宋体" w:hAnsi="宋体" w:cs="宋体" w:eastAsia="宋体" w:hint="default"/>
                <w:sz w:val="18"/>
                <w:szCs w:val="18"/>
              </w:rPr>
            </w:r>
          </w:p>
        </w:tc>
        <w:tc>
          <w:tcPr>
            <w:tcW w:w="19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债券期限</w:t>
            </w:r>
            <w:r>
              <w:rPr>
                <w:rFonts w:ascii="宋体" w:hAnsi="宋体" w:cs="宋体" w:eastAsia="宋体" w:hint="default"/>
                <w:sz w:val="18"/>
                <w:szCs w:val="18"/>
              </w:rPr>
            </w:r>
          </w:p>
        </w:tc>
        <w:tc>
          <w:tcPr>
            <w:tcW w:w="19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c>
          <w:tcPr>
            <w:tcW w:w="386" w:type="dxa"/>
            <w:tcBorders>
              <w:top w:val="nil" w:sz="6" w:space="0" w:color="auto"/>
              <w:left w:val="nil" w:sz="6" w:space="0" w:color="auto"/>
              <w:bottom w:val="nil" w:sz="6" w:space="0" w:color="auto"/>
              <w:right w:val="nil" w:sz="6" w:space="0" w:color="auto"/>
            </w:tcBorders>
          </w:tcPr>
          <w:p>
            <w:pPr/>
          </w:p>
        </w:tc>
      </w:tr>
      <w:tr>
        <w:trPr>
          <w:trHeight w:val="303" w:hRule="exact"/>
        </w:trPr>
        <w:tc>
          <w:tcPr>
            <w:tcW w:w="386" w:type="dxa"/>
            <w:vMerge/>
            <w:tcBorders>
              <w:left w:val="nil" w:sz="6" w:space="0" w:color="auto"/>
              <w:right w:val="nil" w:sz="6" w:space="0" w:color="auto"/>
            </w:tcBorders>
          </w:tcPr>
          <w:p>
            <w:pPr/>
          </w:p>
        </w:tc>
        <w:tc>
          <w:tcPr>
            <w:tcW w:w="259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20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877" w:right="0"/>
              <w:jc w:val="left"/>
              <w:rPr>
                <w:rFonts w:ascii="宋体" w:hAnsi="宋体" w:cs="宋体" w:eastAsia="宋体" w:hint="default"/>
                <w:sz w:val="18"/>
                <w:szCs w:val="18"/>
              </w:rPr>
            </w:pPr>
            <w:r>
              <w:rPr>
                <w:rFonts w:ascii="宋体" w:hAnsi="宋体" w:cs="宋体" w:eastAsia="宋体" w:hint="default"/>
                <w:sz w:val="18"/>
                <w:szCs w:val="18"/>
              </w:rPr>
              <w:t>50,000.00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sz w:val="18"/>
              </w:rPr>
              <w:t>2010.9.27-2015.9.26</w:t>
            </w:r>
          </w:p>
        </w:tc>
        <w:tc>
          <w:tcPr>
            <w:tcW w:w="191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2010.9.27-2017.9.26</w:t>
            </w:r>
          </w:p>
        </w:tc>
        <w:tc>
          <w:tcPr>
            <w:tcW w:w="386" w:type="dxa"/>
            <w:tcBorders>
              <w:top w:val="nil" w:sz="6" w:space="0" w:color="auto"/>
              <w:left w:val="nil" w:sz="6" w:space="0" w:color="auto"/>
              <w:bottom w:val="nil" w:sz="6" w:space="0" w:color="auto"/>
              <w:right w:val="nil" w:sz="6" w:space="0" w:color="auto"/>
            </w:tcBorders>
          </w:tcPr>
          <w:p>
            <w:pPr/>
          </w:p>
        </w:tc>
      </w:tr>
      <w:tr>
        <w:trPr>
          <w:trHeight w:val="576" w:hRule="exact"/>
        </w:trPr>
        <w:tc>
          <w:tcPr>
            <w:tcW w:w="386" w:type="dxa"/>
            <w:vMerge/>
            <w:tcBorders>
              <w:left w:val="nil" w:sz="6" w:space="0" w:color="auto"/>
              <w:bottom w:val="single" w:sz="12" w:space="0" w:color="000000"/>
              <w:right w:val="nil" w:sz="6" w:space="0" w:color="auto"/>
            </w:tcBorders>
          </w:tcPr>
          <w:p>
            <w:pPr/>
          </w:p>
        </w:tc>
        <w:tc>
          <w:tcPr>
            <w:tcW w:w="25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89"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信用证担保</w:t>
            </w:r>
          </w:p>
        </w:tc>
        <w:tc>
          <w:tcPr>
            <w:tcW w:w="2200" w:type="dxa"/>
            <w:tcBorders>
              <w:top w:val="single" w:sz="12" w:space="0" w:color="000000"/>
              <w:left w:val="nil" w:sz="6" w:space="0" w:color="auto"/>
              <w:bottom w:val="single" w:sz="12" w:space="0" w:color="000000"/>
              <w:right w:val="nil" w:sz="6" w:space="0" w:color="auto"/>
            </w:tcBorders>
          </w:tcPr>
          <w:p>
            <w:pPr/>
          </w:p>
        </w:tc>
        <w:tc>
          <w:tcPr>
            <w:tcW w:w="1926" w:type="dxa"/>
            <w:tcBorders>
              <w:top w:val="single" w:sz="12" w:space="0" w:color="000000"/>
              <w:left w:val="nil" w:sz="6" w:space="0" w:color="auto"/>
              <w:bottom w:val="single" w:sz="12" w:space="0" w:color="000000"/>
              <w:right w:val="nil" w:sz="6" w:space="0" w:color="auto"/>
            </w:tcBorders>
          </w:tcPr>
          <w:p>
            <w:pPr/>
          </w:p>
        </w:tc>
        <w:tc>
          <w:tcPr>
            <w:tcW w:w="1919" w:type="dxa"/>
            <w:tcBorders>
              <w:top w:val="single" w:sz="12" w:space="0" w:color="000000"/>
              <w:left w:val="nil" w:sz="6" w:space="0" w:color="auto"/>
              <w:bottom w:val="single" w:sz="12" w:space="0" w:color="000000"/>
              <w:right w:val="nil" w:sz="6" w:space="0" w:color="auto"/>
            </w:tcBorders>
          </w:tcPr>
          <w:p>
            <w:pPr/>
          </w:p>
        </w:tc>
        <w:tc>
          <w:tcPr>
            <w:tcW w:w="386"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86" w:type="dxa"/>
            <w:tcBorders>
              <w:top w:val="single" w:sz="12" w:space="0" w:color="000000"/>
              <w:left w:val="nil" w:sz="6" w:space="0" w:color="auto"/>
              <w:bottom w:val="single" w:sz="4" w:space="0" w:color="000000"/>
              <w:right w:val="nil" w:sz="6" w:space="0" w:color="auto"/>
            </w:tcBorders>
          </w:tcPr>
          <w:p>
            <w:pPr/>
          </w:p>
        </w:tc>
        <w:tc>
          <w:tcPr>
            <w:tcW w:w="259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4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0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04"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8" w:right="0"/>
              <w:jc w:val="left"/>
              <w:rPr>
                <w:rFonts w:ascii="宋体" w:hAnsi="宋体" w:cs="宋体" w:eastAsia="宋体" w:hint="default"/>
                <w:sz w:val="18"/>
                <w:szCs w:val="18"/>
              </w:rPr>
            </w:pPr>
            <w:r>
              <w:rPr>
                <w:rFonts w:ascii="宋体" w:hAnsi="宋体" w:cs="宋体" w:eastAsia="宋体" w:hint="default"/>
                <w:b/>
                <w:bCs/>
                <w:sz w:val="18"/>
                <w:szCs w:val="18"/>
              </w:rPr>
              <w:t>信用证金额</w:t>
            </w:r>
            <w:r>
              <w:rPr>
                <w:rFonts w:ascii="宋体" w:hAnsi="宋体" w:cs="宋体" w:eastAsia="宋体" w:hint="default"/>
                <w:sz w:val="18"/>
                <w:szCs w:val="18"/>
              </w:rPr>
            </w:r>
          </w:p>
        </w:tc>
        <w:tc>
          <w:tcPr>
            <w:tcW w:w="191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205"/>
              <w:jc w:val="right"/>
              <w:rPr>
                <w:rFonts w:ascii="宋体" w:hAnsi="宋体" w:cs="宋体" w:eastAsia="宋体" w:hint="default"/>
                <w:sz w:val="18"/>
                <w:szCs w:val="18"/>
              </w:rPr>
            </w:pPr>
            <w:r>
              <w:rPr>
                <w:rFonts w:ascii="宋体" w:hAnsi="宋体" w:cs="宋体" w:eastAsia="宋体" w:hint="default"/>
                <w:b/>
                <w:bCs/>
                <w:w w:val="95"/>
                <w:sz w:val="18"/>
                <w:szCs w:val="18"/>
              </w:rPr>
              <w:t>信用证期限</w:t>
            </w:r>
            <w:r>
              <w:rPr>
                <w:rFonts w:ascii="宋体" w:hAnsi="宋体" w:cs="宋体" w:eastAsia="宋体" w:hint="default"/>
                <w:sz w:val="18"/>
                <w:szCs w:val="18"/>
              </w:rPr>
            </w:r>
          </w:p>
        </w:tc>
        <w:tc>
          <w:tcPr>
            <w:tcW w:w="386" w:type="dxa"/>
            <w:tcBorders>
              <w:top w:val="single" w:sz="12" w:space="0" w:color="000000"/>
              <w:left w:val="nil" w:sz="6" w:space="0" w:color="auto"/>
              <w:bottom w:val="single" w:sz="4" w:space="0" w:color="000000"/>
              <w:right w:val="nil" w:sz="6" w:space="0" w:color="auto"/>
            </w:tcBorders>
          </w:tcPr>
          <w:p>
            <w:pPr/>
          </w:p>
        </w:tc>
      </w:tr>
    </w:tbl>
    <w:p>
      <w:pPr>
        <w:spacing w:after="0"/>
        <w:sectPr>
          <w:type w:val="continuous"/>
          <w:pgSz w:w="11910" w:h="16840"/>
          <w:pgMar w:top="1600" w:bottom="280" w:left="360" w:right="240"/>
        </w:sectPr>
      </w:pPr>
    </w:p>
    <w:p>
      <w:pPr>
        <w:tabs>
          <w:tab w:pos="3821" w:val="left" w:leader="none"/>
        </w:tabs>
        <w:spacing w:before="122"/>
        <w:ind w:left="1058" w:right="-20" w:firstLine="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tab/>
        <w:t>中国银行沈阳分行</w:t>
      </w:r>
    </w:p>
    <w:p>
      <w:pPr>
        <w:spacing w:line="240" w:lineRule="auto" w:before="9"/>
        <w:rPr>
          <w:rFonts w:ascii="宋体" w:hAnsi="宋体" w:cs="宋体" w:eastAsia="宋体" w:hint="default"/>
          <w:sz w:val="25"/>
          <w:szCs w:val="25"/>
        </w:rPr>
      </w:pPr>
    </w:p>
    <w:p>
      <w:pPr>
        <w:tabs>
          <w:tab w:pos="3821" w:val="left" w:leader="none"/>
        </w:tabs>
        <w:spacing w:before="0"/>
        <w:ind w:left="1058" w:right="-20" w:firstLine="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tab/>
        <w:t>上海浦东发展银行和平支行</w:t>
      </w:r>
    </w:p>
    <w:p>
      <w:pPr>
        <w:spacing w:line="221" w:lineRule="exact" w:before="0"/>
        <w:ind w:left="422" w:right="-19" w:firstLine="585"/>
        <w:jc w:val="left"/>
        <w:rPr>
          <w:rFonts w:ascii="宋体" w:hAnsi="宋体" w:cs="宋体" w:eastAsia="宋体" w:hint="default"/>
          <w:sz w:val="18"/>
          <w:szCs w:val="18"/>
        </w:rPr>
      </w:pPr>
      <w:r>
        <w:rPr/>
        <w:br w:type="column"/>
      </w:r>
      <w:r>
        <w:rPr>
          <w:rFonts w:ascii="宋体" w:hAnsi="宋体" w:cs="宋体" w:eastAsia="宋体" w:hint="default"/>
          <w:sz w:val="18"/>
          <w:szCs w:val="18"/>
        </w:rPr>
        <w:t>225.61</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before="47"/>
        <w:ind w:left="422" w:right="-18"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1,494.15</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88" w:lineRule="auto" w:before="47"/>
        <w:ind w:left="602" w:right="-19" w:firstLine="495"/>
        <w:jc w:val="left"/>
        <w:rPr>
          <w:rFonts w:ascii="宋体" w:hAnsi="宋体" w:cs="宋体" w:eastAsia="宋体" w:hint="default"/>
          <w:sz w:val="18"/>
          <w:szCs w:val="18"/>
        </w:rPr>
      </w:pPr>
      <w:r>
        <w:rPr>
          <w:rFonts w:ascii="宋体" w:hAnsi="宋体" w:cs="宋体" w:eastAsia="宋体" w:hint="default"/>
          <w:sz w:val="18"/>
          <w:szCs w:val="18"/>
        </w:rPr>
        <w:t>41.04</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271.77</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before="122"/>
        <w:ind w:left="175" w:right="0" w:firstLine="0"/>
        <w:jc w:val="left"/>
        <w:rPr>
          <w:rFonts w:ascii="宋体" w:hAnsi="宋体" w:cs="宋体" w:eastAsia="宋体" w:hint="default"/>
          <w:sz w:val="18"/>
          <w:szCs w:val="18"/>
        </w:rPr>
      </w:pPr>
      <w:r>
        <w:rPr/>
        <w:br w:type="column"/>
      </w:r>
      <w:r>
        <w:rPr>
          <w:rFonts w:ascii="宋体"/>
          <w:sz w:val="18"/>
        </w:rPr>
        <w:t>2011.08.24-2011.07.11</w:t>
      </w:r>
    </w:p>
    <w:p>
      <w:pPr>
        <w:spacing w:line="240" w:lineRule="auto" w:before="9"/>
        <w:rPr>
          <w:rFonts w:ascii="宋体" w:hAnsi="宋体" w:cs="宋体" w:eastAsia="宋体" w:hint="default"/>
          <w:sz w:val="25"/>
          <w:szCs w:val="25"/>
        </w:rPr>
      </w:pPr>
    </w:p>
    <w:p>
      <w:pPr>
        <w:spacing w:before="0"/>
        <w:ind w:left="175" w:right="0" w:firstLine="0"/>
        <w:jc w:val="left"/>
        <w:rPr>
          <w:rFonts w:ascii="宋体" w:hAnsi="宋体" w:cs="宋体" w:eastAsia="宋体" w:hint="default"/>
          <w:sz w:val="18"/>
          <w:szCs w:val="18"/>
        </w:rPr>
      </w:pPr>
      <w:r>
        <w:rPr>
          <w:rFonts w:ascii="宋体"/>
          <w:sz w:val="18"/>
        </w:rPr>
        <w:t>2010.12.16-2011.03.30</w:t>
      </w:r>
    </w:p>
    <w:p>
      <w:pPr>
        <w:spacing w:after="0"/>
        <w:jc w:val="left"/>
        <w:rPr>
          <w:rFonts w:ascii="宋体" w:hAnsi="宋体" w:cs="宋体" w:eastAsia="宋体" w:hint="default"/>
          <w:sz w:val="18"/>
          <w:szCs w:val="18"/>
        </w:rPr>
        <w:sectPr>
          <w:type w:val="continuous"/>
          <w:pgSz w:w="11910" w:h="16840"/>
          <w:pgMar w:top="1600" w:bottom="280" w:left="360" w:right="240"/>
          <w:cols w:num="3" w:equalWidth="0">
            <w:col w:w="5982" w:space="40"/>
            <w:col w:w="2133" w:space="40"/>
            <w:col w:w="3115"/>
          </w:cols>
        </w:sectPr>
      </w:pPr>
    </w:p>
    <w:p>
      <w:pPr>
        <w:spacing w:line="20" w:lineRule="exact"/>
        <w:ind w:left="945" w:right="0" w:firstLine="0"/>
        <w:rPr>
          <w:rFonts w:ascii="宋体" w:hAnsi="宋体" w:cs="宋体" w:eastAsia="宋体" w:hint="default"/>
          <w:sz w:val="2"/>
          <w:szCs w:val="2"/>
        </w:rPr>
      </w:pPr>
      <w:r>
        <w:rPr>
          <w:rFonts w:ascii="宋体" w:hAnsi="宋体" w:cs="宋体" w:eastAsia="宋体" w:hint="default"/>
          <w:sz w:val="2"/>
          <w:szCs w:val="2"/>
        </w:rPr>
        <w:pict>
          <v:group style="width:471pt;height:.5pt;mso-position-horizontal-relative:char;mso-position-vertical-relative:line" coordorigin="0,0" coordsize="9420,10">
            <v:group style="position:absolute;left:5;top:5;width:9411;height:2" coordorigin="5,5" coordsize="9411,2">
              <v:shape style="position:absolute;left:5;top:5;width:9411;height:2" coordorigin="5,5" coordsize="9411,0" path="m5,5l9415,5e" filled="false" stroked="true" strokeweight=".48pt" strokecolor="#000000">
                <v:path arrowok="t"/>
              </v:shape>
            </v:group>
          </v:group>
        </w:pict>
      </w:r>
      <w:r>
        <w:rPr>
          <w:rFonts w:ascii="宋体" w:hAnsi="宋体" w:cs="宋体" w:eastAsia="宋体" w:hint="default"/>
          <w:sz w:val="2"/>
          <w:szCs w:val="2"/>
        </w:rPr>
      </w:r>
    </w:p>
    <w:p>
      <w:pPr>
        <w:tabs>
          <w:tab w:pos="6433" w:val="left" w:leader="none"/>
        </w:tabs>
        <w:spacing w:before="1"/>
        <w:ind w:left="2150"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约</w:t>
      </w:r>
      <w:r>
        <w:rPr>
          <w:rFonts w:ascii="宋体" w:hAnsi="宋体" w:cs="宋体" w:eastAsia="宋体" w:hint="default"/>
          <w:b/>
          <w:bCs/>
          <w:spacing w:val="-48"/>
          <w:sz w:val="18"/>
          <w:szCs w:val="18"/>
        </w:rPr>
        <w:t> </w:t>
      </w:r>
      <w:r>
        <w:rPr>
          <w:rFonts w:ascii="宋体" w:hAnsi="宋体" w:cs="宋体" w:eastAsia="宋体" w:hint="default"/>
          <w:b/>
          <w:bCs/>
          <w:sz w:val="18"/>
          <w:szCs w:val="18"/>
        </w:rPr>
        <w:t>1,765.92</w:t>
      </w:r>
      <w:r>
        <w:rPr>
          <w:rFonts w:ascii="宋体" w:hAnsi="宋体" w:cs="宋体" w:eastAsia="宋体" w:hint="default"/>
          <w:b/>
          <w:bCs/>
          <w:spacing w:val="-49"/>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92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1pt;height:1.5pt;mso-position-horizontal-relative:char;mso-position-vertical-relative:line" coordorigin="0,0" coordsize="9462,30">
            <v:group style="position:absolute;left:15;top:15;width:2778;height:2" coordorigin="15,15" coordsize="2778,2">
              <v:shape style="position:absolute;left:15;top:15;width:2778;height:2" coordorigin="15,15" coordsize="2778,0" path="m15,15l2793,15e" filled="false" stroked="true" strokeweight="1.5pt" strokecolor="#000000">
                <v:path arrowok="t"/>
              </v:shape>
            </v:group>
            <v:group style="position:absolute;left:2779;top:15;width:2580;height:2" coordorigin="2779,15" coordsize="2580,2">
              <v:shape style="position:absolute;left:2779;top:15;width:2580;height:2" coordorigin="2779,15" coordsize="2580,0" path="m2779,15l5359,15e" filled="false" stroked="true" strokeweight="1.5pt" strokecolor="#000000">
                <v:path arrowok="t"/>
              </v:shape>
            </v:group>
            <v:group style="position:absolute;left:5344;top:15;width:1997;height:2" coordorigin="5344,15" coordsize="1997,2">
              <v:shape style="position:absolute;left:5344;top:15;width:1997;height:2" coordorigin="5344,15" coordsize="1997,0" path="m5344,15l7341,15e" filled="false" stroked="true" strokeweight="1.5pt" strokecolor="#000000">
                <v:path arrowok="t"/>
              </v:shape>
            </v:group>
            <v:group style="position:absolute;left:7327;top:15;width:2121;height:2" coordorigin="7327,15" coordsize="2121,2">
              <v:shape style="position:absolute;left:7327;top:15;width:2121;height:2" coordorigin="7327,15" coordsize="2121,0" path="m7327,15l944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40"/>
          <w:pgMar w:top="1600" w:bottom="280" w:left="360" w:right="240"/>
        </w:sectPr>
      </w:pPr>
    </w:p>
    <w:p>
      <w:pPr>
        <w:spacing w:before="31"/>
        <w:ind w:left="1626"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银行承兑汇票担保</w:t>
      </w:r>
    </w:p>
    <w:p>
      <w:pPr>
        <w:spacing w:line="240" w:lineRule="auto" w:before="5"/>
        <w:rPr>
          <w:rFonts w:ascii="宋体" w:hAnsi="宋体" w:cs="宋体" w:eastAsia="宋体" w:hint="default"/>
          <w:sz w:val="20"/>
          <w:szCs w:val="20"/>
        </w:rPr>
      </w:pPr>
    </w:p>
    <w:p>
      <w:pPr>
        <w:tabs>
          <w:tab w:pos="4808" w:val="left" w:leader="none"/>
          <w:tab w:pos="6439" w:val="left" w:leader="none"/>
        </w:tabs>
        <w:spacing w:line="144" w:lineRule="auto" w:before="0"/>
        <w:ind w:left="6981" w:right="0" w:hanging="4730"/>
        <w:jc w:val="left"/>
        <w:rPr>
          <w:rFonts w:ascii="宋体" w:hAnsi="宋体" w:cs="宋体" w:eastAsia="宋体" w:hint="default"/>
          <w:sz w:val="18"/>
          <w:szCs w:val="18"/>
        </w:rPr>
      </w:pPr>
      <w:r>
        <w:rPr/>
        <w:pict>
          <v:group style="position:absolute;margin-left:84.839996pt;margin-top:-4.402676pt;width:431.9pt;height:.1pt;mso-position-horizontal-relative:page;mso-position-vertical-relative:paragraph;z-index:6592" coordorigin="1697,-88" coordsize="8638,2">
            <v:shape style="position:absolute;left:1697;top:-88;width:8638;height:2" coordorigin="1697,-88" coordsize="8638,0" path="m1697,-88l10334,-88e" filled="false" stroked="true" strokeweight="1.5pt" strokecolor="#000000">
              <v:path arrowok="t"/>
            </v:shape>
            <w10:wrap type="none"/>
          </v:group>
        </w:pict>
      </w:r>
      <w:r>
        <w:rPr>
          <w:rFonts w:ascii="宋体" w:hAnsi="宋体" w:cs="宋体" w:eastAsia="宋体" w:hint="default"/>
          <w:b/>
          <w:bCs/>
          <w:w w:val="95"/>
          <w:sz w:val="18"/>
          <w:szCs w:val="18"/>
        </w:rPr>
        <w:t>子公司名称</w:t>
        <w:tab/>
        <w:t>贷款银行</w:t>
        <w:tab/>
      </w:r>
      <w:r>
        <w:rPr>
          <w:rFonts w:ascii="宋体" w:hAnsi="宋体" w:cs="宋体" w:eastAsia="宋体" w:hint="default"/>
          <w:b/>
          <w:bCs/>
          <w:w w:val="95"/>
          <w:position w:val="10"/>
          <w:sz w:val="18"/>
          <w:szCs w:val="18"/>
        </w:rPr>
        <w:t>银行承兑汇票金</w:t>
      </w:r>
      <w:r>
        <w:rPr>
          <w:rFonts w:ascii="宋体" w:hAnsi="宋体" w:cs="宋体" w:eastAsia="宋体" w:hint="default"/>
          <w:b/>
          <w:bCs/>
          <w:spacing w:val="-28"/>
          <w:w w:val="95"/>
          <w:position w:val="10"/>
          <w:sz w:val="18"/>
          <w:szCs w:val="18"/>
        </w:rPr>
        <w:t> </w:t>
      </w:r>
      <w:r>
        <w:rPr>
          <w:rFonts w:ascii="宋体" w:hAnsi="宋体" w:cs="宋体" w:eastAsia="宋体" w:hint="default"/>
          <w:b/>
          <w:bCs/>
          <w:spacing w:val="-28"/>
          <w:w w:val="95"/>
          <w:position w:val="10"/>
          <w:sz w:val="18"/>
          <w:szCs w:val="18"/>
        </w:rPr>
      </w:r>
      <w:r>
        <w:rPr>
          <w:rFonts w:ascii="宋体" w:hAnsi="宋体" w:cs="宋体" w:eastAsia="宋体" w:hint="default"/>
          <w:b/>
          <w:bCs/>
          <w:sz w:val="18"/>
          <w:szCs w:val="18"/>
        </w:rPr>
        <w:t>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4"/>
          <w:szCs w:val="24"/>
        </w:rPr>
      </w:pPr>
    </w:p>
    <w:p>
      <w:pPr>
        <w:spacing w:before="0"/>
        <w:ind w:left="644" w:right="0" w:firstLine="0"/>
        <w:jc w:val="left"/>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360" w:right="240"/>
          <w:cols w:num="2" w:equalWidth="0">
            <w:col w:w="7703" w:space="40"/>
            <w:col w:w="3567"/>
          </w:cols>
        </w:sectPr>
      </w:pPr>
    </w:p>
    <w:p>
      <w:pPr>
        <w:spacing w:line="240" w:lineRule="auto" w:before="3"/>
        <w:rPr>
          <w:rFonts w:ascii="宋体" w:hAnsi="宋体" w:cs="宋体" w:eastAsia="宋体" w:hint="default"/>
          <w:b/>
          <w:bCs/>
          <w:sz w:val="2"/>
          <w:szCs w:val="2"/>
        </w:rPr>
      </w:pPr>
    </w:p>
    <w:tbl>
      <w:tblPr>
        <w:tblW w:w="0" w:type="auto"/>
        <w:jc w:val="left"/>
        <w:tblInd w:w="1207" w:type="dxa"/>
        <w:tblLayout w:type="fixed"/>
        <w:tblCellMar>
          <w:top w:w="0" w:type="dxa"/>
          <w:left w:w="0" w:type="dxa"/>
          <w:bottom w:w="0" w:type="dxa"/>
          <w:right w:w="0" w:type="dxa"/>
        </w:tblCellMar>
        <w:tblLook w:val="01E0"/>
      </w:tblPr>
      <w:tblGrid>
        <w:gridCol w:w="108"/>
        <w:gridCol w:w="5038"/>
        <w:gridCol w:w="1557"/>
        <w:gridCol w:w="2093"/>
        <w:gridCol w:w="100"/>
      </w:tblGrid>
      <w:tr>
        <w:trPr>
          <w:trHeight w:val="283" w:hRule="exact"/>
        </w:trPr>
        <w:tc>
          <w:tcPr>
            <w:tcW w:w="108" w:type="dxa"/>
            <w:vMerge w:val="restart"/>
            <w:tcBorders>
              <w:top w:val="nil" w:sz="6" w:space="0" w:color="auto"/>
              <w:left w:val="nil" w:sz="6" w:space="0" w:color="auto"/>
              <w:right w:val="nil" w:sz="6" w:space="0" w:color="auto"/>
            </w:tcBorders>
          </w:tcPr>
          <w:p>
            <w:pPr/>
          </w:p>
        </w:tc>
        <w:tc>
          <w:tcPr>
            <w:tcW w:w="5038" w:type="dxa"/>
            <w:tcBorders>
              <w:top w:val="single" w:sz="4" w:space="0" w:color="000000"/>
              <w:left w:val="nil" w:sz="6" w:space="0" w:color="auto"/>
              <w:bottom w:val="nil" w:sz="6" w:space="0" w:color="auto"/>
              <w:right w:val="nil" w:sz="6" w:space="0" w:color="auto"/>
            </w:tcBorders>
          </w:tcPr>
          <w:p>
            <w:pPr>
              <w:pStyle w:val="TableParagraph"/>
              <w:tabs>
                <w:tab w:pos="2865" w:val="left" w:leader="none"/>
              </w:tabs>
              <w:spacing w:line="226" w:lineRule="exact"/>
              <w:ind w:left="129" w:right="0"/>
              <w:jc w:val="left"/>
              <w:rPr>
                <w:rFonts w:ascii="宋体" w:hAnsi="宋体" w:cs="宋体" w:eastAsia="宋体" w:hint="default"/>
                <w:sz w:val="18"/>
                <w:szCs w:val="18"/>
              </w:rPr>
            </w:pPr>
            <w:r>
              <w:rPr>
                <w:rFonts w:ascii="宋体" w:hAnsi="宋体" w:cs="宋体" w:eastAsia="宋体" w:hint="default"/>
                <w:sz w:val="18"/>
                <w:szCs w:val="18"/>
              </w:rPr>
              <w:t>北京同方光盘股份有限公司</w:t>
              <w:tab/>
              <w:t>北京银行清华园支行</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26" w:lineRule="exact"/>
              <w:ind w:right="140"/>
              <w:jc w:val="right"/>
              <w:rPr>
                <w:rFonts w:ascii="宋体" w:hAnsi="宋体" w:cs="宋体" w:eastAsia="宋体" w:hint="default"/>
                <w:sz w:val="18"/>
                <w:szCs w:val="18"/>
              </w:rPr>
            </w:pPr>
            <w:r>
              <w:rPr>
                <w:rFonts w:ascii="宋体" w:hAnsi="宋体" w:cs="宋体" w:eastAsia="宋体" w:hint="default"/>
                <w:sz w:val="18"/>
                <w:szCs w:val="18"/>
              </w:rPr>
              <w:t>196.8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single" w:sz="4" w:space="0" w:color="000000"/>
              <w:left w:val="nil" w:sz="6" w:space="0" w:color="auto"/>
              <w:bottom w:val="nil" w:sz="6" w:space="0" w:color="auto"/>
              <w:right w:val="nil" w:sz="6" w:space="0" w:color="auto"/>
            </w:tcBorders>
          </w:tcPr>
          <w:p>
            <w:pPr>
              <w:pStyle w:val="TableParagraph"/>
              <w:spacing w:line="226" w:lineRule="exact"/>
              <w:ind w:left="73" w:right="0"/>
              <w:jc w:val="left"/>
              <w:rPr>
                <w:rFonts w:ascii="宋体" w:hAnsi="宋体" w:cs="宋体" w:eastAsia="宋体" w:hint="default"/>
                <w:sz w:val="18"/>
                <w:szCs w:val="18"/>
              </w:rPr>
            </w:pPr>
            <w:r>
              <w:rPr>
                <w:rFonts w:ascii="宋体"/>
                <w:sz w:val="18"/>
              </w:rPr>
              <w:t>2010.10.13-2011.03.09</w:t>
            </w:r>
          </w:p>
        </w:tc>
        <w:tc>
          <w:tcPr>
            <w:tcW w:w="100" w:type="dxa"/>
            <w:tcBorders>
              <w:top w:val="nil" w:sz="6" w:space="0" w:color="auto"/>
              <w:left w:val="nil" w:sz="6" w:space="0" w:color="auto"/>
              <w:bottom w:val="nil" w:sz="6" w:space="0" w:color="auto"/>
              <w:right w:val="nil" w:sz="6" w:space="0" w:color="auto"/>
            </w:tcBorders>
          </w:tcPr>
          <w:p>
            <w:pPr/>
          </w:p>
        </w:tc>
      </w:tr>
      <w:tr>
        <w:trPr>
          <w:trHeight w:val="283" w:hRule="exact"/>
        </w:trPr>
        <w:tc>
          <w:tcPr>
            <w:tcW w:w="108" w:type="dxa"/>
            <w:vMerge/>
            <w:tcBorders>
              <w:left w:val="nil" w:sz="6" w:space="0" w:color="auto"/>
              <w:right w:val="nil" w:sz="6" w:space="0" w:color="auto"/>
            </w:tcBorders>
          </w:tcPr>
          <w:p>
            <w:pPr/>
          </w:p>
        </w:tc>
        <w:tc>
          <w:tcPr>
            <w:tcW w:w="5038" w:type="dxa"/>
            <w:tcBorders>
              <w:top w:val="nil" w:sz="6" w:space="0" w:color="auto"/>
              <w:left w:val="nil" w:sz="6" w:space="0" w:color="auto"/>
              <w:bottom w:val="nil" w:sz="6" w:space="0" w:color="auto"/>
              <w:right w:val="nil" w:sz="6" w:space="0" w:color="auto"/>
            </w:tcBorders>
          </w:tcPr>
          <w:p>
            <w:pPr>
              <w:pStyle w:val="TableParagraph"/>
              <w:tabs>
                <w:tab w:pos="2865" w:val="left" w:leader="none"/>
              </w:tabs>
              <w:spacing w:line="232" w:lineRule="exact"/>
              <w:ind w:left="129"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tab/>
              <w:t>北京银行清华园支行</w:t>
            </w:r>
          </w:p>
        </w:tc>
        <w:tc>
          <w:tcPr>
            <w:tcW w:w="1557" w:type="dxa"/>
            <w:tcBorders>
              <w:top w:val="nil" w:sz="6" w:space="0" w:color="auto"/>
              <w:left w:val="nil" w:sz="6" w:space="0" w:color="auto"/>
              <w:bottom w:val="nil" w:sz="6" w:space="0" w:color="auto"/>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hAnsi="宋体" w:cs="宋体" w:eastAsia="宋体" w:hint="default"/>
                <w:sz w:val="18"/>
                <w:szCs w:val="18"/>
              </w:rPr>
              <w:t>3,696.47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nil" w:sz="6" w:space="0" w:color="auto"/>
              <w:left w:val="nil" w:sz="6" w:space="0" w:color="auto"/>
              <w:bottom w:val="nil" w:sz="6" w:space="0" w:color="auto"/>
              <w:right w:val="nil" w:sz="6" w:space="0" w:color="auto"/>
            </w:tcBorders>
          </w:tcPr>
          <w:p>
            <w:pPr>
              <w:pStyle w:val="TableParagraph"/>
              <w:spacing w:line="232" w:lineRule="exact"/>
              <w:ind w:left="73" w:right="0"/>
              <w:jc w:val="left"/>
              <w:rPr>
                <w:rFonts w:ascii="宋体" w:hAnsi="宋体" w:cs="宋体" w:eastAsia="宋体" w:hint="default"/>
                <w:sz w:val="18"/>
                <w:szCs w:val="18"/>
              </w:rPr>
            </w:pPr>
            <w:r>
              <w:rPr>
                <w:rFonts w:ascii="宋体"/>
                <w:sz w:val="18"/>
              </w:rPr>
              <w:t>2010.07.23-2011.06.22</w:t>
            </w:r>
          </w:p>
        </w:tc>
        <w:tc>
          <w:tcPr>
            <w:tcW w:w="100" w:type="dxa"/>
            <w:tcBorders>
              <w:top w:val="nil" w:sz="6" w:space="0" w:color="auto"/>
              <w:left w:val="nil" w:sz="6" w:space="0" w:color="auto"/>
              <w:bottom w:val="nil" w:sz="6" w:space="0" w:color="auto"/>
              <w:right w:val="nil" w:sz="6" w:space="0" w:color="auto"/>
            </w:tcBorders>
          </w:tcPr>
          <w:p>
            <w:pPr/>
          </w:p>
        </w:tc>
      </w:tr>
      <w:tr>
        <w:trPr>
          <w:trHeight w:val="283" w:hRule="exact"/>
        </w:trPr>
        <w:tc>
          <w:tcPr>
            <w:tcW w:w="108" w:type="dxa"/>
            <w:vMerge/>
            <w:tcBorders>
              <w:left w:val="nil" w:sz="6" w:space="0" w:color="auto"/>
              <w:right w:val="nil" w:sz="6" w:space="0" w:color="auto"/>
            </w:tcBorders>
          </w:tcPr>
          <w:p>
            <w:pPr/>
          </w:p>
        </w:tc>
        <w:tc>
          <w:tcPr>
            <w:tcW w:w="5038" w:type="dxa"/>
            <w:tcBorders>
              <w:top w:val="nil" w:sz="6" w:space="0" w:color="auto"/>
              <w:left w:val="nil" w:sz="6" w:space="0" w:color="auto"/>
              <w:bottom w:val="nil" w:sz="6" w:space="0" w:color="auto"/>
              <w:right w:val="nil" w:sz="6" w:space="0" w:color="auto"/>
            </w:tcBorders>
          </w:tcPr>
          <w:p>
            <w:pPr>
              <w:pStyle w:val="TableParagraph"/>
              <w:tabs>
                <w:tab w:pos="2865" w:val="left" w:leader="none"/>
              </w:tabs>
              <w:spacing w:line="231" w:lineRule="exact"/>
              <w:ind w:left="129"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tab/>
              <w:t>北京银行清华园支行</w:t>
            </w:r>
          </w:p>
        </w:tc>
        <w:tc>
          <w:tcPr>
            <w:tcW w:w="1557" w:type="dxa"/>
            <w:tcBorders>
              <w:top w:val="nil" w:sz="6" w:space="0" w:color="auto"/>
              <w:left w:val="nil" w:sz="6" w:space="0" w:color="auto"/>
              <w:bottom w:val="nil" w:sz="6" w:space="0" w:color="auto"/>
              <w:right w:val="nil" w:sz="6" w:space="0" w:color="auto"/>
            </w:tcBorders>
          </w:tcPr>
          <w:p>
            <w:pPr>
              <w:pStyle w:val="TableParagraph"/>
              <w:spacing w:line="231" w:lineRule="exact"/>
              <w:ind w:right="140"/>
              <w:jc w:val="right"/>
              <w:rPr>
                <w:rFonts w:ascii="宋体" w:hAnsi="宋体" w:cs="宋体" w:eastAsia="宋体" w:hint="default"/>
                <w:sz w:val="18"/>
                <w:szCs w:val="18"/>
              </w:rPr>
            </w:pPr>
            <w:r>
              <w:rPr>
                <w:rFonts w:ascii="宋体" w:hAnsi="宋体" w:cs="宋体" w:eastAsia="宋体" w:hint="default"/>
                <w:sz w:val="18"/>
                <w:szCs w:val="18"/>
              </w:rPr>
              <w:t>23.42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nil" w:sz="6" w:space="0" w:color="auto"/>
              <w:left w:val="nil" w:sz="6" w:space="0" w:color="auto"/>
              <w:bottom w:val="nil" w:sz="6" w:space="0" w:color="auto"/>
              <w:right w:val="nil" w:sz="6" w:space="0" w:color="auto"/>
            </w:tcBorders>
          </w:tcPr>
          <w:p>
            <w:pPr>
              <w:pStyle w:val="TableParagraph"/>
              <w:spacing w:line="231" w:lineRule="exact"/>
              <w:ind w:left="73" w:right="0"/>
              <w:jc w:val="left"/>
              <w:rPr>
                <w:rFonts w:ascii="宋体" w:hAnsi="宋体" w:cs="宋体" w:eastAsia="宋体" w:hint="default"/>
                <w:sz w:val="18"/>
                <w:szCs w:val="18"/>
              </w:rPr>
            </w:pPr>
            <w:r>
              <w:rPr>
                <w:rFonts w:ascii="宋体"/>
                <w:sz w:val="18"/>
              </w:rPr>
              <w:t>2010.12.07-2011.03.07</w:t>
            </w:r>
          </w:p>
        </w:tc>
        <w:tc>
          <w:tcPr>
            <w:tcW w:w="100" w:type="dxa"/>
            <w:tcBorders>
              <w:top w:val="nil" w:sz="6" w:space="0" w:color="auto"/>
              <w:left w:val="nil" w:sz="6" w:space="0" w:color="auto"/>
              <w:bottom w:val="nil" w:sz="6" w:space="0" w:color="auto"/>
              <w:right w:val="nil" w:sz="6" w:space="0" w:color="auto"/>
            </w:tcBorders>
          </w:tcPr>
          <w:p>
            <w:pPr/>
          </w:p>
        </w:tc>
      </w:tr>
      <w:tr>
        <w:trPr>
          <w:trHeight w:val="283" w:hRule="exact"/>
        </w:trPr>
        <w:tc>
          <w:tcPr>
            <w:tcW w:w="108" w:type="dxa"/>
            <w:vMerge/>
            <w:tcBorders>
              <w:left w:val="nil" w:sz="6" w:space="0" w:color="auto"/>
              <w:right w:val="nil" w:sz="6" w:space="0" w:color="auto"/>
            </w:tcBorders>
          </w:tcPr>
          <w:p>
            <w:pPr/>
          </w:p>
        </w:tc>
        <w:tc>
          <w:tcPr>
            <w:tcW w:w="5038" w:type="dxa"/>
            <w:tcBorders>
              <w:top w:val="nil" w:sz="6" w:space="0" w:color="auto"/>
              <w:left w:val="nil" w:sz="6" w:space="0" w:color="auto"/>
              <w:bottom w:val="nil" w:sz="6" w:space="0" w:color="auto"/>
              <w:right w:val="nil" w:sz="6" w:space="0" w:color="auto"/>
            </w:tcBorders>
          </w:tcPr>
          <w:p>
            <w:pPr>
              <w:pStyle w:val="TableParagraph"/>
              <w:tabs>
                <w:tab w:pos="2735" w:val="left" w:leader="none"/>
              </w:tabs>
              <w:spacing w:line="232" w:lineRule="exact"/>
              <w:ind w:right="189"/>
              <w:jc w:val="right"/>
              <w:rPr>
                <w:rFonts w:ascii="宋体" w:hAnsi="宋体" w:cs="宋体" w:eastAsia="宋体" w:hint="default"/>
                <w:sz w:val="18"/>
                <w:szCs w:val="18"/>
              </w:rPr>
            </w:pPr>
            <w:r>
              <w:rPr>
                <w:rFonts w:ascii="宋体" w:hAnsi="宋体" w:cs="宋体" w:eastAsia="宋体" w:hint="default"/>
                <w:sz w:val="18"/>
                <w:szCs w:val="18"/>
              </w:rPr>
              <w:t>北京同方微电子有限公司</w:t>
              <w:tab/>
              <w:t>交通银行北京林萃路支行</w:t>
            </w:r>
          </w:p>
        </w:tc>
        <w:tc>
          <w:tcPr>
            <w:tcW w:w="1557" w:type="dxa"/>
            <w:tcBorders>
              <w:top w:val="nil" w:sz="6" w:space="0" w:color="auto"/>
              <w:left w:val="nil" w:sz="6" w:space="0" w:color="auto"/>
              <w:bottom w:val="nil" w:sz="6" w:space="0" w:color="auto"/>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hAnsi="宋体" w:cs="宋体" w:eastAsia="宋体" w:hint="default"/>
                <w:sz w:val="18"/>
                <w:szCs w:val="18"/>
              </w:rPr>
              <w:t>9,257.54</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nil" w:sz="6" w:space="0" w:color="auto"/>
              <w:left w:val="nil" w:sz="6" w:space="0" w:color="auto"/>
              <w:bottom w:val="nil" w:sz="6" w:space="0" w:color="auto"/>
              <w:right w:val="nil" w:sz="6" w:space="0" w:color="auto"/>
            </w:tcBorders>
          </w:tcPr>
          <w:p>
            <w:pPr>
              <w:pStyle w:val="TableParagraph"/>
              <w:spacing w:line="232" w:lineRule="exact"/>
              <w:ind w:left="73" w:right="0"/>
              <w:jc w:val="left"/>
              <w:rPr>
                <w:rFonts w:ascii="宋体" w:hAnsi="宋体" w:cs="宋体" w:eastAsia="宋体" w:hint="default"/>
                <w:sz w:val="18"/>
                <w:szCs w:val="18"/>
              </w:rPr>
            </w:pPr>
            <w:r>
              <w:rPr>
                <w:rFonts w:ascii="宋体"/>
                <w:sz w:val="18"/>
              </w:rPr>
              <w:t>2010.07.20-2011.06.20</w:t>
            </w:r>
          </w:p>
        </w:tc>
        <w:tc>
          <w:tcPr>
            <w:tcW w:w="100" w:type="dxa"/>
            <w:tcBorders>
              <w:top w:val="nil" w:sz="6" w:space="0" w:color="auto"/>
              <w:left w:val="nil" w:sz="6" w:space="0" w:color="auto"/>
              <w:bottom w:val="nil" w:sz="6" w:space="0" w:color="auto"/>
              <w:right w:val="nil" w:sz="6" w:space="0" w:color="auto"/>
            </w:tcBorders>
          </w:tcPr>
          <w:p>
            <w:pPr/>
          </w:p>
        </w:tc>
      </w:tr>
      <w:tr>
        <w:trPr>
          <w:trHeight w:val="283" w:hRule="exact"/>
        </w:trPr>
        <w:tc>
          <w:tcPr>
            <w:tcW w:w="108" w:type="dxa"/>
            <w:vMerge/>
            <w:tcBorders>
              <w:left w:val="nil" w:sz="6" w:space="0" w:color="auto"/>
              <w:right w:val="nil" w:sz="6" w:space="0" w:color="auto"/>
            </w:tcBorders>
          </w:tcPr>
          <w:p>
            <w:pPr/>
          </w:p>
        </w:tc>
        <w:tc>
          <w:tcPr>
            <w:tcW w:w="5038" w:type="dxa"/>
            <w:tcBorders>
              <w:top w:val="nil" w:sz="6" w:space="0" w:color="auto"/>
              <w:left w:val="nil" w:sz="6" w:space="0" w:color="auto"/>
              <w:bottom w:val="nil" w:sz="6" w:space="0" w:color="auto"/>
              <w:right w:val="nil" w:sz="6" w:space="0" w:color="auto"/>
            </w:tcBorders>
          </w:tcPr>
          <w:p>
            <w:pPr>
              <w:pStyle w:val="TableParagraph"/>
              <w:tabs>
                <w:tab w:pos="2865" w:val="left" w:leader="none"/>
              </w:tabs>
              <w:spacing w:line="232" w:lineRule="exact"/>
              <w:ind w:left="129" w:right="0"/>
              <w:jc w:val="left"/>
              <w:rPr>
                <w:rFonts w:ascii="宋体" w:hAnsi="宋体" w:cs="宋体" w:eastAsia="宋体" w:hint="default"/>
                <w:sz w:val="18"/>
                <w:szCs w:val="18"/>
              </w:rPr>
            </w:pPr>
            <w:r>
              <w:rPr>
                <w:rFonts w:ascii="宋体" w:hAnsi="宋体" w:cs="宋体" w:eastAsia="宋体" w:hint="default"/>
                <w:sz w:val="18"/>
                <w:szCs w:val="18"/>
              </w:rPr>
              <w:t>深圳市同方多媒体科技有限公司</w:t>
              <w:tab/>
              <w:t>中国建设银行深圳分行</w:t>
            </w:r>
          </w:p>
        </w:tc>
        <w:tc>
          <w:tcPr>
            <w:tcW w:w="1557" w:type="dxa"/>
            <w:tcBorders>
              <w:top w:val="nil" w:sz="6" w:space="0" w:color="auto"/>
              <w:left w:val="nil" w:sz="6" w:space="0" w:color="auto"/>
              <w:bottom w:val="nil" w:sz="6" w:space="0" w:color="auto"/>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hAnsi="宋体" w:cs="宋体" w:eastAsia="宋体" w:hint="default"/>
                <w:sz w:val="18"/>
                <w:szCs w:val="18"/>
              </w:rPr>
              <w:t>5,375.51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nil" w:sz="6" w:space="0" w:color="auto"/>
              <w:left w:val="nil" w:sz="6" w:space="0" w:color="auto"/>
              <w:bottom w:val="nil" w:sz="6" w:space="0" w:color="auto"/>
              <w:right w:val="nil" w:sz="6" w:space="0" w:color="auto"/>
            </w:tcBorders>
          </w:tcPr>
          <w:p>
            <w:pPr>
              <w:pStyle w:val="TableParagraph"/>
              <w:spacing w:line="232" w:lineRule="exact"/>
              <w:ind w:left="73" w:right="0"/>
              <w:jc w:val="left"/>
              <w:rPr>
                <w:rFonts w:ascii="宋体" w:hAnsi="宋体" w:cs="宋体" w:eastAsia="宋体" w:hint="default"/>
                <w:sz w:val="18"/>
                <w:szCs w:val="18"/>
              </w:rPr>
            </w:pPr>
            <w:r>
              <w:rPr>
                <w:rFonts w:ascii="宋体"/>
                <w:sz w:val="18"/>
              </w:rPr>
              <w:t>2010.07.27-2011.06.19</w:t>
            </w:r>
          </w:p>
        </w:tc>
        <w:tc>
          <w:tcPr>
            <w:tcW w:w="100" w:type="dxa"/>
            <w:tcBorders>
              <w:top w:val="nil" w:sz="6" w:space="0" w:color="auto"/>
              <w:left w:val="nil" w:sz="6" w:space="0" w:color="auto"/>
              <w:bottom w:val="nil" w:sz="6" w:space="0" w:color="auto"/>
              <w:right w:val="nil" w:sz="6" w:space="0" w:color="auto"/>
            </w:tcBorders>
          </w:tcPr>
          <w:p>
            <w:pPr/>
          </w:p>
        </w:tc>
      </w:tr>
      <w:tr>
        <w:trPr>
          <w:trHeight w:val="294" w:hRule="exact"/>
        </w:trPr>
        <w:tc>
          <w:tcPr>
            <w:tcW w:w="108" w:type="dxa"/>
            <w:vMerge/>
            <w:tcBorders>
              <w:left w:val="nil" w:sz="6" w:space="0" w:color="auto"/>
              <w:right w:val="nil" w:sz="6" w:space="0" w:color="auto"/>
            </w:tcBorders>
          </w:tcPr>
          <w:p>
            <w:pPr/>
          </w:p>
        </w:tc>
        <w:tc>
          <w:tcPr>
            <w:tcW w:w="5038" w:type="dxa"/>
            <w:tcBorders>
              <w:top w:val="nil" w:sz="6" w:space="0" w:color="auto"/>
              <w:left w:val="nil" w:sz="6" w:space="0" w:color="auto"/>
              <w:bottom w:val="single" w:sz="4" w:space="0" w:color="000000"/>
              <w:right w:val="nil" w:sz="6" w:space="0" w:color="auto"/>
            </w:tcBorders>
          </w:tcPr>
          <w:p>
            <w:pPr>
              <w:pStyle w:val="TableParagraph"/>
              <w:tabs>
                <w:tab w:pos="2735" w:val="left" w:leader="none"/>
              </w:tabs>
              <w:spacing w:line="232" w:lineRule="exact"/>
              <w:ind w:right="189"/>
              <w:jc w:val="right"/>
              <w:rPr>
                <w:rFonts w:ascii="宋体" w:hAnsi="宋体" w:cs="宋体" w:eastAsia="宋体" w:hint="default"/>
                <w:sz w:val="18"/>
                <w:szCs w:val="18"/>
              </w:rPr>
            </w:pPr>
            <w:r>
              <w:rPr>
                <w:rFonts w:ascii="宋体" w:hAnsi="宋体" w:cs="宋体" w:eastAsia="宋体" w:hint="default"/>
                <w:sz w:val="18"/>
                <w:szCs w:val="18"/>
              </w:rPr>
              <w:t>同方人工环境有限公司</w:t>
              <w:tab/>
              <w:t>交通银行北京林萃路支行</w:t>
            </w:r>
          </w:p>
        </w:tc>
        <w:tc>
          <w:tcPr>
            <w:tcW w:w="1557" w:type="dxa"/>
            <w:tcBorders>
              <w:top w:val="nil" w:sz="6" w:space="0" w:color="auto"/>
              <w:left w:val="nil" w:sz="6" w:space="0" w:color="auto"/>
              <w:bottom w:val="single" w:sz="4" w:space="0" w:color="000000"/>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hAnsi="宋体" w:cs="宋体" w:eastAsia="宋体" w:hint="default"/>
                <w:sz w:val="18"/>
                <w:szCs w:val="18"/>
              </w:rPr>
              <w:t>1,270.00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nil" w:sz="6" w:space="0" w:color="auto"/>
              <w:left w:val="nil" w:sz="6" w:space="0" w:color="auto"/>
              <w:bottom w:val="single" w:sz="4" w:space="0" w:color="000000"/>
              <w:right w:val="nil" w:sz="6" w:space="0" w:color="auto"/>
            </w:tcBorders>
          </w:tcPr>
          <w:p>
            <w:pPr>
              <w:pStyle w:val="TableParagraph"/>
              <w:spacing w:line="232" w:lineRule="exact"/>
              <w:ind w:left="73" w:right="0"/>
              <w:jc w:val="left"/>
              <w:rPr>
                <w:rFonts w:ascii="宋体" w:hAnsi="宋体" w:cs="宋体" w:eastAsia="宋体" w:hint="default"/>
                <w:sz w:val="18"/>
                <w:szCs w:val="18"/>
              </w:rPr>
            </w:pPr>
            <w:r>
              <w:rPr>
                <w:rFonts w:ascii="宋体"/>
                <w:sz w:val="18"/>
              </w:rPr>
              <w:t>2010.07.09-2011.04.28</w:t>
            </w:r>
          </w:p>
        </w:tc>
        <w:tc>
          <w:tcPr>
            <w:tcW w:w="100" w:type="dxa"/>
            <w:tcBorders>
              <w:top w:val="nil" w:sz="6" w:space="0" w:color="auto"/>
              <w:left w:val="nil" w:sz="6" w:space="0" w:color="auto"/>
              <w:bottom w:val="nil" w:sz="6" w:space="0" w:color="auto"/>
              <w:right w:val="nil" w:sz="6" w:space="0" w:color="auto"/>
            </w:tcBorders>
          </w:tcPr>
          <w:p>
            <w:pPr/>
          </w:p>
        </w:tc>
      </w:tr>
      <w:tr>
        <w:trPr>
          <w:trHeight w:val="303" w:hRule="exact"/>
        </w:trPr>
        <w:tc>
          <w:tcPr>
            <w:tcW w:w="108" w:type="dxa"/>
            <w:vMerge/>
            <w:tcBorders>
              <w:left w:val="nil" w:sz="6" w:space="0" w:color="auto"/>
              <w:right w:val="nil" w:sz="6" w:space="0" w:color="auto"/>
            </w:tcBorders>
          </w:tcPr>
          <w:p>
            <w:pPr/>
          </w:p>
        </w:tc>
        <w:tc>
          <w:tcPr>
            <w:tcW w:w="503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2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39"/>
              <w:jc w:val="right"/>
              <w:rPr>
                <w:rFonts w:ascii="宋体" w:hAnsi="宋体" w:cs="宋体" w:eastAsia="宋体" w:hint="default"/>
                <w:sz w:val="18"/>
                <w:szCs w:val="18"/>
              </w:rPr>
            </w:pPr>
            <w:r>
              <w:rPr>
                <w:rFonts w:ascii="宋体" w:hAnsi="宋体" w:cs="宋体" w:eastAsia="宋体" w:hint="default"/>
                <w:b/>
                <w:bCs/>
                <w:sz w:val="18"/>
                <w:szCs w:val="18"/>
              </w:rPr>
              <w:t>19,819.74</w:t>
            </w:r>
            <w:r>
              <w:rPr>
                <w:rFonts w:ascii="宋体" w:hAnsi="宋体" w:cs="宋体" w:eastAsia="宋体" w:hint="default"/>
                <w:b/>
                <w:bCs/>
                <w:spacing w:val="-50"/>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093" w:type="dxa"/>
            <w:tcBorders>
              <w:top w:val="single" w:sz="4" w:space="0" w:color="000000"/>
              <w:left w:val="nil" w:sz="6" w:space="0" w:color="auto"/>
              <w:bottom w:val="single" w:sz="12" w:space="0" w:color="000000"/>
              <w:right w:val="nil" w:sz="6" w:space="0" w:color="auto"/>
            </w:tcBorders>
          </w:tcPr>
          <w:p>
            <w:pPr/>
          </w:p>
        </w:tc>
        <w:tc>
          <w:tcPr>
            <w:tcW w:w="100" w:type="dxa"/>
            <w:tcBorders>
              <w:top w:val="nil" w:sz="6" w:space="0" w:color="auto"/>
              <w:left w:val="nil" w:sz="6" w:space="0" w:color="auto"/>
              <w:bottom w:val="nil" w:sz="6" w:space="0" w:color="auto"/>
              <w:right w:val="nil" w:sz="6" w:space="0" w:color="auto"/>
            </w:tcBorders>
          </w:tcPr>
          <w:p>
            <w:pPr/>
          </w:p>
        </w:tc>
      </w:tr>
      <w:tr>
        <w:trPr>
          <w:trHeight w:val="576" w:hRule="exact"/>
        </w:trPr>
        <w:tc>
          <w:tcPr>
            <w:tcW w:w="108" w:type="dxa"/>
            <w:vMerge/>
            <w:tcBorders>
              <w:left w:val="nil" w:sz="6" w:space="0" w:color="auto"/>
              <w:right w:val="nil" w:sz="6" w:space="0" w:color="auto"/>
            </w:tcBorders>
          </w:tcPr>
          <w:p>
            <w:pPr/>
          </w:p>
        </w:tc>
        <w:tc>
          <w:tcPr>
            <w:tcW w:w="50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310" w:right="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4"/>
                <w:sz w:val="22"/>
                <w:szCs w:val="22"/>
              </w:rPr>
              <w:t> </w:t>
            </w:r>
            <w:r>
              <w:rPr>
                <w:rFonts w:ascii="宋体" w:hAnsi="宋体" w:cs="宋体" w:eastAsia="宋体" w:hint="default"/>
                <w:sz w:val="22"/>
                <w:szCs w:val="22"/>
              </w:rPr>
              <w:t>保函担保</w:t>
            </w:r>
          </w:p>
        </w:tc>
        <w:tc>
          <w:tcPr>
            <w:tcW w:w="1557" w:type="dxa"/>
            <w:tcBorders>
              <w:top w:val="single" w:sz="12" w:space="0" w:color="000000"/>
              <w:left w:val="nil" w:sz="6" w:space="0" w:color="auto"/>
              <w:bottom w:val="single" w:sz="12" w:space="0" w:color="000000"/>
              <w:right w:val="nil" w:sz="6" w:space="0" w:color="auto"/>
            </w:tcBorders>
          </w:tcPr>
          <w:p>
            <w:pPr/>
          </w:p>
        </w:tc>
        <w:tc>
          <w:tcPr>
            <w:tcW w:w="2093" w:type="dxa"/>
            <w:tcBorders>
              <w:top w:val="single" w:sz="12" w:space="0" w:color="000000"/>
              <w:left w:val="nil" w:sz="6" w:space="0" w:color="auto"/>
              <w:bottom w:val="single" w:sz="12" w:space="0" w:color="000000"/>
              <w:right w:val="nil" w:sz="6" w:space="0" w:color="auto"/>
            </w:tcBorders>
          </w:tcPr>
          <w:p>
            <w:pPr/>
          </w:p>
        </w:tc>
        <w:tc>
          <w:tcPr>
            <w:tcW w:w="100"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108" w:type="dxa"/>
            <w:vMerge/>
            <w:tcBorders>
              <w:left w:val="nil" w:sz="6" w:space="0" w:color="auto"/>
              <w:right w:val="nil" w:sz="6" w:space="0" w:color="auto"/>
            </w:tcBorders>
          </w:tcPr>
          <w:p>
            <w:pPr/>
          </w:p>
        </w:tc>
        <w:tc>
          <w:tcPr>
            <w:tcW w:w="5038" w:type="dxa"/>
            <w:tcBorders>
              <w:top w:val="single" w:sz="12" w:space="0" w:color="000000"/>
              <w:left w:val="nil" w:sz="6" w:space="0" w:color="auto"/>
              <w:bottom w:val="single" w:sz="4" w:space="0" w:color="000000"/>
              <w:right w:val="nil" w:sz="6" w:space="0" w:color="auto"/>
            </w:tcBorders>
          </w:tcPr>
          <w:p>
            <w:pPr>
              <w:pStyle w:val="TableParagraph"/>
              <w:tabs>
                <w:tab w:pos="3065" w:val="left" w:leader="none"/>
              </w:tabs>
              <w:spacing w:line="226" w:lineRule="exact"/>
              <w:ind w:left="633" w:right="0"/>
              <w:jc w:val="left"/>
              <w:rPr>
                <w:rFonts w:ascii="宋体" w:hAnsi="宋体" w:cs="宋体" w:eastAsia="宋体" w:hint="default"/>
                <w:sz w:val="18"/>
                <w:szCs w:val="18"/>
              </w:rPr>
            </w:pPr>
            <w:r>
              <w:rPr>
                <w:rFonts w:ascii="宋体" w:hAnsi="宋体" w:cs="宋体" w:eastAsia="宋体" w:hint="default"/>
                <w:b/>
                <w:bCs/>
                <w:w w:val="95"/>
                <w:sz w:val="18"/>
                <w:szCs w:val="18"/>
              </w:rPr>
              <w:t>子公司名称</w:t>
              <w:tab/>
            </w:r>
            <w:r>
              <w:rPr>
                <w:rFonts w:ascii="宋体" w:hAnsi="宋体" w:cs="宋体" w:eastAsia="宋体" w:hint="default"/>
                <w:b/>
                <w:bCs/>
                <w:sz w:val="18"/>
                <w:szCs w:val="18"/>
              </w:rPr>
              <w:t>贷款银行</w:t>
            </w:r>
            <w:r>
              <w:rPr>
                <w:rFonts w:ascii="宋体" w:hAnsi="宋体" w:cs="宋体" w:eastAsia="宋体" w:hint="default"/>
                <w:sz w:val="18"/>
                <w:szCs w:val="18"/>
              </w:rPr>
            </w:r>
          </w:p>
        </w:tc>
        <w:tc>
          <w:tcPr>
            <w:tcW w:w="155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209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55" w:right="0"/>
              <w:jc w:val="left"/>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c>
          <w:tcPr>
            <w:tcW w:w="100" w:type="dxa"/>
            <w:tcBorders>
              <w:top w:val="single" w:sz="12" w:space="0" w:color="000000"/>
              <w:left w:val="nil" w:sz="6" w:space="0" w:color="auto"/>
              <w:bottom w:val="single" w:sz="4" w:space="0" w:color="000000"/>
              <w:right w:val="nil" w:sz="6" w:space="0" w:color="auto"/>
            </w:tcBorders>
          </w:tcPr>
          <w:p>
            <w:pPr/>
          </w:p>
        </w:tc>
      </w:tr>
      <w:tr>
        <w:trPr>
          <w:trHeight w:val="282" w:hRule="exact"/>
        </w:trPr>
        <w:tc>
          <w:tcPr>
            <w:tcW w:w="108" w:type="dxa"/>
            <w:vMerge/>
            <w:tcBorders>
              <w:left w:val="nil" w:sz="6" w:space="0" w:color="auto"/>
              <w:right w:val="nil" w:sz="6" w:space="0" w:color="auto"/>
            </w:tcBorders>
          </w:tcPr>
          <w:p>
            <w:pPr/>
          </w:p>
        </w:tc>
        <w:tc>
          <w:tcPr>
            <w:tcW w:w="5038" w:type="dxa"/>
            <w:tcBorders>
              <w:top w:val="single" w:sz="4" w:space="0" w:color="000000"/>
              <w:left w:val="nil" w:sz="6" w:space="0" w:color="auto"/>
              <w:bottom w:val="nil" w:sz="6" w:space="0" w:color="auto"/>
              <w:right w:val="nil" w:sz="6" w:space="0" w:color="auto"/>
            </w:tcBorders>
          </w:tcPr>
          <w:p>
            <w:pPr>
              <w:pStyle w:val="TableParagraph"/>
              <w:tabs>
                <w:tab w:pos="2389" w:val="left" w:leader="none"/>
              </w:tabs>
              <w:spacing w:line="226" w:lineRule="exact"/>
              <w:ind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tab/>
              <w:t>交通银行北京林萃路支行</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26" w:lineRule="exact"/>
              <w:ind w:right="71"/>
              <w:jc w:val="right"/>
              <w:rPr>
                <w:rFonts w:ascii="宋体" w:hAnsi="宋体" w:cs="宋体" w:eastAsia="宋体" w:hint="default"/>
                <w:sz w:val="18"/>
                <w:szCs w:val="18"/>
              </w:rPr>
            </w:pPr>
            <w:r>
              <w:rPr>
                <w:rFonts w:ascii="宋体" w:hAnsi="宋体" w:cs="宋体" w:eastAsia="宋体" w:hint="default"/>
                <w:sz w:val="18"/>
                <w:szCs w:val="18"/>
              </w:rPr>
              <w:t>395.31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single" w:sz="4" w:space="0" w:color="000000"/>
              <w:left w:val="nil" w:sz="6" w:space="0" w:color="auto"/>
              <w:bottom w:val="nil" w:sz="6" w:space="0" w:color="auto"/>
              <w:right w:val="nil" w:sz="6" w:space="0" w:color="auto"/>
            </w:tcBorders>
          </w:tcPr>
          <w:p>
            <w:pPr>
              <w:pStyle w:val="TableParagraph"/>
              <w:spacing w:line="226" w:lineRule="exact"/>
              <w:ind w:right="29"/>
              <w:jc w:val="right"/>
              <w:rPr>
                <w:rFonts w:ascii="宋体" w:hAnsi="宋体" w:cs="宋体" w:eastAsia="宋体" w:hint="default"/>
                <w:sz w:val="18"/>
                <w:szCs w:val="18"/>
              </w:rPr>
            </w:pPr>
            <w:r>
              <w:rPr>
                <w:rFonts w:ascii="宋体"/>
                <w:sz w:val="18"/>
              </w:rPr>
              <w:t>2009.07.24-2014.03.17</w:t>
            </w:r>
          </w:p>
        </w:tc>
        <w:tc>
          <w:tcPr>
            <w:tcW w:w="100" w:type="dxa"/>
            <w:tcBorders>
              <w:top w:val="single" w:sz="4" w:space="0" w:color="000000"/>
              <w:left w:val="nil" w:sz="6" w:space="0" w:color="auto"/>
              <w:bottom w:val="nil" w:sz="6" w:space="0" w:color="auto"/>
              <w:right w:val="nil" w:sz="6" w:space="0" w:color="auto"/>
            </w:tcBorders>
          </w:tcPr>
          <w:p>
            <w:pPr/>
          </w:p>
        </w:tc>
      </w:tr>
      <w:tr>
        <w:trPr>
          <w:trHeight w:val="283" w:hRule="exact"/>
        </w:trPr>
        <w:tc>
          <w:tcPr>
            <w:tcW w:w="108" w:type="dxa"/>
            <w:vMerge/>
            <w:tcBorders>
              <w:left w:val="nil" w:sz="6" w:space="0" w:color="auto"/>
              <w:bottom w:val="nil" w:sz="6" w:space="0" w:color="auto"/>
              <w:right w:val="nil" w:sz="6" w:space="0" w:color="auto"/>
            </w:tcBorders>
          </w:tcPr>
          <w:p>
            <w:pPr/>
          </w:p>
        </w:tc>
        <w:tc>
          <w:tcPr>
            <w:tcW w:w="5038" w:type="dxa"/>
            <w:tcBorders>
              <w:top w:val="nil" w:sz="6" w:space="0" w:color="auto"/>
              <w:left w:val="nil" w:sz="6" w:space="0" w:color="auto"/>
              <w:bottom w:val="nil" w:sz="6" w:space="0" w:color="auto"/>
              <w:right w:val="nil" w:sz="6" w:space="0" w:color="auto"/>
            </w:tcBorders>
          </w:tcPr>
          <w:p>
            <w:pPr>
              <w:pStyle w:val="TableParagraph"/>
              <w:tabs>
                <w:tab w:pos="2389" w:val="left" w:leader="none"/>
              </w:tabs>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tab/>
              <w:t>交通银行北京林萃路支行</w:t>
            </w:r>
          </w:p>
        </w:tc>
        <w:tc>
          <w:tcPr>
            <w:tcW w:w="1557" w:type="dxa"/>
            <w:tcBorders>
              <w:top w:val="nil" w:sz="6" w:space="0" w:color="auto"/>
              <w:left w:val="nil" w:sz="6" w:space="0" w:color="auto"/>
              <w:bottom w:val="nil" w:sz="6" w:space="0" w:color="auto"/>
              <w:right w:val="nil" w:sz="6" w:space="0" w:color="auto"/>
            </w:tcBorders>
          </w:tcPr>
          <w:p>
            <w:pPr>
              <w:pStyle w:val="TableParagraph"/>
              <w:spacing w:line="232" w:lineRule="exact"/>
              <w:ind w:right="71"/>
              <w:jc w:val="right"/>
              <w:rPr>
                <w:rFonts w:ascii="宋体" w:hAnsi="宋体" w:cs="宋体" w:eastAsia="宋体" w:hint="default"/>
                <w:sz w:val="18"/>
                <w:szCs w:val="18"/>
              </w:rPr>
            </w:pPr>
            <w:r>
              <w:rPr>
                <w:rFonts w:ascii="宋体" w:hAnsi="宋体" w:cs="宋体" w:eastAsia="宋体" w:hint="default"/>
                <w:sz w:val="18"/>
                <w:szCs w:val="18"/>
              </w:rPr>
              <w:t>15.62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nil" w:sz="6" w:space="0" w:color="auto"/>
              <w:left w:val="nil" w:sz="6" w:space="0" w:color="auto"/>
              <w:bottom w:val="nil" w:sz="6" w:space="0" w:color="auto"/>
              <w:right w:val="nil" w:sz="6" w:space="0" w:color="auto"/>
            </w:tcBorders>
          </w:tcPr>
          <w:p>
            <w:pPr>
              <w:pStyle w:val="TableParagraph"/>
              <w:spacing w:line="232" w:lineRule="exact"/>
              <w:ind w:right="29"/>
              <w:jc w:val="right"/>
              <w:rPr>
                <w:rFonts w:ascii="宋体" w:hAnsi="宋体" w:cs="宋体" w:eastAsia="宋体" w:hint="default"/>
                <w:sz w:val="18"/>
                <w:szCs w:val="18"/>
              </w:rPr>
            </w:pPr>
            <w:r>
              <w:rPr>
                <w:rFonts w:ascii="宋体"/>
                <w:sz w:val="18"/>
              </w:rPr>
              <w:t>2009.06.29-2011.06.30</w:t>
            </w:r>
          </w:p>
        </w:tc>
        <w:tc>
          <w:tcPr>
            <w:tcW w:w="100" w:type="dxa"/>
            <w:tcBorders>
              <w:top w:val="nil" w:sz="6" w:space="0" w:color="auto"/>
              <w:left w:val="nil" w:sz="6" w:space="0" w:color="auto"/>
              <w:bottom w:val="nil" w:sz="6" w:space="0" w:color="auto"/>
              <w:right w:val="nil" w:sz="6" w:space="0" w:color="auto"/>
            </w:tcBorders>
          </w:tcPr>
          <w:p>
            <w:pPr/>
          </w:p>
        </w:tc>
      </w:tr>
      <w:tr>
        <w:trPr>
          <w:trHeight w:val="295" w:hRule="exact"/>
        </w:trPr>
        <w:tc>
          <w:tcPr>
            <w:tcW w:w="108" w:type="dxa"/>
            <w:tcBorders>
              <w:top w:val="nil" w:sz="6" w:space="0" w:color="auto"/>
              <w:left w:val="nil" w:sz="6" w:space="0" w:color="auto"/>
              <w:bottom w:val="nil" w:sz="6" w:space="0" w:color="auto"/>
              <w:right w:val="nil" w:sz="6" w:space="0" w:color="auto"/>
            </w:tcBorders>
          </w:tcPr>
          <w:p>
            <w:pPr/>
          </w:p>
        </w:tc>
        <w:tc>
          <w:tcPr>
            <w:tcW w:w="5038" w:type="dxa"/>
            <w:tcBorders>
              <w:top w:val="nil" w:sz="6" w:space="0" w:color="auto"/>
              <w:left w:val="nil" w:sz="6" w:space="0" w:color="auto"/>
              <w:bottom w:val="nil" w:sz="6" w:space="0" w:color="auto"/>
              <w:right w:val="nil" w:sz="6" w:space="0" w:color="auto"/>
            </w:tcBorders>
          </w:tcPr>
          <w:p>
            <w:pPr>
              <w:pStyle w:val="TableParagraph"/>
              <w:tabs>
                <w:tab w:pos="2389" w:val="left" w:leader="none"/>
              </w:tabs>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tab/>
              <w:t>中国银行北京分行</w:t>
            </w:r>
          </w:p>
        </w:tc>
        <w:tc>
          <w:tcPr>
            <w:tcW w:w="1557" w:type="dxa"/>
            <w:tcBorders>
              <w:top w:val="nil" w:sz="6" w:space="0" w:color="auto"/>
              <w:left w:val="nil" w:sz="6" w:space="0" w:color="auto"/>
              <w:bottom w:val="nil" w:sz="6" w:space="0" w:color="auto"/>
              <w:right w:val="nil" w:sz="6" w:space="0" w:color="auto"/>
            </w:tcBorders>
          </w:tcPr>
          <w:p>
            <w:pPr>
              <w:pStyle w:val="TableParagraph"/>
              <w:spacing w:line="232" w:lineRule="exact"/>
              <w:ind w:right="71"/>
              <w:jc w:val="right"/>
              <w:rPr>
                <w:rFonts w:ascii="宋体" w:hAnsi="宋体" w:cs="宋体" w:eastAsia="宋体" w:hint="default"/>
                <w:sz w:val="18"/>
                <w:szCs w:val="18"/>
              </w:rPr>
            </w:pPr>
            <w:r>
              <w:rPr>
                <w:rFonts w:ascii="宋体" w:hAnsi="宋体" w:cs="宋体" w:eastAsia="宋体" w:hint="default"/>
                <w:sz w:val="18"/>
                <w:szCs w:val="18"/>
              </w:rPr>
              <w:t>1,760.00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3"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hAnsi="宋体" w:cs="宋体" w:eastAsia="宋体" w:hint="default"/>
                <w:sz w:val="18"/>
                <w:szCs w:val="18"/>
              </w:rPr>
              <w:t>2009.04.20-</w:t>
            </w:r>
            <w:r>
              <w:rPr>
                <w:rFonts w:ascii="宋体" w:hAnsi="宋体" w:cs="宋体" w:eastAsia="宋体" w:hint="default"/>
                <w:spacing w:val="-29"/>
                <w:sz w:val="18"/>
                <w:szCs w:val="18"/>
              </w:rPr>
              <w:t> </w:t>
            </w:r>
            <w:r>
              <w:rPr>
                <w:rFonts w:ascii="宋体" w:hAnsi="宋体" w:cs="宋体" w:eastAsia="宋体" w:hint="default"/>
                <w:sz w:val="18"/>
                <w:szCs w:val="18"/>
              </w:rPr>
              <w:t>------敞口</w:t>
            </w:r>
          </w:p>
        </w:tc>
        <w:tc>
          <w:tcPr>
            <w:tcW w:w="10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360" w:right="240"/>
        </w:sectPr>
      </w:pPr>
    </w:p>
    <w:p>
      <w:pPr>
        <w:tabs>
          <w:tab w:pos="3704" w:val="left" w:leader="none"/>
        </w:tabs>
        <w:spacing w:line="576" w:lineRule="auto" w:before="132"/>
        <w:ind w:left="1315" w:right="0" w:hanging="1"/>
        <w:jc w:val="left"/>
        <w:rPr>
          <w:rFonts w:ascii="宋体" w:hAnsi="宋体" w:cs="宋体" w:eastAsia="宋体" w:hint="default"/>
          <w:sz w:val="18"/>
          <w:szCs w:val="18"/>
        </w:rPr>
      </w:pPr>
      <w:r>
        <w:rPr>
          <w:rFonts w:ascii="宋体" w:hAnsi="宋体" w:cs="宋体" w:eastAsia="宋体" w:hint="default"/>
          <w:sz w:val="18"/>
          <w:szCs w:val="18"/>
        </w:rPr>
        <w:t>同方威视技术股份有限公司</w:t>
        <w:tab/>
        <w:t>中国银行北京分行 同方威视技术股份有限公司</w:t>
        <w:tab/>
        <w:t>南洋商业银行 同方威视技术股份有限公司</w:t>
        <w:tab/>
        <w:t>中国银行北京分行 同方威视技术股份有限公司</w:t>
        <w:tab/>
        <w:t>中国银行北京分行 同方威视技术股份有限公司</w:t>
        <w:tab/>
        <w:t>中国银行北京分行 同方江新造船有限公司</w:t>
        <w:tab/>
        <w:t>交通银行九江分行 同方江新造船有限公司</w:t>
        <w:tab/>
        <w:t>交通银行九江分行</w:t>
      </w:r>
    </w:p>
    <w:p>
      <w:pPr>
        <w:tabs>
          <w:tab w:pos="3705" w:val="left" w:leader="none"/>
        </w:tabs>
        <w:spacing w:before="92"/>
        <w:ind w:left="1316" w:right="-20" w:firstLine="0"/>
        <w:jc w:val="left"/>
        <w:rPr>
          <w:rFonts w:ascii="宋体" w:hAnsi="宋体" w:cs="宋体" w:eastAsia="宋体" w:hint="default"/>
          <w:sz w:val="18"/>
          <w:szCs w:val="18"/>
        </w:rPr>
      </w:pPr>
      <w:r>
        <w:rPr/>
        <w:pict>
          <v:group style="position:absolute;margin-left:77.970001pt;margin-top:11.146117pt;width:445.95pt;height:1.5pt;mso-position-horizontal-relative:page;mso-position-vertical-relative:paragraph;z-index:-1044424" coordorigin="1559,223" coordsize="8919,30">
            <v:group style="position:absolute;left:1574;top:238;width:2375;height:2" coordorigin="1574,238" coordsize="2375,2">
              <v:shape style="position:absolute;left:1574;top:238;width:2375;height:2" coordorigin="1574,238" coordsize="2375,0" path="m1574,238l3949,238e" filled="false" stroked="true" strokeweight="1.5pt" strokecolor="#000000">
                <v:path arrowok="t"/>
              </v:shape>
            </v:group>
            <v:group style="position:absolute;left:3964;top:238;width:2280;height:2" coordorigin="3964,238" coordsize="2280,2">
              <v:shape style="position:absolute;left:3964;top:238;width:2280;height:2" coordorigin="3964,238" coordsize="2280,0" path="m3964,238l6244,238e" filled="false" stroked="true" strokeweight="1.5pt" strokecolor="#000000">
                <v:path arrowok="t"/>
              </v:shape>
            </v:group>
            <v:group style="position:absolute;left:6258;top:238;width:2039;height:2" coordorigin="6258,238" coordsize="2039,2">
              <v:shape style="position:absolute;left:6258;top:238;width:2039;height:2" coordorigin="6258,238" coordsize="2039,0" path="m6258,238l8297,238e" filled="false" stroked="true" strokeweight="1.5pt" strokecolor="#000000">
                <v:path arrowok="t"/>
              </v:shape>
            </v:group>
            <v:group style="position:absolute;left:8311;top:238;width:2152;height:2" coordorigin="8311,238" coordsize="2152,2">
              <v:shape style="position:absolute;left:8311;top:238;width:2152;height:2" coordorigin="8311,238" coordsize="2152,0" path="m8311,238l10463,238e" filled="false" stroked="true" strokeweight="1.5pt" strokecolor="#000000">
                <v:path arrowok="t"/>
              </v:shape>
            </v:group>
            <w10:wrap type="none"/>
          </v:group>
        </w:pict>
      </w:r>
      <w:r>
        <w:rPr>
          <w:rFonts w:ascii="宋体" w:hAnsi="宋体" w:cs="宋体" w:eastAsia="宋体" w:hint="default"/>
          <w:sz w:val="18"/>
          <w:szCs w:val="18"/>
        </w:rPr>
        <w:t>同方江新造船有限公司</w:t>
        <w:tab/>
        <w:t>中国农业银行湖口县支行</w:t>
      </w:r>
    </w:p>
    <w:p>
      <w:pPr>
        <w:spacing w:line="220" w:lineRule="exact" w:before="0"/>
        <w:ind w:left="0" w:right="1" w:firstLine="0"/>
        <w:jc w:val="right"/>
        <w:rPr>
          <w:rFonts w:ascii="宋体" w:hAnsi="宋体" w:cs="宋体" w:eastAsia="宋体" w:hint="default"/>
          <w:sz w:val="18"/>
          <w:szCs w:val="18"/>
        </w:rPr>
      </w:pPr>
      <w:r>
        <w:rPr/>
        <w:br w:type="column"/>
      </w:r>
      <w:r>
        <w:rPr>
          <w:rFonts w:ascii="宋体" w:hAnsi="宋体" w:cs="宋体" w:eastAsia="宋体" w:hint="default"/>
          <w:sz w:val="18"/>
          <w:szCs w:val="18"/>
        </w:rPr>
        <w:t>646.89</w:t>
      </w:r>
      <w:r>
        <w:rPr>
          <w:rFonts w:ascii="宋体" w:hAnsi="宋体" w:cs="宋体" w:eastAsia="宋体" w:hint="default"/>
          <w:spacing w:val="-46"/>
          <w:sz w:val="18"/>
          <w:szCs w:val="18"/>
        </w:rPr>
        <w:t> </w:t>
      </w:r>
      <w:r>
        <w:rPr>
          <w:rFonts w:ascii="宋体" w:hAnsi="宋体" w:cs="宋体" w:eastAsia="宋体" w:hint="default"/>
          <w:sz w:val="18"/>
          <w:szCs w:val="18"/>
        </w:rPr>
        <w:t>美元</w:t>
      </w:r>
    </w:p>
    <w:p>
      <w:pPr>
        <w:spacing w:before="46"/>
        <w:ind w:left="0" w:right="1"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4,284.18</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88" w:lineRule="auto" w:before="47"/>
        <w:ind w:left="400" w:right="0" w:firstLine="585"/>
        <w:jc w:val="right"/>
        <w:rPr>
          <w:rFonts w:ascii="宋体" w:hAnsi="宋体" w:cs="宋体" w:eastAsia="宋体" w:hint="default"/>
          <w:sz w:val="18"/>
          <w:szCs w:val="18"/>
        </w:rPr>
      </w:pPr>
      <w:r>
        <w:rPr>
          <w:rFonts w:ascii="宋体" w:hAnsi="宋体" w:cs="宋体" w:eastAsia="宋体" w:hint="default"/>
          <w:sz w:val="18"/>
          <w:szCs w:val="18"/>
        </w:rPr>
        <w:t>410.00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2,715.31</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88" w:lineRule="auto" w:before="11"/>
        <w:ind w:left="400" w:right="0" w:firstLine="585"/>
        <w:jc w:val="right"/>
        <w:rPr>
          <w:rFonts w:ascii="宋体" w:hAnsi="宋体" w:cs="宋体" w:eastAsia="宋体" w:hint="default"/>
          <w:sz w:val="18"/>
          <w:szCs w:val="18"/>
        </w:rPr>
      </w:pPr>
      <w:r>
        <w:rPr>
          <w:rFonts w:ascii="宋体" w:hAnsi="宋体" w:cs="宋体" w:eastAsia="宋体" w:hint="default"/>
          <w:sz w:val="18"/>
          <w:szCs w:val="18"/>
        </w:rPr>
        <w:t>218.02</w:t>
      </w:r>
      <w:r>
        <w:rPr>
          <w:rFonts w:ascii="宋体" w:hAnsi="宋体" w:cs="宋体" w:eastAsia="宋体" w:hint="default"/>
          <w:spacing w:val="-46"/>
          <w:sz w:val="18"/>
          <w:szCs w:val="18"/>
        </w:rPr>
        <w:t> </w:t>
      </w:r>
      <w:r>
        <w:rPr>
          <w:rFonts w:ascii="宋体" w:hAnsi="宋体" w:cs="宋体" w:eastAsia="宋体" w:hint="default"/>
          <w:sz w:val="18"/>
          <w:szCs w:val="18"/>
        </w:rPr>
        <w:t>万欧元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1,919.97</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88" w:lineRule="auto" w:before="11"/>
        <w:ind w:left="446" w:right="0" w:firstLine="629"/>
        <w:jc w:val="right"/>
        <w:rPr>
          <w:rFonts w:ascii="宋体" w:hAnsi="宋体" w:cs="宋体" w:eastAsia="宋体" w:hint="default"/>
          <w:sz w:val="18"/>
          <w:szCs w:val="18"/>
        </w:rPr>
      </w:pPr>
      <w:r>
        <w:rPr>
          <w:rFonts w:ascii="宋体" w:hAnsi="宋体" w:cs="宋体" w:eastAsia="宋体" w:hint="default"/>
          <w:sz w:val="18"/>
          <w:szCs w:val="18"/>
        </w:rPr>
        <w:t>16.88</w:t>
      </w:r>
      <w:r>
        <w:rPr>
          <w:rFonts w:ascii="宋体" w:hAnsi="宋体" w:cs="宋体" w:eastAsia="宋体" w:hint="default"/>
          <w:spacing w:val="-46"/>
          <w:sz w:val="18"/>
          <w:szCs w:val="18"/>
        </w:rPr>
        <w:t> </w:t>
      </w:r>
      <w:r>
        <w:rPr>
          <w:rFonts w:ascii="宋体" w:hAnsi="宋体" w:cs="宋体" w:eastAsia="宋体" w:hint="default"/>
          <w:sz w:val="18"/>
          <w:szCs w:val="18"/>
        </w:rPr>
        <w:t>万英镑</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172.45</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128.59</w:t>
      </w:r>
      <w:r>
        <w:rPr>
          <w:rFonts w:ascii="宋体" w:hAnsi="宋体" w:cs="宋体" w:eastAsia="宋体" w:hint="default"/>
          <w:spacing w:val="-46"/>
          <w:sz w:val="18"/>
          <w:szCs w:val="18"/>
        </w:rPr>
        <w:t> </w:t>
      </w:r>
      <w:r>
        <w:rPr>
          <w:rFonts w:ascii="宋体" w:hAnsi="宋体" w:cs="宋体" w:eastAsia="宋体" w:hint="default"/>
          <w:sz w:val="18"/>
          <w:szCs w:val="18"/>
        </w:rPr>
        <w:t>万波兰兹罗提</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286.93</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4,558.80</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before="11"/>
        <w:ind w:left="0" w:right="0"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30,191.56</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before="47"/>
        <w:ind w:left="0" w:right="0" w:firstLine="0"/>
        <w:jc w:val="right"/>
        <w:rPr>
          <w:rFonts w:ascii="宋体" w:hAnsi="宋体" w:cs="宋体" w:eastAsia="宋体" w:hint="default"/>
          <w:sz w:val="18"/>
          <w:szCs w:val="18"/>
        </w:rPr>
      </w:pPr>
      <w:r>
        <w:rPr>
          <w:rFonts w:ascii="宋体" w:hAnsi="宋体" w:cs="宋体" w:eastAsia="宋体" w:hint="default"/>
          <w:sz w:val="18"/>
          <w:szCs w:val="18"/>
        </w:rPr>
        <w:t>1,384.00</w:t>
      </w:r>
      <w:r>
        <w:rPr>
          <w:rFonts w:ascii="宋体" w:hAnsi="宋体" w:cs="宋体" w:eastAsia="宋体" w:hint="default"/>
          <w:spacing w:val="-46"/>
          <w:sz w:val="18"/>
          <w:szCs w:val="18"/>
        </w:rPr>
        <w:t> </w:t>
      </w:r>
      <w:r>
        <w:rPr>
          <w:rFonts w:ascii="宋体" w:hAnsi="宋体" w:cs="宋体" w:eastAsia="宋体" w:hint="default"/>
          <w:sz w:val="18"/>
          <w:szCs w:val="18"/>
        </w:rPr>
        <w:t>万欧元</w:t>
      </w:r>
    </w:p>
    <w:p>
      <w:pPr>
        <w:spacing w:before="46"/>
        <w:ind w:left="0" w:right="0"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12,188.2</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before="47"/>
        <w:ind w:left="0" w:right="0" w:firstLine="0"/>
        <w:jc w:val="right"/>
        <w:rPr>
          <w:rFonts w:ascii="宋体" w:hAnsi="宋体" w:cs="宋体" w:eastAsia="宋体" w:hint="default"/>
          <w:sz w:val="18"/>
          <w:szCs w:val="18"/>
        </w:rPr>
      </w:pPr>
      <w:r>
        <w:rPr>
          <w:rFonts w:ascii="宋体" w:hAnsi="宋体" w:cs="宋体" w:eastAsia="宋体" w:hint="default"/>
          <w:sz w:val="18"/>
          <w:szCs w:val="18"/>
        </w:rPr>
        <w:t>4,368.00</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before="132"/>
        <w:ind w:left="204" w:right="0" w:firstLine="0"/>
        <w:jc w:val="left"/>
        <w:rPr>
          <w:rFonts w:ascii="宋体" w:hAnsi="宋体" w:cs="宋体" w:eastAsia="宋体" w:hint="default"/>
          <w:sz w:val="18"/>
          <w:szCs w:val="18"/>
        </w:rPr>
      </w:pPr>
      <w:r>
        <w:rPr/>
        <w:br w:type="column"/>
      </w:r>
      <w:r>
        <w:rPr>
          <w:rFonts w:ascii="宋体"/>
          <w:sz w:val="18"/>
        </w:rPr>
        <w:t>2007.07.09-2012.09.30</w:t>
      </w:r>
    </w:p>
    <w:p>
      <w:pPr>
        <w:spacing w:line="240" w:lineRule="auto" w:before="3"/>
        <w:rPr>
          <w:rFonts w:ascii="宋体" w:hAnsi="宋体" w:cs="宋体" w:eastAsia="宋体" w:hint="default"/>
          <w:sz w:val="25"/>
          <w:szCs w:val="25"/>
        </w:rPr>
      </w:pPr>
    </w:p>
    <w:p>
      <w:pPr>
        <w:spacing w:before="0"/>
        <w:ind w:left="204" w:right="0" w:firstLine="0"/>
        <w:jc w:val="left"/>
        <w:rPr>
          <w:rFonts w:ascii="宋体" w:hAnsi="宋体" w:cs="宋体" w:eastAsia="宋体" w:hint="default"/>
          <w:sz w:val="18"/>
          <w:szCs w:val="18"/>
        </w:rPr>
      </w:pPr>
      <w:r>
        <w:rPr>
          <w:rFonts w:ascii="宋体"/>
          <w:sz w:val="18"/>
        </w:rPr>
        <w:t>2009.08.20-2012.08.19</w:t>
      </w:r>
    </w:p>
    <w:p>
      <w:pPr>
        <w:spacing w:line="240" w:lineRule="auto" w:before="4"/>
        <w:rPr>
          <w:rFonts w:ascii="宋体" w:hAnsi="宋体" w:cs="宋体" w:eastAsia="宋体" w:hint="default"/>
          <w:sz w:val="25"/>
          <w:szCs w:val="25"/>
        </w:rPr>
      </w:pPr>
    </w:p>
    <w:p>
      <w:pPr>
        <w:spacing w:before="0"/>
        <w:ind w:left="205" w:right="0" w:firstLine="0"/>
        <w:jc w:val="left"/>
        <w:rPr>
          <w:rFonts w:ascii="宋体" w:hAnsi="宋体" w:cs="宋体" w:eastAsia="宋体" w:hint="default"/>
          <w:sz w:val="18"/>
          <w:szCs w:val="18"/>
        </w:rPr>
      </w:pPr>
      <w:r>
        <w:rPr>
          <w:rFonts w:ascii="宋体"/>
          <w:sz w:val="18"/>
        </w:rPr>
        <w:t>2007.10.22-2012.09.30</w:t>
      </w:r>
    </w:p>
    <w:p>
      <w:pPr>
        <w:spacing w:line="240" w:lineRule="auto" w:before="4"/>
        <w:rPr>
          <w:rFonts w:ascii="宋体" w:hAnsi="宋体" w:cs="宋体" w:eastAsia="宋体" w:hint="default"/>
          <w:sz w:val="25"/>
          <w:szCs w:val="25"/>
        </w:rPr>
      </w:pPr>
    </w:p>
    <w:p>
      <w:pPr>
        <w:spacing w:before="0"/>
        <w:ind w:left="205" w:right="0" w:firstLine="0"/>
        <w:jc w:val="left"/>
        <w:rPr>
          <w:rFonts w:ascii="宋体" w:hAnsi="宋体" w:cs="宋体" w:eastAsia="宋体" w:hint="default"/>
          <w:sz w:val="18"/>
          <w:szCs w:val="18"/>
        </w:rPr>
      </w:pPr>
      <w:r>
        <w:rPr>
          <w:rFonts w:ascii="宋体"/>
          <w:sz w:val="18"/>
        </w:rPr>
        <w:t>2010.08.23-2012.02.06</w:t>
      </w:r>
    </w:p>
    <w:p>
      <w:pPr>
        <w:spacing w:line="240" w:lineRule="auto" w:before="3"/>
        <w:rPr>
          <w:rFonts w:ascii="宋体" w:hAnsi="宋体" w:cs="宋体" w:eastAsia="宋体" w:hint="default"/>
          <w:sz w:val="25"/>
          <w:szCs w:val="25"/>
        </w:rPr>
      </w:pPr>
    </w:p>
    <w:p>
      <w:pPr>
        <w:spacing w:before="0"/>
        <w:ind w:left="205" w:right="0" w:firstLine="0"/>
        <w:jc w:val="left"/>
        <w:rPr>
          <w:rFonts w:ascii="宋体" w:hAnsi="宋体" w:cs="宋体" w:eastAsia="宋体" w:hint="default"/>
          <w:sz w:val="18"/>
          <w:szCs w:val="18"/>
        </w:rPr>
      </w:pPr>
      <w:r>
        <w:rPr>
          <w:rFonts w:ascii="宋体"/>
          <w:sz w:val="18"/>
        </w:rPr>
        <w:t>2010.07.28-2014.01.15</w:t>
      </w:r>
    </w:p>
    <w:p>
      <w:pPr>
        <w:spacing w:line="240" w:lineRule="auto" w:before="4"/>
        <w:rPr>
          <w:rFonts w:ascii="宋体" w:hAnsi="宋体" w:cs="宋体" w:eastAsia="宋体" w:hint="default"/>
          <w:sz w:val="25"/>
          <w:szCs w:val="25"/>
        </w:rPr>
      </w:pPr>
    </w:p>
    <w:p>
      <w:pPr>
        <w:spacing w:before="0"/>
        <w:ind w:left="205" w:right="0" w:firstLine="0"/>
        <w:jc w:val="left"/>
        <w:rPr>
          <w:rFonts w:ascii="宋体" w:hAnsi="宋体" w:cs="宋体" w:eastAsia="宋体" w:hint="default"/>
          <w:sz w:val="18"/>
          <w:szCs w:val="18"/>
        </w:rPr>
      </w:pPr>
      <w:r>
        <w:rPr>
          <w:rFonts w:ascii="宋体"/>
          <w:sz w:val="18"/>
        </w:rPr>
        <w:t>2007.08.09-2011.07.13</w:t>
      </w:r>
    </w:p>
    <w:p>
      <w:pPr>
        <w:spacing w:line="240" w:lineRule="auto" w:before="4"/>
        <w:rPr>
          <w:rFonts w:ascii="宋体" w:hAnsi="宋体" w:cs="宋体" w:eastAsia="宋体" w:hint="default"/>
          <w:sz w:val="25"/>
          <w:szCs w:val="25"/>
        </w:rPr>
      </w:pPr>
    </w:p>
    <w:p>
      <w:pPr>
        <w:spacing w:before="0"/>
        <w:ind w:left="205" w:right="0" w:firstLine="0"/>
        <w:jc w:val="left"/>
        <w:rPr>
          <w:rFonts w:ascii="宋体" w:hAnsi="宋体" w:cs="宋体" w:eastAsia="宋体" w:hint="default"/>
          <w:sz w:val="18"/>
          <w:szCs w:val="18"/>
        </w:rPr>
      </w:pPr>
      <w:r>
        <w:rPr>
          <w:rFonts w:ascii="宋体"/>
          <w:sz w:val="18"/>
        </w:rPr>
        <w:t>2007.10.25-2011.07.13</w:t>
      </w:r>
    </w:p>
    <w:p>
      <w:pPr>
        <w:spacing w:line="240" w:lineRule="auto" w:before="4"/>
        <w:rPr>
          <w:rFonts w:ascii="宋体" w:hAnsi="宋体" w:cs="宋体" w:eastAsia="宋体" w:hint="default"/>
          <w:sz w:val="26"/>
          <w:szCs w:val="26"/>
        </w:rPr>
      </w:pPr>
    </w:p>
    <w:p>
      <w:pPr>
        <w:spacing w:before="0"/>
        <w:ind w:left="205" w:right="0" w:firstLine="0"/>
        <w:jc w:val="left"/>
        <w:rPr>
          <w:rFonts w:ascii="宋体" w:hAnsi="宋体" w:cs="宋体" w:eastAsia="宋体" w:hint="default"/>
          <w:sz w:val="18"/>
          <w:szCs w:val="18"/>
        </w:rPr>
      </w:pPr>
      <w:r>
        <w:rPr>
          <w:rFonts w:ascii="宋体"/>
          <w:sz w:val="18"/>
        </w:rPr>
        <w:t>2007.08.31-2012.03.12</w:t>
      </w:r>
    </w:p>
    <w:p>
      <w:pPr>
        <w:spacing w:after="0"/>
        <w:jc w:val="left"/>
        <w:rPr>
          <w:rFonts w:ascii="宋体" w:hAnsi="宋体" w:cs="宋体" w:eastAsia="宋体" w:hint="default"/>
          <w:sz w:val="18"/>
          <w:szCs w:val="18"/>
        </w:rPr>
        <w:sectPr>
          <w:type w:val="continuous"/>
          <w:pgSz w:w="11910" w:h="16840"/>
          <w:pgMar w:top="1600" w:bottom="280" w:left="360" w:right="240"/>
          <w:cols w:num="3" w:equalWidth="0">
            <w:col w:w="5686" w:space="40"/>
            <w:col w:w="2112" w:space="40"/>
            <w:col w:w="3432"/>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33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6.3pt;height:1.5pt;mso-position-horizontal-relative:char;mso-position-vertical-relative:line" coordorigin="0,0" coordsize="8926,30">
            <v:group style="position:absolute;left:15;top:15;width:6760;height:2" coordorigin="15,15" coordsize="6760,2">
              <v:shape style="position:absolute;left:15;top:15;width:6760;height:2" coordorigin="15,15" coordsize="6760,0" path="m15,15l6775,15e" filled="false" stroked="true" strokeweight="1.5pt" strokecolor="#000000">
                <v:path arrowok="t"/>
              </v:shape>
            </v:group>
            <v:group style="position:absolute;left:6775;top:15;width:2136;height:2" coordorigin="6775,15" coordsize="2136,2">
              <v:shape style="position:absolute;left:6775;top:15;width:2136;height:2" coordorigin="6775,15" coordsize="2136,0" path="m6775,15l8911,15e" filled="false" stroked="true" strokeweight="1.5pt" strokecolor="#000000">
                <v:path arrowok="t"/>
              </v:shape>
            </v:group>
          </v:group>
        </w:pict>
      </w:r>
      <w:r>
        <w:rPr>
          <w:rFonts w:ascii="宋体" w:hAnsi="宋体" w:cs="宋体" w:eastAsia="宋体" w:hint="default"/>
          <w:position w:val="0"/>
          <w:sz w:val="3"/>
          <w:szCs w:val="3"/>
        </w:rPr>
      </w:r>
    </w:p>
    <w:p>
      <w:pPr>
        <w:tabs>
          <w:tab w:pos="4521" w:val="left" w:leader="none"/>
          <w:tab w:pos="6695" w:val="left" w:leader="none"/>
          <w:tab w:pos="8804" w:val="left" w:leader="none"/>
        </w:tabs>
        <w:spacing w:line="297" w:lineRule="auto" w:before="0"/>
        <w:ind w:left="6176" w:right="2055" w:hanging="4088"/>
        <w:jc w:val="left"/>
        <w:rPr>
          <w:rFonts w:ascii="宋体" w:hAnsi="宋体" w:cs="宋体" w:eastAsia="宋体" w:hint="default"/>
          <w:sz w:val="18"/>
          <w:szCs w:val="18"/>
        </w:rPr>
      </w:pPr>
      <w:r>
        <w:rPr/>
        <w:pict>
          <v:group style="position:absolute;margin-left:78.120003pt;margin-top:14.592049pt;width:445.3pt;height:.5pt;mso-position-horizontal-relative:page;mso-position-vertical-relative:paragraph;z-index:-1044256" coordorigin="1562,292" coordsize="8906,10">
            <v:group style="position:absolute;left:1567;top:297;width:6740;height:2" coordorigin="1567,297" coordsize="6740,2">
              <v:shape style="position:absolute;left:1567;top:297;width:6740;height:2" coordorigin="1567,297" coordsize="6740,0" path="m1567,297l8306,297e" filled="false" stroked="true" strokeweight=".48pt" strokecolor="#000000">
                <v:path arrowok="t"/>
              </v:shape>
            </v:group>
            <v:group style="position:absolute;left:8306;top:297;width:2157;height:2" coordorigin="8306,297" coordsize="2157,2">
              <v:shape style="position:absolute;left:8306;top:297;width:2157;height:2" coordorigin="8306,297" coordsize="2157,0" path="m8306,297l10463,297e" filled="false" stroked="true" strokeweight=".48pt" strokecolor="#000000">
                <v:path arrowok="t"/>
              </v:shape>
            </v:group>
            <w10:wrap type="none"/>
          </v:group>
        </w:pict>
      </w:r>
      <w:r>
        <w:rPr>
          <w:rFonts w:ascii="宋体" w:hAnsi="宋体" w:cs="宋体" w:eastAsia="宋体" w:hint="default"/>
          <w:b/>
          <w:bCs/>
          <w:w w:val="95"/>
          <w:sz w:val="18"/>
          <w:szCs w:val="18"/>
        </w:rPr>
        <w:t>子公司名称</w:t>
        <w:tab/>
        <w:t>贷款银行</w:t>
        <w:tab/>
        <w:tab/>
      </w:r>
      <w:r>
        <w:rPr>
          <w:rFonts w:ascii="宋体" w:hAnsi="宋体" w:cs="宋体" w:eastAsia="宋体" w:hint="default"/>
          <w:b/>
          <w:bCs/>
          <w:sz w:val="18"/>
          <w:szCs w:val="18"/>
        </w:rPr>
        <w:t>保函金额</w:t>
        <w:tab/>
        <w:t> 保函期限</w:t>
      </w:r>
      <w:r>
        <w:rPr>
          <w:rFonts w:ascii="宋体" w:hAnsi="宋体" w:cs="宋体" w:eastAsia="宋体" w:hint="default"/>
          <w:b/>
          <w:bCs/>
          <w:spacing w:val="-2"/>
          <w:sz w:val="18"/>
          <w:szCs w:val="18"/>
        </w:rPr>
        <w:t> </w:t>
      </w:r>
      <w:r>
        <w:rPr>
          <w:rFonts w:ascii="宋体" w:hAnsi="宋体" w:cs="宋体" w:eastAsia="宋体" w:hint="default"/>
          <w:b/>
          <w:bCs/>
          <w:spacing w:val="-2"/>
          <w:sz w:val="18"/>
          <w:szCs w:val="18"/>
        </w:rPr>
      </w: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宋体" w:hAnsi="宋体" w:cs="宋体" w:eastAsia="宋体" w:hint="default"/>
          <w:sz w:val="18"/>
          <w:szCs w:val="18"/>
        </w:rPr>
        <w:t>28,927.95</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03" w:lineRule="exact" w:before="4"/>
        <w:ind w:left="6671" w:right="2055" w:firstLine="0"/>
        <w:jc w:val="left"/>
        <w:rPr>
          <w:rFonts w:ascii="宋体" w:hAnsi="宋体" w:cs="宋体" w:eastAsia="宋体" w:hint="default"/>
          <w:sz w:val="18"/>
          <w:szCs w:val="18"/>
        </w:rPr>
      </w:pPr>
      <w:r>
        <w:rPr>
          <w:rFonts w:ascii="宋体" w:hAnsi="宋体" w:cs="宋体" w:eastAsia="宋体" w:hint="default"/>
          <w:sz w:val="18"/>
          <w:szCs w:val="18"/>
        </w:rPr>
        <w:t>7,862.80</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after="0" w:line="203" w:lineRule="exact"/>
        <w:jc w:val="left"/>
        <w:rPr>
          <w:rFonts w:ascii="宋体" w:hAnsi="宋体" w:cs="宋体" w:eastAsia="宋体" w:hint="default"/>
          <w:sz w:val="18"/>
          <w:szCs w:val="18"/>
        </w:rPr>
        <w:sectPr>
          <w:pgSz w:w="11910" w:h="16840"/>
          <w:pgMar w:header="610" w:footer="784" w:top="1080" w:bottom="980" w:left="220" w:right="100"/>
        </w:sectPr>
      </w:pPr>
    </w:p>
    <w:p>
      <w:pPr>
        <w:tabs>
          <w:tab w:pos="3844" w:val="left" w:leader="none"/>
        </w:tabs>
        <w:spacing w:line="180" w:lineRule="exact" w:before="0"/>
        <w:ind w:left="1455" w:right="-20" w:hanging="1"/>
        <w:jc w:val="left"/>
        <w:rPr>
          <w:rFonts w:ascii="宋体" w:hAnsi="宋体" w:cs="宋体" w:eastAsia="宋体" w:hint="default"/>
          <w:sz w:val="18"/>
          <w:szCs w:val="18"/>
        </w:rPr>
      </w:pPr>
      <w:r>
        <w:rPr>
          <w:rFonts w:ascii="宋体" w:hAnsi="宋体" w:cs="宋体" w:eastAsia="宋体" w:hint="default"/>
          <w:sz w:val="18"/>
          <w:szCs w:val="18"/>
        </w:rPr>
        <w:t>同方江新造船有限公司</w:t>
        <w:tab/>
        <w:t>中国银行九江市分行</w:t>
      </w:r>
    </w:p>
    <w:p>
      <w:pPr>
        <w:spacing w:line="240" w:lineRule="auto" w:before="4"/>
        <w:rPr>
          <w:rFonts w:ascii="宋体" w:hAnsi="宋体" w:cs="宋体" w:eastAsia="宋体" w:hint="default"/>
          <w:sz w:val="25"/>
          <w:szCs w:val="25"/>
        </w:rPr>
      </w:pPr>
    </w:p>
    <w:p>
      <w:pPr>
        <w:tabs>
          <w:tab w:pos="3844" w:val="left" w:leader="none"/>
        </w:tabs>
        <w:spacing w:before="0"/>
        <w:ind w:left="1455" w:right="-2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中国银行九江市分行</w:t>
      </w:r>
    </w:p>
    <w:p>
      <w:pPr>
        <w:spacing w:before="80"/>
        <w:ind w:left="67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52,072.97</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before="47"/>
        <w:ind w:left="1167" w:right="-20" w:firstLine="0"/>
        <w:jc w:val="left"/>
        <w:rPr>
          <w:rFonts w:ascii="宋体" w:hAnsi="宋体" w:cs="宋体" w:eastAsia="宋体" w:hint="default"/>
          <w:sz w:val="18"/>
          <w:szCs w:val="18"/>
        </w:rPr>
      </w:pPr>
      <w:r>
        <w:rPr>
          <w:rFonts w:ascii="宋体" w:hAnsi="宋体" w:cs="宋体" w:eastAsia="宋体" w:hint="default"/>
          <w:sz w:val="18"/>
          <w:szCs w:val="18"/>
        </w:rPr>
        <w:t>1,384.00</w:t>
      </w:r>
      <w:r>
        <w:rPr>
          <w:rFonts w:ascii="宋体" w:hAnsi="宋体" w:cs="宋体" w:eastAsia="宋体" w:hint="default"/>
          <w:spacing w:val="-46"/>
          <w:sz w:val="18"/>
          <w:szCs w:val="18"/>
        </w:rPr>
        <w:t> </w:t>
      </w:r>
      <w:r>
        <w:rPr>
          <w:rFonts w:ascii="宋体" w:hAnsi="宋体" w:cs="宋体" w:eastAsia="宋体" w:hint="default"/>
          <w:sz w:val="18"/>
          <w:szCs w:val="18"/>
        </w:rPr>
        <w:t>万欧元</w:t>
      </w:r>
    </w:p>
    <w:p>
      <w:pPr>
        <w:spacing w:before="47"/>
        <w:ind w:left="671" w:right="-19"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12,188.20</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line="180" w:lineRule="exact" w:before="0"/>
        <w:ind w:left="205" w:right="0" w:firstLine="0"/>
        <w:jc w:val="left"/>
        <w:rPr>
          <w:rFonts w:ascii="宋体" w:hAnsi="宋体" w:cs="宋体" w:eastAsia="宋体" w:hint="default"/>
          <w:sz w:val="18"/>
          <w:szCs w:val="18"/>
        </w:rPr>
      </w:pPr>
      <w:r>
        <w:rPr/>
        <w:br w:type="column"/>
      </w:r>
      <w:r>
        <w:rPr>
          <w:rFonts w:ascii="宋体"/>
          <w:sz w:val="18"/>
        </w:rPr>
        <w:t>2007.08.31-2011.09.12</w:t>
      </w:r>
    </w:p>
    <w:p>
      <w:pPr>
        <w:spacing w:line="240" w:lineRule="auto" w:before="4"/>
        <w:rPr>
          <w:rFonts w:ascii="宋体" w:hAnsi="宋体" w:cs="宋体" w:eastAsia="宋体" w:hint="default"/>
          <w:sz w:val="25"/>
          <w:szCs w:val="25"/>
        </w:rPr>
      </w:pPr>
    </w:p>
    <w:p>
      <w:pPr>
        <w:spacing w:before="0"/>
        <w:ind w:left="206" w:right="0" w:firstLine="0"/>
        <w:jc w:val="left"/>
        <w:rPr>
          <w:rFonts w:ascii="宋体" w:hAnsi="宋体" w:cs="宋体" w:eastAsia="宋体" w:hint="default"/>
          <w:sz w:val="18"/>
          <w:szCs w:val="18"/>
        </w:rPr>
      </w:pPr>
      <w:r>
        <w:rPr>
          <w:rFonts w:ascii="宋体"/>
          <w:sz w:val="18"/>
        </w:rPr>
        <w:t>2007.10.19-2011.04.15</w:t>
      </w:r>
    </w:p>
    <w:p>
      <w:pPr>
        <w:spacing w:after="0"/>
        <w:jc w:val="left"/>
        <w:rPr>
          <w:rFonts w:ascii="宋体" w:hAnsi="宋体" w:cs="宋体" w:eastAsia="宋体" w:hint="default"/>
          <w:sz w:val="18"/>
          <w:szCs w:val="18"/>
        </w:rPr>
        <w:sectPr>
          <w:type w:val="continuous"/>
          <w:pgSz w:w="11910" w:h="16840"/>
          <w:pgMar w:top="1600" w:bottom="280" w:left="220" w:right="100"/>
          <w:cols w:num="3" w:equalWidth="0">
            <w:col w:w="5465" w:space="40"/>
            <w:col w:w="2472" w:space="40"/>
            <w:col w:w="3573"/>
          </w:cols>
        </w:sectPr>
      </w:pPr>
    </w:p>
    <w:p>
      <w:pPr>
        <w:spacing w:line="240" w:lineRule="auto" w:before="5"/>
        <w:rPr>
          <w:rFonts w:ascii="宋体" w:hAnsi="宋体" w:cs="宋体" w:eastAsia="宋体" w:hint="default"/>
          <w:sz w:val="4"/>
          <w:szCs w:val="4"/>
        </w:rPr>
      </w:pPr>
    </w:p>
    <w:p>
      <w:pPr>
        <w:spacing w:line="20" w:lineRule="exact"/>
        <w:ind w:left="1344" w:right="0" w:firstLine="0"/>
        <w:rPr>
          <w:rFonts w:ascii="宋体" w:hAnsi="宋体" w:cs="宋体" w:eastAsia="宋体" w:hint="default"/>
          <w:sz w:val="2"/>
          <w:szCs w:val="2"/>
        </w:rPr>
      </w:pPr>
      <w:r>
        <w:rPr>
          <w:rFonts w:ascii="宋体" w:hAnsi="宋体" w:cs="宋体" w:eastAsia="宋体" w:hint="default"/>
          <w:sz w:val="2"/>
          <w:szCs w:val="2"/>
        </w:rPr>
        <w:pict>
          <v:group style="width:445.05pt;height:.25pt;mso-position-horizontal-relative:char;mso-position-vertical-relative:line" coordorigin="0,0" coordsize="8901,5">
            <v:group style="position:absolute;left:2;top:2;width:8896;height:2" coordorigin="2,2" coordsize="8896,2">
              <v:shape style="position:absolute;left:2;top:2;width:8896;height:2" coordorigin="2,2" coordsize="8896,0" path="m2,2l8898,2e" filled="false" stroked="true" strokeweight=".24pt" strokecolor="#000000">
                <v:path arrowok="t"/>
              </v:shape>
            </v:group>
          </v:group>
        </w:pict>
      </w:r>
      <w:r>
        <w:rPr>
          <w:rFonts w:ascii="宋体" w:hAnsi="宋体" w:cs="宋体" w:eastAsia="宋体" w:hint="default"/>
          <w:sz w:val="2"/>
          <w:szCs w:val="2"/>
        </w:rPr>
      </w:r>
    </w:p>
    <w:p>
      <w:pPr>
        <w:tabs>
          <w:tab w:pos="3895" w:val="left" w:leader="none"/>
        </w:tabs>
        <w:spacing w:line="201" w:lineRule="exact" w:before="0"/>
        <w:ind w:left="0" w:right="3605" w:firstLine="0"/>
        <w:jc w:val="right"/>
        <w:rPr>
          <w:rFonts w:ascii="宋体" w:hAnsi="宋体" w:cs="宋体" w:eastAsia="宋体" w:hint="default"/>
          <w:sz w:val="18"/>
          <w:szCs w:val="18"/>
        </w:rPr>
      </w:pPr>
      <w:r>
        <w:rPr>
          <w:rFonts w:ascii="宋体" w:hAnsi="宋体" w:cs="宋体" w:eastAsia="宋体" w:hint="default"/>
          <w:b/>
          <w:bCs/>
          <w:w w:val="95"/>
          <w:position w:val="-9"/>
          <w:sz w:val="18"/>
          <w:szCs w:val="18"/>
        </w:rPr>
        <w:t>合计</w:t>
        <w:tab/>
      </w:r>
      <w:r>
        <w:rPr>
          <w:rFonts w:ascii="宋体" w:hAnsi="宋体" w:cs="宋体" w:eastAsia="宋体" w:hint="default"/>
          <w:b/>
          <w:bCs/>
          <w:sz w:val="18"/>
          <w:szCs w:val="18"/>
        </w:rPr>
        <w:t>约</w:t>
      </w:r>
      <w:r>
        <w:rPr>
          <w:rFonts w:ascii="宋体" w:hAnsi="宋体" w:cs="宋体" w:eastAsia="宋体" w:hint="default"/>
          <w:b/>
          <w:bCs/>
          <w:spacing w:val="-47"/>
          <w:sz w:val="18"/>
          <w:szCs w:val="18"/>
        </w:rPr>
        <w:t> </w:t>
      </w:r>
      <w:r>
        <w:rPr>
          <w:rFonts w:ascii="宋体" w:hAnsi="宋体" w:cs="宋体" w:eastAsia="宋体" w:hint="default"/>
          <w:b/>
          <w:bCs/>
          <w:sz w:val="18"/>
          <w:szCs w:val="18"/>
        </w:rPr>
        <w:t>147,118.65</w:t>
      </w:r>
      <w:r>
        <w:rPr>
          <w:rFonts w:ascii="宋体" w:hAnsi="宋体" w:cs="宋体" w:eastAsia="宋体" w:hint="default"/>
          <w:b/>
          <w:bCs/>
          <w:spacing w:val="-49"/>
          <w:sz w:val="18"/>
          <w:szCs w:val="18"/>
        </w:rPr>
        <w:t> </w:t>
      </w:r>
      <w:r>
        <w:rPr>
          <w:rFonts w:ascii="宋体" w:hAnsi="宋体" w:cs="宋体" w:eastAsia="宋体" w:hint="default"/>
          <w:b/>
          <w:bCs/>
          <w:sz w:val="18"/>
          <w:szCs w:val="18"/>
        </w:rPr>
        <w:t>万人民</w:t>
      </w:r>
      <w:r>
        <w:rPr>
          <w:rFonts w:ascii="宋体" w:hAnsi="宋体" w:cs="宋体" w:eastAsia="宋体" w:hint="default"/>
          <w:sz w:val="18"/>
          <w:szCs w:val="18"/>
        </w:rPr>
      </w:r>
    </w:p>
    <w:p>
      <w:pPr>
        <w:spacing w:line="167" w:lineRule="exact" w:before="0"/>
        <w:ind w:left="0" w:right="3607" w:firstLine="0"/>
        <w:jc w:val="right"/>
        <w:rPr>
          <w:rFonts w:ascii="宋体" w:hAnsi="宋体" w:cs="宋体" w:eastAsia="宋体" w:hint="default"/>
          <w:sz w:val="18"/>
          <w:szCs w:val="18"/>
        </w:rPr>
      </w:pPr>
      <w:r>
        <w:rPr>
          <w:rFonts w:ascii="宋体" w:hAnsi="宋体" w:cs="宋体" w:eastAsia="宋体" w:hint="default"/>
          <w:b/>
          <w:bCs/>
          <w:w w:val="99"/>
          <w:sz w:val="18"/>
          <w:szCs w:val="18"/>
        </w:rPr>
        <w:t>币</w:t>
      </w:r>
      <w:r>
        <w:rPr>
          <w:rFonts w:ascii="宋体" w:hAnsi="宋体" w:cs="宋体" w:eastAsia="宋体" w:hint="default"/>
          <w:sz w:val="18"/>
          <w:szCs w:val="18"/>
        </w:rPr>
      </w:r>
    </w:p>
    <w:p>
      <w:pPr>
        <w:spacing w:line="30" w:lineRule="exact"/>
        <w:ind w:left="13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7.4pt;height:1.5pt;mso-position-horizontal-relative:char;mso-position-vertical-relative:line" coordorigin="0,0" coordsize="8948,30">
            <v:group style="position:absolute;left:15;top:15;width:2404;height:2" coordorigin="15,15" coordsize="2404,2">
              <v:shape style="position:absolute;left:15;top:15;width:2404;height:2" coordorigin="15,15" coordsize="2404,0" path="m15,15l2419,15e" filled="false" stroked="true" strokeweight="1.5pt" strokecolor="#000000">
                <v:path arrowok="t"/>
              </v:shape>
            </v:group>
            <v:group style="position:absolute;left:2404;top:15;width:2309;height:2" coordorigin="2404,15" coordsize="2309,2">
              <v:shape style="position:absolute;left:2404;top:15;width:2309;height:2" coordorigin="2404,15" coordsize="2309,0" path="m2404,15l4713,15e" filled="false" stroked="true" strokeweight="1.5pt" strokecolor="#000000">
                <v:path arrowok="t"/>
              </v:shape>
            </v:group>
            <v:group style="position:absolute;left:4699;top:15;width:2068;height:2" coordorigin="4699,15" coordsize="2068,2">
              <v:shape style="position:absolute;left:4699;top:15;width:2068;height:2" coordorigin="4699,15" coordsize="2068,0" path="m4699,15l6766,15e" filled="false" stroked="true" strokeweight="1.5pt" strokecolor="#000000">
                <v:path arrowok="t"/>
              </v:shape>
            </v:group>
            <v:group style="position:absolute;left:6752;top:15;width:2181;height:2" coordorigin="6752,15" coordsize="2181,2">
              <v:shape style="position:absolute;left:6752;top:15;width:2181;height:2" coordorigin="6752,15" coordsize="2181,0" path="m6752,15l8932,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3"/>
        <w:rPr>
          <w:rFonts w:ascii="宋体" w:hAnsi="宋体" w:cs="宋体" w:eastAsia="宋体" w:hint="default"/>
          <w:b/>
          <w:bCs/>
          <w:sz w:val="5"/>
          <w:szCs w:val="5"/>
        </w:rPr>
      </w:pPr>
    </w:p>
    <w:p>
      <w:pPr>
        <w:spacing w:before="31"/>
        <w:ind w:left="1652" w:right="2055"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控股子公司之间提供担保</w:t>
      </w:r>
    </w:p>
    <w:p>
      <w:pPr>
        <w:spacing w:line="324" w:lineRule="auto" w:before="180"/>
        <w:ind w:left="1198" w:right="346" w:firstLine="567"/>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43"/>
          <w:sz w:val="22"/>
          <w:szCs w:val="22"/>
        </w:rPr>
        <w:t> </w:t>
      </w:r>
      <w:r>
        <w:rPr>
          <w:rFonts w:ascii="宋体" w:hAnsi="宋体" w:cs="宋体" w:eastAsia="宋体" w:hint="default"/>
          <w:sz w:val="22"/>
          <w:szCs w:val="22"/>
        </w:rPr>
        <w:t>2010</w:t>
      </w:r>
      <w:r>
        <w:rPr>
          <w:rFonts w:ascii="宋体" w:hAnsi="宋体" w:cs="宋体" w:eastAsia="宋体" w:hint="default"/>
          <w:spacing w:val="-44"/>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12</w:t>
      </w:r>
      <w:r>
        <w:rPr>
          <w:rFonts w:ascii="宋体" w:hAnsi="宋体" w:cs="宋体" w:eastAsia="宋体" w:hint="default"/>
          <w:spacing w:val="-42"/>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31</w:t>
      </w:r>
      <w:r>
        <w:rPr>
          <w:rFonts w:ascii="宋体" w:hAnsi="宋体" w:cs="宋体" w:eastAsia="宋体" w:hint="default"/>
          <w:spacing w:val="-44"/>
          <w:sz w:val="22"/>
          <w:szCs w:val="22"/>
        </w:rPr>
        <w:t> </w:t>
      </w:r>
      <w:r>
        <w:rPr>
          <w:rFonts w:ascii="宋体" w:hAnsi="宋体" w:cs="宋体" w:eastAsia="宋体" w:hint="default"/>
          <w:sz w:val="22"/>
          <w:szCs w:val="22"/>
        </w:rPr>
        <w:t>日，公司持股</w:t>
      </w:r>
      <w:r>
        <w:rPr>
          <w:rFonts w:ascii="宋体" w:hAnsi="宋体" w:cs="宋体" w:eastAsia="宋体" w:hint="default"/>
          <w:spacing w:val="-43"/>
          <w:sz w:val="22"/>
          <w:szCs w:val="22"/>
        </w:rPr>
        <w:t> </w:t>
      </w:r>
      <w:r>
        <w:rPr>
          <w:rFonts w:ascii="宋体" w:hAnsi="宋体" w:cs="宋体" w:eastAsia="宋体" w:hint="default"/>
          <w:sz w:val="22"/>
          <w:szCs w:val="22"/>
        </w:rPr>
        <w:t>97%的山东同方鲁颖电子有限公司以保证方式为其</w:t>
      </w:r>
      <w:r>
        <w:rPr>
          <w:rFonts w:ascii="宋体" w:hAnsi="宋体" w:cs="宋体" w:eastAsia="宋体" w:hint="default"/>
          <w:w w:val="99"/>
          <w:sz w:val="22"/>
          <w:szCs w:val="22"/>
        </w:rPr>
        <w:t> </w:t>
      </w:r>
      <w:r>
        <w:rPr>
          <w:rFonts w:ascii="宋体" w:hAnsi="宋体" w:cs="宋体" w:eastAsia="宋体" w:hint="default"/>
          <w:sz w:val="22"/>
          <w:szCs w:val="22"/>
        </w:rPr>
        <w:t>下属持股</w:t>
      </w:r>
      <w:r>
        <w:rPr>
          <w:rFonts w:ascii="宋体" w:hAnsi="宋体" w:cs="宋体" w:eastAsia="宋体" w:hint="default"/>
          <w:spacing w:val="-71"/>
          <w:sz w:val="22"/>
          <w:szCs w:val="22"/>
        </w:rPr>
        <w:t> </w:t>
      </w:r>
      <w:r>
        <w:rPr>
          <w:rFonts w:ascii="宋体" w:hAnsi="宋体" w:cs="宋体" w:eastAsia="宋体" w:hint="default"/>
          <w:sz w:val="22"/>
          <w:szCs w:val="22"/>
        </w:rPr>
        <w:t>72.73%的子公司沂南同皓电子元件有限公司的下列银行借款提供连带责任担保：</w:t>
      </w:r>
    </w:p>
    <w:p>
      <w:pPr>
        <w:spacing w:line="240" w:lineRule="auto" w:before="10"/>
        <w:rPr>
          <w:rFonts w:ascii="宋体" w:hAnsi="宋体" w:cs="宋体" w:eastAsia="宋体" w:hint="default"/>
          <w:sz w:val="7"/>
          <w:szCs w:val="7"/>
        </w:rPr>
      </w:pPr>
    </w:p>
    <w:tbl>
      <w:tblPr>
        <w:tblW w:w="0" w:type="auto"/>
        <w:jc w:val="left"/>
        <w:tblInd w:w="1476" w:type="dxa"/>
        <w:tblLayout w:type="fixed"/>
        <w:tblCellMar>
          <w:top w:w="0" w:type="dxa"/>
          <w:left w:w="0" w:type="dxa"/>
          <w:bottom w:w="0" w:type="dxa"/>
          <w:right w:w="0" w:type="dxa"/>
        </w:tblCellMar>
        <w:tblLook w:val="01E0"/>
      </w:tblPr>
      <w:tblGrid>
        <w:gridCol w:w="2033"/>
        <w:gridCol w:w="2070"/>
        <w:gridCol w:w="2406"/>
        <w:gridCol w:w="2129"/>
      </w:tblGrid>
      <w:tr>
        <w:trPr>
          <w:trHeight w:val="303" w:hRule="exact"/>
        </w:trPr>
        <w:tc>
          <w:tcPr>
            <w:tcW w:w="20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44"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7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65"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4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38" w:right="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2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0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农行沂南支行</w:t>
            </w:r>
          </w:p>
        </w:tc>
        <w:tc>
          <w:tcPr>
            <w:tcW w:w="207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567" w:right="0"/>
              <w:jc w:val="left"/>
              <w:rPr>
                <w:rFonts w:ascii="宋体" w:hAnsi="宋体" w:cs="宋体" w:eastAsia="宋体" w:hint="default"/>
                <w:sz w:val="18"/>
                <w:szCs w:val="18"/>
              </w:rPr>
            </w:pPr>
            <w:r>
              <w:rPr>
                <w:rFonts w:ascii="宋体" w:hAnsi="宋体" w:cs="宋体" w:eastAsia="宋体" w:hint="default"/>
                <w:sz w:val="18"/>
                <w:szCs w:val="18"/>
              </w:rPr>
              <w:t>3,000.00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40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40" w:right="0"/>
              <w:jc w:val="center"/>
              <w:rPr>
                <w:rFonts w:ascii="宋体" w:hAnsi="宋体" w:cs="宋体" w:eastAsia="宋体" w:hint="default"/>
                <w:sz w:val="18"/>
                <w:szCs w:val="18"/>
              </w:rPr>
            </w:pPr>
            <w:r>
              <w:rPr>
                <w:rFonts w:ascii="宋体"/>
                <w:sz w:val="18"/>
              </w:rPr>
              <w:t>2010.03.22-2011.05.19</w:t>
            </w:r>
          </w:p>
        </w:tc>
        <w:tc>
          <w:tcPr>
            <w:tcW w:w="212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7" w:right="0"/>
              <w:jc w:val="center"/>
              <w:rPr>
                <w:rFonts w:ascii="宋体" w:hAnsi="宋体" w:cs="宋体" w:eastAsia="宋体" w:hint="default"/>
                <w:sz w:val="18"/>
                <w:szCs w:val="18"/>
              </w:rPr>
            </w:pPr>
            <w:r>
              <w:rPr>
                <w:rFonts w:ascii="宋体"/>
                <w:sz w:val="18"/>
              </w:rPr>
              <w:t>2010.03.22-2013.05.19</w:t>
            </w:r>
          </w:p>
        </w:tc>
      </w:tr>
    </w:tbl>
    <w:p>
      <w:pPr>
        <w:spacing w:before="79"/>
        <w:ind w:left="1766" w:right="346"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日，公司持股</w:t>
      </w:r>
      <w:r>
        <w:rPr>
          <w:rFonts w:ascii="宋体" w:hAnsi="宋体" w:cs="宋体" w:eastAsia="宋体" w:hint="default"/>
          <w:spacing w:val="-59"/>
          <w:sz w:val="22"/>
          <w:szCs w:val="22"/>
        </w:rPr>
        <w:t> </w:t>
      </w:r>
      <w:r>
        <w:rPr>
          <w:rFonts w:ascii="宋体" w:hAnsi="宋体" w:cs="宋体" w:eastAsia="宋体" w:hint="default"/>
          <w:sz w:val="22"/>
          <w:szCs w:val="22"/>
        </w:rPr>
        <w:t>100%的同方工业有限公司以保证方式为其下属持股</w:t>
      </w:r>
    </w:p>
    <w:p>
      <w:pPr>
        <w:spacing w:before="102"/>
        <w:ind w:left="1198" w:right="2055" w:firstLine="0"/>
        <w:jc w:val="left"/>
        <w:rPr>
          <w:rFonts w:ascii="宋体" w:hAnsi="宋体" w:cs="宋体" w:eastAsia="宋体" w:hint="default"/>
          <w:sz w:val="22"/>
          <w:szCs w:val="22"/>
        </w:rPr>
      </w:pPr>
      <w:r>
        <w:rPr>
          <w:rFonts w:ascii="宋体" w:hAnsi="宋体" w:cs="宋体" w:eastAsia="宋体" w:hint="default"/>
          <w:sz w:val="22"/>
          <w:szCs w:val="22"/>
        </w:rPr>
        <w:t>100%的子公司同方江新造船有限公司的下列银行借款提供连带责任担保：</w:t>
      </w:r>
    </w:p>
    <w:p>
      <w:pPr>
        <w:spacing w:line="240" w:lineRule="auto" w:before="8"/>
        <w:rPr>
          <w:rFonts w:ascii="宋体" w:hAnsi="宋体" w:cs="宋体" w:eastAsia="宋体" w:hint="default"/>
          <w:sz w:val="13"/>
          <w:szCs w:val="13"/>
        </w:rPr>
      </w:pPr>
    </w:p>
    <w:tbl>
      <w:tblPr>
        <w:tblW w:w="0" w:type="auto"/>
        <w:jc w:val="left"/>
        <w:tblInd w:w="1476" w:type="dxa"/>
        <w:tblLayout w:type="fixed"/>
        <w:tblCellMar>
          <w:top w:w="0" w:type="dxa"/>
          <w:left w:w="0" w:type="dxa"/>
          <w:bottom w:w="0" w:type="dxa"/>
          <w:right w:w="0" w:type="dxa"/>
        </w:tblCellMar>
        <w:tblLook w:val="01E0"/>
      </w:tblPr>
      <w:tblGrid>
        <w:gridCol w:w="2074"/>
        <w:gridCol w:w="2029"/>
        <w:gridCol w:w="2406"/>
        <w:gridCol w:w="2129"/>
      </w:tblGrid>
      <w:tr>
        <w:trPr>
          <w:trHeight w:val="303" w:hRule="exact"/>
        </w:trPr>
        <w:tc>
          <w:tcPr>
            <w:tcW w:w="207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44"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2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24"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4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38" w:right="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2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07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九江银行湖口支行</w:t>
            </w:r>
          </w:p>
        </w:tc>
        <w:tc>
          <w:tcPr>
            <w:tcW w:w="202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526" w:right="0"/>
              <w:jc w:val="left"/>
              <w:rPr>
                <w:rFonts w:ascii="宋体" w:hAnsi="宋体" w:cs="宋体" w:eastAsia="宋体" w:hint="default"/>
                <w:sz w:val="18"/>
                <w:szCs w:val="18"/>
              </w:rPr>
            </w:pP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40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40" w:right="0"/>
              <w:jc w:val="center"/>
              <w:rPr>
                <w:rFonts w:ascii="宋体" w:hAnsi="宋体" w:cs="宋体" w:eastAsia="宋体" w:hint="default"/>
                <w:sz w:val="18"/>
                <w:szCs w:val="18"/>
              </w:rPr>
            </w:pPr>
            <w:r>
              <w:rPr>
                <w:rFonts w:ascii="宋体"/>
                <w:sz w:val="18"/>
              </w:rPr>
              <w:t>2010.06.30-2011.04.12</w:t>
            </w:r>
          </w:p>
        </w:tc>
        <w:tc>
          <w:tcPr>
            <w:tcW w:w="212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7" w:right="0"/>
              <w:jc w:val="center"/>
              <w:rPr>
                <w:rFonts w:ascii="宋体" w:hAnsi="宋体" w:cs="宋体" w:eastAsia="宋体" w:hint="default"/>
                <w:sz w:val="18"/>
                <w:szCs w:val="18"/>
              </w:rPr>
            </w:pPr>
            <w:r>
              <w:rPr>
                <w:rFonts w:ascii="宋体"/>
                <w:sz w:val="18"/>
              </w:rPr>
              <w:t>2010.06.30-2013.04.12</w:t>
            </w:r>
          </w:p>
        </w:tc>
      </w:tr>
    </w:tbl>
    <w:p>
      <w:pPr>
        <w:spacing w:line="324" w:lineRule="auto" w:before="79"/>
        <w:ind w:left="1198" w:right="346" w:firstLine="567"/>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截至</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日，公司持股</w:t>
      </w:r>
      <w:r>
        <w:rPr>
          <w:rFonts w:ascii="宋体" w:hAnsi="宋体" w:cs="宋体" w:eastAsia="宋体" w:hint="default"/>
          <w:spacing w:val="-58"/>
          <w:sz w:val="22"/>
          <w:szCs w:val="22"/>
        </w:rPr>
        <w:t> </w:t>
      </w:r>
      <w:r>
        <w:rPr>
          <w:rFonts w:ascii="宋体" w:hAnsi="宋体" w:cs="宋体" w:eastAsia="宋体" w:hint="default"/>
          <w:sz w:val="22"/>
          <w:szCs w:val="22"/>
        </w:rPr>
        <w:t>22.71%的泰豪科技股份有限公司以保证方式为其下</w:t>
      </w:r>
      <w:r>
        <w:rPr>
          <w:rFonts w:ascii="宋体" w:hAnsi="宋体" w:cs="宋体" w:eastAsia="宋体" w:hint="default"/>
          <w:w w:val="99"/>
          <w:sz w:val="22"/>
          <w:szCs w:val="22"/>
        </w:rPr>
        <w:t> </w:t>
      </w:r>
      <w:r>
        <w:rPr>
          <w:rFonts w:ascii="宋体" w:hAnsi="宋体" w:cs="宋体" w:eastAsia="宋体" w:hint="default"/>
          <w:sz w:val="22"/>
          <w:szCs w:val="22"/>
        </w:rPr>
        <w:t>列子公司银行借款提供连带责任担保：</w:t>
      </w:r>
    </w:p>
    <w:p>
      <w:pPr>
        <w:spacing w:line="240" w:lineRule="auto" w:before="10"/>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096"/>
        <w:gridCol w:w="2605"/>
        <w:gridCol w:w="1390"/>
        <w:gridCol w:w="2106"/>
        <w:gridCol w:w="2099"/>
      </w:tblGrid>
      <w:tr>
        <w:trPr>
          <w:trHeight w:val="303" w:hRule="exact"/>
        </w:trPr>
        <w:tc>
          <w:tcPr>
            <w:tcW w:w="309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60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9"/>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39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08"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0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0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2" w:hRule="exact"/>
        </w:trPr>
        <w:tc>
          <w:tcPr>
            <w:tcW w:w="3096"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260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北京银行翠微路支行</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hAnsi="宋体" w:cs="宋体" w:eastAsia="宋体" w:hint="default"/>
                <w:sz w:val="18"/>
                <w:szCs w:val="18"/>
              </w:rPr>
              <w:t>3,200.00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06" w:type="dxa"/>
            <w:tcBorders>
              <w:top w:val="single" w:sz="4" w:space="0" w:color="000000"/>
              <w:left w:val="nil" w:sz="6" w:space="0" w:color="auto"/>
              <w:bottom w:val="nil" w:sz="6" w:space="0" w:color="auto"/>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sz w:val="18"/>
              </w:rPr>
              <w:t>2010.02.05-2011.03.07</w:t>
            </w:r>
          </w:p>
        </w:tc>
        <w:tc>
          <w:tcPr>
            <w:tcW w:w="2099" w:type="dxa"/>
            <w:tcBorders>
              <w:top w:val="single" w:sz="4" w:space="0" w:color="000000"/>
              <w:left w:val="nil" w:sz="6" w:space="0" w:color="auto"/>
              <w:bottom w:val="nil" w:sz="6" w:space="0" w:color="auto"/>
              <w:right w:val="nil" w:sz="6" w:space="0" w:color="auto"/>
            </w:tcBorders>
          </w:tcPr>
          <w:p>
            <w:pPr>
              <w:pStyle w:val="TableParagraph"/>
              <w:spacing w:line="226" w:lineRule="exact"/>
              <w:ind w:left="7" w:right="0"/>
              <w:jc w:val="center"/>
              <w:rPr>
                <w:rFonts w:ascii="宋体" w:hAnsi="宋体" w:cs="宋体" w:eastAsia="宋体" w:hint="default"/>
                <w:sz w:val="18"/>
                <w:szCs w:val="18"/>
              </w:rPr>
            </w:pPr>
            <w:r>
              <w:rPr>
                <w:rFonts w:ascii="宋体"/>
                <w:sz w:val="18"/>
              </w:rPr>
              <w:t>2010.02.05-2013.03.07</w:t>
            </w:r>
          </w:p>
        </w:tc>
      </w:tr>
      <w:tr>
        <w:trPr>
          <w:trHeight w:val="28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260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北京农村商业银行大钟寺支行</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2010.04.30-2014.04.29</w:t>
            </w:r>
          </w:p>
        </w:tc>
        <w:tc>
          <w:tcPr>
            <w:tcW w:w="2099" w:type="dxa"/>
            <w:tcBorders>
              <w:top w:val="nil" w:sz="6" w:space="0" w:color="auto"/>
              <w:left w:val="nil" w:sz="6" w:space="0" w:color="auto"/>
              <w:bottom w:val="nil" w:sz="6" w:space="0" w:color="auto"/>
              <w:right w:val="nil" w:sz="6" w:space="0" w:color="auto"/>
            </w:tcBorders>
          </w:tcPr>
          <w:p>
            <w:pPr>
              <w:pStyle w:val="TableParagraph"/>
              <w:spacing w:line="232" w:lineRule="exact"/>
              <w:ind w:left="7" w:right="0"/>
              <w:jc w:val="center"/>
              <w:rPr>
                <w:rFonts w:ascii="宋体" w:hAnsi="宋体" w:cs="宋体" w:eastAsia="宋体" w:hint="default"/>
                <w:sz w:val="18"/>
                <w:szCs w:val="18"/>
              </w:rPr>
            </w:pPr>
            <w:r>
              <w:rPr>
                <w:rFonts w:ascii="宋体"/>
                <w:sz w:val="18"/>
              </w:rPr>
              <w:t>2010.04.30-2016.04.29</w:t>
            </w:r>
          </w:p>
        </w:tc>
      </w:tr>
      <w:tr>
        <w:trPr>
          <w:trHeight w:val="28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260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工商衡阳城中支行</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350.00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2010.03.24-2011.03.24</w:t>
            </w:r>
          </w:p>
        </w:tc>
        <w:tc>
          <w:tcPr>
            <w:tcW w:w="2099" w:type="dxa"/>
            <w:tcBorders>
              <w:top w:val="nil" w:sz="6" w:space="0" w:color="auto"/>
              <w:left w:val="nil" w:sz="6" w:space="0" w:color="auto"/>
              <w:bottom w:val="nil" w:sz="6" w:space="0" w:color="auto"/>
              <w:right w:val="nil" w:sz="6" w:space="0" w:color="auto"/>
            </w:tcBorders>
          </w:tcPr>
          <w:p>
            <w:pPr>
              <w:pStyle w:val="TableParagraph"/>
              <w:spacing w:line="232" w:lineRule="exact"/>
              <w:ind w:left="7" w:right="0"/>
              <w:jc w:val="center"/>
              <w:rPr>
                <w:rFonts w:ascii="宋体" w:hAnsi="宋体" w:cs="宋体" w:eastAsia="宋体" w:hint="default"/>
                <w:sz w:val="18"/>
                <w:szCs w:val="18"/>
              </w:rPr>
            </w:pPr>
            <w:r>
              <w:rPr>
                <w:rFonts w:ascii="宋体"/>
                <w:sz w:val="18"/>
              </w:rPr>
              <w:t>2010.03.24-2013.03.24</w:t>
            </w:r>
          </w:p>
        </w:tc>
      </w:tr>
      <w:tr>
        <w:trPr>
          <w:trHeight w:val="28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260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中国建设银行衡阳雁峰支行</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2009.07.15-2014.07.20</w:t>
            </w:r>
          </w:p>
        </w:tc>
        <w:tc>
          <w:tcPr>
            <w:tcW w:w="2099" w:type="dxa"/>
            <w:tcBorders>
              <w:top w:val="nil" w:sz="6" w:space="0" w:color="auto"/>
              <w:left w:val="nil" w:sz="6" w:space="0" w:color="auto"/>
              <w:bottom w:val="nil" w:sz="6" w:space="0" w:color="auto"/>
              <w:right w:val="nil" w:sz="6" w:space="0" w:color="auto"/>
            </w:tcBorders>
          </w:tcPr>
          <w:p>
            <w:pPr>
              <w:pStyle w:val="TableParagraph"/>
              <w:spacing w:line="232" w:lineRule="exact"/>
              <w:ind w:left="7" w:right="0"/>
              <w:jc w:val="center"/>
              <w:rPr>
                <w:rFonts w:ascii="宋体" w:hAnsi="宋体" w:cs="宋体" w:eastAsia="宋体" w:hint="default"/>
                <w:sz w:val="18"/>
                <w:szCs w:val="18"/>
              </w:rPr>
            </w:pPr>
            <w:r>
              <w:rPr>
                <w:rFonts w:ascii="宋体"/>
                <w:sz w:val="18"/>
              </w:rPr>
              <w:t>2009.07.15-2016.07.20</w:t>
            </w:r>
          </w:p>
        </w:tc>
      </w:tr>
      <w:tr>
        <w:trPr>
          <w:trHeight w:val="28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26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上海浦东发展银行深圳分行</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2010.11.05-2011.11.12</w:t>
            </w:r>
          </w:p>
        </w:tc>
        <w:tc>
          <w:tcPr>
            <w:tcW w:w="2099" w:type="dxa"/>
            <w:tcBorders>
              <w:top w:val="nil" w:sz="6" w:space="0" w:color="auto"/>
              <w:left w:val="nil" w:sz="6" w:space="0" w:color="auto"/>
              <w:bottom w:val="nil" w:sz="6" w:space="0" w:color="auto"/>
              <w:right w:val="nil" w:sz="6" w:space="0" w:color="auto"/>
            </w:tcBorders>
          </w:tcPr>
          <w:p>
            <w:pPr>
              <w:pStyle w:val="TableParagraph"/>
              <w:spacing w:line="232" w:lineRule="exact"/>
              <w:ind w:left="7" w:right="0"/>
              <w:jc w:val="center"/>
              <w:rPr>
                <w:rFonts w:ascii="宋体" w:hAnsi="宋体" w:cs="宋体" w:eastAsia="宋体" w:hint="default"/>
                <w:sz w:val="18"/>
                <w:szCs w:val="18"/>
              </w:rPr>
            </w:pPr>
            <w:r>
              <w:rPr>
                <w:rFonts w:ascii="宋体"/>
                <w:sz w:val="18"/>
              </w:rPr>
              <w:t>2010.11.05-2013.11.12</w:t>
            </w:r>
          </w:p>
        </w:tc>
      </w:tr>
      <w:tr>
        <w:trPr>
          <w:trHeight w:val="293" w:hRule="exact"/>
        </w:trPr>
        <w:tc>
          <w:tcPr>
            <w:tcW w:w="309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260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中国银行深圳分行</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hAnsi="宋体" w:cs="宋体" w:eastAsia="宋体" w:hint="default"/>
                <w:sz w:val="18"/>
                <w:szCs w:val="18"/>
              </w:rPr>
              <w:t>4,000.00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06"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2009.04.29-2012.04.30</w:t>
            </w:r>
          </w:p>
        </w:tc>
        <w:tc>
          <w:tcPr>
            <w:tcW w:w="2099" w:type="dxa"/>
            <w:tcBorders>
              <w:top w:val="nil" w:sz="6" w:space="0" w:color="auto"/>
              <w:left w:val="nil" w:sz="6" w:space="0" w:color="auto"/>
              <w:bottom w:val="single" w:sz="4" w:space="0" w:color="000000"/>
              <w:right w:val="nil" w:sz="6" w:space="0" w:color="auto"/>
            </w:tcBorders>
          </w:tcPr>
          <w:p>
            <w:pPr>
              <w:pStyle w:val="TableParagraph"/>
              <w:spacing w:line="232" w:lineRule="exact"/>
              <w:ind w:left="7" w:right="0"/>
              <w:jc w:val="center"/>
              <w:rPr>
                <w:rFonts w:ascii="宋体" w:hAnsi="宋体" w:cs="宋体" w:eastAsia="宋体" w:hint="default"/>
                <w:sz w:val="18"/>
                <w:szCs w:val="18"/>
              </w:rPr>
            </w:pPr>
            <w:r>
              <w:rPr>
                <w:rFonts w:ascii="宋体"/>
                <w:sz w:val="18"/>
              </w:rPr>
              <w:t>2009.04.29-2014.04.30</w:t>
            </w:r>
          </w:p>
        </w:tc>
      </w:tr>
    </w:tbl>
    <w:p>
      <w:pPr>
        <w:tabs>
          <w:tab w:pos="5907" w:val="left" w:leader="none"/>
        </w:tabs>
        <w:spacing w:line="221" w:lineRule="exact" w:before="0"/>
        <w:ind w:left="1559" w:right="2055" w:firstLine="0"/>
        <w:jc w:val="left"/>
        <w:rPr>
          <w:rFonts w:ascii="宋体" w:hAnsi="宋体" w:cs="宋体" w:eastAsia="宋体" w:hint="default"/>
          <w:sz w:val="18"/>
          <w:szCs w:val="18"/>
        </w:rPr>
      </w:pPr>
      <w:r>
        <w:rPr>
          <w:rFonts w:ascii="宋体" w:hAnsi="宋体" w:cs="宋体" w:eastAsia="宋体" w:hint="default"/>
          <w:b/>
          <w:bCs/>
          <w:spacing w:val="-1"/>
          <w:w w:val="95"/>
          <w:sz w:val="18"/>
          <w:szCs w:val="18"/>
        </w:rPr>
        <w:t>合计</w:t>
        <w:tab/>
      </w:r>
      <w:r>
        <w:rPr>
          <w:rFonts w:ascii="宋体" w:hAnsi="宋体" w:cs="宋体" w:eastAsia="宋体" w:hint="default"/>
          <w:b/>
          <w:bCs/>
          <w:sz w:val="18"/>
          <w:szCs w:val="18"/>
        </w:rPr>
        <w:t>13,650.00</w:t>
      </w:r>
      <w:r>
        <w:rPr>
          <w:rFonts w:ascii="宋体" w:hAnsi="宋体" w:cs="宋体" w:eastAsia="宋体" w:hint="default"/>
          <w:b/>
          <w:bCs/>
          <w:spacing w:val="-52"/>
          <w:sz w:val="18"/>
          <w:szCs w:val="18"/>
        </w:rPr>
        <w:t> </w:t>
      </w:r>
      <w:r>
        <w:rPr>
          <w:rFonts w:ascii="宋体" w:hAnsi="宋体" w:cs="宋体" w:eastAsia="宋体" w:hint="default"/>
          <w:b/>
          <w:bCs/>
          <w:spacing w:val="1"/>
          <w:sz w:val="18"/>
          <w:szCs w:val="18"/>
        </w:rPr>
        <w:t>万元</w:t>
      </w:r>
      <w:r>
        <w:rPr>
          <w:rFonts w:ascii="宋体" w:hAnsi="宋体" w:cs="宋体" w:eastAsia="宋体" w:hint="default"/>
          <w:sz w:val="18"/>
          <w:szCs w:val="18"/>
        </w:rPr>
      </w:r>
    </w:p>
    <w:p>
      <w:pPr>
        <w:spacing w:line="240" w:lineRule="auto" w:before="7"/>
        <w:rPr>
          <w:rFonts w:ascii="宋体" w:hAnsi="宋体" w:cs="宋体" w:eastAsia="宋体" w:hint="default"/>
          <w:b/>
          <w:bCs/>
          <w:sz w:val="4"/>
          <w:szCs w:val="4"/>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567.4pt;height:1.5pt;mso-position-horizontal-relative:char;mso-position-vertical-relative:line" coordorigin="0,0" coordsize="11348,30">
            <v:group style="position:absolute;left:15;top:15;width:3111;height:2" coordorigin="15,15" coordsize="3111,2">
              <v:shape style="position:absolute;left:15;top:15;width:3111;height:2" coordorigin="15,15" coordsize="3111,0" path="m15,15l3125,15e" filled="false" stroked="true" strokeweight="1.5pt" strokecolor="#000000">
                <v:path arrowok="t"/>
              </v:shape>
            </v:group>
            <v:group style="position:absolute;left:3111;top:15;width:2571;height:2" coordorigin="3111,15" coordsize="2571,2">
              <v:shape style="position:absolute;left:3111;top:15;width:2571;height:2" coordorigin="3111,15" coordsize="2571,0" path="m3111,15l5681,15e" filled="false" stroked="true" strokeweight="1.5pt" strokecolor="#000000">
                <v:path arrowok="t"/>
              </v:shape>
            </v:group>
            <v:group style="position:absolute;left:5667;top:15;width:1454;height:2" coordorigin="5667,15" coordsize="1454,2">
              <v:shape style="position:absolute;left:5667;top:15;width:1454;height:2" coordorigin="5667,15" coordsize="1454,0" path="m5667,15l7120,15e" filled="false" stroked="true" strokeweight="1.5pt" strokecolor="#000000">
                <v:path arrowok="t"/>
              </v:shape>
            </v:group>
            <v:group style="position:absolute;left:7106;top:15;width:2121;height:2" coordorigin="7106,15" coordsize="2121,2">
              <v:shape style="position:absolute;left:7106;top:15;width:2121;height:2" coordorigin="7106,15" coordsize="2121,0" path="m7106,15l9226,15e" filled="false" stroked="true" strokeweight="1.5pt" strokecolor="#000000">
                <v:path arrowok="t"/>
              </v:shape>
            </v:group>
            <v:group style="position:absolute;left:9212;top:15;width:2121;height:2" coordorigin="9212,15" coordsize="2121,2">
              <v:shape style="position:absolute;left:9212;top:15;width:2121;height:2" coordorigin="9212,15" coordsize="2121,0" path="m9212,15l11332,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1766" w:right="346" w:firstLine="0"/>
        <w:jc w:val="left"/>
        <w:rPr>
          <w:rFonts w:ascii="宋体" w:hAnsi="宋体" w:cs="宋体" w:eastAsia="宋体" w:hint="default"/>
          <w:sz w:val="22"/>
          <w:szCs w:val="22"/>
        </w:rPr>
      </w:pPr>
      <w:r>
        <w:rPr>
          <w:rFonts w:ascii="宋体" w:hAnsi="宋体" w:cs="宋体" w:eastAsia="宋体" w:hint="default"/>
          <w:b/>
          <w:bCs/>
          <w:sz w:val="22"/>
          <w:szCs w:val="22"/>
        </w:rPr>
        <w:t>4) </w:t>
      </w: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日，公司持股</w:t>
      </w:r>
      <w:r>
        <w:rPr>
          <w:rFonts w:ascii="宋体" w:hAnsi="宋体" w:cs="宋体" w:eastAsia="宋体" w:hint="default"/>
          <w:spacing w:val="-59"/>
          <w:sz w:val="22"/>
          <w:szCs w:val="22"/>
        </w:rPr>
        <w:t> </w:t>
      </w:r>
      <w:r>
        <w:rPr>
          <w:rFonts w:ascii="宋体" w:hAnsi="宋体" w:cs="宋体" w:eastAsia="宋体" w:hint="default"/>
          <w:sz w:val="22"/>
          <w:szCs w:val="22"/>
        </w:rPr>
        <w:t>22.71%的泰豪科技股份有限公司以保证方式对其下</w:t>
      </w:r>
    </w:p>
    <w:p>
      <w:pPr>
        <w:spacing w:before="102"/>
        <w:ind w:left="1198" w:right="2055" w:firstLine="0"/>
        <w:jc w:val="left"/>
        <w:rPr>
          <w:rFonts w:ascii="宋体" w:hAnsi="宋体" w:cs="宋体" w:eastAsia="宋体" w:hint="default"/>
          <w:sz w:val="22"/>
          <w:szCs w:val="22"/>
        </w:rPr>
      </w:pPr>
      <w:r>
        <w:rPr>
          <w:rFonts w:ascii="宋体" w:hAnsi="宋体" w:cs="宋体" w:eastAsia="宋体" w:hint="default"/>
          <w:sz w:val="22"/>
          <w:szCs w:val="22"/>
        </w:rPr>
        <w:t>属子公司的</w:t>
      </w:r>
      <w:r>
        <w:rPr>
          <w:rFonts w:ascii="宋体" w:hAnsi="宋体" w:cs="宋体" w:eastAsia="宋体" w:hint="default"/>
          <w:spacing w:val="-60"/>
          <w:sz w:val="22"/>
          <w:szCs w:val="22"/>
        </w:rPr>
        <w:t> </w:t>
      </w:r>
      <w:r>
        <w:rPr>
          <w:rFonts w:ascii="宋体" w:hAnsi="宋体" w:cs="宋体" w:eastAsia="宋体" w:hint="default"/>
          <w:sz w:val="22"/>
          <w:szCs w:val="22"/>
        </w:rPr>
        <w:t>4,895.64</w:t>
      </w:r>
      <w:r>
        <w:rPr>
          <w:rFonts w:ascii="宋体" w:hAnsi="宋体" w:cs="宋体" w:eastAsia="宋体" w:hint="default"/>
          <w:spacing w:val="-61"/>
          <w:sz w:val="22"/>
          <w:szCs w:val="22"/>
        </w:rPr>
        <w:t> </w:t>
      </w:r>
      <w:r>
        <w:rPr>
          <w:rFonts w:ascii="宋体" w:hAnsi="宋体" w:cs="宋体" w:eastAsia="宋体" w:hint="default"/>
          <w:sz w:val="22"/>
          <w:szCs w:val="22"/>
        </w:rPr>
        <w:t>万元银行承兑汇票提供担保。</w:t>
      </w:r>
    </w:p>
    <w:p>
      <w:pPr>
        <w:spacing w:before="180"/>
        <w:ind w:left="1766" w:right="346" w:firstLine="0"/>
        <w:jc w:val="left"/>
        <w:rPr>
          <w:rFonts w:ascii="宋体" w:hAnsi="宋体" w:cs="宋体" w:eastAsia="宋体" w:hint="default"/>
          <w:sz w:val="22"/>
          <w:szCs w:val="22"/>
        </w:rPr>
      </w:pPr>
      <w:r>
        <w:rPr>
          <w:rFonts w:ascii="宋体" w:hAnsi="宋体" w:cs="宋体" w:eastAsia="宋体" w:hint="default"/>
          <w:b/>
          <w:bCs/>
          <w:sz w:val="22"/>
          <w:szCs w:val="22"/>
        </w:rPr>
        <w:t>5) </w:t>
      </w: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日，公司持股</w:t>
      </w:r>
      <w:r>
        <w:rPr>
          <w:rFonts w:ascii="宋体" w:hAnsi="宋体" w:cs="宋体" w:eastAsia="宋体" w:hint="default"/>
          <w:spacing w:val="-59"/>
          <w:sz w:val="22"/>
          <w:szCs w:val="22"/>
        </w:rPr>
        <w:t> </w:t>
      </w:r>
      <w:r>
        <w:rPr>
          <w:rFonts w:ascii="宋体" w:hAnsi="宋体" w:cs="宋体" w:eastAsia="宋体" w:hint="default"/>
          <w:sz w:val="22"/>
          <w:szCs w:val="22"/>
        </w:rPr>
        <w:t>100%的同方工业有限公司以保证方式为其下属持股</w:t>
      </w:r>
    </w:p>
    <w:p>
      <w:pPr>
        <w:spacing w:before="102"/>
        <w:ind w:left="1198" w:right="2055" w:firstLine="0"/>
        <w:jc w:val="left"/>
        <w:rPr>
          <w:rFonts w:ascii="宋体" w:hAnsi="宋体" w:cs="宋体" w:eastAsia="宋体" w:hint="default"/>
          <w:sz w:val="22"/>
          <w:szCs w:val="22"/>
        </w:rPr>
      </w:pPr>
      <w:r>
        <w:rPr>
          <w:rFonts w:ascii="宋体" w:hAnsi="宋体" w:cs="宋体" w:eastAsia="宋体" w:hint="default"/>
          <w:sz w:val="22"/>
          <w:szCs w:val="22"/>
        </w:rPr>
        <w:t>100%的子公司同方江新造船有限公司的下列保函提供连带责任担保：</w:t>
      </w:r>
    </w:p>
    <w:p>
      <w:pPr>
        <w:tabs>
          <w:tab w:pos="5671" w:val="left" w:leader="none"/>
          <w:tab w:pos="8663" w:val="left" w:leader="none"/>
        </w:tabs>
        <w:spacing w:line="290" w:lineRule="atLeast" w:before="129"/>
        <w:ind w:left="6130" w:right="2196" w:hanging="3686"/>
        <w:jc w:val="left"/>
        <w:rPr>
          <w:rFonts w:ascii="宋体" w:hAnsi="宋体" w:cs="宋体" w:eastAsia="宋体" w:hint="default"/>
          <w:sz w:val="18"/>
          <w:szCs w:val="18"/>
        </w:rPr>
      </w:pPr>
      <w:r>
        <w:rPr/>
        <w:pict>
          <v:group style="position:absolute;margin-left:65.519997pt;margin-top:8.914672pt;width:470.55pt;height:.1pt;mso-position-horizontal-relative:page;mso-position-vertical-relative:paragraph;z-index:-1044232" coordorigin="1310,178" coordsize="9411,2">
            <v:shape style="position:absolute;left:1310;top:178;width:9411;height:2" coordorigin="1310,178" coordsize="9411,0" path="m1310,178l10721,178e" filled="false" stroked="true" strokeweight="1.5pt" strokecolor="#000000">
              <v:path arrowok="t"/>
            </v:shape>
            <w10:wrap type="none"/>
          </v:group>
        </w:pict>
      </w:r>
      <w:r>
        <w:rPr/>
        <w:pict>
          <v:group style="position:absolute;margin-left:65.519997pt;margin-top:24.004671pt;width:470.55pt;height:.1pt;mso-position-horizontal-relative:page;mso-position-vertical-relative:paragraph;z-index:-1044208" coordorigin="1310,480" coordsize="9411,2">
            <v:shape style="position:absolute;left:1310;top:480;width:9411;height:2" coordorigin="1310,480" coordsize="9411,0" path="m1310,480l10721,480e" filled="false" stroked="true" strokeweight=".48pt" strokecolor="#000000">
              <v:path arrowok="t"/>
            </v:shape>
            <w10:wrap type="none"/>
          </v:group>
        </w:pict>
      </w:r>
      <w:r>
        <w:rPr>
          <w:rFonts w:ascii="宋体" w:hAnsi="宋体" w:cs="宋体" w:eastAsia="宋体" w:hint="default"/>
          <w:b/>
          <w:bCs/>
          <w:w w:val="95"/>
          <w:sz w:val="18"/>
          <w:szCs w:val="18"/>
        </w:rPr>
        <w:t>贷款银行</w:t>
        <w:tab/>
        <w:t>保函金额</w:t>
        <w:tab/>
      </w:r>
      <w:r>
        <w:rPr>
          <w:rFonts w:ascii="宋体" w:hAnsi="宋体" w:cs="宋体" w:eastAsia="宋体" w:hint="default"/>
          <w:b/>
          <w:bCs/>
          <w:sz w:val="18"/>
          <w:szCs w:val="18"/>
        </w:rPr>
        <w:t>保函期限</w:t>
      </w:r>
      <w:r>
        <w:rPr>
          <w:rFonts w:ascii="宋体" w:hAnsi="宋体" w:cs="宋体" w:eastAsia="宋体" w:hint="default"/>
          <w:b/>
          <w:bCs/>
          <w:w w:val="99"/>
          <w:sz w:val="18"/>
          <w:szCs w:val="18"/>
        </w:rPr>
        <w:t> </w:t>
      </w:r>
      <w:r>
        <w:rPr>
          <w:rFonts w:ascii="宋体" w:hAnsi="宋体" w:cs="宋体" w:eastAsia="宋体" w:hint="default"/>
          <w:sz w:val="18"/>
          <w:szCs w:val="18"/>
        </w:rPr>
        <w:t>4,448.00</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after="0" w:line="290" w:lineRule="atLeast"/>
        <w:jc w:val="left"/>
        <w:rPr>
          <w:rFonts w:ascii="宋体" w:hAnsi="宋体" w:cs="宋体" w:eastAsia="宋体" w:hint="default"/>
          <w:sz w:val="18"/>
          <w:szCs w:val="18"/>
        </w:rPr>
        <w:sectPr>
          <w:type w:val="continuous"/>
          <w:pgSz w:w="11910" w:h="16840"/>
          <w:pgMar w:top="1600" w:bottom="280" w:left="220" w:right="100"/>
        </w:sectPr>
      </w:pPr>
    </w:p>
    <w:p>
      <w:pPr>
        <w:spacing w:line="137" w:lineRule="exact" w:before="0"/>
        <w:ind w:left="1198" w:right="-20" w:firstLine="0"/>
        <w:jc w:val="left"/>
        <w:rPr>
          <w:rFonts w:ascii="宋体" w:hAnsi="宋体" w:cs="宋体" w:eastAsia="宋体" w:hint="default"/>
          <w:sz w:val="18"/>
          <w:szCs w:val="18"/>
        </w:rPr>
      </w:pPr>
      <w:r>
        <w:rPr>
          <w:rFonts w:ascii="宋体" w:hAnsi="宋体" w:cs="宋体" w:eastAsia="宋体" w:hint="default"/>
          <w:sz w:val="18"/>
          <w:szCs w:val="18"/>
        </w:rPr>
        <w:t>中国农业银行湖口县支行</w:t>
      </w:r>
    </w:p>
    <w:p>
      <w:pPr>
        <w:spacing w:before="49"/>
        <w:ind w:left="119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29,457.77</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line="137" w:lineRule="exact" w:before="0"/>
        <w:ind w:left="605" w:right="0" w:firstLine="0"/>
        <w:jc w:val="left"/>
        <w:rPr>
          <w:rFonts w:ascii="宋体" w:hAnsi="宋体" w:cs="宋体" w:eastAsia="宋体" w:hint="default"/>
          <w:sz w:val="18"/>
          <w:szCs w:val="18"/>
        </w:rPr>
      </w:pPr>
      <w:r>
        <w:rPr/>
        <w:br w:type="column"/>
      </w:r>
      <w:r>
        <w:rPr>
          <w:rFonts w:ascii="宋体"/>
          <w:sz w:val="18"/>
        </w:rPr>
        <w:t>2008.03.07-2012.10.23</w:t>
      </w:r>
    </w:p>
    <w:p>
      <w:pPr>
        <w:spacing w:after="0" w:line="137" w:lineRule="exact"/>
        <w:jc w:val="left"/>
        <w:rPr>
          <w:rFonts w:ascii="宋体" w:hAnsi="宋体" w:cs="宋体" w:eastAsia="宋体" w:hint="default"/>
          <w:sz w:val="18"/>
          <w:szCs w:val="18"/>
        </w:rPr>
        <w:sectPr>
          <w:type w:val="continuous"/>
          <w:pgSz w:w="11910" w:h="16840"/>
          <w:pgMar w:top="1600" w:bottom="280" w:left="220" w:right="100"/>
          <w:cols w:num="3" w:equalWidth="0">
            <w:col w:w="3179" w:space="1258"/>
            <w:col w:w="2999" w:space="40"/>
            <w:col w:w="4114"/>
          </w:cols>
        </w:sectPr>
      </w:pPr>
    </w:p>
    <w:p>
      <w:pPr>
        <w:spacing w:line="240" w:lineRule="auto" w:before="4"/>
        <w:rPr>
          <w:rFonts w:ascii="宋体" w:hAnsi="宋体" w:cs="宋体" w:eastAsia="宋体" w:hint="default"/>
          <w:sz w:val="4"/>
          <w:szCs w:val="4"/>
        </w:rPr>
      </w:pPr>
    </w:p>
    <w:p>
      <w:pPr>
        <w:spacing w:line="20" w:lineRule="exact"/>
        <w:ind w:left="1085" w:right="0" w:firstLine="0"/>
        <w:rPr>
          <w:rFonts w:ascii="宋体" w:hAnsi="宋体" w:cs="宋体" w:eastAsia="宋体" w:hint="default"/>
          <w:sz w:val="2"/>
          <w:szCs w:val="2"/>
        </w:rPr>
      </w:pPr>
      <w:r>
        <w:rPr>
          <w:rFonts w:ascii="宋体" w:hAnsi="宋体" w:cs="宋体" w:eastAsia="宋体" w:hint="default"/>
          <w:sz w:val="2"/>
          <w:szCs w:val="2"/>
        </w:rPr>
        <w:pict>
          <v:group style="width:471pt;height:.5pt;mso-position-horizontal-relative:char;mso-position-vertical-relative:line" coordorigin="0,0" coordsize="9420,10">
            <v:group style="position:absolute;left:5;top:5;width:9411;height:2" coordorigin="5,5" coordsize="9411,2">
              <v:shape style="position:absolute;left:5;top:5;width:9411;height:2" coordorigin="5,5" coordsize="9411,0" path="m5,5l9415,5e" filled="false" stroked="true" strokeweight=".48pt" strokecolor="#000000">
                <v:path arrowok="t"/>
              </v:shape>
            </v:group>
          </v:group>
        </w:pict>
      </w:r>
      <w:r>
        <w:rPr>
          <w:rFonts w:ascii="宋体" w:hAnsi="宋体" w:cs="宋体" w:eastAsia="宋体" w:hint="default"/>
          <w:sz w:val="2"/>
          <w:szCs w:val="2"/>
        </w:rPr>
      </w:r>
    </w:p>
    <w:p>
      <w:pPr>
        <w:tabs>
          <w:tab w:pos="5624" w:val="left" w:leader="none"/>
        </w:tabs>
        <w:spacing w:before="0"/>
        <w:ind w:left="2426" w:right="2055"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约</w:t>
      </w:r>
      <w:r>
        <w:rPr>
          <w:rFonts w:ascii="宋体" w:hAnsi="宋体" w:cs="宋体" w:eastAsia="宋体" w:hint="default"/>
          <w:b/>
          <w:bCs/>
          <w:spacing w:val="-49"/>
          <w:sz w:val="18"/>
          <w:szCs w:val="18"/>
        </w:rPr>
        <w:t> </w:t>
      </w:r>
      <w:r>
        <w:rPr>
          <w:rFonts w:ascii="宋体" w:hAnsi="宋体" w:cs="宋体" w:eastAsia="宋体" w:hint="default"/>
          <w:b/>
          <w:bCs/>
          <w:sz w:val="18"/>
          <w:szCs w:val="18"/>
        </w:rPr>
        <w:t>29,457.77</w:t>
      </w:r>
      <w:r>
        <w:rPr>
          <w:rFonts w:ascii="宋体" w:hAnsi="宋体" w:cs="宋体" w:eastAsia="宋体" w:hint="default"/>
          <w:b/>
          <w:bCs/>
          <w:spacing w:val="-51"/>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p>
      <w:pPr>
        <w:spacing w:line="30" w:lineRule="exact"/>
        <w:ind w:left="106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1pt;height:1.5pt;mso-position-horizontal-relative:char;mso-position-vertical-relative:line" coordorigin="0,0" coordsize="9462,30">
            <v:group style="position:absolute;left:15;top:15;width:3449;height:2" coordorigin="15,15" coordsize="3449,2">
              <v:shape style="position:absolute;left:15;top:15;width:3449;height:2" coordorigin="15,15" coordsize="3449,0" path="m15,15l3464,15e" filled="false" stroked="true" strokeweight="1.5pt" strokecolor="#000000">
                <v:path arrowok="t"/>
              </v:shape>
            </v:group>
            <v:group style="position:absolute;left:3449;top:15;width:3033;height:2" coordorigin="3449,15" coordsize="3033,2">
              <v:shape style="position:absolute;left:3449;top:15;width:3033;height:2" coordorigin="3449,15" coordsize="3033,0" path="m3449,15l6482,15e" filled="false" stroked="true" strokeweight="1.5pt" strokecolor="#000000">
                <v:path arrowok="t"/>
              </v:shape>
            </v:group>
            <v:group style="position:absolute;left:6467;top:15;width:2980;height:2" coordorigin="6467,15" coordsize="2980,2">
              <v:shape style="position:absolute;left:6467;top:15;width:2980;height:2" coordorigin="6467,15" coordsize="2980,0" path="m6467,15l944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220" w:right="1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1"/>
        <w:ind w:left="67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公司法人实体为其他关联方提供担保</w:t>
      </w:r>
    </w:p>
    <w:p>
      <w:pPr>
        <w:spacing w:line="324" w:lineRule="auto" w:before="179"/>
        <w:ind w:left="218" w:right="0" w:firstLine="567"/>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日，公司以保证方式为龙江环保集团股份有限公司的下列银行借</w:t>
      </w:r>
      <w:r>
        <w:rPr>
          <w:rFonts w:ascii="宋体" w:hAnsi="宋体" w:cs="宋体" w:eastAsia="宋体" w:hint="default"/>
          <w:w w:val="99"/>
          <w:sz w:val="22"/>
          <w:szCs w:val="22"/>
        </w:rPr>
        <w:t> </w:t>
      </w:r>
      <w:r>
        <w:rPr>
          <w:rFonts w:ascii="宋体" w:hAnsi="宋体" w:cs="宋体" w:eastAsia="宋体" w:hint="default"/>
          <w:sz w:val="22"/>
          <w:szCs w:val="22"/>
        </w:rPr>
        <w:t>款提供连带责任担保：</w:t>
      </w:r>
    </w:p>
    <w:p>
      <w:pPr>
        <w:spacing w:line="240" w:lineRule="auto" w:before="10"/>
        <w:rPr>
          <w:rFonts w:ascii="宋体" w:hAnsi="宋体" w:cs="宋体" w:eastAsia="宋体" w:hint="default"/>
          <w:sz w:val="7"/>
          <w:szCs w:val="7"/>
        </w:rPr>
      </w:pPr>
    </w:p>
    <w:tbl>
      <w:tblPr>
        <w:tblW w:w="0" w:type="auto"/>
        <w:jc w:val="left"/>
        <w:tblInd w:w="495" w:type="dxa"/>
        <w:tblLayout w:type="fixed"/>
        <w:tblCellMar>
          <w:top w:w="0" w:type="dxa"/>
          <w:left w:w="0" w:type="dxa"/>
          <w:bottom w:w="0" w:type="dxa"/>
          <w:right w:w="0" w:type="dxa"/>
        </w:tblCellMar>
        <w:tblLook w:val="01E0"/>
      </w:tblPr>
      <w:tblGrid>
        <w:gridCol w:w="2492"/>
        <w:gridCol w:w="1761"/>
        <w:gridCol w:w="2183"/>
        <w:gridCol w:w="2204"/>
      </w:tblGrid>
      <w:tr>
        <w:trPr>
          <w:trHeight w:val="303" w:hRule="exact"/>
        </w:trPr>
        <w:tc>
          <w:tcPr>
            <w:tcW w:w="249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76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31"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8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27"/>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2" w:hRule="exact"/>
        </w:trPr>
        <w:tc>
          <w:tcPr>
            <w:tcW w:w="249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26" w:lineRule="exact"/>
              <w:ind w:right="131"/>
              <w:jc w:val="right"/>
              <w:rPr>
                <w:rFonts w:ascii="宋体" w:hAnsi="宋体" w:cs="宋体" w:eastAsia="宋体" w:hint="default"/>
                <w:sz w:val="18"/>
                <w:szCs w:val="18"/>
              </w:rPr>
            </w:pPr>
            <w:r>
              <w:rPr>
                <w:rFonts w:ascii="宋体" w:hAnsi="宋体" w:cs="宋体" w:eastAsia="宋体" w:hint="default"/>
                <w:sz w:val="18"/>
                <w:szCs w:val="18"/>
              </w:rPr>
              <w:t>8,164.67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3" w:type="dxa"/>
            <w:tcBorders>
              <w:top w:val="single" w:sz="4" w:space="0" w:color="000000"/>
              <w:left w:val="nil" w:sz="6" w:space="0" w:color="auto"/>
              <w:bottom w:val="nil" w:sz="6" w:space="0" w:color="auto"/>
              <w:right w:val="nil" w:sz="6" w:space="0" w:color="auto"/>
            </w:tcBorders>
          </w:tcPr>
          <w:p>
            <w:pPr>
              <w:pStyle w:val="TableParagraph"/>
              <w:spacing w:line="226" w:lineRule="exact"/>
              <w:ind w:right="25"/>
              <w:jc w:val="center"/>
              <w:rPr>
                <w:rFonts w:ascii="宋体" w:hAnsi="宋体" w:cs="宋体" w:eastAsia="宋体" w:hint="default"/>
                <w:sz w:val="18"/>
                <w:szCs w:val="18"/>
              </w:rPr>
            </w:pPr>
            <w:r>
              <w:rPr>
                <w:rFonts w:ascii="宋体"/>
                <w:sz w:val="18"/>
              </w:rPr>
              <w:t>2009.05.31-2012.08.11</w:t>
            </w:r>
          </w:p>
        </w:tc>
        <w:tc>
          <w:tcPr>
            <w:tcW w:w="2204" w:type="dxa"/>
            <w:tcBorders>
              <w:top w:val="single" w:sz="4" w:space="0" w:color="000000"/>
              <w:left w:val="nil" w:sz="6" w:space="0" w:color="auto"/>
              <w:bottom w:val="nil" w:sz="6" w:space="0" w:color="auto"/>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2009.05.31-2014.08.11</w:t>
            </w:r>
          </w:p>
        </w:tc>
      </w:tr>
      <w:tr>
        <w:trPr>
          <w:trHeight w:val="283"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761"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hAnsi="宋体" w:cs="宋体" w:eastAsia="宋体" w:hint="default"/>
                <w:sz w:val="18"/>
                <w:szCs w:val="18"/>
              </w:rPr>
              <w:t>14,000.00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3" w:type="dxa"/>
            <w:tcBorders>
              <w:top w:val="nil" w:sz="6" w:space="0" w:color="auto"/>
              <w:left w:val="nil" w:sz="6" w:space="0" w:color="auto"/>
              <w:bottom w:val="nil" w:sz="6" w:space="0" w:color="auto"/>
              <w:right w:val="nil" w:sz="6" w:space="0" w:color="auto"/>
            </w:tcBorders>
          </w:tcPr>
          <w:p>
            <w:pPr>
              <w:pStyle w:val="TableParagraph"/>
              <w:spacing w:line="232" w:lineRule="exact"/>
              <w:ind w:right="25"/>
              <w:jc w:val="center"/>
              <w:rPr>
                <w:rFonts w:ascii="宋体" w:hAnsi="宋体" w:cs="宋体" w:eastAsia="宋体" w:hint="default"/>
                <w:sz w:val="18"/>
                <w:szCs w:val="18"/>
              </w:rPr>
            </w:pPr>
            <w:r>
              <w:rPr>
                <w:rFonts w:ascii="宋体"/>
                <w:sz w:val="18"/>
              </w:rPr>
              <w:t>2009.05.31-2012.05.31</w:t>
            </w:r>
          </w:p>
        </w:tc>
        <w:tc>
          <w:tcPr>
            <w:tcW w:w="2204" w:type="dxa"/>
            <w:tcBorders>
              <w:top w:val="nil" w:sz="6" w:space="0" w:color="auto"/>
              <w:left w:val="nil" w:sz="6" w:space="0" w:color="auto"/>
              <w:bottom w:val="nil" w:sz="6" w:space="0" w:color="auto"/>
              <w:right w:val="nil" w:sz="6" w:space="0" w:color="auto"/>
            </w:tcBorders>
          </w:tcPr>
          <w:p>
            <w:pPr>
              <w:pStyle w:val="TableParagraph"/>
              <w:spacing w:line="232" w:lineRule="exact"/>
              <w:ind w:left="6" w:right="0"/>
              <w:jc w:val="center"/>
              <w:rPr>
                <w:rFonts w:ascii="宋体" w:hAnsi="宋体" w:cs="宋体" w:eastAsia="宋体" w:hint="default"/>
                <w:sz w:val="18"/>
                <w:szCs w:val="18"/>
              </w:rPr>
            </w:pPr>
            <w:r>
              <w:rPr>
                <w:rFonts w:ascii="宋体"/>
                <w:sz w:val="18"/>
              </w:rPr>
              <w:t>2009.05.31-2014.05.31</w:t>
            </w:r>
          </w:p>
        </w:tc>
      </w:tr>
      <w:tr>
        <w:trPr>
          <w:trHeight w:val="294" w:hRule="exact"/>
        </w:trPr>
        <w:tc>
          <w:tcPr>
            <w:tcW w:w="2492"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兴业银行南岗支行</w:t>
            </w:r>
          </w:p>
        </w:tc>
        <w:tc>
          <w:tcPr>
            <w:tcW w:w="1761" w:type="dxa"/>
            <w:tcBorders>
              <w:top w:val="nil" w:sz="6" w:space="0" w:color="auto"/>
              <w:left w:val="nil" w:sz="6" w:space="0" w:color="auto"/>
              <w:bottom w:val="single" w:sz="4" w:space="0" w:color="000000"/>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3" w:type="dxa"/>
            <w:tcBorders>
              <w:top w:val="nil" w:sz="6" w:space="0" w:color="auto"/>
              <w:left w:val="nil" w:sz="6" w:space="0" w:color="auto"/>
              <w:bottom w:val="single" w:sz="4" w:space="0" w:color="000000"/>
              <w:right w:val="nil" w:sz="6" w:space="0" w:color="auto"/>
            </w:tcBorders>
          </w:tcPr>
          <w:p>
            <w:pPr>
              <w:pStyle w:val="TableParagraph"/>
              <w:spacing w:line="232" w:lineRule="exact"/>
              <w:ind w:right="25"/>
              <w:jc w:val="center"/>
              <w:rPr>
                <w:rFonts w:ascii="宋体" w:hAnsi="宋体" w:cs="宋体" w:eastAsia="宋体" w:hint="default"/>
                <w:sz w:val="18"/>
                <w:szCs w:val="18"/>
              </w:rPr>
            </w:pPr>
            <w:r>
              <w:rPr>
                <w:rFonts w:ascii="宋体"/>
                <w:sz w:val="18"/>
              </w:rPr>
              <w:t>2010.09.21-2011.09.21</w:t>
            </w:r>
          </w:p>
        </w:tc>
        <w:tc>
          <w:tcPr>
            <w:tcW w:w="2204" w:type="dxa"/>
            <w:tcBorders>
              <w:top w:val="nil" w:sz="6" w:space="0" w:color="auto"/>
              <w:left w:val="nil" w:sz="6" w:space="0" w:color="auto"/>
              <w:bottom w:val="single" w:sz="4" w:space="0" w:color="000000"/>
              <w:right w:val="nil" w:sz="6" w:space="0" w:color="auto"/>
            </w:tcBorders>
          </w:tcPr>
          <w:p>
            <w:pPr>
              <w:pStyle w:val="TableParagraph"/>
              <w:spacing w:line="232" w:lineRule="exact"/>
              <w:ind w:left="6" w:right="0"/>
              <w:jc w:val="center"/>
              <w:rPr>
                <w:rFonts w:ascii="宋体" w:hAnsi="宋体" w:cs="宋体" w:eastAsia="宋体" w:hint="default"/>
                <w:sz w:val="18"/>
                <w:szCs w:val="18"/>
              </w:rPr>
            </w:pPr>
            <w:r>
              <w:rPr>
                <w:rFonts w:ascii="宋体"/>
                <w:sz w:val="18"/>
              </w:rPr>
              <w:t>2010.09.21-2013.09.21</w:t>
            </w:r>
          </w:p>
        </w:tc>
      </w:tr>
      <w:tr>
        <w:trPr>
          <w:trHeight w:val="303" w:hRule="exact"/>
        </w:trPr>
        <w:tc>
          <w:tcPr>
            <w:tcW w:w="249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5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30"/>
              <w:jc w:val="right"/>
              <w:rPr>
                <w:rFonts w:ascii="宋体" w:hAnsi="宋体" w:cs="宋体" w:eastAsia="宋体" w:hint="default"/>
                <w:sz w:val="18"/>
                <w:szCs w:val="18"/>
              </w:rPr>
            </w:pPr>
            <w:r>
              <w:rPr>
                <w:rFonts w:ascii="宋体" w:hAnsi="宋体" w:cs="宋体" w:eastAsia="宋体" w:hint="default"/>
                <w:b/>
                <w:bCs/>
                <w:sz w:val="18"/>
                <w:szCs w:val="18"/>
              </w:rPr>
              <w:t>42,164.67</w:t>
            </w:r>
            <w:r>
              <w:rPr>
                <w:rFonts w:ascii="宋体" w:hAnsi="宋体" w:cs="宋体" w:eastAsia="宋体" w:hint="default"/>
                <w:b/>
                <w:bCs/>
                <w:spacing w:val="-50"/>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183" w:type="dxa"/>
            <w:tcBorders>
              <w:top w:val="single" w:sz="4" w:space="0" w:color="000000"/>
              <w:left w:val="nil" w:sz="6" w:space="0" w:color="auto"/>
              <w:bottom w:val="single" w:sz="12" w:space="0" w:color="000000"/>
              <w:right w:val="nil" w:sz="6" w:space="0" w:color="auto"/>
            </w:tcBorders>
          </w:tcPr>
          <w:p>
            <w:pPr/>
          </w:p>
        </w:tc>
        <w:tc>
          <w:tcPr>
            <w:tcW w:w="2204" w:type="dxa"/>
            <w:tcBorders>
              <w:top w:val="single" w:sz="4" w:space="0" w:color="000000"/>
              <w:left w:val="nil" w:sz="6" w:space="0" w:color="auto"/>
              <w:bottom w:val="single" w:sz="12" w:space="0" w:color="000000"/>
              <w:right w:val="nil" w:sz="6" w:space="0" w:color="auto"/>
            </w:tcBorders>
          </w:tcPr>
          <w:p>
            <w:pPr/>
          </w:p>
        </w:tc>
      </w:tr>
    </w:tbl>
    <w:p>
      <w:pPr>
        <w:spacing w:line="324" w:lineRule="auto" w:before="79"/>
        <w:ind w:left="218" w:right="0" w:firstLine="567"/>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日，公司以保证方式为哈尔滨平义龙江环保治水有限责任公司的</w:t>
      </w:r>
      <w:r>
        <w:rPr>
          <w:rFonts w:ascii="宋体" w:hAnsi="宋体" w:cs="宋体" w:eastAsia="宋体" w:hint="default"/>
          <w:w w:val="99"/>
          <w:sz w:val="22"/>
          <w:szCs w:val="22"/>
        </w:rPr>
        <w:t> </w:t>
      </w:r>
      <w:r>
        <w:rPr>
          <w:rFonts w:ascii="宋体" w:hAnsi="宋体" w:cs="宋体" w:eastAsia="宋体" w:hint="default"/>
          <w:sz w:val="22"/>
          <w:szCs w:val="22"/>
        </w:rPr>
        <w:t>下列银行借款提供连带责任担保：</w:t>
      </w:r>
    </w:p>
    <w:p>
      <w:pPr>
        <w:spacing w:line="240" w:lineRule="auto" w:before="10"/>
        <w:rPr>
          <w:rFonts w:ascii="宋体" w:hAnsi="宋体" w:cs="宋体" w:eastAsia="宋体" w:hint="default"/>
          <w:sz w:val="7"/>
          <w:szCs w:val="7"/>
        </w:rPr>
      </w:pPr>
    </w:p>
    <w:tbl>
      <w:tblPr>
        <w:tblW w:w="0" w:type="auto"/>
        <w:jc w:val="left"/>
        <w:tblInd w:w="268" w:type="dxa"/>
        <w:tblLayout w:type="fixed"/>
        <w:tblCellMar>
          <w:top w:w="0" w:type="dxa"/>
          <w:left w:w="0" w:type="dxa"/>
          <w:bottom w:w="0" w:type="dxa"/>
          <w:right w:w="0" w:type="dxa"/>
        </w:tblCellMar>
        <w:tblLook w:val="01E0"/>
      </w:tblPr>
      <w:tblGrid>
        <w:gridCol w:w="2554"/>
        <w:gridCol w:w="2021"/>
        <w:gridCol w:w="2239"/>
        <w:gridCol w:w="2278"/>
      </w:tblGrid>
      <w:tr>
        <w:trPr>
          <w:trHeight w:val="303" w:hRule="exact"/>
        </w:trPr>
        <w:tc>
          <w:tcPr>
            <w:tcW w:w="25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3"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2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69"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23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4"/>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2" w:hRule="exact"/>
        </w:trPr>
        <w:tc>
          <w:tcPr>
            <w:tcW w:w="2554"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中国银行（道里支行）</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26" w:lineRule="exact"/>
              <w:ind w:right="150"/>
              <w:jc w:val="right"/>
              <w:rPr>
                <w:rFonts w:ascii="宋体" w:hAnsi="宋体" w:cs="宋体" w:eastAsia="宋体" w:hint="default"/>
                <w:sz w:val="18"/>
                <w:szCs w:val="18"/>
              </w:rPr>
            </w:pPr>
            <w:r>
              <w:rPr>
                <w:rFonts w:ascii="宋体" w:hAnsi="宋体" w:cs="宋体" w:eastAsia="宋体" w:hint="default"/>
                <w:sz w:val="18"/>
                <w:szCs w:val="18"/>
              </w:rPr>
              <w:t>4,360.00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39" w:type="dxa"/>
            <w:tcBorders>
              <w:top w:val="single" w:sz="4" w:space="0" w:color="000000"/>
              <w:left w:val="nil" w:sz="6" w:space="0" w:color="auto"/>
              <w:bottom w:val="nil" w:sz="6" w:space="0" w:color="auto"/>
              <w:right w:val="nil" w:sz="6" w:space="0" w:color="auto"/>
            </w:tcBorders>
          </w:tcPr>
          <w:p>
            <w:pPr>
              <w:pStyle w:val="TableParagraph"/>
              <w:spacing w:line="226" w:lineRule="exact"/>
              <w:ind w:right="43"/>
              <w:jc w:val="center"/>
              <w:rPr>
                <w:rFonts w:ascii="宋体" w:hAnsi="宋体" w:cs="宋体" w:eastAsia="宋体" w:hint="default"/>
                <w:sz w:val="18"/>
                <w:szCs w:val="18"/>
              </w:rPr>
            </w:pPr>
            <w:r>
              <w:rPr>
                <w:rFonts w:ascii="宋体"/>
                <w:sz w:val="18"/>
              </w:rPr>
              <w:t>2009.08.10-2019.08.09</w:t>
            </w:r>
          </w:p>
        </w:tc>
        <w:tc>
          <w:tcPr>
            <w:tcW w:w="2278" w:type="dxa"/>
            <w:tcBorders>
              <w:top w:val="single" w:sz="4" w:space="0" w:color="000000"/>
              <w:left w:val="nil" w:sz="6" w:space="0" w:color="auto"/>
              <w:bottom w:val="nil" w:sz="6" w:space="0" w:color="auto"/>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2009.08.10-2021.08.09</w:t>
            </w:r>
          </w:p>
        </w:tc>
      </w:tr>
      <w:tr>
        <w:trPr>
          <w:trHeight w:val="283"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中国银行（道里支行）</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50"/>
              <w:jc w:val="right"/>
              <w:rPr>
                <w:rFonts w:ascii="宋体" w:hAnsi="宋体" w:cs="宋体" w:eastAsia="宋体" w:hint="default"/>
                <w:sz w:val="18"/>
                <w:szCs w:val="18"/>
              </w:rPr>
            </w:pPr>
            <w:r>
              <w:rPr>
                <w:rFonts w:ascii="宋体" w:hAnsi="宋体" w:cs="宋体" w:eastAsia="宋体" w:hint="default"/>
                <w:sz w:val="18"/>
                <w:szCs w:val="18"/>
              </w:rPr>
              <w:t>5,100.00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39" w:type="dxa"/>
            <w:tcBorders>
              <w:top w:val="nil" w:sz="6" w:space="0" w:color="auto"/>
              <w:left w:val="nil" w:sz="6" w:space="0" w:color="auto"/>
              <w:bottom w:val="nil" w:sz="6" w:space="0" w:color="auto"/>
              <w:right w:val="nil" w:sz="6" w:space="0" w:color="auto"/>
            </w:tcBorders>
          </w:tcPr>
          <w:p>
            <w:pPr>
              <w:pStyle w:val="TableParagraph"/>
              <w:spacing w:line="232" w:lineRule="exact"/>
              <w:ind w:right="43"/>
              <w:jc w:val="center"/>
              <w:rPr>
                <w:rFonts w:ascii="宋体" w:hAnsi="宋体" w:cs="宋体" w:eastAsia="宋体" w:hint="default"/>
                <w:sz w:val="18"/>
                <w:szCs w:val="18"/>
              </w:rPr>
            </w:pPr>
            <w:r>
              <w:rPr>
                <w:rFonts w:ascii="宋体"/>
                <w:sz w:val="18"/>
              </w:rPr>
              <w:t>2010.02.03-2019.08.09</w:t>
            </w:r>
          </w:p>
        </w:tc>
        <w:tc>
          <w:tcPr>
            <w:tcW w:w="2278" w:type="dxa"/>
            <w:tcBorders>
              <w:top w:val="nil" w:sz="6" w:space="0" w:color="auto"/>
              <w:left w:val="nil" w:sz="6" w:space="0" w:color="auto"/>
              <w:bottom w:val="nil" w:sz="6" w:space="0" w:color="auto"/>
              <w:right w:val="nil" w:sz="6" w:space="0" w:color="auto"/>
            </w:tcBorders>
          </w:tcPr>
          <w:p>
            <w:pPr>
              <w:pStyle w:val="TableParagraph"/>
              <w:spacing w:line="232" w:lineRule="exact"/>
              <w:ind w:left="6" w:right="0"/>
              <w:jc w:val="center"/>
              <w:rPr>
                <w:rFonts w:ascii="宋体" w:hAnsi="宋体" w:cs="宋体" w:eastAsia="宋体" w:hint="default"/>
                <w:sz w:val="18"/>
                <w:szCs w:val="18"/>
              </w:rPr>
            </w:pPr>
            <w:r>
              <w:rPr>
                <w:rFonts w:ascii="宋体"/>
                <w:sz w:val="18"/>
              </w:rPr>
              <w:t>2010.02.03-2021.08.09</w:t>
            </w:r>
          </w:p>
        </w:tc>
      </w:tr>
      <w:tr>
        <w:trPr>
          <w:trHeight w:val="283"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中国银行（北京支行）</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50"/>
              <w:jc w:val="right"/>
              <w:rPr>
                <w:rFonts w:ascii="宋体" w:hAnsi="宋体" w:cs="宋体" w:eastAsia="宋体" w:hint="default"/>
                <w:sz w:val="18"/>
                <w:szCs w:val="18"/>
              </w:rPr>
            </w:pPr>
            <w:r>
              <w:rPr>
                <w:rFonts w:ascii="宋体" w:hAnsi="宋体" w:cs="宋体" w:eastAsia="宋体" w:hint="default"/>
                <w:sz w:val="18"/>
                <w:szCs w:val="18"/>
              </w:rPr>
              <w:t>3,355.00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39" w:type="dxa"/>
            <w:tcBorders>
              <w:top w:val="nil" w:sz="6" w:space="0" w:color="auto"/>
              <w:left w:val="nil" w:sz="6" w:space="0" w:color="auto"/>
              <w:bottom w:val="nil" w:sz="6" w:space="0" w:color="auto"/>
              <w:right w:val="nil" w:sz="6" w:space="0" w:color="auto"/>
            </w:tcBorders>
          </w:tcPr>
          <w:p>
            <w:pPr>
              <w:pStyle w:val="TableParagraph"/>
              <w:spacing w:line="232" w:lineRule="exact"/>
              <w:ind w:right="43"/>
              <w:jc w:val="center"/>
              <w:rPr>
                <w:rFonts w:ascii="宋体" w:hAnsi="宋体" w:cs="宋体" w:eastAsia="宋体" w:hint="default"/>
                <w:sz w:val="18"/>
                <w:szCs w:val="18"/>
              </w:rPr>
            </w:pPr>
            <w:r>
              <w:rPr>
                <w:rFonts w:ascii="宋体"/>
                <w:sz w:val="18"/>
              </w:rPr>
              <w:t>2009.10.19-2019.08.09</w:t>
            </w:r>
          </w:p>
        </w:tc>
        <w:tc>
          <w:tcPr>
            <w:tcW w:w="2278" w:type="dxa"/>
            <w:tcBorders>
              <w:top w:val="nil" w:sz="6" w:space="0" w:color="auto"/>
              <w:left w:val="nil" w:sz="6" w:space="0" w:color="auto"/>
              <w:bottom w:val="nil" w:sz="6" w:space="0" w:color="auto"/>
              <w:right w:val="nil" w:sz="6" w:space="0" w:color="auto"/>
            </w:tcBorders>
          </w:tcPr>
          <w:p>
            <w:pPr>
              <w:pStyle w:val="TableParagraph"/>
              <w:spacing w:line="232" w:lineRule="exact"/>
              <w:ind w:left="6" w:right="0"/>
              <w:jc w:val="center"/>
              <w:rPr>
                <w:rFonts w:ascii="宋体" w:hAnsi="宋体" w:cs="宋体" w:eastAsia="宋体" w:hint="default"/>
                <w:sz w:val="18"/>
                <w:szCs w:val="18"/>
              </w:rPr>
            </w:pPr>
            <w:r>
              <w:rPr>
                <w:rFonts w:ascii="宋体"/>
                <w:sz w:val="18"/>
              </w:rPr>
              <w:t>2009.10.19-2021.08.09</w:t>
            </w:r>
          </w:p>
        </w:tc>
      </w:tr>
      <w:tr>
        <w:trPr>
          <w:trHeight w:val="294" w:hRule="exact"/>
        </w:trPr>
        <w:tc>
          <w:tcPr>
            <w:tcW w:w="255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中国银行（北京支行）</w:t>
            </w:r>
          </w:p>
        </w:tc>
        <w:tc>
          <w:tcPr>
            <w:tcW w:w="2021" w:type="dxa"/>
            <w:tcBorders>
              <w:top w:val="nil" w:sz="6" w:space="0" w:color="auto"/>
              <w:left w:val="nil" w:sz="6" w:space="0" w:color="auto"/>
              <w:bottom w:val="single" w:sz="4" w:space="0" w:color="000000"/>
              <w:right w:val="nil" w:sz="6" w:space="0" w:color="auto"/>
            </w:tcBorders>
          </w:tcPr>
          <w:p>
            <w:pPr>
              <w:pStyle w:val="TableParagraph"/>
              <w:spacing w:line="232" w:lineRule="exact"/>
              <w:ind w:right="150"/>
              <w:jc w:val="right"/>
              <w:rPr>
                <w:rFonts w:ascii="宋体" w:hAnsi="宋体" w:cs="宋体" w:eastAsia="宋体" w:hint="default"/>
                <w:sz w:val="18"/>
                <w:szCs w:val="18"/>
              </w:rPr>
            </w:pPr>
            <w:r>
              <w:rPr>
                <w:rFonts w:ascii="宋体" w:hAnsi="宋体" w:cs="宋体" w:eastAsia="宋体" w:hint="default"/>
                <w:sz w:val="18"/>
                <w:szCs w:val="18"/>
              </w:rPr>
              <w:t>7,980.00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39" w:type="dxa"/>
            <w:tcBorders>
              <w:top w:val="nil" w:sz="6" w:space="0" w:color="auto"/>
              <w:left w:val="nil" w:sz="6" w:space="0" w:color="auto"/>
              <w:bottom w:val="single" w:sz="4" w:space="0" w:color="000000"/>
              <w:right w:val="nil" w:sz="6" w:space="0" w:color="auto"/>
            </w:tcBorders>
          </w:tcPr>
          <w:p>
            <w:pPr>
              <w:pStyle w:val="TableParagraph"/>
              <w:spacing w:line="232" w:lineRule="exact"/>
              <w:ind w:right="43"/>
              <w:jc w:val="center"/>
              <w:rPr>
                <w:rFonts w:ascii="宋体" w:hAnsi="宋体" w:cs="宋体" w:eastAsia="宋体" w:hint="default"/>
                <w:sz w:val="18"/>
                <w:szCs w:val="18"/>
              </w:rPr>
            </w:pPr>
            <w:r>
              <w:rPr>
                <w:rFonts w:ascii="宋体"/>
                <w:sz w:val="18"/>
              </w:rPr>
              <w:t>2010.08.02-2019.08.09</w:t>
            </w:r>
          </w:p>
        </w:tc>
        <w:tc>
          <w:tcPr>
            <w:tcW w:w="2278" w:type="dxa"/>
            <w:tcBorders>
              <w:top w:val="nil" w:sz="6" w:space="0" w:color="auto"/>
              <w:left w:val="nil" w:sz="6" w:space="0" w:color="auto"/>
              <w:bottom w:val="single" w:sz="4" w:space="0" w:color="000000"/>
              <w:right w:val="nil" w:sz="6" w:space="0" w:color="auto"/>
            </w:tcBorders>
          </w:tcPr>
          <w:p>
            <w:pPr>
              <w:pStyle w:val="TableParagraph"/>
              <w:spacing w:line="232" w:lineRule="exact"/>
              <w:ind w:left="6" w:right="0"/>
              <w:jc w:val="center"/>
              <w:rPr>
                <w:rFonts w:ascii="宋体" w:hAnsi="宋体" w:cs="宋体" w:eastAsia="宋体" w:hint="default"/>
                <w:sz w:val="18"/>
                <w:szCs w:val="18"/>
              </w:rPr>
            </w:pPr>
            <w:r>
              <w:rPr>
                <w:rFonts w:ascii="宋体"/>
                <w:sz w:val="18"/>
              </w:rPr>
              <w:t>2010.08.02-2021.08.09</w:t>
            </w:r>
          </w:p>
        </w:tc>
      </w:tr>
      <w:tr>
        <w:trPr>
          <w:trHeight w:val="303" w:hRule="exact"/>
        </w:trPr>
        <w:tc>
          <w:tcPr>
            <w:tcW w:w="25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8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49"/>
              <w:jc w:val="right"/>
              <w:rPr>
                <w:rFonts w:ascii="宋体" w:hAnsi="宋体" w:cs="宋体" w:eastAsia="宋体" w:hint="default"/>
                <w:sz w:val="18"/>
                <w:szCs w:val="18"/>
              </w:rPr>
            </w:pPr>
            <w:r>
              <w:rPr>
                <w:rFonts w:ascii="宋体" w:hAnsi="宋体" w:cs="宋体" w:eastAsia="宋体" w:hint="default"/>
                <w:b/>
                <w:bCs/>
                <w:sz w:val="18"/>
                <w:szCs w:val="18"/>
              </w:rPr>
              <w:t>20,795.00</w:t>
            </w:r>
            <w:r>
              <w:rPr>
                <w:rFonts w:ascii="宋体" w:hAnsi="宋体" w:cs="宋体" w:eastAsia="宋体" w:hint="default"/>
                <w:b/>
                <w:bCs/>
                <w:spacing w:val="-50"/>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239" w:type="dxa"/>
            <w:tcBorders>
              <w:top w:val="single" w:sz="4" w:space="0" w:color="000000"/>
              <w:left w:val="nil" w:sz="6" w:space="0" w:color="auto"/>
              <w:bottom w:val="single" w:sz="12" w:space="0" w:color="000000"/>
              <w:right w:val="nil" w:sz="6" w:space="0" w:color="auto"/>
            </w:tcBorders>
          </w:tcPr>
          <w:p>
            <w:pPr/>
          </w:p>
        </w:tc>
        <w:tc>
          <w:tcPr>
            <w:tcW w:w="2278" w:type="dxa"/>
            <w:tcBorders>
              <w:top w:val="single" w:sz="4" w:space="0" w:color="000000"/>
              <w:left w:val="nil" w:sz="6" w:space="0" w:color="auto"/>
              <w:bottom w:val="single" w:sz="12" w:space="0" w:color="000000"/>
              <w:right w:val="nil" w:sz="6" w:space="0" w:color="auto"/>
            </w:tcBorders>
          </w:tcPr>
          <w:p>
            <w:pPr/>
          </w:p>
        </w:tc>
      </w:tr>
    </w:tbl>
    <w:p>
      <w:pPr>
        <w:spacing w:line="324" w:lineRule="auto" w:before="79"/>
        <w:ind w:left="218" w:right="0" w:firstLine="567"/>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日，公司以保证方式为北京同方易豪科技有限公司的下列银行借</w:t>
      </w:r>
      <w:r>
        <w:rPr>
          <w:rFonts w:ascii="宋体" w:hAnsi="宋体" w:cs="宋体" w:eastAsia="宋体" w:hint="default"/>
          <w:w w:val="99"/>
          <w:sz w:val="22"/>
          <w:szCs w:val="22"/>
        </w:rPr>
        <w:t> </w:t>
      </w:r>
      <w:r>
        <w:rPr>
          <w:rFonts w:ascii="宋体" w:hAnsi="宋体" w:cs="宋体" w:eastAsia="宋体" w:hint="default"/>
          <w:sz w:val="22"/>
          <w:szCs w:val="22"/>
        </w:rPr>
        <w:t>款提供连带责任担保：</w:t>
      </w:r>
    </w:p>
    <w:p>
      <w:pPr>
        <w:spacing w:line="240" w:lineRule="auto" w:before="10"/>
        <w:rPr>
          <w:rFonts w:ascii="宋体" w:hAnsi="宋体" w:cs="宋体" w:eastAsia="宋体" w:hint="default"/>
          <w:sz w:val="7"/>
          <w:szCs w:val="7"/>
        </w:rPr>
      </w:pPr>
    </w:p>
    <w:tbl>
      <w:tblPr>
        <w:tblW w:w="0" w:type="auto"/>
        <w:jc w:val="left"/>
        <w:tblInd w:w="268" w:type="dxa"/>
        <w:tblLayout w:type="fixed"/>
        <w:tblCellMar>
          <w:top w:w="0" w:type="dxa"/>
          <w:left w:w="0" w:type="dxa"/>
          <w:bottom w:w="0" w:type="dxa"/>
          <w:right w:w="0" w:type="dxa"/>
        </w:tblCellMar>
        <w:tblLook w:val="01E0"/>
      </w:tblPr>
      <w:tblGrid>
        <w:gridCol w:w="2476"/>
        <w:gridCol w:w="2099"/>
        <w:gridCol w:w="2240"/>
        <w:gridCol w:w="2278"/>
      </w:tblGrid>
      <w:tr>
        <w:trPr>
          <w:trHeight w:val="303" w:hRule="exact"/>
        </w:trPr>
        <w:tc>
          <w:tcPr>
            <w:tcW w:w="247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793"/>
              <w:jc w:val="right"/>
              <w:rPr>
                <w:rFonts w:ascii="宋体" w:hAnsi="宋体" w:cs="宋体" w:eastAsia="宋体" w:hint="default"/>
                <w:sz w:val="18"/>
                <w:szCs w:val="18"/>
              </w:rPr>
            </w:pPr>
            <w:r>
              <w:rPr>
                <w:rFonts w:ascii="宋体" w:hAnsi="宋体" w:cs="宋体" w:eastAsia="宋体" w:hint="default"/>
                <w:b/>
                <w:bCs/>
                <w:w w:val="95"/>
                <w:sz w:val="18"/>
                <w:szCs w:val="18"/>
              </w:rPr>
              <w:t>贷款银行</w:t>
            </w:r>
            <w:r>
              <w:rPr>
                <w:rFonts w:ascii="宋体" w:hAnsi="宋体" w:cs="宋体" w:eastAsia="宋体" w:hint="default"/>
                <w:sz w:val="18"/>
                <w:szCs w:val="18"/>
              </w:rPr>
            </w:r>
          </w:p>
        </w:tc>
        <w:tc>
          <w:tcPr>
            <w:tcW w:w="20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4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24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4"/>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47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45"/>
              <w:jc w:val="righ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9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822" w:right="0"/>
              <w:jc w:val="lef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3"/>
              <w:jc w:val="center"/>
              <w:rPr>
                <w:rFonts w:ascii="宋体" w:hAnsi="宋体" w:cs="宋体" w:eastAsia="宋体" w:hint="default"/>
                <w:sz w:val="18"/>
                <w:szCs w:val="18"/>
              </w:rPr>
            </w:pPr>
            <w:r>
              <w:rPr>
                <w:rFonts w:ascii="宋体"/>
                <w:sz w:val="18"/>
              </w:rPr>
              <w:t>2010.03.12-2011.06.25</w:t>
            </w:r>
          </w:p>
        </w:tc>
        <w:tc>
          <w:tcPr>
            <w:tcW w:w="227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2010.03.12-2013.06.25</w:t>
            </w:r>
          </w:p>
        </w:tc>
      </w:tr>
    </w:tbl>
    <w:p>
      <w:pPr>
        <w:spacing w:line="324" w:lineRule="auto" w:before="79"/>
        <w:ind w:left="218" w:right="0" w:firstLine="567"/>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日，公司以保证方式为佳木斯龙江环保水务有限公司的下列银行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10"/>
        <w:rPr>
          <w:rFonts w:ascii="宋体" w:hAnsi="宋体" w:cs="宋体" w:eastAsia="宋体" w:hint="default"/>
          <w:sz w:val="7"/>
          <w:szCs w:val="7"/>
        </w:rPr>
      </w:pPr>
    </w:p>
    <w:tbl>
      <w:tblPr>
        <w:tblW w:w="0" w:type="auto"/>
        <w:jc w:val="left"/>
        <w:tblInd w:w="268" w:type="dxa"/>
        <w:tblLayout w:type="fixed"/>
        <w:tblCellMar>
          <w:top w:w="0" w:type="dxa"/>
          <w:left w:w="0" w:type="dxa"/>
          <w:bottom w:w="0" w:type="dxa"/>
          <w:right w:w="0" w:type="dxa"/>
        </w:tblCellMar>
        <w:tblLook w:val="01E0"/>
      </w:tblPr>
      <w:tblGrid>
        <w:gridCol w:w="2656"/>
        <w:gridCol w:w="1919"/>
        <w:gridCol w:w="2240"/>
        <w:gridCol w:w="2278"/>
      </w:tblGrid>
      <w:tr>
        <w:trPr>
          <w:trHeight w:val="303" w:hRule="exact"/>
        </w:trPr>
        <w:tc>
          <w:tcPr>
            <w:tcW w:w="265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6"/>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6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24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4"/>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65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191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822" w:right="0"/>
              <w:jc w:val="left"/>
              <w:rPr>
                <w:rFonts w:ascii="宋体" w:hAnsi="宋体" w:cs="宋体" w:eastAsia="宋体" w:hint="default"/>
                <w:sz w:val="18"/>
                <w:szCs w:val="18"/>
              </w:rPr>
            </w:pPr>
            <w:r>
              <w:rPr>
                <w:rFonts w:ascii="宋体" w:hAnsi="宋体" w:cs="宋体" w:eastAsia="宋体" w:hint="default"/>
                <w:sz w:val="18"/>
                <w:szCs w:val="18"/>
              </w:rPr>
              <w:t>998.00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3"/>
              <w:jc w:val="center"/>
              <w:rPr>
                <w:rFonts w:ascii="宋体" w:hAnsi="宋体" w:cs="宋体" w:eastAsia="宋体" w:hint="default"/>
                <w:sz w:val="18"/>
                <w:szCs w:val="18"/>
              </w:rPr>
            </w:pPr>
            <w:r>
              <w:rPr>
                <w:rFonts w:ascii="宋体"/>
                <w:sz w:val="18"/>
              </w:rPr>
              <w:t>2009.06.03-2012.06.03</w:t>
            </w:r>
          </w:p>
        </w:tc>
        <w:tc>
          <w:tcPr>
            <w:tcW w:w="227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2009.06.03-2014.06.03</w:t>
            </w:r>
          </w:p>
        </w:tc>
      </w:tr>
    </w:tbl>
    <w:p>
      <w:pPr>
        <w:spacing w:line="324" w:lineRule="auto" w:before="79"/>
        <w:ind w:left="218" w:right="0" w:firstLine="567"/>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日，公司以保证方式为牡丹江龙江环保水务有限公司的下列银行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10"/>
        <w:rPr>
          <w:rFonts w:ascii="宋体" w:hAnsi="宋体" w:cs="宋体" w:eastAsia="宋体" w:hint="default"/>
          <w:sz w:val="7"/>
          <w:szCs w:val="7"/>
        </w:rPr>
      </w:pPr>
    </w:p>
    <w:tbl>
      <w:tblPr>
        <w:tblW w:w="0" w:type="auto"/>
        <w:jc w:val="left"/>
        <w:tblInd w:w="268" w:type="dxa"/>
        <w:tblLayout w:type="fixed"/>
        <w:tblCellMar>
          <w:top w:w="0" w:type="dxa"/>
          <w:left w:w="0" w:type="dxa"/>
          <w:bottom w:w="0" w:type="dxa"/>
          <w:right w:w="0" w:type="dxa"/>
        </w:tblCellMar>
        <w:tblLook w:val="01E0"/>
      </w:tblPr>
      <w:tblGrid>
        <w:gridCol w:w="2656"/>
        <w:gridCol w:w="1919"/>
        <w:gridCol w:w="2240"/>
        <w:gridCol w:w="2278"/>
      </w:tblGrid>
      <w:tr>
        <w:trPr>
          <w:trHeight w:val="303" w:hRule="exact"/>
        </w:trPr>
        <w:tc>
          <w:tcPr>
            <w:tcW w:w="265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6"/>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6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24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4"/>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65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191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42" w:right="0"/>
              <w:jc w:val="left"/>
              <w:rPr>
                <w:rFonts w:ascii="宋体" w:hAnsi="宋体" w:cs="宋体" w:eastAsia="宋体" w:hint="default"/>
                <w:sz w:val="18"/>
                <w:szCs w:val="18"/>
              </w:rPr>
            </w:pPr>
            <w:r>
              <w:rPr>
                <w:rFonts w:ascii="宋体" w:hAnsi="宋体" w:cs="宋体" w:eastAsia="宋体" w:hint="default"/>
                <w:sz w:val="18"/>
                <w:szCs w:val="18"/>
              </w:rPr>
              <w:t>1,500.00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3"/>
              <w:jc w:val="center"/>
              <w:rPr>
                <w:rFonts w:ascii="宋体" w:hAnsi="宋体" w:cs="宋体" w:eastAsia="宋体" w:hint="default"/>
                <w:sz w:val="18"/>
                <w:szCs w:val="18"/>
              </w:rPr>
            </w:pPr>
            <w:r>
              <w:rPr>
                <w:rFonts w:ascii="宋体"/>
                <w:sz w:val="18"/>
              </w:rPr>
              <w:t>2009.06.03-2012.06.03</w:t>
            </w:r>
          </w:p>
        </w:tc>
        <w:tc>
          <w:tcPr>
            <w:tcW w:w="227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2009.06.03-2014.06.03</w:t>
            </w:r>
          </w:p>
        </w:tc>
      </w:tr>
    </w:tbl>
    <w:p>
      <w:pPr>
        <w:spacing w:line="324" w:lineRule="auto" w:before="79"/>
        <w:ind w:left="218" w:right="0" w:firstLine="567"/>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日，公司以保证方式为易程科技股份有限公司的下列银行借款提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spacing w:line="240" w:lineRule="auto" w:before="10"/>
        <w:rPr>
          <w:rFonts w:ascii="宋体" w:hAnsi="宋体" w:cs="宋体" w:eastAsia="宋体" w:hint="default"/>
          <w:sz w:val="7"/>
          <w:szCs w:val="7"/>
        </w:rPr>
      </w:pPr>
    </w:p>
    <w:tbl>
      <w:tblPr>
        <w:tblW w:w="0" w:type="auto"/>
        <w:jc w:val="left"/>
        <w:tblInd w:w="268" w:type="dxa"/>
        <w:tblLayout w:type="fixed"/>
        <w:tblCellMar>
          <w:top w:w="0" w:type="dxa"/>
          <w:left w:w="0" w:type="dxa"/>
          <w:bottom w:w="0" w:type="dxa"/>
          <w:right w:w="0" w:type="dxa"/>
        </w:tblCellMar>
        <w:tblLook w:val="01E0"/>
      </w:tblPr>
      <w:tblGrid>
        <w:gridCol w:w="2452"/>
        <w:gridCol w:w="2123"/>
        <w:gridCol w:w="2240"/>
        <w:gridCol w:w="2278"/>
      </w:tblGrid>
      <w:tr>
        <w:trPr>
          <w:trHeight w:val="303" w:hRule="exact"/>
        </w:trPr>
        <w:tc>
          <w:tcPr>
            <w:tcW w:w="245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57"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12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71"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24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4"/>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45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212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800" w:right="0"/>
              <w:jc w:val="left"/>
              <w:rPr>
                <w:rFonts w:ascii="宋体" w:hAnsi="宋体" w:cs="宋体" w:eastAsia="宋体" w:hint="default"/>
                <w:sz w:val="18"/>
                <w:szCs w:val="18"/>
              </w:rPr>
            </w:pPr>
            <w:r>
              <w:rPr>
                <w:rFonts w:ascii="宋体" w:hAnsi="宋体" w:cs="宋体" w:eastAsia="宋体" w:hint="default"/>
                <w:sz w:val="18"/>
                <w:szCs w:val="18"/>
              </w:rPr>
              <w:t>5,000.00 万元</w:t>
            </w: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3"/>
              <w:jc w:val="center"/>
              <w:rPr>
                <w:rFonts w:ascii="宋体" w:hAnsi="宋体" w:cs="宋体" w:eastAsia="宋体" w:hint="default"/>
                <w:sz w:val="18"/>
                <w:szCs w:val="18"/>
              </w:rPr>
            </w:pPr>
            <w:r>
              <w:rPr>
                <w:rFonts w:ascii="宋体"/>
                <w:sz w:val="18"/>
              </w:rPr>
              <w:t>2010.01.22-2011.02.28</w:t>
            </w:r>
          </w:p>
        </w:tc>
        <w:tc>
          <w:tcPr>
            <w:tcW w:w="227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2010.01.22-2013.02.28</w:t>
            </w:r>
          </w:p>
        </w:tc>
      </w:tr>
    </w:tbl>
    <w:p>
      <w:pPr>
        <w:spacing w:line="324" w:lineRule="auto" w:before="79"/>
        <w:ind w:left="218" w:right="0" w:firstLine="567"/>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日，公司以保证方式为易程科技股份有限公司的下列保函提供连</w:t>
      </w:r>
      <w:r>
        <w:rPr>
          <w:rFonts w:ascii="宋体" w:hAnsi="宋体" w:cs="宋体" w:eastAsia="宋体" w:hint="default"/>
          <w:w w:val="99"/>
          <w:sz w:val="22"/>
          <w:szCs w:val="22"/>
        </w:rPr>
        <w:t> </w:t>
      </w:r>
      <w:r>
        <w:rPr>
          <w:rFonts w:ascii="宋体" w:hAnsi="宋体" w:cs="宋体" w:eastAsia="宋体" w:hint="default"/>
          <w:sz w:val="22"/>
          <w:szCs w:val="22"/>
        </w:rPr>
        <w:t>带责任担保：</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047"/>
        <w:gridCol w:w="3054"/>
        <w:gridCol w:w="3309"/>
      </w:tblGrid>
      <w:tr>
        <w:trPr>
          <w:trHeight w:val="303" w:hRule="exact"/>
        </w:trPr>
        <w:tc>
          <w:tcPr>
            <w:tcW w:w="304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97"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305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201"/>
              <w:jc w:val="center"/>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330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96"/>
              <w:jc w:val="center"/>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r>
      <w:tr>
        <w:trPr>
          <w:trHeight w:val="303" w:hRule="exact"/>
        </w:trPr>
        <w:tc>
          <w:tcPr>
            <w:tcW w:w="304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南京银行北京分行</w:t>
            </w:r>
          </w:p>
        </w:tc>
        <w:tc>
          <w:tcPr>
            <w:tcW w:w="30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418" w:right="0"/>
              <w:jc w:val="left"/>
              <w:rPr>
                <w:rFonts w:ascii="宋体" w:hAnsi="宋体" w:cs="宋体" w:eastAsia="宋体" w:hint="default"/>
                <w:sz w:val="18"/>
                <w:szCs w:val="18"/>
              </w:rPr>
            </w:pPr>
            <w:r>
              <w:rPr>
                <w:rFonts w:ascii="宋体" w:hAnsi="宋体" w:cs="宋体" w:eastAsia="宋体" w:hint="default"/>
                <w:sz w:val="18"/>
                <w:szCs w:val="18"/>
              </w:rPr>
              <w:t>5,583.42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30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95"/>
              <w:jc w:val="center"/>
              <w:rPr>
                <w:rFonts w:ascii="宋体" w:hAnsi="宋体" w:cs="宋体" w:eastAsia="宋体" w:hint="default"/>
                <w:sz w:val="18"/>
                <w:szCs w:val="18"/>
              </w:rPr>
            </w:pPr>
            <w:r>
              <w:rPr>
                <w:rFonts w:ascii="宋体"/>
                <w:sz w:val="18"/>
              </w:rPr>
              <w:t>2010.04.02-2011.04.30</w:t>
            </w:r>
          </w:p>
        </w:tc>
      </w:tr>
    </w:tbl>
    <w:p>
      <w:pPr>
        <w:spacing w:after="0" w:line="226" w:lineRule="exact"/>
        <w:jc w:val="center"/>
        <w:rPr>
          <w:rFonts w:ascii="宋体" w:hAnsi="宋体" w:cs="宋体" w:eastAsia="宋体" w:hint="default"/>
          <w:sz w:val="18"/>
          <w:szCs w:val="18"/>
        </w:rPr>
        <w:sectPr>
          <w:pgSz w:w="11910" w:h="16840"/>
          <w:pgMar w:header="610" w:footer="784" w:top="1080" w:bottom="980" w:left="1200" w:right="10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398" w:right="0" w:firstLine="567"/>
        <w:jc w:val="left"/>
        <w:rPr>
          <w:rFonts w:ascii="宋体" w:hAnsi="宋体" w:cs="宋体" w:eastAsia="宋体" w:hint="default"/>
          <w:sz w:val="22"/>
          <w:szCs w:val="22"/>
        </w:rPr>
      </w:pPr>
      <w:r>
        <w:rPr>
          <w:rFonts w:ascii="宋体" w:hAnsi="宋体" w:cs="宋体" w:eastAsia="宋体" w:hint="default"/>
          <w:b/>
          <w:bCs/>
          <w:sz w:val="22"/>
          <w:szCs w:val="22"/>
        </w:rPr>
        <w:t>8)</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日，公司以保证方式为同方环境股份有限公司的下列保函提供连</w:t>
      </w:r>
      <w:r>
        <w:rPr>
          <w:rFonts w:ascii="宋体" w:hAnsi="宋体" w:cs="宋体" w:eastAsia="宋体" w:hint="default"/>
          <w:w w:val="99"/>
          <w:sz w:val="22"/>
          <w:szCs w:val="22"/>
        </w:rPr>
        <w:t> </w:t>
      </w:r>
      <w:r>
        <w:rPr>
          <w:rFonts w:ascii="宋体" w:hAnsi="宋体" w:cs="宋体" w:eastAsia="宋体" w:hint="default"/>
          <w:sz w:val="22"/>
          <w:szCs w:val="22"/>
        </w:rPr>
        <w:t>带责任担保：</w:t>
      </w:r>
    </w:p>
    <w:p>
      <w:pPr>
        <w:spacing w:line="240" w:lineRule="auto" w:before="10"/>
        <w:rPr>
          <w:rFonts w:ascii="宋体" w:hAnsi="宋体" w:cs="宋体" w:eastAsia="宋体" w:hint="default"/>
          <w:sz w:val="7"/>
          <w:szCs w:val="7"/>
        </w:rPr>
      </w:pPr>
    </w:p>
    <w:tbl>
      <w:tblPr>
        <w:tblW w:w="0" w:type="auto"/>
        <w:jc w:val="left"/>
        <w:tblInd w:w="290" w:type="dxa"/>
        <w:tblLayout w:type="fixed"/>
        <w:tblCellMar>
          <w:top w:w="0" w:type="dxa"/>
          <w:left w:w="0" w:type="dxa"/>
          <w:bottom w:w="0" w:type="dxa"/>
          <w:right w:w="0" w:type="dxa"/>
        </w:tblCellMar>
        <w:tblLook w:val="01E0"/>
      </w:tblPr>
      <w:tblGrid>
        <w:gridCol w:w="3569"/>
        <w:gridCol w:w="3178"/>
        <w:gridCol w:w="2663"/>
      </w:tblGrid>
      <w:tr>
        <w:trPr>
          <w:trHeight w:val="303" w:hRule="exact"/>
        </w:trPr>
        <w:tc>
          <w:tcPr>
            <w:tcW w:w="356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62"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317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3"/>
              <w:jc w:val="center"/>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26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r>
      <w:tr>
        <w:trPr>
          <w:trHeight w:val="282" w:hRule="exact"/>
        </w:trPr>
        <w:tc>
          <w:tcPr>
            <w:tcW w:w="3569"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招商银行北京金融街支行</w:t>
            </w:r>
          </w:p>
        </w:tc>
        <w:tc>
          <w:tcPr>
            <w:tcW w:w="3178" w:type="dxa"/>
            <w:tcBorders>
              <w:top w:val="single" w:sz="4" w:space="0" w:color="000000"/>
              <w:left w:val="nil" w:sz="6" w:space="0" w:color="auto"/>
              <w:bottom w:val="nil" w:sz="6" w:space="0" w:color="auto"/>
              <w:right w:val="nil" w:sz="6" w:space="0" w:color="auto"/>
            </w:tcBorders>
          </w:tcPr>
          <w:p>
            <w:pPr>
              <w:pStyle w:val="TableParagraph"/>
              <w:spacing w:line="226" w:lineRule="exact"/>
              <w:ind w:right="668"/>
              <w:jc w:val="right"/>
              <w:rPr>
                <w:rFonts w:ascii="宋体" w:hAnsi="宋体" w:cs="宋体" w:eastAsia="宋体" w:hint="default"/>
                <w:sz w:val="18"/>
                <w:szCs w:val="18"/>
              </w:rPr>
            </w:pPr>
            <w:r>
              <w:rPr>
                <w:rFonts w:ascii="宋体" w:hAnsi="宋体" w:cs="宋体" w:eastAsia="宋体" w:hint="default"/>
                <w:sz w:val="18"/>
                <w:szCs w:val="18"/>
              </w:rPr>
              <w:t>750.52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663" w:type="dxa"/>
            <w:tcBorders>
              <w:top w:val="single" w:sz="4" w:space="0" w:color="000000"/>
              <w:left w:val="nil" w:sz="6" w:space="0" w:color="auto"/>
              <w:bottom w:val="nil" w:sz="6" w:space="0" w:color="auto"/>
              <w:right w:val="nil" w:sz="6" w:space="0" w:color="auto"/>
            </w:tcBorders>
          </w:tcPr>
          <w:p>
            <w:pPr>
              <w:pStyle w:val="TableParagraph"/>
              <w:spacing w:line="226" w:lineRule="exact"/>
              <w:ind w:left="670" w:right="0"/>
              <w:jc w:val="left"/>
              <w:rPr>
                <w:rFonts w:ascii="宋体" w:hAnsi="宋体" w:cs="宋体" w:eastAsia="宋体" w:hint="default"/>
                <w:sz w:val="18"/>
                <w:szCs w:val="18"/>
              </w:rPr>
            </w:pPr>
            <w:r>
              <w:rPr>
                <w:rFonts w:ascii="宋体"/>
                <w:sz w:val="18"/>
              </w:rPr>
              <w:t>2009.07.10-2013.04.09</w:t>
            </w:r>
          </w:p>
        </w:tc>
      </w:tr>
      <w:tr>
        <w:trPr>
          <w:trHeight w:val="294" w:hRule="exact"/>
        </w:trPr>
        <w:tc>
          <w:tcPr>
            <w:tcW w:w="356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中国银行中关村科技园支行</w:t>
            </w:r>
          </w:p>
        </w:tc>
        <w:tc>
          <w:tcPr>
            <w:tcW w:w="3178" w:type="dxa"/>
            <w:tcBorders>
              <w:top w:val="nil" w:sz="6" w:space="0" w:color="auto"/>
              <w:left w:val="nil" w:sz="6" w:space="0" w:color="auto"/>
              <w:bottom w:val="single" w:sz="4" w:space="0" w:color="000000"/>
              <w:right w:val="nil" w:sz="6" w:space="0" w:color="auto"/>
            </w:tcBorders>
          </w:tcPr>
          <w:p>
            <w:pPr>
              <w:pStyle w:val="TableParagraph"/>
              <w:spacing w:line="232" w:lineRule="exact"/>
              <w:ind w:right="668"/>
              <w:jc w:val="right"/>
              <w:rPr>
                <w:rFonts w:ascii="宋体" w:hAnsi="宋体" w:cs="宋体" w:eastAsia="宋体" w:hint="default"/>
                <w:sz w:val="18"/>
                <w:szCs w:val="18"/>
              </w:rPr>
            </w:pPr>
            <w:r>
              <w:rPr>
                <w:rFonts w:ascii="宋体" w:hAnsi="宋体" w:cs="宋体" w:eastAsia="宋体" w:hint="default"/>
                <w:sz w:val="18"/>
                <w:szCs w:val="18"/>
              </w:rPr>
              <w:t>3,002.07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663" w:type="dxa"/>
            <w:tcBorders>
              <w:top w:val="nil" w:sz="6" w:space="0" w:color="auto"/>
              <w:left w:val="nil" w:sz="6" w:space="0" w:color="auto"/>
              <w:bottom w:val="single" w:sz="4" w:space="0" w:color="000000"/>
              <w:right w:val="nil" w:sz="6" w:space="0" w:color="auto"/>
            </w:tcBorders>
          </w:tcPr>
          <w:p>
            <w:pPr>
              <w:pStyle w:val="TableParagraph"/>
              <w:spacing w:line="232" w:lineRule="exact"/>
              <w:ind w:left="670" w:right="0"/>
              <w:jc w:val="left"/>
              <w:rPr>
                <w:rFonts w:ascii="宋体" w:hAnsi="宋体" w:cs="宋体" w:eastAsia="宋体" w:hint="default"/>
                <w:sz w:val="18"/>
                <w:szCs w:val="18"/>
              </w:rPr>
            </w:pPr>
            <w:r>
              <w:rPr>
                <w:rFonts w:ascii="宋体"/>
                <w:sz w:val="18"/>
              </w:rPr>
              <w:t>2009.07.10-2011.11.09</w:t>
            </w:r>
          </w:p>
        </w:tc>
      </w:tr>
      <w:tr>
        <w:trPr>
          <w:trHeight w:val="303" w:hRule="exact"/>
        </w:trPr>
        <w:tc>
          <w:tcPr>
            <w:tcW w:w="356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7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7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69"/>
              <w:jc w:val="right"/>
              <w:rPr>
                <w:rFonts w:ascii="宋体" w:hAnsi="宋体" w:cs="宋体" w:eastAsia="宋体" w:hint="default"/>
                <w:sz w:val="18"/>
                <w:szCs w:val="18"/>
              </w:rPr>
            </w:pPr>
            <w:r>
              <w:rPr>
                <w:rFonts w:ascii="宋体" w:hAnsi="宋体" w:cs="宋体" w:eastAsia="宋体" w:hint="default"/>
                <w:b/>
                <w:bCs/>
                <w:sz w:val="18"/>
                <w:szCs w:val="18"/>
              </w:rPr>
              <w:t>3,752.59</w:t>
            </w:r>
            <w:r>
              <w:rPr>
                <w:rFonts w:ascii="宋体" w:hAnsi="宋体" w:cs="宋体" w:eastAsia="宋体" w:hint="default"/>
                <w:b/>
                <w:bCs/>
                <w:spacing w:val="-51"/>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663" w:type="dxa"/>
            <w:tcBorders>
              <w:top w:val="single" w:sz="4" w:space="0" w:color="000000"/>
              <w:left w:val="nil" w:sz="6" w:space="0" w:color="auto"/>
              <w:bottom w:val="single" w:sz="12" w:space="0" w:color="000000"/>
              <w:right w:val="nil" w:sz="6" w:space="0" w:color="auto"/>
            </w:tcBorders>
          </w:tcPr>
          <w:p>
            <w:pPr/>
          </w:p>
        </w:tc>
      </w:tr>
    </w:tbl>
    <w:p>
      <w:pPr>
        <w:spacing w:before="79"/>
        <w:ind w:left="85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控股子公司为其他关联方提供担保</w:t>
      </w:r>
    </w:p>
    <w:p>
      <w:pPr>
        <w:spacing w:line="324" w:lineRule="auto" w:before="180"/>
        <w:ind w:left="398" w:right="0"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日，公司控股子公司同方威视技术股份有限公司以保证方式为其下属</w:t>
      </w:r>
      <w:r>
        <w:rPr>
          <w:rFonts w:ascii="宋体" w:hAnsi="宋体" w:cs="宋体" w:eastAsia="宋体" w:hint="default"/>
          <w:w w:val="99"/>
          <w:sz w:val="22"/>
          <w:szCs w:val="22"/>
        </w:rPr>
        <w:t> </w:t>
      </w:r>
      <w:r>
        <w:rPr>
          <w:rFonts w:ascii="宋体" w:hAnsi="宋体" w:cs="宋体" w:eastAsia="宋体" w:hint="default"/>
          <w:sz w:val="22"/>
          <w:szCs w:val="22"/>
        </w:rPr>
        <w:t>持股</w:t>
      </w:r>
      <w:r>
        <w:rPr>
          <w:rFonts w:ascii="宋体" w:hAnsi="宋体" w:cs="宋体" w:eastAsia="宋体" w:hint="default"/>
          <w:spacing w:val="-58"/>
          <w:sz w:val="22"/>
          <w:szCs w:val="22"/>
        </w:rPr>
        <w:t> </w:t>
      </w:r>
      <w:r>
        <w:rPr>
          <w:rFonts w:ascii="宋体" w:hAnsi="宋体" w:cs="宋体" w:eastAsia="宋体" w:hint="default"/>
          <w:sz w:val="22"/>
          <w:szCs w:val="22"/>
        </w:rPr>
        <w:t>36%的联营企业北京威视数据系统有限公司的下列银行借款提供连带责任担保：</w:t>
      </w:r>
    </w:p>
    <w:p>
      <w:pPr>
        <w:spacing w:line="240" w:lineRule="auto" w:before="8"/>
        <w:rPr>
          <w:rFonts w:ascii="宋体" w:hAnsi="宋体" w:cs="宋体" w:eastAsia="宋体" w:hint="default"/>
          <w:sz w:val="6"/>
          <w:szCs w:val="6"/>
        </w:rPr>
      </w:pPr>
    </w:p>
    <w:p>
      <w:pPr>
        <w:spacing w:line="30" w:lineRule="exact"/>
        <w:ind w:left="66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3800" w:val="left" w:leader="none"/>
          <w:tab w:pos="5218" w:val="left" w:leader="none"/>
          <w:tab w:pos="5801" w:val="left" w:leader="none"/>
          <w:tab w:pos="7324" w:val="left" w:leader="none"/>
          <w:tab w:pos="7907" w:val="left" w:leader="none"/>
        </w:tabs>
        <w:spacing w:line="297" w:lineRule="auto" w:before="0"/>
        <w:ind w:left="783" w:right="767" w:firstLine="799"/>
        <w:jc w:val="left"/>
        <w:rPr>
          <w:rFonts w:ascii="宋体" w:hAnsi="宋体" w:cs="宋体" w:eastAsia="宋体" w:hint="default"/>
          <w:sz w:val="18"/>
          <w:szCs w:val="18"/>
        </w:rPr>
      </w:pPr>
      <w:r>
        <w:rPr/>
        <w:pict>
          <v:group style="position:absolute;margin-left:84.779999pt;margin-top:14.892034pt;width:432pt;height:.1pt;mso-position-horizontal-relative:page;mso-position-vertical-relative:paragraph;z-index:-1044016" coordorigin="1696,298" coordsize="8640,2">
            <v:shape style="position:absolute;left:1696;top:298;width:8640;height:2" coordorigin="1696,298" coordsize="8640,0" path="m1696,298l10336,298e" filled="false" stroked="true" strokeweight=".48pt" strokecolor="#000000">
              <v:path arrowok="t"/>
            </v:shape>
            <w10:wrap type="none"/>
          </v:group>
        </w:pict>
      </w:r>
      <w:r>
        <w:rPr>
          <w:rFonts w:ascii="宋体" w:hAnsi="宋体" w:cs="宋体" w:eastAsia="宋体" w:hint="default"/>
          <w:b/>
          <w:bCs/>
          <w:w w:val="95"/>
          <w:sz w:val="18"/>
          <w:szCs w:val="18"/>
        </w:rPr>
        <w:t>贷款银行</w:t>
        <w:tab/>
        <w:t>贷款金额</w:t>
        <w:tab/>
        <w:tab/>
        <w:t>贷款期限</w:t>
        <w:tab/>
        <w:tab/>
      </w:r>
      <w:r>
        <w:rPr>
          <w:rFonts w:ascii="宋体" w:hAnsi="宋体" w:cs="宋体" w:eastAsia="宋体" w:hint="default"/>
          <w:b/>
          <w:bCs/>
          <w:sz w:val="18"/>
          <w:szCs w:val="18"/>
        </w:rPr>
        <w:t>保证期间</w:t>
      </w:r>
      <w:r>
        <w:rPr>
          <w:rFonts w:ascii="宋体" w:hAnsi="宋体" w:cs="宋体" w:eastAsia="宋体" w:hint="default"/>
          <w:b/>
          <w:bCs/>
          <w:w w:val="99"/>
          <w:sz w:val="18"/>
          <w:szCs w:val="18"/>
        </w:rPr>
        <w:t> </w:t>
      </w:r>
      <w:r>
        <w:rPr>
          <w:rFonts w:ascii="宋体" w:hAnsi="宋体" w:cs="宋体" w:eastAsia="宋体" w:hint="default"/>
          <w:sz w:val="18"/>
          <w:szCs w:val="18"/>
        </w:rPr>
        <w:t>北京银行清华园支行</w:t>
        <w:tab/>
        <w:t>1,000.00</w:t>
      </w:r>
      <w:r>
        <w:rPr>
          <w:rFonts w:ascii="宋体" w:hAnsi="宋体" w:cs="宋体" w:eastAsia="宋体" w:hint="default"/>
          <w:spacing w:val="-46"/>
          <w:sz w:val="18"/>
          <w:szCs w:val="18"/>
        </w:rPr>
        <w:t> </w:t>
      </w:r>
      <w:r>
        <w:rPr>
          <w:rFonts w:ascii="宋体" w:hAnsi="宋体" w:cs="宋体" w:eastAsia="宋体" w:hint="default"/>
          <w:sz w:val="18"/>
          <w:szCs w:val="18"/>
        </w:rPr>
        <w:t>万元</w:t>
        <w:tab/>
        <w:t>2010.09.03-2011.09.03</w:t>
        <w:tab/>
        <w:t>2010.09.03-2013.09.03</w:t>
      </w:r>
    </w:p>
    <w:p>
      <w:pPr>
        <w:spacing w:line="30" w:lineRule="exact"/>
        <w:ind w:left="64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554;height:2" coordorigin="15,15" coordsize="2554,2">
              <v:shape style="position:absolute;left:15;top:15;width:2554;height:2" coordorigin="15,15" coordsize="2554,0" path="m15,15l2569,15e" filled="false" stroked="true" strokeweight="1.5pt" strokecolor="#000000">
                <v:path arrowok="t"/>
              </v:shape>
            </v:group>
            <v:group style="position:absolute;left:2554;top:15;width:1911;height:2" coordorigin="2554,15" coordsize="1911,2">
              <v:shape style="position:absolute;left:2554;top:15;width:1911;height:2" coordorigin="2554,15" coordsize="1911,0" path="m2554,15l4465,15e" filled="false" stroked="true" strokeweight="1.5pt" strokecolor="#000000">
                <v:path arrowok="t"/>
              </v:shape>
            </v:group>
            <v:group style="position:absolute;left:4450;top:15;width:2121;height:2" coordorigin="4450,15" coordsize="2121,2">
              <v:shape style="position:absolute;left:4450;top:15;width:2121;height:2" coordorigin="4450,15" coordsize="2121,0" path="m4450,15l6571,15e" filled="false" stroked="true" strokeweight="1.5pt" strokecolor="#000000">
                <v:path arrowok="t"/>
              </v:shape>
            </v:group>
            <v:group style="position:absolute;left:6556;top:15;width:2121;height:2" coordorigin="6556,15" coordsize="2121,2">
              <v:shape style="position:absolute;left:6556;top:15;width:2121;height:2" coordorigin="6556,15" coordsize="2121,0" path="m6556,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2"/>
        <w:rPr>
          <w:rFonts w:ascii="宋体" w:hAnsi="宋体" w:cs="宋体" w:eastAsia="宋体" w:hint="default"/>
          <w:sz w:val="5"/>
          <w:szCs w:val="5"/>
        </w:rPr>
      </w:pPr>
    </w:p>
    <w:p>
      <w:pPr>
        <w:spacing w:before="31"/>
        <w:ind w:left="851"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7"/>
          <w:sz w:val="22"/>
          <w:szCs w:val="22"/>
        </w:rPr>
        <w:t> </w:t>
      </w:r>
      <w:r>
        <w:rPr>
          <w:rFonts w:ascii="宋体" w:hAnsi="宋体" w:cs="宋体" w:eastAsia="宋体" w:hint="default"/>
          <w:sz w:val="22"/>
          <w:szCs w:val="22"/>
        </w:rPr>
        <w:t>控股子公司接受外单位担保</w:t>
      </w:r>
    </w:p>
    <w:p>
      <w:pPr>
        <w:spacing w:before="180"/>
        <w:ind w:left="83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日，江西特种电机股份有限公司以保证方式为泰豪科技股份有限公司</w:t>
      </w:r>
    </w:p>
    <w:p>
      <w:pPr>
        <w:spacing w:line="391" w:lineRule="auto" w:before="102"/>
        <w:ind w:left="838" w:right="5066" w:hanging="441"/>
        <w:jc w:val="left"/>
        <w:rPr>
          <w:rFonts w:ascii="宋体" w:hAnsi="宋体" w:cs="宋体" w:eastAsia="宋体" w:hint="default"/>
          <w:sz w:val="22"/>
          <w:szCs w:val="22"/>
        </w:rPr>
      </w:pPr>
      <w:r>
        <w:rPr>
          <w:rFonts w:ascii="宋体" w:hAnsi="宋体" w:cs="宋体" w:eastAsia="宋体" w:hint="default"/>
          <w:sz w:val="22"/>
          <w:szCs w:val="22"/>
        </w:rPr>
        <w:t>的</w:t>
      </w:r>
      <w:r>
        <w:rPr>
          <w:rFonts w:ascii="宋体" w:hAnsi="宋体" w:cs="宋体" w:eastAsia="宋体" w:hint="default"/>
          <w:spacing w:val="-59"/>
          <w:sz w:val="22"/>
          <w:szCs w:val="22"/>
        </w:rPr>
        <w:t> </w:t>
      </w:r>
      <w:r>
        <w:rPr>
          <w:rFonts w:ascii="宋体" w:hAnsi="宋体" w:cs="宋体" w:eastAsia="宋体" w:hint="default"/>
          <w:sz w:val="22"/>
          <w:szCs w:val="22"/>
        </w:rPr>
        <w:t>8,000.00</w:t>
      </w:r>
      <w:r>
        <w:rPr>
          <w:rFonts w:ascii="宋体" w:hAnsi="宋体" w:cs="宋体" w:eastAsia="宋体" w:hint="default"/>
          <w:spacing w:val="-60"/>
          <w:sz w:val="22"/>
          <w:szCs w:val="22"/>
        </w:rPr>
        <w:t> </w:t>
      </w:r>
      <w:r>
        <w:rPr>
          <w:rFonts w:ascii="宋体" w:hAnsi="宋体" w:cs="宋体" w:eastAsia="宋体" w:hint="default"/>
          <w:sz w:val="22"/>
          <w:szCs w:val="22"/>
        </w:rPr>
        <w:t>万元银行借款提供连带责任担保。</w:t>
      </w:r>
      <w:r>
        <w:rPr>
          <w:rFonts w:ascii="宋体" w:hAnsi="宋体" w:cs="宋体" w:eastAsia="宋体" w:hint="default"/>
          <w:w w:val="99"/>
          <w:sz w:val="22"/>
          <w:szCs w:val="22"/>
        </w:rPr>
        <w:t> </w:t>
      </w:r>
      <w:r>
        <w:rPr>
          <w:rFonts w:ascii="宋体" w:hAnsi="宋体" w:cs="宋体" w:eastAsia="宋体" w:hint="default"/>
          <w:b/>
          <w:bCs/>
          <w:sz w:val="22"/>
          <w:szCs w:val="22"/>
        </w:rPr>
        <w:t>9．</w:t>
      </w:r>
      <w:r>
        <w:rPr>
          <w:rFonts w:ascii="宋体" w:hAnsi="宋体" w:cs="宋体" w:eastAsia="宋体" w:hint="default"/>
          <w:b/>
          <w:bCs/>
          <w:spacing w:val="21"/>
          <w:sz w:val="22"/>
          <w:szCs w:val="22"/>
        </w:rPr>
        <w:t> </w:t>
      </w:r>
      <w:r>
        <w:rPr>
          <w:rFonts w:ascii="宋体" w:hAnsi="宋体" w:cs="宋体" w:eastAsia="宋体" w:hint="default"/>
          <w:sz w:val="22"/>
          <w:szCs w:val="22"/>
        </w:rPr>
        <w:t>关联方资金往来</w:t>
      </w:r>
    </w:p>
    <w:p>
      <w:pPr>
        <w:spacing w:before="41"/>
        <w:ind w:left="851" w:right="0" w:firstLine="0"/>
        <w:jc w:val="left"/>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2010</w:t>
      </w:r>
      <w:r>
        <w:rPr>
          <w:rFonts w:ascii="宋体" w:hAnsi="宋体" w:cs="宋体" w:eastAsia="宋体" w:hint="default"/>
          <w:spacing w:val="-49"/>
          <w:sz w:val="22"/>
          <w:szCs w:val="22"/>
        </w:rPr>
        <w:t> </w:t>
      </w:r>
      <w:r>
        <w:rPr>
          <w:rFonts w:ascii="宋体" w:hAnsi="宋体" w:cs="宋体" w:eastAsia="宋体" w:hint="default"/>
          <w:sz w:val="22"/>
          <w:szCs w:val="22"/>
        </w:rPr>
        <w:t>年度</w:t>
      </w:r>
    </w:p>
    <w:p>
      <w:pPr>
        <w:spacing w:line="240" w:lineRule="auto" w:before="7"/>
        <w:rPr>
          <w:rFonts w:ascii="宋体" w:hAnsi="宋体" w:cs="宋体" w:eastAsia="宋体" w:hint="default"/>
          <w:sz w:val="12"/>
          <w:szCs w:val="12"/>
        </w:rPr>
      </w:pPr>
    </w:p>
    <w:p>
      <w:pPr>
        <w:spacing w:line="30" w:lineRule="exact"/>
        <w:ind w:left="36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3.9pt;height:1.5pt;mso-position-horizontal-relative:char;mso-position-vertical-relative:line" coordorigin="0,0" coordsize="9278,30">
            <v:group style="position:absolute;left:15;top:15;width:9248;height:2" coordorigin="15,15" coordsize="9248,2">
              <v:shape style="position:absolute;left:15;top:15;width:9248;height:2" coordorigin="15,15" coordsize="9248,0" path="m15,15l9262,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020" w:right="900"/>
        </w:sectPr>
      </w:pPr>
    </w:p>
    <w:p>
      <w:pPr>
        <w:spacing w:line="412" w:lineRule="exact" w:before="2"/>
        <w:ind w:left="398" w:right="-11" w:firstLine="763"/>
        <w:jc w:val="left"/>
        <w:rPr>
          <w:rFonts w:ascii="宋体" w:hAnsi="宋体" w:cs="宋体" w:eastAsia="宋体" w:hint="default"/>
          <w:sz w:val="18"/>
          <w:szCs w:val="18"/>
        </w:rPr>
      </w:pPr>
      <w:r>
        <w:rPr/>
        <w:pict>
          <v:group style="position:absolute;margin-left:175.559998pt;margin-top:14.360291pt;width:275.1pt;height:.1pt;mso-position-horizontal-relative:page;mso-position-vertical-relative:paragraph;z-index:-1043992" coordorigin="3511,287" coordsize="5502,2">
            <v:shape style="position:absolute;left:3511;top:287;width:5502;height:2" coordorigin="3511,287" coordsize="5502,0" path="m3511,287l9013,287e" filled="false" stroked="true" strokeweight=".48pt" strokecolor="#000000">
              <v:path arrowok="t"/>
            </v:shape>
            <w10:wrap type="none"/>
          </v:group>
        </w:pict>
      </w:r>
      <w:r>
        <w:rPr/>
        <w:pict>
          <v:group style="position:absolute;margin-left:69.419998pt;margin-top:29.00029pt;width:462.75pt;height:.1pt;mso-position-horizontal-relative:page;mso-position-vertical-relative:paragraph;z-index:-1043968" coordorigin="1388,580" coordsize="9255,2">
            <v:shape style="position:absolute;left:1388;top:580;width:9255;height:2" coordorigin="1388,580" coordsize="9255,0" path="m1388,580l10643,580e" filled="false" stroked="true" strokeweight=".48pt" strokecolor="#000000">
              <v:path arrowok="t"/>
            </v:shape>
            <w10:wrap type="none"/>
          </v:group>
        </w:pict>
      </w:r>
      <w:r>
        <w:rPr>
          <w:rFonts w:ascii="宋体" w:hAnsi="宋体" w:cs="宋体" w:eastAsia="宋体" w:hint="default"/>
          <w:b/>
          <w:bCs/>
          <w:sz w:val="18"/>
          <w:szCs w:val="18"/>
        </w:rPr>
        <w:t>关联方</w:t>
      </w:r>
      <w:r>
        <w:rPr>
          <w:rFonts w:ascii="宋体" w:hAnsi="宋体" w:cs="宋体" w:eastAsia="宋体" w:hint="default"/>
          <w:b/>
          <w:bCs/>
          <w:spacing w:val="1"/>
          <w:w w:val="99"/>
          <w:sz w:val="18"/>
          <w:szCs w:val="18"/>
        </w:rPr>
        <w:t> </w:t>
      </w:r>
      <w:r>
        <w:rPr>
          <w:rFonts w:ascii="宋体" w:hAnsi="宋体" w:cs="宋体" w:eastAsia="宋体" w:hint="default"/>
          <w:spacing w:val="8"/>
          <w:sz w:val="18"/>
          <w:szCs w:val="18"/>
        </w:rPr>
        <w:t>龙江环保集团股份有限公</w:t>
      </w:r>
      <w:r>
        <w:rPr>
          <w:rFonts w:ascii="宋体" w:hAnsi="宋体" w:cs="宋体" w:eastAsia="宋体" w:hint="default"/>
          <w:sz w:val="18"/>
          <w:szCs w:val="18"/>
        </w:rPr>
      </w:r>
    </w:p>
    <w:p>
      <w:pPr>
        <w:tabs>
          <w:tab w:pos="1795" w:val="left" w:leader="none"/>
          <w:tab w:pos="3035" w:val="left" w:leader="none"/>
          <w:tab w:pos="3339" w:val="left" w:leader="none"/>
          <w:tab w:pos="4547" w:val="left" w:leader="none"/>
        </w:tabs>
        <w:spacing w:line="297" w:lineRule="auto" w:before="0"/>
        <w:ind w:left="374" w:right="0" w:firstLine="214"/>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向关联方提供资金</w:t>
        <w:tab/>
        <w:tab/>
      </w:r>
      <w:r>
        <w:rPr>
          <w:rFonts w:ascii="宋体" w:hAnsi="宋体" w:cs="宋体" w:eastAsia="宋体" w:hint="default"/>
          <w:b/>
          <w:bCs/>
          <w:sz w:val="18"/>
          <w:szCs w:val="18"/>
        </w:rPr>
        <w:t>从关联方获取资金</w:t>
      </w:r>
      <w:r>
        <w:rPr>
          <w:rFonts w:ascii="宋体" w:hAnsi="宋体" w:cs="宋体" w:eastAsia="宋体" w:hint="default"/>
          <w:b/>
          <w:bCs/>
          <w:spacing w:val="1"/>
          <w:w w:val="99"/>
          <w:sz w:val="18"/>
          <w:szCs w:val="18"/>
        </w:rPr>
        <w:t> </w:t>
      </w:r>
      <w:r>
        <w:rPr>
          <w:rFonts w:ascii="宋体" w:hAnsi="宋体" w:cs="宋体" w:eastAsia="宋体" w:hint="default"/>
          <w:b/>
          <w:bCs/>
          <w:w w:val="95"/>
          <w:sz w:val="18"/>
          <w:szCs w:val="18"/>
        </w:rPr>
        <w:t>发生额</w:t>
        <w:tab/>
        <w:t>余额</w:t>
        <w:tab/>
        <w:t>发生额</w:t>
        <w:tab/>
      </w:r>
      <w:r>
        <w:rPr>
          <w:rFonts w:ascii="宋体" w:hAnsi="宋体" w:cs="宋体" w:eastAsia="宋体" w:hint="default"/>
          <w:b/>
          <w:bCs/>
          <w:sz w:val="18"/>
          <w:szCs w:val="18"/>
        </w:rPr>
        <w:t>余额</w:t>
      </w:r>
      <w:r>
        <w:rPr>
          <w:rFonts w:ascii="宋体" w:hAnsi="宋体" w:cs="宋体" w:eastAsia="宋体" w:hint="default"/>
          <w:sz w:val="18"/>
          <w:szCs w:val="18"/>
        </w:rPr>
      </w:r>
    </w:p>
    <w:p>
      <w:pPr>
        <w:spacing w:before="122"/>
        <w:ind w:left="981" w:right="97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备注</w:t>
      </w:r>
      <w:r>
        <w:rPr>
          <w:rFonts w:ascii="宋体" w:hAnsi="宋体" w:cs="宋体" w:eastAsia="宋体" w:hint="default"/>
          <w:sz w:val="18"/>
          <w:szCs w:val="18"/>
        </w:rPr>
      </w:r>
    </w:p>
    <w:p>
      <w:pPr>
        <w:spacing w:line="240" w:lineRule="auto" w:before="7"/>
        <w:rPr>
          <w:rFonts w:ascii="宋体" w:hAnsi="宋体" w:cs="宋体" w:eastAsia="宋体" w:hint="default"/>
          <w:b/>
          <w:bCs/>
          <w:sz w:val="13"/>
          <w:szCs w:val="13"/>
        </w:rPr>
      </w:pPr>
    </w:p>
    <w:p>
      <w:pPr>
        <w:spacing w:line="155" w:lineRule="exact" w:before="0"/>
        <w:ind w:left="398" w:right="0" w:firstLine="0"/>
        <w:jc w:val="left"/>
        <w:rPr>
          <w:rFonts w:ascii="宋体" w:hAnsi="宋体" w:cs="宋体" w:eastAsia="宋体" w:hint="default"/>
          <w:sz w:val="18"/>
          <w:szCs w:val="18"/>
        </w:rPr>
      </w:pPr>
      <w:r>
        <w:rPr>
          <w:rFonts w:ascii="宋体" w:hAnsi="宋体" w:cs="宋体" w:eastAsia="宋体" w:hint="default"/>
          <w:sz w:val="18"/>
          <w:szCs w:val="18"/>
        </w:rPr>
        <w:t>B.O.T.</w:t>
      </w:r>
      <w:r>
        <w:rPr>
          <w:rFonts w:ascii="宋体" w:hAnsi="宋体" w:cs="宋体" w:eastAsia="宋体" w:hint="default"/>
          <w:spacing w:val="-65"/>
          <w:sz w:val="18"/>
          <w:szCs w:val="18"/>
        </w:rPr>
        <w:t> </w:t>
      </w:r>
      <w:r>
        <w:rPr>
          <w:rFonts w:ascii="宋体" w:hAnsi="宋体" w:cs="宋体" w:eastAsia="宋体" w:hint="default"/>
          <w:sz w:val="18"/>
          <w:szCs w:val="18"/>
        </w:rPr>
        <w:t>项</w:t>
      </w:r>
      <w:r>
        <w:rPr>
          <w:rFonts w:ascii="宋体" w:hAnsi="宋体" w:cs="宋体" w:eastAsia="宋体" w:hint="default"/>
          <w:spacing w:val="-65"/>
          <w:sz w:val="18"/>
          <w:szCs w:val="18"/>
        </w:rPr>
        <w:t> </w:t>
      </w:r>
      <w:r>
        <w:rPr>
          <w:rFonts w:ascii="宋体" w:hAnsi="宋体" w:cs="宋体" w:eastAsia="宋体" w:hint="default"/>
          <w:sz w:val="18"/>
          <w:szCs w:val="18"/>
        </w:rPr>
        <w:t>目</w:t>
      </w:r>
      <w:r>
        <w:rPr>
          <w:rFonts w:ascii="宋体" w:hAnsi="宋体" w:cs="宋体" w:eastAsia="宋体" w:hint="default"/>
          <w:spacing w:val="-64"/>
          <w:sz w:val="18"/>
          <w:szCs w:val="18"/>
        </w:rPr>
        <w:t> </w:t>
      </w:r>
      <w:r>
        <w:rPr>
          <w:rFonts w:ascii="宋体" w:hAnsi="宋体" w:cs="宋体" w:eastAsia="宋体" w:hint="default"/>
          <w:sz w:val="18"/>
          <w:szCs w:val="18"/>
        </w:rPr>
        <w:t>委</w:t>
      </w:r>
      <w:r>
        <w:rPr>
          <w:rFonts w:ascii="宋体" w:hAnsi="宋体" w:cs="宋体" w:eastAsia="宋体" w:hint="default"/>
          <w:spacing w:val="-64"/>
          <w:sz w:val="18"/>
          <w:szCs w:val="18"/>
        </w:rPr>
        <w:t> </w:t>
      </w:r>
      <w:r>
        <w:rPr>
          <w:rFonts w:ascii="宋体" w:hAnsi="宋体" w:cs="宋体" w:eastAsia="宋体" w:hint="default"/>
          <w:sz w:val="18"/>
          <w:szCs w:val="18"/>
        </w:rPr>
        <w:t>托</w:t>
      </w:r>
      <w:r>
        <w:rPr>
          <w:rFonts w:ascii="宋体" w:hAnsi="宋体" w:cs="宋体" w:eastAsia="宋体" w:hint="default"/>
          <w:spacing w:val="-65"/>
          <w:sz w:val="18"/>
          <w:szCs w:val="18"/>
        </w:rPr>
        <w:t> </w:t>
      </w:r>
      <w:r>
        <w:rPr>
          <w:rFonts w:ascii="宋体" w:hAnsi="宋体" w:cs="宋体" w:eastAsia="宋体" w:hint="default"/>
          <w:sz w:val="18"/>
          <w:szCs w:val="18"/>
        </w:rPr>
        <w:t>贷</w:t>
      </w:r>
    </w:p>
    <w:p>
      <w:pPr>
        <w:spacing w:after="0" w:line="155" w:lineRule="exact"/>
        <w:jc w:val="left"/>
        <w:rPr>
          <w:rFonts w:ascii="宋体" w:hAnsi="宋体" w:cs="宋体" w:eastAsia="宋体" w:hint="default"/>
          <w:sz w:val="18"/>
          <w:szCs w:val="18"/>
        </w:rPr>
        <w:sectPr>
          <w:type w:val="continuous"/>
          <w:pgSz w:w="11910" w:h="16840"/>
          <w:pgMar w:top="1600" w:bottom="280" w:left="1020" w:right="900"/>
          <w:cols w:num="3" w:equalWidth="0">
            <w:col w:w="2476" w:space="40"/>
            <w:col w:w="4910" w:space="206"/>
            <w:col w:w="2358"/>
          </w:cols>
        </w:sectPr>
      </w:pPr>
    </w:p>
    <w:p>
      <w:pPr>
        <w:tabs>
          <w:tab w:pos="2537" w:val="left" w:leader="none"/>
          <w:tab w:pos="6098" w:val="left" w:leader="none"/>
          <w:tab w:pos="7610" w:val="left" w:leader="none"/>
        </w:tabs>
        <w:spacing w:line="142" w:lineRule="exact" w:before="0"/>
        <w:ind w:left="398" w:right="0" w:firstLine="0"/>
        <w:jc w:val="left"/>
        <w:rPr>
          <w:rFonts w:ascii="宋体" w:hAnsi="宋体" w:cs="宋体" w:eastAsia="宋体" w:hint="default"/>
          <w:sz w:val="18"/>
          <w:szCs w:val="18"/>
        </w:rPr>
      </w:pPr>
      <w:r>
        <w:rPr>
          <w:rFonts w:ascii="宋体" w:hAnsi="宋体" w:cs="宋体" w:eastAsia="宋体" w:hint="default"/>
          <w:position w:val="-9"/>
          <w:sz w:val="18"/>
          <w:szCs w:val="18"/>
        </w:rPr>
        <w:t>司</w:t>
        <w:tab/>
      </w:r>
      <w:r>
        <w:rPr>
          <w:rFonts w:ascii="宋体" w:hAnsi="宋体" w:cs="宋体" w:eastAsia="宋体" w:hint="default"/>
          <w:sz w:val="18"/>
          <w:szCs w:val="18"/>
        </w:rPr>
        <w:t>-48,277,320.00</w:t>
      </w:r>
      <w:r>
        <w:rPr>
          <w:rFonts w:ascii="宋体" w:hAnsi="宋体" w:cs="宋体" w:eastAsia="宋体" w:hint="default"/>
          <w:spacing w:val="-21"/>
          <w:sz w:val="18"/>
          <w:szCs w:val="18"/>
        </w:rPr>
        <w:t> </w:t>
      </w:r>
      <w:r>
        <w:rPr>
          <w:rFonts w:ascii="宋体" w:hAnsi="宋体" w:cs="宋体" w:eastAsia="宋体" w:hint="default"/>
          <w:sz w:val="18"/>
          <w:szCs w:val="18"/>
        </w:rPr>
        <w:t>114,000,000.00</w:t>
        <w:tab/>
        <w:t>0.00</w:t>
        <w:tab/>
        <w:t>0.00</w:t>
      </w:r>
      <w:r>
        <w:rPr>
          <w:rFonts w:ascii="宋体" w:hAnsi="宋体" w:cs="宋体" w:eastAsia="宋体" w:hint="default"/>
          <w:spacing w:val="-31"/>
          <w:sz w:val="18"/>
          <w:szCs w:val="18"/>
        </w:rPr>
        <w:t> </w:t>
      </w:r>
      <w:r>
        <w:rPr>
          <w:rFonts w:ascii="宋体" w:hAnsi="宋体" w:cs="宋体" w:eastAsia="宋体" w:hint="default"/>
          <w:position w:val="-9"/>
          <w:sz w:val="18"/>
          <w:szCs w:val="18"/>
        </w:rPr>
        <w:t>款</w:t>
      </w:r>
      <w:r>
        <w:rPr>
          <w:rFonts w:ascii="宋体" w:hAnsi="宋体" w:cs="宋体" w:eastAsia="宋体" w:hint="default"/>
          <w:sz w:val="18"/>
          <w:szCs w:val="18"/>
        </w:rPr>
      </w:r>
    </w:p>
    <w:p>
      <w:pPr>
        <w:tabs>
          <w:tab w:pos="3437" w:val="left" w:leader="none"/>
          <w:tab w:pos="4767" w:val="left" w:leader="none"/>
          <w:tab w:pos="6710" w:val="left" w:leader="none"/>
        </w:tabs>
        <w:spacing w:before="6"/>
        <w:ind w:left="398" w:right="0"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0.00</w:t>
        <w:tab/>
        <w:t>0.00</w:t>
      </w:r>
      <w:r>
        <w:rPr>
          <w:rFonts w:ascii="宋体" w:hAnsi="宋体" w:cs="宋体" w:eastAsia="宋体" w:hint="default"/>
          <w:spacing w:val="-20"/>
          <w:sz w:val="18"/>
          <w:szCs w:val="18"/>
        </w:rPr>
        <w:t> </w:t>
      </w:r>
      <w:r>
        <w:rPr>
          <w:rFonts w:ascii="宋体" w:hAnsi="宋体" w:cs="宋体" w:eastAsia="宋体" w:hint="default"/>
          <w:sz w:val="18"/>
          <w:szCs w:val="18"/>
        </w:rPr>
        <w:t>941,509,944.41</w:t>
        <w:tab/>
        <w:t>941,509,944.41</w:t>
      </w:r>
      <w:r>
        <w:rPr>
          <w:rFonts w:ascii="宋体" w:hAnsi="宋体" w:cs="宋体" w:eastAsia="宋体" w:hint="default"/>
          <w:spacing w:val="-31"/>
          <w:sz w:val="18"/>
          <w:szCs w:val="18"/>
        </w:rPr>
        <w:t> </w:t>
      </w:r>
      <w:r>
        <w:rPr>
          <w:rFonts w:ascii="宋体" w:hAnsi="宋体" w:cs="宋体" w:eastAsia="宋体" w:hint="default"/>
          <w:sz w:val="18"/>
          <w:szCs w:val="18"/>
        </w:rPr>
        <w:t>中期票据委托贷款</w:t>
      </w:r>
    </w:p>
    <w:p>
      <w:pPr>
        <w:tabs>
          <w:tab w:pos="3437" w:val="left" w:leader="none"/>
          <w:tab w:pos="4767" w:val="left" w:leader="none"/>
          <w:tab w:pos="5558" w:val="left" w:leader="none"/>
          <w:tab w:pos="6710" w:val="left" w:leader="none"/>
        </w:tabs>
        <w:spacing w:line="268" w:lineRule="exact" w:before="6"/>
        <w:ind w:left="398" w:right="0"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0.00</w:t>
        <w:tab/>
        <w:t>0.00</w:t>
        <w:tab/>
        <w:t>661,383.76</w:t>
        <w:tab/>
        <w:t>206,613,371.25</w:t>
      </w:r>
      <w:r>
        <w:rPr>
          <w:rFonts w:ascii="宋体" w:hAnsi="宋体" w:cs="宋体" w:eastAsia="宋体" w:hint="default"/>
          <w:spacing w:val="-31"/>
          <w:sz w:val="18"/>
          <w:szCs w:val="18"/>
        </w:rPr>
        <w:t> </w:t>
      </w:r>
      <w:r>
        <w:rPr>
          <w:rFonts w:ascii="宋体" w:hAnsi="宋体" w:cs="宋体" w:eastAsia="宋体" w:hint="default"/>
          <w:position w:val="10"/>
          <w:sz w:val="18"/>
          <w:szCs w:val="18"/>
        </w:rPr>
        <w:t>B.O.T.</w:t>
      </w:r>
      <w:r>
        <w:rPr>
          <w:rFonts w:ascii="宋体" w:hAnsi="宋体" w:cs="宋体" w:eastAsia="宋体" w:hint="default"/>
          <w:spacing w:val="-65"/>
          <w:position w:val="10"/>
          <w:sz w:val="18"/>
          <w:szCs w:val="18"/>
        </w:rPr>
        <w:t> </w:t>
      </w:r>
      <w:r>
        <w:rPr>
          <w:rFonts w:ascii="宋体" w:hAnsi="宋体" w:cs="宋体" w:eastAsia="宋体" w:hint="default"/>
          <w:position w:val="10"/>
          <w:sz w:val="18"/>
          <w:szCs w:val="18"/>
        </w:rPr>
        <w:t>项</w:t>
      </w:r>
      <w:r>
        <w:rPr>
          <w:rFonts w:ascii="宋体" w:hAnsi="宋体" w:cs="宋体" w:eastAsia="宋体" w:hint="default"/>
          <w:spacing w:val="-65"/>
          <w:position w:val="10"/>
          <w:sz w:val="18"/>
          <w:szCs w:val="18"/>
        </w:rPr>
        <w:t> </w:t>
      </w:r>
      <w:r>
        <w:rPr>
          <w:rFonts w:ascii="宋体" w:hAnsi="宋体" w:cs="宋体" w:eastAsia="宋体" w:hint="default"/>
          <w:position w:val="10"/>
          <w:sz w:val="18"/>
          <w:szCs w:val="18"/>
        </w:rPr>
        <w:t>目</w:t>
      </w:r>
      <w:r>
        <w:rPr>
          <w:rFonts w:ascii="宋体" w:hAnsi="宋体" w:cs="宋体" w:eastAsia="宋体" w:hint="default"/>
          <w:spacing w:val="-64"/>
          <w:position w:val="10"/>
          <w:sz w:val="18"/>
          <w:szCs w:val="18"/>
        </w:rPr>
        <w:t> </w:t>
      </w:r>
      <w:r>
        <w:rPr>
          <w:rFonts w:ascii="宋体" w:hAnsi="宋体" w:cs="宋体" w:eastAsia="宋体" w:hint="default"/>
          <w:position w:val="10"/>
          <w:sz w:val="18"/>
          <w:szCs w:val="18"/>
        </w:rPr>
        <w:t>委</w:t>
      </w:r>
      <w:r>
        <w:rPr>
          <w:rFonts w:ascii="宋体" w:hAnsi="宋体" w:cs="宋体" w:eastAsia="宋体" w:hint="default"/>
          <w:spacing w:val="-64"/>
          <w:position w:val="10"/>
          <w:sz w:val="18"/>
          <w:szCs w:val="18"/>
        </w:rPr>
        <w:t> </w:t>
      </w:r>
      <w:r>
        <w:rPr>
          <w:rFonts w:ascii="宋体" w:hAnsi="宋体" w:cs="宋体" w:eastAsia="宋体" w:hint="default"/>
          <w:position w:val="10"/>
          <w:sz w:val="18"/>
          <w:szCs w:val="18"/>
        </w:rPr>
        <w:t>托</w:t>
      </w:r>
      <w:r>
        <w:rPr>
          <w:rFonts w:ascii="宋体" w:hAnsi="宋体" w:cs="宋体" w:eastAsia="宋体" w:hint="default"/>
          <w:spacing w:val="-65"/>
          <w:position w:val="10"/>
          <w:sz w:val="18"/>
          <w:szCs w:val="18"/>
        </w:rPr>
        <w:t> </w:t>
      </w:r>
      <w:r>
        <w:rPr>
          <w:rFonts w:ascii="宋体" w:hAnsi="宋体" w:cs="宋体" w:eastAsia="宋体" w:hint="default"/>
          <w:position w:val="10"/>
          <w:sz w:val="18"/>
          <w:szCs w:val="18"/>
        </w:rPr>
        <w:t>贷</w:t>
      </w:r>
      <w:r>
        <w:rPr>
          <w:rFonts w:ascii="宋体" w:hAnsi="宋体" w:cs="宋体" w:eastAsia="宋体" w:hint="default"/>
          <w:sz w:val="18"/>
          <w:szCs w:val="18"/>
        </w:rPr>
      </w:r>
    </w:p>
    <w:p>
      <w:pPr>
        <w:spacing w:line="168" w:lineRule="exact" w:before="0"/>
        <w:ind w:left="0" w:right="1773" w:firstLine="0"/>
        <w:jc w:val="right"/>
        <w:rPr>
          <w:rFonts w:ascii="宋体" w:hAnsi="宋体" w:cs="宋体" w:eastAsia="宋体" w:hint="default"/>
          <w:sz w:val="18"/>
          <w:szCs w:val="18"/>
        </w:rPr>
      </w:pPr>
      <w:r>
        <w:rPr>
          <w:rFonts w:ascii="宋体" w:hAnsi="宋体" w:cs="宋体" w:eastAsia="宋体" w:hint="default"/>
          <w:sz w:val="18"/>
          <w:szCs w:val="18"/>
        </w:rPr>
        <w:t>款</w:t>
      </w:r>
    </w:p>
    <w:p>
      <w:pPr>
        <w:spacing w:line="20" w:lineRule="exact"/>
        <w:ind w:left="363" w:right="0" w:firstLine="0"/>
        <w:rPr>
          <w:rFonts w:ascii="宋体" w:hAnsi="宋体" w:cs="宋体" w:eastAsia="宋体" w:hint="default"/>
          <w:sz w:val="2"/>
          <w:szCs w:val="2"/>
        </w:rPr>
      </w:pPr>
      <w:r>
        <w:rPr>
          <w:rFonts w:ascii="宋体" w:hAnsi="宋体" w:cs="宋体" w:eastAsia="宋体" w:hint="default"/>
          <w:sz w:val="2"/>
          <w:szCs w:val="2"/>
        </w:rPr>
        <w:pict>
          <v:group style="width:463.2pt;height:.5pt;mso-position-horizontal-relative:char;mso-position-vertical-relative:line" coordorigin="0,0" coordsize="9264,10">
            <v:group style="position:absolute;left:5;top:5;width:9255;height:2" coordorigin="5,5" coordsize="9255,2">
              <v:shape style="position:absolute;left:5;top:5;width:9255;height:2" coordorigin="5,5" coordsize="9255,0" path="m5,5l9259,5e" filled="false" stroked="true" strokeweight=".48pt" strokecolor="#000000">
                <v:path arrowok="t"/>
              </v:shape>
            </v:group>
          </v:group>
        </w:pict>
      </w:r>
      <w:r>
        <w:rPr>
          <w:rFonts w:ascii="宋体" w:hAnsi="宋体" w:cs="宋体" w:eastAsia="宋体" w:hint="default"/>
          <w:sz w:val="2"/>
          <w:szCs w:val="2"/>
        </w:rPr>
      </w:r>
    </w:p>
    <w:p>
      <w:pPr>
        <w:tabs>
          <w:tab w:pos="2528" w:val="left" w:leader="none"/>
        </w:tabs>
        <w:spacing w:before="0"/>
        <w:ind w:left="1297"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-48,277,320.00</w:t>
      </w:r>
      <w:r>
        <w:rPr>
          <w:rFonts w:ascii="宋体" w:hAnsi="宋体" w:cs="宋体" w:eastAsia="宋体" w:hint="default"/>
          <w:b/>
          <w:bCs/>
          <w:spacing w:val="-40"/>
          <w:sz w:val="18"/>
          <w:szCs w:val="18"/>
        </w:rPr>
        <w:t> </w:t>
      </w:r>
      <w:r>
        <w:rPr>
          <w:rFonts w:ascii="宋体" w:hAnsi="宋体" w:cs="宋体" w:eastAsia="宋体" w:hint="default"/>
          <w:b/>
          <w:bCs/>
          <w:sz w:val="18"/>
          <w:szCs w:val="18"/>
        </w:rPr>
        <w:t>114,000,000.00</w:t>
      </w:r>
      <w:r>
        <w:rPr>
          <w:rFonts w:ascii="宋体" w:hAnsi="宋体" w:cs="宋体" w:eastAsia="宋体" w:hint="default"/>
          <w:b/>
          <w:bCs/>
          <w:spacing w:val="-39"/>
          <w:sz w:val="18"/>
          <w:szCs w:val="18"/>
        </w:rPr>
        <w:t> </w:t>
      </w:r>
      <w:r>
        <w:rPr>
          <w:rFonts w:ascii="宋体" w:hAnsi="宋体" w:cs="宋体" w:eastAsia="宋体" w:hint="default"/>
          <w:b/>
          <w:bCs/>
          <w:sz w:val="18"/>
          <w:szCs w:val="18"/>
        </w:rPr>
        <w:t>942,171,328.17</w:t>
      </w:r>
      <w:r>
        <w:rPr>
          <w:rFonts w:ascii="宋体" w:hAnsi="宋体" w:cs="宋体" w:eastAsia="宋体" w:hint="default"/>
          <w:b/>
          <w:bCs/>
          <w:spacing w:val="-40"/>
          <w:sz w:val="18"/>
          <w:szCs w:val="18"/>
        </w:rPr>
        <w:t> </w:t>
      </w:r>
      <w:r>
        <w:rPr>
          <w:rFonts w:ascii="宋体" w:hAnsi="宋体" w:cs="宋体" w:eastAsia="宋体" w:hint="default"/>
          <w:b/>
          <w:bCs/>
          <w:sz w:val="18"/>
          <w:szCs w:val="18"/>
        </w:rPr>
        <w:t>1,148,123,315.66</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5.3pt;height:1.5pt;mso-position-horizontal-relative:char;mso-position-vertical-relative:line" coordorigin="0,0" coordsize="9306,30">
            <v:group style="position:absolute;left:15;top:15;width:2145;height:2" coordorigin="15,15" coordsize="2145,2">
              <v:shape style="position:absolute;left:15;top:15;width:2145;height:2" coordorigin="15,15" coordsize="2145,0" path="m15,15l2159,15e" filled="false" stroked="true" strokeweight="1.5pt" strokecolor="#000000">
                <v:path arrowok="t"/>
              </v:shape>
            </v:group>
            <v:group style="position:absolute;left:2145;top:15;width:1344;height:2" coordorigin="2145,15" coordsize="1344,2">
              <v:shape style="position:absolute;left:2145;top:15;width:1344;height:2" coordorigin="2145,15" coordsize="1344,0" path="m2145,15l3489,15e" filled="false" stroked="true" strokeweight="1.5pt" strokecolor="#000000">
                <v:path arrowok="t"/>
              </v:shape>
            </v:group>
            <v:group style="position:absolute;left:3475;top:15;width:1346;height:2" coordorigin="3475,15" coordsize="1346,2">
              <v:shape style="position:absolute;left:3475;top:15;width:1346;height:2" coordorigin="3475,15" coordsize="1346,0" path="m3475,15l4820,15e" filled="false" stroked="true" strokeweight="1.5pt" strokecolor="#000000">
                <v:path arrowok="t"/>
              </v:shape>
            </v:group>
            <v:group style="position:absolute;left:4805;top:15;width:1344;height:2" coordorigin="4805,15" coordsize="1344,2">
              <v:shape style="position:absolute;left:4805;top:15;width:1344;height:2" coordorigin="4805,15" coordsize="1344,0" path="m4805,15l6149,15e" filled="false" stroked="true" strokeweight="1.5pt" strokecolor="#000000">
                <v:path arrowok="t"/>
              </v:shape>
            </v:group>
            <v:group style="position:absolute;left:6135;top:15;width:1527;height:2" coordorigin="6135,15" coordsize="1527,2">
              <v:shape style="position:absolute;left:6135;top:15;width:1527;height:2" coordorigin="6135,15" coordsize="1527,0" path="m6135,15l7661,15e" filled="false" stroked="true" strokeweight="1.5pt" strokecolor="#000000">
                <v:path arrowok="t"/>
              </v:shape>
            </v:group>
            <v:group style="position:absolute;left:7647;top:15;width:1644;height:2" coordorigin="7647,15" coordsize="1644,2">
              <v:shape style="position:absolute;left:7647;top:15;width:1644;height:2" coordorigin="7647,15" coordsize="1644,0" path="m7647,15l9291,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851" w:right="0"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2009</w:t>
      </w:r>
      <w:r>
        <w:rPr>
          <w:rFonts w:ascii="宋体" w:hAnsi="宋体" w:cs="宋体" w:eastAsia="宋体" w:hint="default"/>
          <w:spacing w:val="-49"/>
          <w:sz w:val="22"/>
          <w:szCs w:val="22"/>
        </w:rPr>
        <w:t> </w:t>
      </w:r>
      <w:r>
        <w:rPr>
          <w:rFonts w:ascii="宋体" w:hAnsi="宋体" w:cs="宋体" w:eastAsia="宋体" w:hint="default"/>
          <w:sz w:val="22"/>
          <w:szCs w:val="22"/>
        </w:rPr>
        <w:t>年度</w:t>
      </w:r>
    </w:p>
    <w:p>
      <w:pPr>
        <w:spacing w:line="240" w:lineRule="auto" w:before="6"/>
        <w:rPr>
          <w:rFonts w:ascii="宋体" w:hAnsi="宋体" w:cs="宋体" w:eastAsia="宋体" w:hint="default"/>
          <w:sz w:val="12"/>
          <w:szCs w:val="12"/>
        </w:rPr>
      </w:pPr>
    </w:p>
    <w:p>
      <w:pPr>
        <w:spacing w:line="30" w:lineRule="exact"/>
        <w:ind w:left="1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7pt;height:1.5pt;mso-position-horizontal-relative:char;mso-position-vertical-relative:line" coordorigin="0,0" coordsize="9740,30">
            <v:group style="position:absolute;left:15;top:15;width:9710;height:2" coordorigin="15,15" coordsize="9710,2">
              <v:shape style="position:absolute;left:15;top:15;width:9710;height:2" coordorigin="15,15" coordsize="9710,0" path="m15,15l9724,15e" filled="false" stroked="true" strokeweight="1.5pt" strokecolor="#000000">
                <v:path arrowok="t"/>
              </v:shape>
            </v:group>
          </v:group>
        </w:pict>
      </w:r>
      <w:r>
        <w:rPr>
          <w:rFonts w:ascii="宋体" w:hAnsi="宋体" w:cs="宋体" w:eastAsia="宋体" w:hint="default"/>
          <w:position w:val="0"/>
          <w:sz w:val="3"/>
          <w:szCs w:val="3"/>
        </w:rPr>
      </w:r>
    </w:p>
    <w:p>
      <w:pPr>
        <w:tabs>
          <w:tab w:pos="6054" w:val="left" w:leader="none"/>
        </w:tabs>
        <w:spacing w:line="226" w:lineRule="exact" w:before="0"/>
        <w:ind w:left="3349" w:right="0" w:firstLine="0"/>
        <w:jc w:val="left"/>
        <w:rPr>
          <w:rFonts w:ascii="宋体" w:hAnsi="宋体" w:cs="宋体" w:eastAsia="宋体" w:hint="default"/>
          <w:sz w:val="18"/>
          <w:szCs w:val="18"/>
        </w:rPr>
      </w:pPr>
      <w:r>
        <w:rPr/>
        <w:pict>
          <v:shape style="position:absolute;margin-left:57.84pt;margin-top:8.645325pt;width:485.85pt;height:60.9pt;mso-position-horizontal-relative:page;mso-position-vertical-relative:paragraph;z-index:7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5"/>
                    <w:gridCol w:w="1500"/>
                    <w:gridCol w:w="1507"/>
                    <w:gridCol w:w="757"/>
                    <w:gridCol w:w="619"/>
                    <w:gridCol w:w="666"/>
                    <w:gridCol w:w="2183"/>
                  </w:tblGrid>
                  <w:tr>
                    <w:trPr>
                      <w:trHeight w:val="398" w:hRule="exact"/>
                    </w:trPr>
                    <w:tc>
                      <w:tcPr>
                        <w:tcW w:w="2485"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512"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78"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75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11"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619" w:type="dxa"/>
                        <w:tcBorders>
                          <w:top w:val="nil" w:sz="6" w:space="0" w:color="auto"/>
                          <w:left w:val="nil" w:sz="6" w:space="0" w:color="auto"/>
                          <w:bottom w:val="single" w:sz="4" w:space="0" w:color="000000"/>
                          <w:right w:val="nil" w:sz="6" w:space="0" w:color="auto"/>
                        </w:tcBorders>
                      </w:tcPr>
                      <w:p>
                        <w:pPr/>
                      </w:p>
                    </w:tc>
                    <w:tc>
                      <w:tcPr>
                        <w:tcW w:w="66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56"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2183" w:type="dxa"/>
                        <w:tcBorders>
                          <w:top w:val="nil" w:sz="6" w:space="0" w:color="auto"/>
                          <w:left w:val="nil" w:sz="6" w:space="0" w:color="auto"/>
                          <w:bottom w:val="single" w:sz="4" w:space="0" w:color="000000"/>
                          <w:right w:val="nil" w:sz="6" w:space="0" w:color="auto"/>
                        </w:tcBorders>
                      </w:tcPr>
                      <w:p>
                        <w:pPr>
                          <w:pStyle w:val="TableParagraph"/>
                          <w:spacing w:line="180" w:lineRule="exact"/>
                          <w:ind w:left="1131"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82" w:hRule="exact"/>
                    </w:trPr>
                    <w:tc>
                      <w:tcPr>
                        <w:tcW w:w="2485"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26" w:lineRule="exact"/>
                          <w:ind w:right="32"/>
                          <w:jc w:val="right"/>
                          <w:rPr>
                            <w:rFonts w:ascii="宋体" w:hAnsi="宋体" w:cs="宋体" w:eastAsia="宋体" w:hint="default"/>
                            <w:sz w:val="18"/>
                            <w:szCs w:val="18"/>
                          </w:rPr>
                        </w:pPr>
                        <w:r>
                          <w:rPr>
                            <w:rFonts w:ascii="宋体"/>
                            <w:sz w:val="18"/>
                          </w:rPr>
                          <w:t>-7,492,033.50</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26" w:lineRule="exact"/>
                          <w:ind w:right="209"/>
                          <w:jc w:val="right"/>
                          <w:rPr>
                            <w:rFonts w:ascii="宋体" w:hAnsi="宋体" w:cs="宋体" w:eastAsia="宋体" w:hint="default"/>
                            <w:sz w:val="18"/>
                            <w:szCs w:val="18"/>
                          </w:rPr>
                        </w:pPr>
                        <w:r>
                          <w:rPr>
                            <w:rFonts w:ascii="宋体"/>
                            <w:sz w:val="18"/>
                          </w:rPr>
                          <w:t>162,277,320.00</w:t>
                        </w:r>
                      </w:p>
                    </w:tc>
                    <w:tc>
                      <w:tcPr>
                        <w:tcW w:w="757" w:type="dxa"/>
                        <w:tcBorders>
                          <w:top w:val="single" w:sz="4" w:space="0" w:color="000000"/>
                          <w:left w:val="nil" w:sz="6" w:space="0" w:color="auto"/>
                          <w:bottom w:val="nil" w:sz="6" w:space="0" w:color="auto"/>
                          <w:right w:val="nil" w:sz="6" w:space="0" w:color="auto"/>
                        </w:tcBorders>
                      </w:tcPr>
                      <w:p>
                        <w:pPr/>
                      </w:p>
                    </w:tc>
                    <w:tc>
                      <w:tcPr>
                        <w:tcW w:w="619" w:type="dxa"/>
                        <w:tcBorders>
                          <w:top w:val="single" w:sz="4" w:space="0" w:color="000000"/>
                          <w:left w:val="nil" w:sz="6" w:space="0" w:color="auto"/>
                          <w:bottom w:val="nil" w:sz="6" w:space="0" w:color="auto"/>
                          <w:right w:val="nil" w:sz="6" w:space="0" w:color="auto"/>
                        </w:tcBorders>
                      </w:tcPr>
                      <w:p>
                        <w:pPr>
                          <w:pStyle w:val="TableParagraph"/>
                          <w:spacing w:line="226" w:lineRule="exact"/>
                          <w:ind w:left="1" w:right="0"/>
                          <w:jc w:val="left"/>
                          <w:rPr>
                            <w:rFonts w:ascii="宋体" w:hAnsi="宋体" w:cs="宋体" w:eastAsia="宋体" w:hint="default"/>
                            <w:sz w:val="18"/>
                            <w:szCs w:val="18"/>
                          </w:rPr>
                        </w:pPr>
                        <w:r>
                          <w:rPr>
                            <w:rFonts w:ascii="宋体"/>
                            <w:sz w:val="18"/>
                          </w:rPr>
                          <w:t>0.00</w:t>
                        </w:r>
                      </w:p>
                    </w:tc>
                    <w:tc>
                      <w:tcPr>
                        <w:tcW w:w="666" w:type="dxa"/>
                        <w:tcBorders>
                          <w:top w:val="single" w:sz="4" w:space="0" w:color="000000"/>
                          <w:left w:val="nil" w:sz="6" w:space="0" w:color="auto"/>
                          <w:bottom w:val="nil" w:sz="6" w:space="0" w:color="auto"/>
                          <w:right w:val="nil" w:sz="6" w:space="0" w:color="auto"/>
                        </w:tcBorders>
                      </w:tcPr>
                      <w:p>
                        <w:pPr/>
                      </w:p>
                    </w:tc>
                    <w:tc>
                      <w:tcPr>
                        <w:tcW w:w="2183" w:type="dxa"/>
                        <w:tcBorders>
                          <w:top w:val="single" w:sz="4" w:space="0" w:color="000000"/>
                          <w:left w:val="nil" w:sz="6" w:space="0" w:color="auto"/>
                          <w:bottom w:val="nil" w:sz="6" w:space="0" w:color="auto"/>
                          <w:right w:val="nil" w:sz="6" w:space="0" w:color="auto"/>
                        </w:tcBorders>
                      </w:tcPr>
                      <w:p>
                        <w:pPr>
                          <w:pStyle w:val="TableParagraph"/>
                          <w:spacing w:line="226" w:lineRule="exact"/>
                          <w:ind w:left="46" w:right="0"/>
                          <w:jc w:val="left"/>
                          <w:rPr>
                            <w:rFonts w:ascii="宋体" w:hAnsi="宋体" w:cs="宋体" w:eastAsia="宋体" w:hint="default"/>
                            <w:sz w:val="18"/>
                            <w:szCs w:val="18"/>
                          </w:rPr>
                        </w:pPr>
                        <w:r>
                          <w:rPr>
                            <w:rFonts w:ascii="宋体" w:hAnsi="宋体" w:cs="宋体" w:eastAsia="宋体" w:hint="default"/>
                            <w:sz w:val="18"/>
                            <w:szCs w:val="18"/>
                          </w:rPr>
                          <w:t>0.00</w:t>
                        </w:r>
                        <w:r>
                          <w:rPr>
                            <w:rFonts w:ascii="宋体" w:hAnsi="宋体" w:cs="宋体" w:eastAsia="宋体" w:hint="default"/>
                            <w:spacing w:val="-31"/>
                            <w:sz w:val="18"/>
                            <w:szCs w:val="18"/>
                          </w:rPr>
                          <w:t> </w:t>
                        </w:r>
                        <w:r>
                          <w:rPr>
                            <w:rFonts w:ascii="宋体" w:hAnsi="宋体" w:cs="宋体" w:eastAsia="宋体" w:hint="default"/>
                            <w:sz w:val="18"/>
                            <w:szCs w:val="18"/>
                          </w:rPr>
                          <w:t>B.O.T.项目委托贷款</w:t>
                        </w:r>
                      </w:p>
                    </w:tc>
                  </w:tr>
                  <w:tr>
                    <w:trPr>
                      <w:trHeight w:val="283"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32" w:lineRule="exact"/>
                          <w:ind w:right="32"/>
                          <w:jc w:val="right"/>
                          <w:rPr>
                            <w:rFonts w:ascii="宋体" w:hAnsi="宋体" w:cs="宋体" w:eastAsia="宋体" w:hint="default"/>
                            <w:sz w:val="18"/>
                            <w:szCs w:val="18"/>
                          </w:rPr>
                        </w:pPr>
                        <w:r>
                          <w:rPr>
                            <w:rFonts w:ascii="宋体"/>
                            <w:sz w:val="18"/>
                          </w:rPr>
                          <w:t>-100,000,000.00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sz w:val="18"/>
                          </w:rPr>
                          <w:t>0.00</w:t>
                        </w:r>
                      </w:p>
                    </w:tc>
                    <w:tc>
                      <w:tcPr>
                        <w:tcW w:w="757"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32" w:lineRule="exact"/>
                          <w:ind w:left="1" w:right="0"/>
                          <w:jc w:val="left"/>
                          <w:rPr>
                            <w:rFonts w:ascii="宋体" w:hAnsi="宋体" w:cs="宋体" w:eastAsia="宋体" w:hint="default"/>
                            <w:sz w:val="18"/>
                            <w:szCs w:val="18"/>
                          </w:rPr>
                        </w:pPr>
                        <w:r>
                          <w:rPr>
                            <w:rFonts w:ascii="宋体"/>
                            <w:sz w:val="18"/>
                          </w:rPr>
                          <w:t>0.00</w:t>
                        </w:r>
                      </w:p>
                    </w:tc>
                    <w:tc>
                      <w:tcPr>
                        <w:tcW w:w="666"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32" w:lineRule="exact"/>
                          <w:ind w:left="46" w:right="0"/>
                          <w:jc w:val="left"/>
                          <w:rPr>
                            <w:rFonts w:ascii="宋体" w:hAnsi="宋体" w:cs="宋体" w:eastAsia="宋体" w:hint="default"/>
                            <w:sz w:val="18"/>
                            <w:szCs w:val="18"/>
                          </w:rPr>
                        </w:pPr>
                        <w:r>
                          <w:rPr>
                            <w:rFonts w:ascii="宋体" w:hAnsi="宋体" w:cs="宋体" w:eastAsia="宋体" w:hint="default"/>
                            <w:sz w:val="18"/>
                            <w:szCs w:val="18"/>
                          </w:rPr>
                          <w:t>0.00</w:t>
                        </w:r>
                        <w:r>
                          <w:rPr>
                            <w:rFonts w:ascii="宋体" w:hAnsi="宋体" w:cs="宋体" w:eastAsia="宋体" w:hint="default"/>
                            <w:spacing w:val="-31"/>
                            <w:sz w:val="18"/>
                            <w:szCs w:val="18"/>
                          </w:rPr>
                          <w:t> </w:t>
                        </w:r>
                        <w:r>
                          <w:rPr>
                            <w:rFonts w:ascii="宋体" w:hAnsi="宋体" w:cs="宋体" w:eastAsia="宋体" w:hint="default"/>
                            <w:sz w:val="18"/>
                            <w:szCs w:val="18"/>
                          </w:rPr>
                          <w:t>B.O.T.项目拆借款</w:t>
                        </w:r>
                      </w:p>
                    </w:tc>
                  </w:tr>
                  <w:tr>
                    <w:trPr>
                      <w:trHeight w:val="254"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32" w:lineRule="exact"/>
                          <w:ind w:right="32"/>
                          <w:jc w:val="right"/>
                          <w:rPr>
                            <w:rFonts w:ascii="宋体" w:hAnsi="宋体" w:cs="宋体" w:eastAsia="宋体" w:hint="default"/>
                            <w:sz w:val="18"/>
                            <w:szCs w:val="18"/>
                          </w:rPr>
                        </w:pPr>
                        <w:r>
                          <w:rPr>
                            <w:rFonts w:ascii="宋体"/>
                            <w:sz w:val="18"/>
                          </w:rPr>
                          <w:t>-100,000,000.00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sz w:val="18"/>
                          </w:rPr>
                          <w:t>0.00</w:t>
                        </w:r>
                      </w:p>
                    </w:tc>
                    <w:tc>
                      <w:tcPr>
                        <w:tcW w:w="757"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32" w:lineRule="exact"/>
                          <w:ind w:left="1" w:right="0"/>
                          <w:jc w:val="left"/>
                          <w:rPr>
                            <w:rFonts w:ascii="宋体" w:hAnsi="宋体" w:cs="宋体" w:eastAsia="宋体" w:hint="default"/>
                            <w:sz w:val="18"/>
                            <w:szCs w:val="18"/>
                          </w:rPr>
                        </w:pPr>
                        <w:r>
                          <w:rPr>
                            <w:rFonts w:ascii="宋体"/>
                            <w:sz w:val="18"/>
                          </w:rPr>
                          <w:t>0.00</w:t>
                        </w:r>
                      </w:p>
                    </w:tc>
                    <w:tc>
                      <w:tcPr>
                        <w:tcW w:w="666"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32" w:lineRule="exact"/>
                          <w:ind w:left="46" w:right="0"/>
                          <w:jc w:val="left"/>
                          <w:rPr>
                            <w:rFonts w:ascii="宋体" w:hAnsi="宋体" w:cs="宋体" w:eastAsia="宋体" w:hint="default"/>
                            <w:sz w:val="18"/>
                            <w:szCs w:val="18"/>
                          </w:rPr>
                        </w:pPr>
                        <w:r>
                          <w:rPr>
                            <w:rFonts w:ascii="宋体" w:hAnsi="宋体" w:cs="宋体" w:eastAsia="宋体" w:hint="default"/>
                            <w:sz w:val="18"/>
                            <w:szCs w:val="18"/>
                          </w:rPr>
                          <w:t>0.00</w:t>
                        </w:r>
                        <w:r>
                          <w:rPr>
                            <w:rFonts w:ascii="宋体" w:hAnsi="宋体" w:cs="宋体" w:eastAsia="宋体" w:hint="default"/>
                            <w:spacing w:val="-31"/>
                            <w:sz w:val="18"/>
                            <w:szCs w:val="18"/>
                          </w:rPr>
                          <w:t> </w:t>
                        </w:r>
                        <w:r>
                          <w:rPr>
                            <w:rFonts w:ascii="宋体" w:hAnsi="宋体" w:cs="宋体" w:eastAsia="宋体" w:hint="default"/>
                            <w:sz w:val="18"/>
                            <w:szCs w:val="18"/>
                          </w:rPr>
                          <w:t>B.O.T.项目拆借款</w:t>
                        </w:r>
                      </w:p>
                    </w:tc>
                  </w:tr>
                </w:tbl>
                <w:p>
                  <w:pPr/>
                </w:p>
              </w:txbxContent>
            </v:textbox>
            <w10:wrap type="none"/>
          </v:shape>
        </w:pict>
      </w:r>
      <w:r>
        <w:rPr>
          <w:rFonts w:ascii="宋体" w:hAnsi="宋体" w:cs="宋体" w:eastAsia="宋体" w:hint="default"/>
          <w:b/>
          <w:bCs/>
          <w:w w:val="95"/>
          <w:sz w:val="18"/>
          <w:szCs w:val="18"/>
        </w:rPr>
        <w:t>向关联方提供资金</w:t>
        <w:tab/>
      </w:r>
      <w:r>
        <w:rPr>
          <w:rFonts w:ascii="宋体" w:hAnsi="宋体" w:cs="宋体" w:eastAsia="宋体" w:hint="default"/>
          <w:b/>
          <w:bCs/>
          <w:sz w:val="18"/>
          <w:szCs w:val="18"/>
        </w:rPr>
        <w:t>从关联方获取资金</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spacing w:line="168" w:lineRule="exact" w:before="44"/>
        <w:ind w:left="166" w:right="0" w:firstLine="0"/>
        <w:jc w:val="left"/>
        <w:rPr>
          <w:rFonts w:ascii="宋体" w:hAnsi="宋体" w:cs="宋体" w:eastAsia="宋体" w:hint="default"/>
          <w:sz w:val="18"/>
          <w:szCs w:val="18"/>
        </w:rPr>
      </w:pPr>
      <w:r>
        <w:rPr>
          <w:rFonts w:ascii="宋体" w:hAnsi="宋体" w:cs="宋体" w:eastAsia="宋体" w:hint="default"/>
          <w:sz w:val="18"/>
          <w:szCs w:val="18"/>
        </w:rPr>
        <w:t>哈尔滨平义龙江环保治水</w:t>
      </w:r>
    </w:p>
    <w:p>
      <w:pPr>
        <w:tabs>
          <w:tab w:pos="2827" w:val="left" w:leader="none"/>
          <w:tab w:pos="5056" w:val="left" w:leader="none"/>
          <w:tab w:pos="6387" w:val="left" w:leader="none"/>
          <w:tab w:pos="7717" w:val="left" w:leader="none"/>
        </w:tabs>
        <w:spacing w:line="268" w:lineRule="exact" w:before="0"/>
        <w:ind w:left="166" w:right="0" w:firstLine="0"/>
        <w:jc w:val="left"/>
        <w:rPr>
          <w:rFonts w:ascii="宋体" w:hAnsi="宋体" w:cs="宋体" w:eastAsia="宋体" w:hint="default"/>
          <w:sz w:val="18"/>
          <w:szCs w:val="18"/>
        </w:rPr>
      </w:pPr>
      <w:r>
        <w:rPr>
          <w:rFonts w:ascii="宋体" w:hAnsi="宋体" w:cs="宋体" w:eastAsia="宋体" w:hint="default"/>
          <w:position w:val="-9"/>
          <w:sz w:val="18"/>
          <w:szCs w:val="18"/>
        </w:rPr>
        <w:t>有限责任公司</w:t>
        <w:tab/>
      </w:r>
      <w:r>
        <w:rPr>
          <w:rFonts w:ascii="宋体" w:hAnsi="宋体" w:cs="宋体" w:eastAsia="宋体" w:hint="default"/>
          <w:sz w:val="18"/>
          <w:szCs w:val="18"/>
        </w:rPr>
        <w:t>-20,000,000.00</w:t>
        <w:tab/>
        <w:t>0.00</w:t>
        <w:tab/>
        <w:t>0.00</w:t>
        <w:tab/>
        <w:t>0.00</w:t>
      </w:r>
      <w:r>
        <w:rPr>
          <w:rFonts w:ascii="宋体" w:hAnsi="宋体" w:cs="宋体" w:eastAsia="宋体" w:hint="default"/>
          <w:spacing w:val="-31"/>
          <w:sz w:val="18"/>
          <w:szCs w:val="18"/>
        </w:rPr>
        <w:t> </w:t>
      </w:r>
      <w:r>
        <w:rPr>
          <w:rFonts w:ascii="宋体" w:hAnsi="宋体" w:cs="宋体" w:eastAsia="宋体" w:hint="default"/>
          <w:sz w:val="18"/>
          <w:szCs w:val="18"/>
        </w:rPr>
        <w:t>B.O.T.项目拆借款</w:t>
      </w:r>
    </w:p>
    <w:p>
      <w:pPr>
        <w:tabs>
          <w:tab w:pos="3727" w:val="left" w:leader="none"/>
          <w:tab w:pos="5056" w:val="left" w:leader="none"/>
        </w:tabs>
        <w:spacing w:before="5"/>
        <w:ind w:left="166" w:right="0"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0.00</w:t>
        <w:tab/>
        <w:t>0.00</w:t>
      </w:r>
      <w:r>
        <w:rPr>
          <w:rFonts w:ascii="宋体" w:hAnsi="宋体" w:cs="宋体" w:eastAsia="宋体" w:hint="default"/>
          <w:spacing w:val="-20"/>
          <w:sz w:val="18"/>
          <w:szCs w:val="18"/>
        </w:rPr>
        <w:t> </w:t>
      </w:r>
      <w:r>
        <w:rPr>
          <w:rFonts w:ascii="宋体" w:hAnsi="宋体" w:cs="宋体" w:eastAsia="宋体" w:hint="default"/>
          <w:sz w:val="18"/>
          <w:szCs w:val="18"/>
        </w:rPr>
        <w:t>205,951,987.49</w:t>
      </w:r>
      <w:r>
        <w:rPr>
          <w:rFonts w:ascii="宋体" w:hAnsi="宋体" w:cs="宋体" w:eastAsia="宋体" w:hint="default"/>
          <w:spacing w:val="-21"/>
          <w:sz w:val="18"/>
          <w:szCs w:val="18"/>
        </w:rPr>
        <w:t> </w:t>
      </w:r>
      <w:r>
        <w:rPr>
          <w:rFonts w:ascii="宋体" w:hAnsi="宋体" w:cs="宋体" w:eastAsia="宋体" w:hint="default"/>
          <w:sz w:val="18"/>
          <w:szCs w:val="18"/>
        </w:rPr>
        <w:t>205,951,987.49</w:t>
      </w:r>
      <w:r>
        <w:rPr>
          <w:rFonts w:ascii="宋体" w:hAnsi="宋体" w:cs="宋体" w:eastAsia="宋体" w:hint="default"/>
          <w:spacing w:val="-31"/>
          <w:sz w:val="18"/>
          <w:szCs w:val="18"/>
        </w:rPr>
        <w:t> </w:t>
      </w:r>
      <w:r>
        <w:rPr>
          <w:rFonts w:ascii="宋体" w:hAnsi="宋体" w:cs="宋体" w:eastAsia="宋体" w:hint="default"/>
          <w:sz w:val="18"/>
          <w:szCs w:val="18"/>
        </w:rPr>
        <w:t>B.O.T.项目委托贷款</w:t>
      </w:r>
    </w:p>
    <w:p>
      <w:pPr>
        <w:tabs>
          <w:tab w:pos="2726" w:val="left" w:leader="none"/>
        </w:tabs>
        <w:spacing w:before="47"/>
        <w:ind w:left="1280"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-227,492,033.50</w:t>
      </w:r>
      <w:r>
        <w:rPr>
          <w:rFonts w:ascii="宋体" w:hAnsi="宋体" w:cs="宋体" w:eastAsia="宋体" w:hint="default"/>
          <w:b/>
          <w:bCs/>
          <w:spacing w:val="-40"/>
          <w:sz w:val="18"/>
          <w:szCs w:val="18"/>
        </w:rPr>
        <w:t> </w:t>
      </w:r>
      <w:r>
        <w:rPr>
          <w:rFonts w:ascii="宋体" w:hAnsi="宋体" w:cs="宋体" w:eastAsia="宋体" w:hint="default"/>
          <w:b/>
          <w:bCs/>
          <w:sz w:val="18"/>
          <w:szCs w:val="18"/>
        </w:rPr>
        <w:t>162,277,320.00</w:t>
      </w:r>
      <w:r>
        <w:rPr>
          <w:rFonts w:ascii="宋体" w:hAnsi="宋体" w:cs="宋体" w:eastAsia="宋体" w:hint="default"/>
          <w:b/>
          <w:bCs/>
          <w:spacing w:val="-40"/>
          <w:sz w:val="18"/>
          <w:szCs w:val="18"/>
        </w:rPr>
        <w:t> </w:t>
      </w:r>
      <w:r>
        <w:rPr>
          <w:rFonts w:ascii="宋体" w:hAnsi="宋体" w:cs="宋体" w:eastAsia="宋体" w:hint="default"/>
          <w:b/>
          <w:bCs/>
          <w:sz w:val="18"/>
          <w:szCs w:val="18"/>
        </w:rPr>
        <w:t>205,951,987.49</w:t>
      </w:r>
      <w:r>
        <w:rPr>
          <w:rFonts w:ascii="宋体" w:hAnsi="宋体" w:cs="宋体" w:eastAsia="宋体" w:hint="default"/>
          <w:b/>
          <w:bCs/>
          <w:spacing w:val="-40"/>
          <w:sz w:val="18"/>
          <w:szCs w:val="18"/>
        </w:rPr>
        <w:t> </w:t>
      </w:r>
      <w:r>
        <w:rPr>
          <w:rFonts w:ascii="宋体" w:hAnsi="宋体" w:cs="宋体" w:eastAsia="宋体" w:hint="default"/>
          <w:b/>
          <w:bCs/>
          <w:sz w:val="18"/>
          <w:szCs w:val="18"/>
        </w:rPr>
        <w:t>205,951,987.49</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8.4pt;height:1.5pt;mso-position-horizontal-relative:char;mso-position-vertical-relative:line" coordorigin="0,0" coordsize="9768,30">
            <v:group style="position:absolute;left:15;top:15;width:2574;height:2" coordorigin="15,15" coordsize="2574,2">
              <v:shape style="position:absolute;left:15;top:15;width:2574;height:2" coordorigin="15,15" coordsize="2574,0" path="m15,15l2589,15e" filled="false" stroked="true" strokeweight="1.5pt" strokecolor="#000000">
                <v:path arrowok="t"/>
              </v:shape>
            </v:group>
            <v:group style="position:absolute;left:2575;top:15;width:1436;height:2" coordorigin="2575,15" coordsize="1436,2">
              <v:shape style="position:absolute;left:2575;top:15;width:1436;height:2" coordorigin="2575,15" coordsize="1436,0" path="m2575,15l4010,15e" filled="false" stroked="true" strokeweight="1.5pt" strokecolor="#000000">
                <v:path arrowok="t"/>
              </v:shape>
            </v:group>
            <v:group style="position:absolute;left:3995;top:15;width:1346;height:2" coordorigin="3995,15" coordsize="1346,2">
              <v:shape style="position:absolute;left:3995;top:15;width:1346;height:2" coordorigin="3995,15" coordsize="1346,0" path="m3995,15l5341,15e" filled="false" stroked="true" strokeweight="1.5pt" strokecolor="#000000">
                <v:path arrowok="t"/>
              </v:shape>
            </v:group>
            <v:group style="position:absolute;left:5326;top:15;width:1344;height:2" coordorigin="5326,15" coordsize="1344,2">
              <v:shape style="position:absolute;left:5326;top:15;width:1344;height:2" coordorigin="5326,15" coordsize="1344,0" path="m5326,15l6670,15e" filled="false" stroked="true" strokeweight="1.5pt" strokecolor="#000000">
                <v:path arrowok="t"/>
              </v:shape>
            </v:group>
            <v:group style="position:absolute;left:6656;top:15;width:1344;height:2" coordorigin="6656,15" coordsize="1344,2">
              <v:shape style="position:absolute;left:6656;top:15;width:1344;height:2" coordorigin="6656,15" coordsize="1344,0" path="m6656,15l8000,15e" filled="false" stroked="true" strokeweight="1.5pt" strokecolor="#000000">
                <v:path arrowok="t"/>
              </v:shape>
            </v:group>
            <v:group style="position:absolute;left:7985;top:15;width:1768;height:2" coordorigin="7985,15" coordsize="1768,2">
              <v:shape style="position:absolute;left:7985;top:15;width:1768;height:2" coordorigin="7985,15" coordsize="1768,0" path="m7985,15l9753,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tbl>
      <w:tblPr>
        <w:tblW w:w="0" w:type="auto"/>
        <w:jc w:val="left"/>
        <w:tblInd w:w="675" w:type="dxa"/>
        <w:tblLayout w:type="fixed"/>
        <w:tblCellMar>
          <w:top w:w="0" w:type="dxa"/>
          <w:left w:w="0" w:type="dxa"/>
          <w:bottom w:w="0" w:type="dxa"/>
          <w:right w:w="0" w:type="dxa"/>
        </w:tblCellMar>
        <w:tblLook w:val="01E0"/>
      </w:tblPr>
      <w:tblGrid>
        <w:gridCol w:w="4245"/>
        <w:gridCol w:w="2983"/>
        <w:gridCol w:w="1412"/>
      </w:tblGrid>
      <w:tr>
        <w:trPr>
          <w:trHeight w:val="966" w:hRule="exact"/>
        </w:trPr>
        <w:tc>
          <w:tcPr>
            <w:tcW w:w="4245" w:type="dxa"/>
            <w:tcBorders>
              <w:top w:val="nil" w:sz="6" w:space="0" w:color="auto"/>
              <w:left w:val="nil" w:sz="6" w:space="0" w:color="auto"/>
              <w:bottom w:val="single" w:sz="12" w:space="0" w:color="000000"/>
              <w:right w:val="nil" w:sz="6" w:space="0" w:color="auto"/>
            </w:tcBorders>
          </w:tcPr>
          <w:p>
            <w:pPr>
              <w:pStyle w:val="TableParagraph"/>
              <w:spacing w:line="369" w:lineRule="auto" w:before="31"/>
              <w:ind w:left="162" w:right="2067"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三</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40"/>
                <w:sz w:val="22"/>
                <w:szCs w:val="22"/>
              </w:rPr>
              <w:t> </w:t>
            </w:r>
            <w:r>
              <w:rPr>
                <w:rFonts w:ascii="宋体" w:hAnsi="宋体" w:cs="宋体" w:eastAsia="宋体" w:hint="default"/>
                <w:b/>
                <w:bCs/>
                <w:sz w:val="22"/>
                <w:szCs w:val="22"/>
              </w:rPr>
              <w:t>关联方往来余额</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pacing w:val="21"/>
                <w:sz w:val="22"/>
                <w:szCs w:val="22"/>
              </w:rPr>
              <w:t> </w:t>
            </w:r>
            <w:r>
              <w:rPr>
                <w:rFonts w:ascii="宋体" w:hAnsi="宋体" w:cs="宋体" w:eastAsia="宋体" w:hint="default"/>
                <w:sz w:val="22"/>
                <w:szCs w:val="22"/>
              </w:rPr>
              <w:t>关联方应收账款</w:t>
            </w:r>
          </w:p>
        </w:tc>
        <w:tc>
          <w:tcPr>
            <w:tcW w:w="4395"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24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98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0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1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565" w:hRule="exact"/>
        </w:trPr>
        <w:tc>
          <w:tcPr>
            <w:tcW w:w="4245" w:type="dxa"/>
            <w:tcBorders>
              <w:top w:val="single" w:sz="4" w:space="0" w:color="000000"/>
              <w:left w:val="nil" w:sz="6" w:space="0" w:color="auto"/>
              <w:bottom w:val="nil" w:sz="6" w:space="0" w:color="auto"/>
              <w:right w:val="nil" w:sz="6" w:space="0" w:color="auto"/>
            </w:tcBorders>
          </w:tcPr>
          <w:p>
            <w:pPr>
              <w:pStyle w:val="TableParagraph"/>
              <w:spacing w:line="288" w:lineRule="auto"/>
              <w:ind w:left="108" w:right="2330"/>
              <w:jc w:val="left"/>
              <w:rPr>
                <w:rFonts w:ascii="宋体" w:hAnsi="宋体" w:cs="宋体" w:eastAsia="宋体" w:hint="default"/>
                <w:sz w:val="18"/>
                <w:szCs w:val="18"/>
              </w:rPr>
            </w:pPr>
            <w:r>
              <w:rPr>
                <w:rFonts w:ascii="宋体" w:hAnsi="宋体" w:cs="宋体" w:eastAsia="宋体" w:hint="default"/>
                <w:b/>
                <w:bCs/>
                <w:w w:val="95"/>
                <w:sz w:val="18"/>
                <w:szCs w:val="18"/>
              </w:rPr>
              <w:t>母公司及最终控制方：</w:t>
            </w:r>
            <w:r>
              <w:rPr>
                <w:rFonts w:ascii="宋体" w:hAnsi="宋体" w:cs="宋体" w:eastAsia="宋体" w:hint="default"/>
                <w:b/>
                <w:bCs/>
                <w:spacing w:val="-2"/>
                <w:w w:val="95"/>
                <w:sz w:val="18"/>
                <w:szCs w:val="18"/>
              </w:rPr>
              <w:t> </w:t>
            </w:r>
            <w:r>
              <w:rPr>
                <w:rFonts w:ascii="宋体" w:hAnsi="宋体" w:cs="宋体" w:eastAsia="宋体" w:hint="default"/>
                <w:b/>
                <w:bCs/>
                <w:spacing w:val="-2"/>
                <w:w w:val="95"/>
                <w:sz w:val="18"/>
                <w:szCs w:val="18"/>
              </w:rPr>
            </w:r>
            <w:r>
              <w:rPr>
                <w:rFonts w:ascii="宋体" w:hAnsi="宋体" w:cs="宋体" w:eastAsia="宋体" w:hint="default"/>
                <w:sz w:val="18"/>
                <w:szCs w:val="18"/>
              </w:rPr>
              <w:t>清华大学</w:t>
            </w:r>
          </w:p>
        </w:tc>
        <w:tc>
          <w:tcPr>
            <w:tcW w:w="298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672" w:right="0"/>
              <w:jc w:val="left"/>
              <w:rPr>
                <w:rFonts w:ascii="宋体" w:hAnsi="宋体" w:cs="宋体" w:eastAsia="宋体" w:hint="default"/>
                <w:sz w:val="18"/>
                <w:szCs w:val="18"/>
              </w:rPr>
            </w:pPr>
            <w:r>
              <w:rPr>
                <w:rFonts w:ascii="宋体"/>
                <w:sz w:val="18"/>
              </w:rPr>
              <w:t>2,950,032.93</w:t>
            </w: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31" w:right="0"/>
              <w:jc w:val="left"/>
              <w:rPr>
                <w:rFonts w:ascii="宋体" w:hAnsi="宋体" w:cs="宋体" w:eastAsia="宋体" w:hint="default"/>
                <w:sz w:val="18"/>
                <w:szCs w:val="18"/>
              </w:rPr>
            </w:pPr>
            <w:r>
              <w:rPr>
                <w:rFonts w:ascii="宋体"/>
                <w:sz w:val="18"/>
              </w:rPr>
              <w:t>4,421,308.06</w:t>
            </w:r>
          </w:p>
        </w:tc>
      </w:tr>
      <w:tr>
        <w:trPr>
          <w:trHeight w:val="304" w:hRule="exact"/>
        </w:trPr>
        <w:tc>
          <w:tcPr>
            <w:tcW w:w="4245"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2983" w:type="dxa"/>
            <w:tcBorders>
              <w:top w:val="nil" w:sz="6" w:space="0" w:color="auto"/>
              <w:left w:val="nil" w:sz="6" w:space="0" w:color="auto"/>
              <w:bottom w:val="single" w:sz="12" w:space="0" w:color="000000"/>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
        </w:tc>
      </w:tr>
    </w:tbl>
    <w:p>
      <w:pPr>
        <w:spacing w:after="0"/>
        <w:sectPr>
          <w:type w:val="continuous"/>
          <w:pgSz w:w="11910" w:h="16840"/>
          <w:pgMar w:top="1600" w:bottom="280" w:left="1020" w:right="900"/>
        </w:sectPr>
      </w:pPr>
    </w:p>
    <w:p>
      <w:pPr>
        <w:spacing w:line="240" w:lineRule="auto" w:before="4"/>
        <w:rPr>
          <w:rFonts w:ascii="Times New Roman" w:hAnsi="Times New Roman" w:cs="Times New Roman" w:eastAsia="Times New Roman" w:hint="default"/>
          <w:sz w:val="5"/>
          <w:szCs w:val="5"/>
        </w:rPr>
      </w:pPr>
    </w:p>
    <w:tbl>
      <w:tblPr>
        <w:tblW w:w="0" w:type="auto"/>
        <w:jc w:val="left"/>
        <w:tblInd w:w="415" w:type="dxa"/>
        <w:tblLayout w:type="fixed"/>
        <w:tblCellMar>
          <w:top w:w="0" w:type="dxa"/>
          <w:left w:w="0" w:type="dxa"/>
          <w:bottom w:w="0" w:type="dxa"/>
          <w:right w:w="0" w:type="dxa"/>
        </w:tblCellMar>
        <w:tblLook w:val="01E0"/>
      </w:tblPr>
      <w:tblGrid>
        <w:gridCol w:w="4493"/>
        <w:gridCol w:w="2686"/>
        <w:gridCol w:w="1461"/>
      </w:tblGrid>
      <w:tr>
        <w:trPr>
          <w:trHeight w:val="282" w:hRule="exact"/>
        </w:trPr>
        <w:tc>
          <w:tcPr>
            <w:tcW w:w="4493"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启迪（江西）发展有限公司</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26" w:lineRule="exact"/>
              <w:ind w:right="179"/>
              <w:jc w:val="right"/>
              <w:rPr>
                <w:rFonts w:ascii="宋体" w:hAnsi="宋体" w:cs="宋体" w:eastAsia="宋体" w:hint="default"/>
                <w:sz w:val="18"/>
                <w:szCs w:val="18"/>
              </w:rPr>
            </w:pPr>
            <w:r>
              <w:rPr>
                <w:rFonts w:ascii="宋体"/>
                <w:sz w:val="18"/>
              </w:rPr>
              <w:t>10,000.00</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0.00</w:t>
            </w:r>
          </w:p>
        </w:tc>
      </w:tr>
      <w:tr>
        <w:trPr>
          <w:trHeight w:val="849"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88" w:lineRule="auto"/>
              <w:ind w:left="108" w:right="1502"/>
              <w:jc w:val="left"/>
              <w:rPr>
                <w:rFonts w:ascii="宋体" w:hAnsi="宋体" w:cs="宋体" w:eastAsia="宋体" w:hint="default"/>
                <w:sz w:val="18"/>
                <w:szCs w:val="18"/>
              </w:rPr>
            </w:pPr>
            <w:r>
              <w:rPr>
                <w:rFonts w:ascii="宋体" w:hAnsi="宋体" w:cs="宋体" w:eastAsia="宋体" w:hint="default"/>
                <w:sz w:val="18"/>
                <w:szCs w:val="18"/>
              </w:rPr>
              <w:t>北京清华紫光天越科技发展有限公司 </w:t>
            </w:r>
            <w:r>
              <w:rPr>
                <w:rFonts w:ascii="宋体" w:hAnsi="宋体" w:cs="宋体" w:eastAsia="宋体" w:hint="default"/>
                <w:b/>
                <w:bCs/>
                <w:sz w:val="18"/>
                <w:szCs w:val="18"/>
              </w:rPr>
              <w:t>合营企业及联营企业：</w:t>
            </w:r>
            <w:r>
              <w:rPr>
                <w:rFonts w:ascii="宋体" w:hAnsi="宋体" w:cs="宋体" w:eastAsia="宋体" w:hint="default"/>
                <w:b/>
                <w:bCs/>
                <w:w w:val="99"/>
                <w:sz w:val="18"/>
                <w:szCs w:val="18"/>
              </w:rPr>
              <w:t> </w:t>
            </w:r>
            <w:r>
              <w:rPr>
                <w:rFonts w:ascii="宋体" w:hAnsi="宋体" w:cs="宋体" w:eastAsia="宋体" w:hint="default"/>
                <w:sz w:val="18"/>
                <w:szCs w:val="18"/>
              </w:rPr>
              <w:t>北京同方易豪科技有限公司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79"/>
              <w:jc w:val="right"/>
              <w:rPr>
                <w:rFonts w:ascii="宋体" w:hAnsi="宋体" w:cs="宋体" w:eastAsia="宋体" w:hint="default"/>
                <w:sz w:val="18"/>
                <w:szCs w:val="18"/>
              </w:rPr>
            </w:pPr>
            <w:r>
              <w:rPr>
                <w:rFonts w:ascii="宋体"/>
                <w:sz w:val="18"/>
              </w:rPr>
              <w:t>141,625.20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left="539" w:right="0"/>
              <w:jc w:val="center"/>
              <w:rPr>
                <w:rFonts w:ascii="宋体" w:hAnsi="宋体" w:cs="宋体" w:eastAsia="宋体" w:hint="default"/>
                <w:sz w:val="18"/>
                <w:szCs w:val="18"/>
              </w:rPr>
            </w:pPr>
            <w:r>
              <w:rPr>
                <w:rFonts w:ascii="宋体"/>
                <w:sz w:val="18"/>
              </w:rPr>
              <w:t>3,600.00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359" w:right="0"/>
              <w:jc w:val="center"/>
              <w:rPr>
                <w:rFonts w:ascii="宋体" w:hAnsi="宋体" w:cs="宋体" w:eastAsia="宋体" w:hint="default"/>
                <w:sz w:val="18"/>
                <w:szCs w:val="18"/>
              </w:rPr>
            </w:pPr>
            <w:r>
              <w:rPr>
                <w:rFonts w:ascii="宋体"/>
                <w:sz w:val="18"/>
              </w:rPr>
              <w:t>210,596.00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90,107.50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90,107.50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6,814,929.95</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7,899,767.95</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5,480,896.00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5,480,896.00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179"/>
              <w:jc w:val="right"/>
              <w:rPr>
                <w:rFonts w:ascii="宋体" w:hAnsi="宋体" w:cs="宋体" w:eastAsia="宋体" w:hint="default"/>
                <w:sz w:val="18"/>
                <w:szCs w:val="18"/>
              </w:rPr>
            </w:pPr>
            <w:r>
              <w:rPr>
                <w:rFonts w:ascii="宋体"/>
                <w:sz w:val="18"/>
              </w:rPr>
              <w:t>14,952,976.53</w:t>
            </w:r>
          </w:p>
        </w:tc>
        <w:tc>
          <w:tcPr>
            <w:tcW w:w="146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3,359,323.60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5,379,606.10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4,304,405.30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37,089,560.00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451,500.02</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1,468,856.00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4,397,033.33</w:t>
            </w:r>
          </w:p>
        </w:tc>
      </w:tr>
      <w:tr>
        <w:trPr>
          <w:trHeight w:val="290"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768,952.82</w:t>
            </w:r>
          </w:p>
        </w:tc>
      </w:tr>
      <w:tr>
        <w:trPr>
          <w:trHeight w:val="307"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宋体" w:hAnsi="宋体" w:cs="宋体" w:eastAsia="宋体" w:hint="default"/>
                <w:sz w:val="18"/>
                <w:szCs w:val="18"/>
              </w:rPr>
            </w:pPr>
            <w:r>
              <w:rPr>
                <w:rFonts w:ascii="宋体"/>
                <w:sz w:val="18"/>
              </w:rPr>
              <w:t>0.00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宋体" w:hAnsi="宋体" w:cs="宋体" w:eastAsia="宋体" w:hint="default"/>
                <w:sz w:val="18"/>
                <w:szCs w:val="18"/>
              </w:rPr>
            </w:pPr>
            <w:r>
              <w:rPr>
                <w:rFonts w:ascii="宋体"/>
                <w:sz w:val="18"/>
              </w:rPr>
              <w:t>79,000.00</w:t>
            </w:r>
          </w:p>
        </w:tc>
      </w:tr>
      <w:tr>
        <w:trPr>
          <w:trHeight w:val="305"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9"/>
              <w:jc w:val="right"/>
              <w:rPr>
                <w:rFonts w:ascii="宋体" w:hAnsi="宋体" w:cs="宋体" w:eastAsia="宋体" w:hint="default"/>
                <w:sz w:val="18"/>
                <w:szCs w:val="18"/>
              </w:rPr>
            </w:pPr>
            <w:r>
              <w:rPr>
                <w:rFonts w:ascii="宋体"/>
                <w:sz w:val="18"/>
              </w:rPr>
              <w:t>0.00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宋体" w:hAnsi="宋体" w:cs="宋体" w:eastAsia="宋体" w:hint="default"/>
                <w:sz w:val="18"/>
                <w:szCs w:val="18"/>
              </w:rPr>
            </w:pPr>
            <w:r>
              <w:rPr>
                <w:rFonts w:ascii="宋体"/>
                <w:sz w:val="18"/>
              </w:rPr>
              <w:t>2,600.00</w:t>
            </w:r>
          </w:p>
        </w:tc>
      </w:tr>
      <w:tr>
        <w:trPr>
          <w:trHeight w:val="581" w:hRule="exact"/>
        </w:trPr>
        <w:tc>
          <w:tcPr>
            <w:tcW w:w="4493" w:type="dxa"/>
            <w:tcBorders>
              <w:top w:val="nil" w:sz="6" w:space="0" w:color="auto"/>
              <w:left w:val="nil" w:sz="6" w:space="0" w:color="auto"/>
              <w:bottom w:val="single" w:sz="4" w:space="0" w:color="000000"/>
              <w:right w:val="nil" w:sz="6" w:space="0" w:color="auto"/>
            </w:tcBorders>
          </w:tcPr>
          <w:p>
            <w:pPr>
              <w:pStyle w:val="TableParagraph"/>
              <w:spacing w:line="288" w:lineRule="auto"/>
              <w:ind w:left="107" w:right="2222"/>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b/>
                <w:bCs/>
                <w:spacing w:val="1"/>
                <w:w w:val="99"/>
                <w:sz w:val="18"/>
                <w:szCs w:val="18"/>
              </w:rPr>
              <w:t> </w:t>
            </w:r>
            <w:r>
              <w:rPr>
                <w:rFonts w:ascii="宋体" w:hAnsi="宋体" w:cs="宋体" w:eastAsia="宋体" w:hint="default"/>
                <w:sz w:val="18"/>
                <w:szCs w:val="18"/>
              </w:rPr>
              <w:t>北京同方洁净技术有限公司</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79"/>
              <w:jc w:val="right"/>
              <w:rPr>
                <w:rFonts w:ascii="宋体" w:hAnsi="宋体" w:cs="宋体" w:eastAsia="宋体" w:hint="default"/>
                <w:sz w:val="18"/>
                <w:szCs w:val="18"/>
              </w:rPr>
            </w:pPr>
            <w:r>
              <w:rPr>
                <w:rFonts w:ascii="宋体"/>
                <w:sz w:val="18"/>
              </w:rPr>
              <w:t>22,507,317.51</w:t>
            </w:r>
          </w:p>
        </w:tc>
        <w:tc>
          <w:tcPr>
            <w:tcW w:w="146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28,145,326.29</w:t>
            </w:r>
          </w:p>
        </w:tc>
      </w:tr>
      <w:tr>
        <w:trPr>
          <w:trHeight w:val="303" w:hRule="exact"/>
        </w:trPr>
        <w:tc>
          <w:tcPr>
            <w:tcW w:w="449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78"/>
              <w:jc w:val="right"/>
              <w:rPr>
                <w:rFonts w:ascii="宋体" w:hAnsi="宋体" w:cs="宋体" w:eastAsia="宋体" w:hint="default"/>
                <w:sz w:val="18"/>
                <w:szCs w:val="18"/>
              </w:rPr>
            </w:pPr>
            <w:r>
              <w:rPr>
                <w:rFonts w:ascii="宋体"/>
                <w:b/>
                <w:w w:val="95"/>
                <w:sz w:val="18"/>
              </w:rPr>
              <w:t>96,885,907.72</w:t>
            </w:r>
            <w:r>
              <w:rPr>
                <w:rFonts w:ascii="宋体"/>
                <w:sz w:val="18"/>
              </w:rPr>
            </w:r>
          </w:p>
        </w:tc>
        <w:tc>
          <w:tcPr>
            <w:tcW w:w="146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59,614,416.87</w:t>
            </w:r>
            <w:r>
              <w:rPr>
                <w:rFonts w:ascii="宋体"/>
                <w:sz w:val="18"/>
              </w:rPr>
            </w:r>
          </w:p>
        </w:tc>
      </w:tr>
      <w:tr>
        <w:trPr>
          <w:trHeight w:val="576" w:hRule="exact"/>
        </w:trPr>
        <w:tc>
          <w:tcPr>
            <w:tcW w:w="4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1"/>
                <w:sz w:val="22"/>
                <w:szCs w:val="22"/>
              </w:rPr>
              <w:t> </w:t>
            </w:r>
            <w:r>
              <w:rPr>
                <w:rFonts w:ascii="宋体" w:hAnsi="宋体" w:cs="宋体" w:eastAsia="宋体" w:hint="default"/>
                <w:sz w:val="22"/>
                <w:szCs w:val="22"/>
              </w:rPr>
              <w:t>关联方其他应收款</w:t>
            </w:r>
          </w:p>
        </w:tc>
        <w:tc>
          <w:tcPr>
            <w:tcW w:w="2686" w:type="dxa"/>
            <w:tcBorders>
              <w:top w:val="single" w:sz="12" w:space="0" w:color="000000"/>
              <w:left w:val="nil" w:sz="6" w:space="0" w:color="auto"/>
              <w:bottom w:val="single" w:sz="12" w:space="0" w:color="000000"/>
              <w:right w:val="nil" w:sz="6" w:space="0" w:color="auto"/>
            </w:tcBorders>
          </w:tcPr>
          <w:p>
            <w:pPr/>
          </w:p>
        </w:tc>
        <w:tc>
          <w:tcPr>
            <w:tcW w:w="146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49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7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6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9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565" w:hRule="exact"/>
        </w:trPr>
        <w:tc>
          <w:tcPr>
            <w:tcW w:w="4493" w:type="dxa"/>
            <w:tcBorders>
              <w:top w:val="single" w:sz="4" w:space="0" w:color="000000"/>
              <w:left w:val="nil" w:sz="6" w:space="0" w:color="auto"/>
              <w:bottom w:val="nil" w:sz="6" w:space="0" w:color="auto"/>
              <w:right w:val="nil" w:sz="6" w:space="0" w:color="auto"/>
            </w:tcBorders>
          </w:tcPr>
          <w:p>
            <w:pPr>
              <w:pStyle w:val="TableParagraph"/>
              <w:spacing w:line="288" w:lineRule="auto"/>
              <w:ind w:left="108" w:right="2578"/>
              <w:jc w:val="left"/>
              <w:rPr>
                <w:rFonts w:ascii="宋体" w:hAnsi="宋体" w:cs="宋体" w:eastAsia="宋体" w:hint="default"/>
                <w:sz w:val="18"/>
                <w:szCs w:val="18"/>
              </w:rPr>
            </w:pPr>
            <w:r>
              <w:rPr>
                <w:rFonts w:ascii="宋体" w:hAnsi="宋体" w:cs="宋体" w:eastAsia="宋体" w:hint="default"/>
                <w:b/>
                <w:bCs/>
                <w:w w:val="95"/>
                <w:sz w:val="18"/>
                <w:szCs w:val="18"/>
              </w:rPr>
              <w:t>母公司及最终控制方：</w:t>
            </w:r>
            <w:r>
              <w:rPr>
                <w:rFonts w:ascii="宋体" w:hAnsi="宋体" w:cs="宋体" w:eastAsia="宋体" w:hint="default"/>
                <w:b/>
                <w:bCs/>
                <w:spacing w:val="-2"/>
                <w:w w:val="95"/>
                <w:sz w:val="18"/>
                <w:szCs w:val="18"/>
              </w:rPr>
              <w:t> </w:t>
            </w:r>
            <w:r>
              <w:rPr>
                <w:rFonts w:ascii="宋体" w:hAnsi="宋体" w:cs="宋体" w:eastAsia="宋体" w:hint="default"/>
                <w:b/>
                <w:bCs/>
                <w:spacing w:val="-2"/>
                <w:w w:val="95"/>
                <w:sz w:val="18"/>
                <w:szCs w:val="18"/>
              </w:rPr>
            </w:r>
            <w:r>
              <w:rPr>
                <w:rFonts w:ascii="宋体" w:hAnsi="宋体" w:cs="宋体" w:eastAsia="宋体" w:hint="default"/>
                <w:sz w:val="18"/>
                <w:szCs w:val="18"/>
              </w:rPr>
              <w:t>清华大学</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86"/>
              <w:jc w:val="right"/>
              <w:rPr>
                <w:rFonts w:ascii="宋体" w:hAnsi="宋体" w:cs="宋体" w:eastAsia="宋体" w:hint="default"/>
                <w:sz w:val="18"/>
                <w:szCs w:val="18"/>
              </w:rPr>
            </w:pPr>
            <w:r>
              <w:rPr>
                <w:rFonts w:ascii="宋体"/>
                <w:sz w:val="18"/>
              </w:rPr>
              <w:t>12,500.00</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1,615.17</w:t>
            </w:r>
          </w:p>
        </w:tc>
      </w:tr>
      <w:tr>
        <w:trPr>
          <w:trHeight w:val="566"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88" w:lineRule="auto"/>
              <w:ind w:left="108" w:right="1853"/>
              <w:jc w:val="left"/>
              <w:rPr>
                <w:rFonts w:ascii="宋体" w:hAnsi="宋体" w:cs="宋体" w:eastAsia="宋体" w:hint="default"/>
                <w:sz w:val="18"/>
                <w:szCs w:val="18"/>
              </w:rPr>
            </w:pPr>
            <w:r>
              <w:rPr>
                <w:rFonts w:ascii="宋体" w:hAnsi="宋体" w:cs="宋体" w:eastAsia="宋体" w:hint="default"/>
                <w:b/>
                <w:bCs/>
                <w:w w:val="95"/>
                <w:sz w:val="18"/>
                <w:szCs w:val="18"/>
              </w:rPr>
              <w:t>受同一母公司控制的其他企业：</w:t>
            </w:r>
            <w:r>
              <w:rPr>
                <w:rFonts w:ascii="宋体" w:hAnsi="宋体" w:cs="宋体" w:eastAsia="宋体" w:hint="default"/>
                <w:b/>
                <w:bCs/>
                <w:spacing w:val="32"/>
                <w:w w:val="95"/>
                <w:sz w:val="18"/>
                <w:szCs w:val="18"/>
              </w:rPr>
              <w:t> </w:t>
            </w:r>
            <w:r>
              <w:rPr>
                <w:rFonts w:ascii="宋体" w:hAnsi="宋体" w:cs="宋体" w:eastAsia="宋体" w:hint="default"/>
                <w:b/>
                <w:bCs/>
                <w:spacing w:val="32"/>
                <w:w w:val="95"/>
                <w:sz w:val="18"/>
                <w:szCs w:val="18"/>
              </w:rPr>
            </w:r>
            <w:r>
              <w:rPr>
                <w:rFonts w:ascii="宋体" w:hAnsi="宋体" w:cs="宋体" w:eastAsia="宋体" w:hint="default"/>
                <w:sz w:val="18"/>
                <w:szCs w:val="18"/>
              </w:rPr>
              <w:t>北京华清物业管理有限责任公司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86"/>
              <w:jc w:val="right"/>
              <w:rPr>
                <w:rFonts w:ascii="宋体" w:hAnsi="宋体" w:cs="宋体" w:eastAsia="宋体" w:hint="default"/>
                <w:sz w:val="18"/>
                <w:szCs w:val="18"/>
              </w:rPr>
            </w:pPr>
            <w:r>
              <w:rPr>
                <w:rFonts w:ascii="宋体"/>
                <w:sz w:val="18"/>
              </w:rPr>
              <w:t>126,316.84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126,316.84</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北京宇信电子有限公司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240.00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5,068.45</w:t>
            </w:r>
          </w:p>
        </w:tc>
      </w:tr>
      <w:tr>
        <w:trPr>
          <w:trHeight w:val="849"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88" w:lineRule="auto"/>
              <w:ind w:left="108" w:right="2222"/>
              <w:jc w:val="left"/>
              <w:rPr>
                <w:rFonts w:ascii="宋体" w:hAnsi="宋体" w:cs="宋体" w:eastAsia="宋体" w:hint="default"/>
                <w:sz w:val="18"/>
                <w:szCs w:val="18"/>
              </w:rPr>
            </w:pPr>
            <w:r>
              <w:rPr>
                <w:rFonts w:ascii="宋体" w:hAnsi="宋体" w:cs="宋体" w:eastAsia="宋体" w:hint="default"/>
                <w:sz w:val="18"/>
                <w:szCs w:val="18"/>
              </w:rPr>
              <w:t>诚志股份有限公司 </w:t>
            </w:r>
            <w:r>
              <w:rPr>
                <w:rFonts w:ascii="宋体" w:hAnsi="宋体" w:cs="宋体" w:eastAsia="宋体" w:hint="default"/>
                <w:b/>
                <w:bCs/>
                <w:sz w:val="18"/>
                <w:szCs w:val="18"/>
              </w:rPr>
              <w:t>合营企业及联营企业：</w:t>
            </w:r>
            <w:r>
              <w:rPr>
                <w:rFonts w:ascii="宋体" w:hAnsi="宋体" w:cs="宋体" w:eastAsia="宋体" w:hint="default"/>
                <w:b/>
                <w:bCs/>
                <w:w w:val="99"/>
                <w:sz w:val="18"/>
                <w:szCs w:val="18"/>
              </w:rPr>
              <w:t> </w:t>
            </w:r>
            <w:r>
              <w:rPr>
                <w:rFonts w:ascii="宋体" w:hAnsi="宋体" w:cs="宋体" w:eastAsia="宋体" w:hint="default"/>
                <w:sz w:val="18"/>
                <w:szCs w:val="18"/>
              </w:rPr>
              <w:t>北京同方神火科技有限公司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186"/>
              <w:jc w:val="right"/>
              <w:rPr>
                <w:rFonts w:ascii="宋体" w:hAnsi="宋体" w:cs="宋体" w:eastAsia="宋体" w:hint="default"/>
                <w:sz w:val="18"/>
                <w:szCs w:val="18"/>
              </w:rPr>
            </w:pPr>
            <w:r>
              <w:rPr>
                <w:rFonts w:ascii="宋体"/>
                <w:sz w:val="18"/>
              </w:rPr>
              <w:t>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86"/>
              <w:jc w:val="right"/>
              <w:rPr>
                <w:rFonts w:ascii="宋体" w:hAnsi="宋体" w:cs="宋体" w:eastAsia="宋体" w:hint="default"/>
                <w:sz w:val="18"/>
                <w:szCs w:val="18"/>
              </w:rPr>
            </w:pPr>
            <w:r>
              <w:rPr>
                <w:rFonts w:ascii="宋体"/>
                <w:sz w:val="18"/>
              </w:rPr>
              <w:t>1,800.00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1" w:lineRule="exact"/>
              <w:ind w:left="640" w:right="0"/>
              <w:jc w:val="left"/>
              <w:rPr>
                <w:rFonts w:ascii="宋体" w:hAnsi="宋体" w:cs="宋体" w:eastAsia="宋体" w:hint="default"/>
                <w:sz w:val="18"/>
                <w:szCs w:val="18"/>
              </w:rPr>
            </w:pPr>
            <w:r>
              <w:rPr>
                <w:rFonts w:ascii="宋体"/>
                <w:sz w:val="18"/>
              </w:rPr>
              <w:t>4,665.60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640" w:right="0"/>
              <w:jc w:val="left"/>
              <w:rPr>
                <w:rFonts w:ascii="宋体" w:hAnsi="宋体" w:cs="宋体" w:eastAsia="宋体" w:hint="default"/>
                <w:sz w:val="18"/>
                <w:szCs w:val="18"/>
              </w:rPr>
            </w:pPr>
            <w:r>
              <w:rPr>
                <w:rFonts w:ascii="宋体"/>
                <w:sz w:val="18"/>
              </w:rPr>
              <w:t>1,800.00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5,030,751.80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3,028,865.88</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4,923,566.22</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7,000,000.00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17,852,097.57</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17,847,689.40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186"/>
              <w:jc w:val="right"/>
              <w:rPr>
                <w:rFonts w:ascii="宋体" w:hAnsi="宋体" w:cs="宋体" w:eastAsia="宋体" w:hint="default"/>
                <w:sz w:val="18"/>
                <w:szCs w:val="18"/>
              </w:rPr>
            </w:pPr>
            <w:r>
              <w:rPr>
                <w:rFonts w:ascii="宋体"/>
                <w:sz w:val="18"/>
              </w:rPr>
              <w:t>6,000,763.50</w:t>
            </w:r>
          </w:p>
        </w:tc>
        <w:tc>
          <w:tcPr>
            <w:tcW w:w="146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10,000,763.50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2,555,297.91</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6,114,790.73</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1,798,833.07</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1,000,000.00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277,993.38</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634,820.88</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78,730.54</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63,282.98</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186"/>
              <w:jc w:val="right"/>
              <w:rPr>
                <w:rFonts w:ascii="宋体" w:hAnsi="宋体" w:cs="宋体" w:eastAsia="宋体" w:hint="default"/>
                <w:sz w:val="18"/>
                <w:szCs w:val="18"/>
              </w:rPr>
            </w:pPr>
            <w:r>
              <w:rPr>
                <w:rFonts w:ascii="宋体"/>
                <w:sz w:val="18"/>
              </w:rPr>
              <w:t>66,566,000.00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5,000,000.00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1,079,205.66</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651,824.23</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1,599.29</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867.12</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46,776.97</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12,284.63</w:t>
            </w:r>
          </w:p>
        </w:tc>
      </w:tr>
      <w:tr>
        <w:trPr>
          <w:trHeight w:val="283" w:hRule="exact"/>
        </w:trPr>
        <w:tc>
          <w:tcPr>
            <w:tcW w:w="449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50,000.00</w:t>
            </w:r>
          </w:p>
        </w:tc>
        <w:tc>
          <w:tcPr>
            <w:tcW w:w="14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4493" w:type="dxa"/>
            <w:tcBorders>
              <w:top w:val="nil" w:sz="6" w:space="0" w:color="auto"/>
              <w:left w:val="nil" w:sz="6" w:space="0" w:color="auto"/>
              <w:bottom w:val="single" w:sz="12"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686" w:type="dxa"/>
            <w:tcBorders>
              <w:top w:val="nil" w:sz="6" w:space="0" w:color="auto"/>
              <w:left w:val="nil" w:sz="6" w:space="0" w:color="auto"/>
              <w:bottom w:val="single" w:sz="12" w:space="0" w:color="000000"/>
              <w:right w:val="nil" w:sz="6" w:space="0" w:color="auto"/>
            </w:tcBorders>
          </w:tcPr>
          <w:p>
            <w:pPr>
              <w:pStyle w:val="TableParagraph"/>
              <w:spacing w:line="231" w:lineRule="exact"/>
              <w:ind w:right="186"/>
              <w:jc w:val="right"/>
              <w:rPr>
                <w:rFonts w:ascii="宋体" w:hAnsi="宋体" w:cs="宋体" w:eastAsia="宋体" w:hint="default"/>
                <w:sz w:val="18"/>
                <w:szCs w:val="18"/>
              </w:rPr>
            </w:pPr>
            <w:r>
              <w:rPr>
                <w:rFonts w:ascii="宋体"/>
                <w:sz w:val="18"/>
              </w:rPr>
              <w:t>0.00</w:t>
            </w:r>
          </w:p>
        </w:tc>
        <w:tc>
          <w:tcPr>
            <w:tcW w:w="1461" w:type="dxa"/>
            <w:tcBorders>
              <w:top w:val="nil" w:sz="6" w:space="0" w:color="auto"/>
              <w:left w:val="nil" w:sz="6" w:space="0" w:color="auto"/>
              <w:bottom w:val="single" w:sz="12"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23,893,489.80</w:t>
            </w:r>
          </w:p>
        </w:tc>
      </w:tr>
    </w:tbl>
    <w:p>
      <w:pPr>
        <w:spacing w:after="0" w:line="231" w:lineRule="exact"/>
        <w:jc w:val="right"/>
        <w:rPr>
          <w:rFonts w:ascii="宋体" w:hAnsi="宋体" w:cs="宋体" w:eastAsia="宋体" w:hint="default"/>
          <w:sz w:val="18"/>
          <w:szCs w:val="18"/>
        </w:rPr>
        <w:sectPr>
          <w:headerReference w:type="default" r:id="rId44"/>
          <w:pgSz w:w="11910" w:h="16840"/>
          <w:pgMar w:header="610" w:footer="784" w:top="1940" w:bottom="980" w:left="1280" w:right="1140"/>
        </w:sectPr>
      </w:pPr>
    </w:p>
    <w:p>
      <w:pPr>
        <w:spacing w:line="240" w:lineRule="auto" w:before="4"/>
        <w:rPr>
          <w:rFonts w:ascii="Times New Roman" w:hAnsi="Times New Roman" w:cs="Times New Roman" w:eastAsia="Times New Roman" w:hint="default"/>
          <w:sz w:val="5"/>
          <w:szCs w:val="5"/>
        </w:rPr>
      </w:pPr>
    </w:p>
    <w:tbl>
      <w:tblPr>
        <w:tblW w:w="0" w:type="auto"/>
        <w:jc w:val="left"/>
        <w:tblInd w:w="415" w:type="dxa"/>
        <w:tblLayout w:type="fixed"/>
        <w:tblCellMar>
          <w:top w:w="0" w:type="dxa"/>
          <w:left w:w="0" w:type="dxa"/>
          <w:bottom w:w="0" w:type="dxa"/>
          <w:right w:w="0" w:type="dxa"/>
        </w:tblCellMar>
        <w:tblLook w:val="01E0"/>
      </w:tblPr>
      <w:tblGrid>
        <w:gridCol w:w="4130"/>
        <w:gridCol w:w="2915"/>
        <w:gridCol w:w="1595"/>
      </w:tblGrid>
      <w:tr>
        <w:trPr>
          <w:trHeight w:val="848" w:hRule="exact"/>
        </w:trPr>
        <w:tc>
          <w:tcPr>
            <w:tcW w:w="4130" w:type="dxa"/>
            <w:tcBorders>
              <w:top w:val="single" w:sz="4" w:space="0" w:color="000000"/>
              <w:left w:val="nil" w:sz="6" w:space="0" w:color="auto"/>
              <w:bottom w:val="nil" w:sz="6" w:space="0" w:color="auto"/>
              <w:right w:val="nil" w:sz="6" w:space="0" w:color="auto"/>
            </w:tcBorders>
          </w:tcPr>
          <w:p>
            <w:pPr>
              <w:pStyle w:val="TableParagraph"/>
              <w:spacing w:line="288" w:lineRule="auto"/>
              <w:ind w:left="108" w:right="1860"/>
              <w:jc w:val="left"/>
              <w:rPr>
                <w:rFonts w:ascii="宋体" w:hAnsi="宋体" w:cs="宋体" w:eastAsia="宋体" w:hint="default"/>
                <w:sz w:val="18"/>
                <w:szCs w:val="18"/>
              </w:rPr>
            </w:pPr>
            <w:r>
              <w:rPr>
                <w:rFonts w:ascii="宋体" w:hAnsi="宋体" w:cs="宋体" w:eastAsia="宋体" w:hint="default"/>
                <w:sz w:val="18"/>
                <w:szCs w:val="18"/>
              </w:rPr>
              <w:t>北京同方创信科技有限公司 </w:t>
            </w:r>
            <w:r>
              <w:rPr>
                <w:rFonts w:ascii="宋体" w:hAnsi="宋体" w:cs="宋体" w:eastAsia="宋体" w:hint="default"/>
                <w:b/>
                <w:bCs/>
                <w:sz w:val="18"/>
                <w:szCs w:val="18"/>
              </w:rPr>
              <w:t>其他关联关系方：</w:t>
            </w:r>
            <w:r>
              <w:rPr>
                <w:rFonts w:ascii="宋体" w:hAnsi="宋体" w:cs="宋体" w:eastAsia="宋体" w:hint="default"/>
                <w:b/>
                <w:bCs/>
                <w:spacing w:val="1"/>
                <w:w w:val="99"/>
                <w:sz w:val="18"/>
                <w:szCs w:val="18"/>
              </w:rPr>
              <w:t> </w:t>
            </w:r>
            <w:r>
              <w:rPr>
                <w:rFonts w:ascii="宋体" w:hAnsi="宋体" w:cs="宋体" w:eastAsia="宋体" w:hint="default"/>
                <w:sz w:val="18"/>
                <w:szCs w:val="18"/>
              </w:rPr>
              <w:t>北京同方洁净技术有限公司</w:t>
            </w:r>
          </w:p>
        </w:tc>
        <w:tc>
          <w:tcPr>
            <w:tcW w:w="2915" w:type="dxa"/>
            <w:tcBorders>
              <w:top w:val="single" w:sz="4" w:space="0" w:color="000000"/>
              <w:left w:val="nil" w:sz="6" w:space="0" w:color="auto"/>
              <w:bottom w:val="nil" w:sz="6" w:space="0" w:color="auto"/>
              <w:right w:val="nil" w:sz="6" w:space="0" w:color="auto"/>
            </w:tcBorders>
          </w:tcPr>
          <w:p>
            <w:pPr>
              <w:pStyle w:val="TableParagraph"/>
              <w:spacing w:line="226" w:lineRule="exact"/>
              <w:ind w:right="53"/>
              <w:jc w:val="right"/>
              <w:rPr>
                <w:rFonts w:ascii="宋体" w:hAnsi="宋体" w:cs="宋体" w:eastAsia="宋体" w:hint="default"/>
                <w:sz w:val="18"/>
                <w:szCs w:val="18"/>
              </w:rPr>
            </w:pPr>
            <w:r>
              <w:rPr>
                <w:rFonts w:ascii="宋体"/>
                <w:sz w:val="18"/>
              </w:rPr>
              <w:t>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53"/>
              <w:jc w:val="right"/>
              <w:rPr>
                <w:rFonts w:ascii="宋体" w:hAnsi="宋体" w:cs="宋体" w:eastAsia="宋体" w:hint="default"/>
                <w:sz w:val="18"/>
                <w:szCs w:val="18"/>
              </w:rPr>
            </w:pPr>
            <w:r>
              <w:rPr>
                <w:rFonts w:ascii="宋体"/>
                <w:sz w:val="18"/>
              </w:rPr>
              <w:t>178,573.60</w:t>
            </w:r>
          </w:p>
        </w:tc>
        <w:tc>
          <w:tcPr>
            <w:tcW w:w="1595" w:type="dxa"/>
            <w:tcBorders>
              <w:top w:val="single" w:sz="4" w:space="0" w:color="000000"/>
              <w:left w:val="nil" w:sz="6" w:space="0" w:color="auto"/>
              <w:bottom w:val="nil" w:sz="6" w:space="0" w:color="auto"/>
              <w:right w:val="nil" w:sz="6" w:space="0" w:color="auto"/>
            </w:tcBorders>
          </w:tcPr>
          <w:p>
            <w:pPr>
              <w:pStyle w:val="TableParagraph"/>
              <w:spacing w:line="226" w:lineRule="exact"/>
              <w:ind w:left="683" w:right="0"/>
              <w:jc w:val="left"/>
              <w:rPr>
                <w:rFonts w:ascii="宋体" w:hAnsi="宋体" w:cs="宋体" w:eastAsia="宋体" w:hint="default"/>
                <w:sz w:val="18"/>
                <w:szCs w:val="18"/>
              </w:rPr>
            </w:pPr>
            <w:r>
              <w:rPr>
                <w:rFonts w:ascii="宋体"/>
                <w:sz w:val="18"/>
              </w:rPr>
              <w:t>50,775.02</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413" w:right="0"/>
              <w:jc w:val="left"/>
              <w:rPr>
                <w:rFonts w:ascii="宋体" w:hAnsi="宋体" w:cs="宋体" w:eastAsia="宋体" w:hint="default"/>
                <w:sz w:val="18"/>
                <w:szCs w:val="18"/>
              </w:rPr>
            </w:pPr>
            <w:r>
              <w:rPr>
                <w:rFonts w:ascii="宋体"/>
                <w:sz w:val="18"/>
              </w:rPr>
              <w:t>8,571,691.71</w:t>
            </w:r>
          </w:p>
        </w:tc>
      </w:tr>
      <w:tr>
        <w:trPr>
          <w:trHeight w:val="294" w:hRule="exact"/>
        </w:trPr>
        <w:tc>
          <w:tcPr>
            <w:tcW w:w="413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915" w:type="dxa"/>
            <w:tcBorders>
              <w:top w:val="nil" w:sz="6" w:space="0" w:color="auto"/>
              <w:left w:val="nil" w:sz="6" w:space="0" w:color="auto"/>
              <w:bottom w:val="single" w:sz="4" w:space="0" w:color="000000"/>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18,289,968.43</w:t>
            </w:r>
          </w:p>
        </w:tc>
      </w:tr>
      <w:tr>
        <w:trPr>
          <w:trHeight w:val="303" w:hRule="exact"/>
        </w:trPr>
        <w:tc>
          <w:tcPr>
            <w:tcW w:w="413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4"/>
              <w:jc w:val="right"/>
              <w:rPr>
                <w:rFonts w:ascii="宋体" w:hAnsi="宋体" w:cs="宋体" w:eastAsia="宋体" w:hint="default"/>
                <w:sz w:val="18"/>
                <w:szCs w:val="18"/>
              </w:rPr>
            </w:pPr>
            <w:r>
              <w:rPr>
                <w:rFonts w:ascii="宋体"/>
                <w:b/>
                <w:w w:val="95"/>
                <w:sz w:val="18"/>
              </w:rPr>
              <w:t>112,581,046.35</w:t>
            </w:r>
            <w:r>
              <w:rPr>
                <w:rFonts w:ascii="宋体"/>
                <w:sz w:val="18"/>
              </w:rPr>
            </w:r>
          </w:p>
        </w:tc>
        <w:tc>
          <w:tcPr>
            <w:tcW w:w="159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96,300,580.37</w:t>
            </w:r>
            <w:r>
              <w:rPr>
                <w:rFonts w:ascii="宋体"/>
                <w:sz w:val="18"/>
              </w:rPr>
            </w:r>
          </w:p>
        </w:tc>
      </w:tr>
      <w:tr>
        <w:trPr>
          <w:trHeight w:val="576" w:hRule="exact"/>
        </w:trPr>
        <w:tc>
          <w:tcPr>
            <w:tcW w:w="41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3"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1"/>
                <w:sz w:val="22"/>
                <w:szCs w:val="22"/>
              </w:rPr>
              <w:t> </w:t>
            </w:r>
            <w:r>
              <w:rPr>
                <w:rFonts w:ascii="宋体" w:hAnsi="宋体" w:cs="宋体" w:eastAsia="宋体" w:hint="default"/>
                <w:sz w:val="22"/>
                <w:szCs w:val="22"/>
              </w:rPr>
              <w:t>关联方预付款项</w:t>
            </w:r>
          </w:p>
        </w:tc>
        <w:tc>
          <w:tcPr>
            <w:tcW w:w="2915" w:type="dxa"/>
            <w:tcBorders>
              <w:top w:val="single" w:sz="12" w:space="0" w:color="000000"/>
              <w:left w:val="nil" w:sz="6" w:space="0" w:color="auto"/>
              <w:bottom w:val="single" w:sz="12" w:space="0" w:color="000000"/>
              <w:right w:val="nil" w:sz="6" w:space="0" w:color="auto"/>
            </w:tcBorders>
          </w:tcPr>
          <w:p>
            <w:pPr/>
          </w:p>
        </w:tc>
        <w:tc>
          <w:tcPr>
            <w:tcW w:w="1595"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9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5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13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915"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319" w:right="0"/>
              <w:jc w:val="left"/>
              <w:rPr>
                <w:rFonts w:ascii="宋体" w:hAnsi="宋体" w:cs="宋体" w:eastAsia="宋体" w:hint="default"/>
                <w:sz w:val="18"/>
                <w:szCs w:val="18"/>
              </w:rPr>
            </w:pPr>
            <w:r>
              <w:rPr>
                <w:rFonts w:ascii="宋体"/>
                <w:sz w:val="18"/>
              </w:rPr>
              <w:t>2,880,886.12</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3,295,481.69</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2915"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105,000.00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915"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1" w:lineRule="exact"/>
              <w:ind w:left="1319" w:right="0"/>
              <w:jc w:val="left"/>
              <w:rPr>
                <w:rFonts w:ascii="宋体" w:hAnsi="宋体" w:cs="宋体" w:eastAsia="宋体" w:hint="default"/>
                <w:sz w:val="18"/>
                <w:szCs w:val="18"/>
              </w:rPr>
            </w:pPr>
            <w:r>
              <w:rPr>
                <w:rFonts w:ascii="宋体"/>
                <w:sz w:val="18"/>
              </w:rPr>
              <w:t>7,255,165.00</w:t>
            </w:r>
          </w:p>
        </w:tc>
        <w:tc>
          <w:tcPr>
            <w:tcW w:w="1595"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319" w:right="0"/>
              <w:jc w:val="left"/>
              <w:rPr>
                <w:rFonts w:ascii="宋体" w:hAnsi="宋体" w:cs="宋体" w:eastAsia="宋体" w:hint="default"/>
                <w:sz w:val="18"/>
                <w:szCs w:val="18"/>
              </w:rPr>
            </w:pPr>
            <w:r>
              <w:rPr>
                <w:rFonts w:ascii="宋体"/>
                <w:sz w:val="18"/>
              </w:rPr>
              <w:t>2,202,279.17</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3,933,150.00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499" w:right="0"/>
              <w:jc w:val="left"/>
              <w:rPr>
                <w:rFonts w:ascii="宋体" w:hAnsi="宋体" w:cs="宋体" w:eastAsia="宋体" w:hint="default"/>
                <w:sz w:val="18"/>
                <w:szCs w:val="18"/>
              </w:rPr>
            </w:pPr>
            <w:r>
              <w:rPr>
                <w:rFonts w:ascii="宋体"/>
                <w:sz w:val="18"/>
              </w:rPr>
              <w:t>150,000.00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6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229" w:right="0"/>
              <w:jc w:val="left"/>
              <w:rPr>
                <w:rFonts w:ascii="宋体" w:hAnsi="宋体" w:cs="宋体" w:eastAsia="宋体" w:hint="default"/>
                <w:sz w:val="18"/>
                <w:szCs w:val="18"/>
              </w:rPr>
            </w:pPr>
            <w:r>
              <w:rPr>
                <w:rFonts w:ascii="宋体"/>
                <w:sz w:val="18"/>
              </w:rPr>
              <w:t>22,487,054.13</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2,454,000.00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11"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424,755.98</w:t>
            </w:r>
          </w:p>
        </w:tc>
      </w:tr>
      <w:tr>
        <w:trPr>
          <w:trHeight w:val="30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11"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392,061.58</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915"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294" w:hRule="exact"/>
        </w:trPr>
        <w:tc>
          <w:tcPr>
            <w:tcW w:w="413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915" w:type="dxa"/>
            <w:tcBorders>
              <w:top w:val="nil" w:sz="6" w:space="0" w:color="auto"/>
              <w:left w:val="nil" w:sz="6" w:space="0" w:color="auto"/>
              <w:bottom w:val="single" w:sz="4" w:space="0" w:color="000000"/>
              <w:right w:val="nil" w:sz="6" w:space="0" w:color="auto"/>
            </w:tcBorders>
          </w:tcPr>
          <w:p>
            <w:pPr>
              <w:pStyle w:val="TableParagraph"/>
              <w:spacing w:line="232" w:lineRule="exact"/>
              <w:ind w:left="1319" w:right="0"/>
              <w:jc w:val="left"/>
              <w:rPr>
                <w:rFonts w:ascii="宋体" w:hAnsi="宋体" w:cs="宋体" w:eastAsia="宋体" w:hint="default"/>
                <w:sz w:val="18"/>
                <w:szCs w:val="18"/>
              </w:rPr>
            </w:pPr>
            <w:r>
              <w:rPr>
                <w:rFonts w:ascii="宋体"/>
                <w:sz w:val="18"/>
              </w:rPr>
              <w:t>4,351,973.09</w:t>
            </w:r>
          </w:p>
        </w:tc>
        <w:tc>
          <w:tcPr>
            <w:tcW w:w="1595"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303" w:hRule="exact"/>
        </w:trPr>
        <w:tc>
          <w:tcPr>
            <w:tcW w:w="4130"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5"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1220" w:right="0"/>
              <w:jc w:val="left"/>
              <w:rPr>
                <w:rFonts w:ascii="宋体" w:hAnsi="宋体" w:cs="宋体" w:eastAsia="宋体" w:hint="default"/>
                <w:sz w:val="18"/>
                <w:szCs w:val="18"/>
              </w:rPr>
            </w:pPr>
            <w:r>
              <w:rPr>
                <w:rFonts w:ascii="宋体"/>
                <w:b/>
                <w:sz w:val="18"/>
              </w:rPr>
              <w:t>39,327,357.51</w:t>
            </w:r>
            <w:r>
              <w:rPr>
                <w:rFonts w:ascii="宋体"/>
                <w:sz w:val="18"/>
              </w:rPr>
            </w:r>
          </w:p>
        </w:tc>
        <w:tc>
          <w:tcPr>
            <w:tcW w:w="1595"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99"/>
              <w:jc w:val="right"/>
              <w:rPr>
                <w:rFonts w:ascii="宋体" w:hAnsi="宋体" w:cs="宋体" w:eastAsia="宋体" w:hint="default"/>
                <w:sz w:val="18"/>
                <w:szCs w:val="18"/>
              </w:rPr>
            </w:pPr>
            <w:r>
              <w:rPr>
                <w:rFonts w:ascii="宋体"/>
                <w:b/>
                <w:w w:val="95"/>
                <w:sz w:val="18"/>
              </w:rPr>
              <w:t>10,604,449.25</w:t>
            </w:r>
            <w:r>
              <w:rPr>
                <w:rFonts w:ascii="宋体"/>
                <w:sz w:val="18"/>
              </w:rPr>
            </w:r>
          </w:p>
        </w:tc>
      </w:tr>
      <w:tr>
        <w:trPr>
          <w:trHeight w:val="576" w:hRule="exact"/>
        </w:trPr>
        <w:tc>
          <w:tcPr>
            <w:tcW w:w="41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3"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1"/>
                <w:sz w:val="22"/>
                <w:szCs w:val="22"/>
              </w:rPr>
              <w:t> </w:t>
            </w:r>
            <w:r>
              <w:rPr>
                <w:rFonts w:ascii="宋体" w:hAnsi="宋体" w:cs="宋体" w:eastAsia="宋体" w:hint="default"/>
                <w:sz w:val="22"/>
                <w:szCs w:val="22"/>
              </w:rPr>
              <w:t>关联方应付账款</w:t>
            </w:r>
          </w:p>
        </w:tc>
        <w:tc>
          <w:tcPr>
            <w:tcW w:w="2915" w:type="dxa"/>
            <w:tcBorders>
              <w:top w:val="single" w:sz="12" w:space="0" w:color="000000"/>
              <w:left w:val="nil" w:sz="6" w:space="0" w:color="auto"/>
              <w:bottom w:val="single" w:sz="12" w:space="0" w:color="000000"/>
              <w:right w:val="nil" w:sz="6" w:space="0" w:color="auto"/>
            </w:tcBorders>
          </w:tcPr>
          <w:p>
            <w:pPr/>
          </w:p>
        </w:tc>
        <w:tc>
          <w:tcPr>
            <w:tcW w:w="1595"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9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5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13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915"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139" w:right="0"/>
              <w:jc w:val="left"/>
              <w:rPr>
                <w:rFonts w:ascii="宋体" w:hAnsi="宋体" w:cs="宋体" w:eastAsia="宋体" w:hint="default"/>
                <w:sz w:val="18"/>
                <w:szCs w:val="18"/>
              </w:rPr>
            </w:pPr>
            <w:r>
              <w:rPr>
                <w:rFonts w:ascii="宋体"/>
                <w:sz w:val="18"/>
              </w:rPr>
              <w:t>370,500,087.13</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403,852,636.94</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2915"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499" w:right="0"/>
              <w:jc w:val="left"/>
              <w:rPr>
                <w:rFonts w:ascii="宋体" w:hAnsi="宋体" w:cs="宋体" w:eastAsia="宋体" w:hint="default"/>
                <w:sz w:val="18"/>
                <w:szCs w:val="18"/>
              </w:rPr>
            </w:pPr>
            <w:r>
              <w:rPr>
                <w:rFonts w:ascii="宋体"/>
                <w:sz w:val="18"/>
              </w:rPr>
              <w:t>540,000.00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540,000.00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1,442,586.27</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915"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1" w:lineRule="exact"/>
              <w:ind w:left="1589" w:right="0"/>
              <w:jc w:val="left"/>
              <w:rPr>
                <w:rFonts w:ascii="宋体" w:hAnsi="宋体" w:cs="宋体" w:eastAsia="宋体" w:hint="default"/>
                <w:sz w:val="18"/>
                <w:szCs w:val="18"/>
              </w:rPr>
            </w:pPr>
            <w:r>
              <w:rPr>
                <w:rFonts w:ascii="宋体"/>
                <w:sz w:val="18"/>
              </w:rPr>
              <w:t>26,770.00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26,770.00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589" w:right="0"/>
              <w:jc w:val="left"/>
              <w:rPr>
                <w:rFonts w:ascii="宋体" w:hAnsi="宋体" w:cs="宋体" w:eastAsia="宋体" w:hint="default"/>
                <w:sz w:val="18"/>
                <w:szCs w:val="18"/>
              </w:rPr>
            </w:pPr>
            <w:r>
              <w:rPr>
                <w:rFonts w:ascii="宋体"/>
                <w:sz w:val="18"/>
              </w:rPr>
              <w:t>57,564.93</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1,045,864.93</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319" w:right="0"/>
              <w:jc w:val="left"/>
              <w:rPr>
                <w:rFonts w:ascii="宋体" w:hAnsi="宋体" w:cs="宋体" w:eastAsia="宋体" w:hint="default"/>
                <w:sz w:val="18"/>
                <w:szCs w:val="18"/>
              </w:rPr>
            </w:pPr>
            <w:r>
              <w:rPr>
                <w:rFonts w:ascii="宋体"/>
                <w:sz w:val="18"/>
              </w:rPr>
              <w:t>3,000,000.00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3,076,671.62</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319" w:right="0"/>
              <w:jc w:val="left"/>
              <w:rPr>
                <w:rFonts w:ascii="宋体" w:hAnsi="宋体" w:cs="宋体" w:eastAsia="宋体" w:hint="default"/>
                <w:sz w:val="18"/>
                <w:szCs w:val="18"/>
              </w:rPr>
            </w:pPr>
            <w:r>
              <w:rPr>
                <w:rFonts w:ascii="宋体"/>
                <w:sz w:val="18"/>
              </w:rPr>
              <w:t>1,930,399.83</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1,930,399.83</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500" w:right="0"/>
              <w:jc w:val="left"/>
              <w:rPr>
                <w:rFonts w:ascii="宋体" w:hAnsi="宋体" w:cs="宋体" w:eastAsia="宋体" w:hint="default"/>
                <w:sz w:val="18"/>
                <w:szCs w:val="18"/>
              </w:rPr>
            </w:pPr>
            <w:r>
              <w:rPr>
                <w:rFonts w:ascii="宋体"/>
                <w:sz w:val="18"/>
              </w:rPr>
              <w:t>196,117.08</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left="1229" w:right="0"/>
              <w:jc w:val="left"/>
              <w:rPr>
                <w:rFonts w:ascii="宋体" w:hAnsi="宋体" w:cs="宋体" w:eastAsia="宋体" w:hint="default"/>
                <w:sz w:val="18"/>
                <w:szCs w:val="18"/>
              </w:rPr>
            </w:pPr>
            <w:r>
              <w:rPr>
                <w:rFonts w:ascii="宋体"/>
                <w:sz w:val="18"/>
              </w:rPr>
              <w:t>56,806,312.30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1" w:lineRule="exact"/>
              <w:ind w:left="1319" w:right="0"/>
              <w:jc w:val="left"/>
              <w:rPr>
                <w:rFonts w:ascii="宋体" w:hAnsi="宋体" w:cs="宋体" w:eastAsia="宋体" w:hint="default"/>
                <w:sz w:val="18"/>
                <w:szCs w:val="18"/>
              </w:rPr>
            </w:pPr>
            <w:r>
              <w:rPr>
                <w:rFonts w:ascii="宋体"/>
                <w:sz w:val="18"/>
              </w:rPr>
              <w:t>1,520,000.00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1,322,575.98</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672,755.18</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鸡西龙江环保治水有限公司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66,600.00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250,000.00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61,952.40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915" w:type="dxa"/>
            <w:tcBorders>
              <w:top w:val="nil" w:sz="6" w:space="0" w:color="auto"/>
              <w:left w:val="nil" w:sz="6" w:space="0" w:color="auto"/>
              <w:bottom w:val="nil" w:sz="6" w:space="0" w:color="auto"/>
              <w:right w:val="nil" w:sz="6" w:space="0" w:color="auto"/>
            </w:tcBorders>
          </w:tcPr>
          <w:p>
            <w:pPr>
              <w:pStyle w:val="TableParagraph"/>
              <w:spacing w:line="231" w:lineRule="exact"/>
              <w:ind w:right="512"/>
              <w:jc w:val="right"/>
              <w:rPr>
                <w:rFonts w:ascii="宋体" w:hAnsi="宋体" w:cs="宋体" w:eastAsia="宋体" w:hint="default"/>
                <w:sz w:val="18"/>
                <w:szCs w:val="18"/>
              </w:rPr>
            </w:pPr>
            <w:r>
              <w:rPr>
                <w:rFonts w:ascii="宋体"/>
                <w:sz w:val="18"/>
              </w:rPr>
              <w:t>0.00</w:t>
            </w:r>
          </w:p>
        </w:tc>
        <w:tc>
          <w:tcPr>
            <w:tcW w:w="1595"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4,674,000.00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915"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305" w:hRule="exact"/>
        </w:trPr>
        <w:tc>
          <w:tcPr>
            <w:tcW w:w="4130"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915" w:type="dxa"/>
            <w:tcBorders>
              <w:top w:val="nil" w:sz="6" w:space="0" w:color="auto"/>
              <w:left w:val="nil" w:sz="6" w:space="0" w:color="auto"/>
              <w:bottom w:val="single" w:sz="12" w:space="0" w:color="000000"/>
              <w:right w:val="nil" w:sz="6" w:space="0" w:color="auto"/>
            </w:tcBorders>
          </w:tcPr>
          <w:p>
            <w:pPr>
              <w:pStyle w:val="TableParagraph"/>
              <w:spacing w:line="232" w:lineRule="exact"/>
              <w:ind w:left="1589" w:right="0"/>
              <w:jc w:val="left"/>
              <w:rPr>
                <w:rFonts w:ascii="宋体" w:hAnsi="宋体" w:cs="宋体" w:eastAsia="宋体" w:hint="default"/>
                <w:sz w:val="18"/>
                <w:szCs w:val="18"/>
              </w:rPr>
            </w:pPr>
            <w:r>
              <w:rPr>
                <w:rFonts w:ascii="宋体"/>
                <w:sz w:val="18"/>
              </w:rPr>
              <w:t>65,016.00</w:t>
            </w:r>
          </w:p>
        </w:tc>
        <w:tc>
          <w:tcPr>
            <w:tcW w:w="1595" w:type="dxa"/>
            <w:tcBorders>
              <w:top w:val="nil" w:sz="6" w:space="0" w:color="auto"/>
              <w:left w:val="nil" w:sz="6" w:space="0" w:color="auto"/>
              <w:bottom w:val="single" w:sz="12"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65,016.00</w:t>
            </w:r>
          </w:p>
        </w:tc>
      </w:tr>
    </w:tbl>
    <w:p>
      <w:pPr>
        <w:spacing w:after="0" w:line="232" w:lineRule="exact"/>
        <w:jc w:val="right"/>
        <w:rPr>
          <w:rFonts w:ascii="宋体" w:hAnsi="宋体" w:cs="宋体" w:eastAsia="宋体" w:hint="default"/>
          <w:sz w:val="18"/>
          <w:szCs w:val="18"/>
        </w:rPr>
        <w:sectPr>
          <w:pgSz w:w="11910" w:h="16840"/>
          <w:pgMar w:header="610" w:footer="784" w:top="194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415" w:type="dxa"/>
        <w:tblLayout w:type="fixed"/>
        <w:tblCellMar>
          <w:top w:w="0" w:type="dxa"/>
          <w:left w:w="0" w:type="dxa"/>
          <w:bottom w:w="0" w:type="dxa"/>
          <w:right w:w="0" w:type="dxa"/>
        </w:tblCellMar>
        <w:tblLook w:val="01E0"/>
      </w:tblPr>
      <w:tblGrid>
        <w:gridCol w:w="4130"/>
        <w:gridCol w:w="2686"/>
        <w:gridCol w:w="1824"/>
      </w:tblGrid>
      <w:tr>
        <w:trPr>
          <w:trHeight w:val="302" w:hRule="exact"/>
        </w:trPr>
        <w:tc>
          <w:tcPr>
            <w:tcW w:w="41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13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26" w:lineRule="exact"/>
              <w:ind w:right="283"/>
              <w:jc w:val="right"/>
              <w:rPr>
                <w:rFonts w:ascii="宋体" w:hAnsi="宋体" w:cs="宋体" w:eastAsia="宋体" w:hint="default"/>
                <w:sz w:val="18"/>
                <w:szCs w:val="18"/>
              </w:rPr>
            </w:pPr>
            <w:r>
              <w:rPr>
                <w:rFonts w:ascii="宋体"/>
                <w:sz w:val="18"/>
              </w:rPr>
              <w:t>112,044.80</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0.00</w:t>
            </w:r>
          </w:p>
        </w:tc>
      </w:tr>
      <w:tr>
        <w:trPr>
          <w:trHeight w:val="294" w:hRule="exact"/>
        </w:trPr>
        <w:tc>
          <w:tcPr>
            <w:tcW w:w="413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3,455,965.33</w:t>
            </w:r>
          </w:p>
        </w:tc>
      </w:tr>
      <w:tr>
        <w:trPr>
          <w:trHeight w:val="303" w:hRule="exact"/>
        </w:trPr>
        <w:tc>
          <w:tcPr>
            <w:tcW w:w="413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85"/>
              <w:jc w:val="right"/>
              <w:rPr>
                <w:rFonts w:ascii="宋体" w:hAnsi="宋体" w:cs="宋体" w:eastAsia="宋体" w:hint="default"/>
                <w:sz w:val="18"/>
                <w:szCs w:val="18"/>
              </w:rPr>
            </w:pPr>
            <w:r>
              <w:rPr>
                <w:rFonts w:ascii="宋体"/>
                <w:b/>
                <w:w w:val="95"/>
                <w:sz w:val="18"/>
              </w:rPr>
              <w:t>434,754,312.07</w:t>
            </w:r>
            <w:r>
              <w:rPr>
                <w:rFonts w:ascii="宋体"/>
                <w:sz w:val="18"/>
              </w:rPr>
            </w: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b/>
                <w:w w:val="95"/>
                <w:sz w:val="18"/>
              </w:rPr>
              <w:t>422,483,794.48</w:t>
            </w:r>
            <w:r>
              <w:rPr>
                <w:rFonts w:ascii="宋体"/>
                <w:sz w:val="18"/>
              </w:rPr>
            </w:r>
          </w:p>
        </w:tc>
      </w:tr>
      <w:tr>
        <w:trPr>
          <w:trHeight w:val="576" w:hRule="exact"/>
        </w:trPr>
        <w:tc>
          <w:tcPr>
            <w:tcW w:w="41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3" w:right="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21"/>
                <w:sz w:val="22"/>
                <w:szCs w:val="22"/>
              </w:rPr>
              <w:t> </w:t>
            </w:r>
            <w:r>
              <w:rPr>
                <w:rFonts w:ascii="宋体" w:hAnsi="宋体" w:cs="宋体" w:eastAsia="宋体" w:hint="default"/>
                <w:sz w:val="22"/>
                <w:szCs w:val="22"/>
              </w:rPr>
              <w:t>关联方其他应付款</w:t>
            </w:r>
          </w:p>
        </w:tc>
        <w:tc>
          <w:tcPr>
            <w:tcW w:w="2686" w:type="dxa"/>
            <w:tcBorders>
              <w:top w:val="single" w:sz="12" w:space="0" w:color="000000"/>
              <w:left w:val="nil" w:sz="6" w:space="0" w:color="auto"/>
              <w:bottom w:val="single" w:sz="12" w:space="0" w:color="000000"/>
              <w:right w:val="nil" w:sz="6" w:space="0" w:color="auto"/>
            </w:tcBorders>
          </w:tcPr>
          <w:p>
            <w:pPr/>
          </w:p>
        </w:tc>
        <w:tc>
          <w:tcPr>
            <w:tcW w:w="182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13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686" w:type="dxa"/>
            <w:tcBorders>
              <w:top w:val="single" w:sz="4" w:space="0" w:color="000000"/>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7,870,206.36</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13,884,235.12</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268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14,400.00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14,400.00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北京艾克斯特科技有限公司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68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213,501.00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283"/>
              <w:jc w:val="right"/>
              <w:rPr>
                <w:rFonts w:ascii="宋体" w:hAnsi="宋体" w:cs="宋体" w:eastAsia="宋体" w:hint="default"/>
                <w:sz w:val="18"/>
                <w:szCs w:val="18"/>
              </w:rPr>
            </w:pPr>
            <w:r>
              <w:rPr>
                <w:rFonts w:ascii="宋体"/>
                <w:sz w:val="18"/>
              </w:rPr>
              <w:t>660,226.85</w:t>
            </w:r>
          </w:p>
        </w:tc>
        <w:tc>
          <w:tcPr>
            <w:tcW w:w="1824"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81,000.00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81,000.00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284,276.06</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200,772.37</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10,080.00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10,080.00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500,000.00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1,500,000.00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3,922,144.84</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1,156,974.13</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283"/>
              <w:jc w:val="right"/>
              <w:rPr>
                <w:rFonts w:ascii="宋体" w:hAnsi="宋体" w:cs="宋体" w:eastAsia="宋体" w:hint="default"/>
                <w:sz w:val="18"/>
                <w:szCs w:val="18"/>
              </w:rPr>
            </w:pPr>
            <w:r>
              <w:rPr>
                <w:rFonts w:ascii="宋体"/>
                <w:sz w:val="18"/>
              </w:rPr>
              <w:t>57,648.75</w:t>
            </w:r>
          </w:p>
        </w:tc>
        <w:tc>
          <w:tcPr>
            <w:tcW w:w="1824"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57,648.75</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71,620.06</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71,620.06</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10,216,805.25</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10,306,805.25</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300,853.00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34,977.17</w:t>
            </w:r>
          </w:p>
        </w:tc>
      </w:tr>
      <w:tr>
        <w:trPr>
          <w:trHeight w:val="293" w:hRule="exact"/>
        </w:trPr>
        <w:tc>
          <w:tcPr>
            <w:tcW w:w="413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16,515.78</w:t>
            </w:r>
          </w:p>
        </w:tc>
      </w:tr>
      <w:tr>
        <w:trPr>
          <w:trHeight w:val="304" w:hRule="exact"/>
        </w:trPr>
        <w:tc>
          <w:tcPr>
            <w:tcW w:w="4130"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282"/>
              <w:jc w:val="right"/>
              <w:rPr>
                <w:rFonts w:ascii="宋体" w:hAnsi="宋体" w:cs="宋体" w:eastAsia="宋体" w:hint="default"/>
                <w:sz w:val="18"/>
                <w:szCs w:val="18"/>
              </w:rPr>
            </w:pPr>
            <w:r>
              <w:rPr>
                <w:rFonts w:ascii="宋体"/>
                <w:b/>
                <w:w w:val="95"/>
                <w:sz w:val="18"/>
              </w:rPr>
              <w:t>23,901,909.17</w:t>
            </w:r>
            <w:r>
              <w:rPr>
                <w:rFonts w:ascii="宋体"/>
                <w:sz w:val="18"/>
              </w:rPr>
            </w: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25" w:lineRule="exact"/>
              <w:ind w:right="99"/>
              <w:jc w:val="right"/>
              <w:rPr>
                <w:rFonts w:ascii="宋体" w:hAnsi="宋体" w:cs="宋体" w:eastAsia="宋体" w:hint="default"/>
                <w:sz w:val="18"/>
                <w:szCs w:val="18"/>
              </w:rPr>
            </w:pPr>
            <w:r>
              <w:rPr>
                <w:rFonts w:ascii="宋体"/>
                <w:b/>
                <w:w w:val="95"/>
                <w:sz w:val="18"/>
              </w:rPr>
              <w:t>27,645,881.63</w:t>
            </w:r>
            <w:r>
              <w:rPr>
                <w:rFonts w:ascii="宋体"/>
                <w:sz w:val="18"/>
              </w:rPr>
            </w:r>
          </w:p>
        </w:tc>
      </w:tr>
      <w:tr>
        <w:trPr>
          <w:trHeight w:val="576" w:hRule="exact"/>
        </w:trPr>
        <w:tc>
          <w:tcPr>
            <w:tcW w:w="41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3" w:right="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21"/>
                <w:sz w:val="22"/>
                <w:szCs w:val="22"/>
              </w:rPr>
              <w:t> </w:t>
            </w:r>
            <w:r>
              <w:rPr>
                <w:rFonts w:ascii="宋体" w:hAnsi="宋体" w:cs="宋体" w:eastAsia="宋体" w:hint="default"/>
                <w:sz w:val="22"/>
                <w:szCs w:val="22"/>
              </w:rPr>
              <w:t>关联方预收款项</w:t>
            </w:r>
          </w:p>
        </w:tc>
        <w:tc>
          <w:tcPr>
            <w:tcW w:w="2686" w:type="dxa"/>
            <w:tcBorders>
              <w:top w:val="single" w:sz="12" w:space="0" w:color="000000"/>
              <w:left w:val="nil" w:sz="6" w:space="0" w:color="auto"/>
              <w:bottom w:val="single" w:sz="12" w:space="0" w:color="000000"/>
              <w:right w:val="nil" w:sz="6" w:space="0" w:color="auto"/>
            </w:tcBorders>
          </w:tcPr>
          <w:p>
            <w:pPr/>
          </w:p>
        </w:tc>
        <w:tc>
          <w:tcPr>
            <w:tcW w:w="1824"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1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413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686" w:type="dxa"/>
            <w:tcBorders>
              <w:top w:val="single" w:sz="4" w:space="0" w:color="000000"/>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1,405,301.40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887,321.40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283"/>
              <w:jc w:val="right"/>
              <w:rPr>
                <w:rFonts w:ascii="宋体" w:hAnsi="宋体" w:cs="宋体" w:eastAsia="宋体" w:hint="default"/>
                <w:sz w:val="18"/>
                <w:szCs w:val="18"/>
              </w:rPr>
            </w:pPr>
            <w:r>
              <w:rPr>
                <w:rFonts w:ascii="宋体"/>
                <w:sz w:val="18"/>
              </w:rPr>
              <w:t>9,820.00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9,820.00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68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895.00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150,000.00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950,000.00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175,800.00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5,292,000.00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1"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1" w:lineRule="exact"/>
              <w:ind w:right="100"/>
              <w:jc w:val="right"/>
              <w:rPr>
                <w:rFonts w:ascii="宋体" w:hAnsi="宋体" w:cs="宋体" w:eastAsia="宋体" w:hint="default"/>
                <w:sz w:val="18"/>
                <w:szCs w:val="18"/>
              </w:rPr>
            </w:pPr>
            <w:r>
              <w:rPr>
                <w:rFonts w:ascii="宋体"/>
                <w:sz w:val="18"/>
              </w:rPr>
              <w:t>2,290,429.97</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68,932.37</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3,789.00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1,301,055.95</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3,758.30</w:t>
            </w: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68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83"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6,788.06</w:t>
            </w:r>
          </w:p>
        </w:tc>
      </w:tr>
      <w:tr>
        <w:trPr>
          <w:trHeight w:val="304" w:hRule="exact"/>
        </w:trPr>
        <w:tc>
          <w:tcPr>
            <w:tcW w:w="4130" w:type="dxa"/>
            <w:tcBorders>
              <w:top w:val="nil" w:sz="6" w:space="0" w:color="auto"/>
              <w:left w:val="nil" w:sz="6" w:space="0" w:color="auto"/>
              <w:bottom w:val="single" w:sz="12"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nil" w:sz="6" w:space="0" w:color="auto"/>
              <w:left w:val="nil" w:sz="6" w:space="0" w:color="auto"/>
              <w:bottom w:val="single" w:sz="12" w:space="0" w:color="000000"/>
              <w:right w:val="nil" w:sz="6" w:space="0" w:color="auto"/>
            </w:tcBorders>
          </w:tcPr>
          <w:p>
            <w:pPr>
              <w:pStyle w:val="TableParagraph"/>
              <w:spacing w:line="231" w:lineRule="exact"/>
              <w:ind w:right="282"/>
              <w:jc w:val="right"/>
              <w:rPr>
                <w:rFonts w:ascii="宋体" w:hAnsi="宋体" w:cs="宋体" w:eastAsia="宋体" w:hint="default"/>
                <w:sz w:val="18"/>
                <w:szCs w:val="18"/>
              </w:rPr>
            </w:pPr>
            <w:r>
              <w:rPr>
                <w:rFonts w:ascii="宋体"/>
                <w:b/>
                <w:w w:val="95"/>
                <w:sz w:val="18"/>
              </w:rPr>
              <w:t>8,334,872.35</w:t>
            </w:r>
            <w:r>
              <w:rPr>
                <w:rFonts w:ascii="宋体"/>
                <w:sz w:val="18"/>
              </w:rPr>
            </w:r>
          </w:p>
        </w:tc>
        <w:tc>
          <w:tcPr>
            <w:tcW w:w="1824" w:type="dxa"/>
            <w:tcBorders>
              <w:top w:val="nil" w:sz="6" w:space="0" w:color="auto"/>
              <w:left w:val="nil" w:sz="6" w:space="0" w:color="auto"/>
              <w:bottom w:val="single" w:sz="12" w:space="0" w:color="000000"/>
              <w:right w:val="nil" w:sz="6" w:space="0" w:color="auto"/>
            </w:tcBorders>
          </w:tcPr>
          <w:p>
            <w:pPr>
              <w:pStyle w:val="TableParagraph"/>
              <w:spacing w:line="231" w:lineRule="exact"/>
              <w:ind w:right="99"/>
              <w:jc w:val="right"/>
              <w:rPr>
                <w:rFonts w:ascii="宋体" w:hAnsi="宋体" w:cs="宋体" w:eastAsia="宋体" w:hint="default"/>
                <w:sz w:val="18"/>
                <w:szCs w:val="18"/>
              </w:rPr>
            </w:pPr>
            <w:r>
              <w:rPr>
                <w:rFonts w:ascii="宋体"/>
                <w:b/>
                <w:w w:val="95"/>
                <w:sz w:val="18"/>
              </w:rPr>
              <w:t>4,220,839.10</w:t>
            </w:r>
            <w:r>
              <w:rPr>
                <w:rFonts w:ascii="宋体"/>
                <w:sz w:val="18"/>
              </w:rPr>
            </w:r>
          </w:p>
        </w:tc>
      </w:tr>
    </w:tbl>
    <w:p>
      <w:pPr>
        <w:spacing w:after="0" w:line="231" w:lineRule="exact"/>
        <w:jc w:val="right"/>
        <w:rPr>
          <w:rFonts w:ascii="宋体" w:hAnsi="宋体" w:cs="宋体" w:eastAsia="宋体" w:hint="default"/>
          <w:sz w:val="18"/>
          <w:szCs w:val="18"/>
        </w:rPr>
        <w:sectPr>
          <w:headerReference w:type="default" r:id="rId45"/>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49"/>
        <w:ind w:left="620" w:right="0"/>
        <w:jc w:val="left"/>
        <w:rPr>
          <w:b w:val="0"/>
          <w:bCs w:val="0"/>
        </w:rPr>
      </w:pPr>
      <w:bookmarkStart w:name="十一、 或有事项 " w:id="14"/>
      <w:bookmarkEnd w:id="14"/>
      <w:r>
        <w:rPr>
          <w:b w:val="0"/>
          <w:bCs w:val="0"/>
        </w:rPr>
      </w:r>
      <w:r>
        <w:rPr/>
        <w:t>十一、</w:t>
      </w:r>
      <w:r>
        <w:rPr>
          <w:spacing w:val="-68"/>
        </w:rPr>
        <w:t> </w:t>
      </w:r>
      <w:r>
        <w:rPr/>
        <w:t>或有事项</w:t>
      </w:r>
      <w:r>
        <w:rPr>
          <w:b w:val="0"/>
          <w:bCs w:val="0"/>
        </w:rPr>
      </w:r>
    </w:p>
    <w:p>
      <w:pPr>
        <w:spacing w:line="324" w:lineRule="auto" w:before="169"/>
        <w:ind w:left="138" w:right="0" w:firstLine="440"/>
        <w:jc w:val="left"/>
        <w:rPr>
          <w:rFonts w:ascii="宋体" w:hAnsi="宋体" w:cs="宋体" w:eastAsia="宋体" w:hint="default"/>
          <w:sz w:val="22"/>
          <w:szCs w:val="22"/>
        </w:rPr>
      </w:pPr>
      <w:r>
        <w:rPr>
          <w:rFonts w:ascii="宋体" w:hAnsi="宋体" w:cs="宋体" w:eastAsia="宋体" w:hint="default"/>
          <w:spacing w:val="-1"/>
          <w:w w:val="99"/>
          <w:sz w:val="22"/>
          <w:szCs w:val="22"/>
        </w:rPr>
        <w:t>除附注十、（二）所述担保事项外，公司对外提供担保事项为，截至2010年12月31日，本公</w:t>
      </w:r>
      <w:r>
        <w:rPr>
          <w:rFonts w:ascii="宋体" w:hAnsi="宋体" w:cs="宋体" w:eastAsia="宋体" w:hint="default"/>
          <w:spacing w:val="2"/>
          <w:w w:val="99"/>
          <w:sz w:val="22"/>
          <w:szCs w:val="22"/>
        </w:rPr>
        <w:t> </w:t>
      </w:r>
      <w:r>
        <w:rPr>
          <w:rFonts w:ascii="宋体" w:hAnsi="宋体" w:cs="宋体" w:eastAsia="宋体" w:hint="default"/>
          <w:sz w:val="22"/>
          <w:szCs w:val="22"/>
        </w:rPr>
        <w:t>司持股22.71%的泰豪科技股份有限公司的对外担保情况如下：</w:t>
      </w:r>
    </w:p>
    <w:p>
      <w:pPr>
        <w:spacing w:line="324" w:lineRule="auto" w:before="103"/>
        <w:ind w:left="138" w:right="142" w:firstLine="453"/>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泰豪科技股份有限公司2009年第三届董事会第三十二次会议，通过了为江西汇仁集团医</w:t>
      </w:r>
      <w:r>
        <w:rPr>
          <w:rFonts w:ascii="宋体" w:hAnsi="宋体" w:cs="宋体" w:eastAsia="宋体" w:hint="default"/>
          <w:w w:val="99"/>
          <w:sz w:val="22"/>
          <w:szCs w:val="22"/>
        </w:rPr>
        <w:t> </w:t>
      </w:r>
      <w:r>
        <w:rPr>
          <w:rFonts w:ascii="宋体" w:hAnsi="宋体" w:cs="宋体" w:eastAsia="宋体" w:hint="default"/>
          <w:spacing w:val="-1"/>
          <w:sz w:val="22"/>
          <w:szCs w:val="22"/>
        </w:rPr>
        <w:t>药科研营销有限公司期限为一年，授信额度为6500万元银行借款提供担保的议案。本年因该贷款</w:t>
      </w:r>
      <w:r>
        <w:rPr>
          <w:rFonts w:ascii="宋体" w:hAnsi="宋体" w:cs="宋体" w:eastAsia="宋体" w:hint="default"/>
          <w:w w:val="99"/>
          <w:sz w:val="22"/>
          <w:szCs w:val="22"/>
        </w:rPr>
        <w:t> </w:t>
      </w:r>
      <w:r>
        <w:rPr>
          <w:rFonts w:ascii="宋体" w:hAnsi="宋体" w:cs="宋体" w:eastAsia="宋体" w:hint="default"/>
          <w:spacing w:val="-1"/>
          <w:sz w:val="22"/>
          <w:szCs w:val="22"/>
        </w:rPr>
        <w:t>到期，泰豪科技股份有限公司第四届董事会第四次会议决议，泰豪科技股份有限公司为江西汇仁</w:t>
      </w:r>
      <w:r>
        <w:rPr>
          <w:rFonts w:ascii="宋体" w:hAnsi="宋体" w:cs="宋体" w:eastAsia="宋体" w:hint="default"/>
          <w:w w:val="99"/>
          <w:sz w:val="22"/>
          <w:szCs w:val="22"/>
        </w:rPr>
        <w:t> </w:t>
      </w:r>
      <w:r>
        <w:rPr>
          <w:rFonts w:ascii="宋体" w:hAnsi="宋体" w:cs="宋体" w:eastAsia="宋体" w:hint="default"/>
          <w:spacing w:val="-1"/>
          <w:sz w:val="22"/>
          <w:szCs w:val="22"/>
        </w:rPr>
        <w:t>集团医药科研营销有限公司该笔贷款继续提供连带责任担保，同时江西汇仁集团有限公司提供反</w:t>
      </w:r>
      <w:r>
        <w:rPr>
          <w:rFonts w:ascii="宋体" w:hAnsi="宋体" w:cs="宋体" w:eastAsia="宋体" w:hint="default"/>
          <w:w w:val="99"/>
          <w:sz w:val="22"/>
          <w:szCs w:val="22"/>
        </w:rPr>
        <w:t> </w:t>
      </w:r>
      <w:r>
        <w:rPr>
          <w:rFonts w:ascii="宋体" w:hAnsi="宋体" w:cs="宋体" w:eastAsia="宋体" w:hint="default"/>
          <w:spacing w:val="-1"/>
          <w:sz w:val="22"/>
          <w:szCs w:val="22"/>
        </w:rPr>
        <w:t>担保。截止2010年12月31日，泰豪科技股份有限公司共为江西汇仁集团医药科研营销有限公司提</w:t>
      </w:r>
      <w:r>
        <w:rPr>
          <w:rFonts w:ascii="宋体" w:hAnsi="宋体" w:cs="宋体" w:eastAsia="宋体" w:hint="default"/>
          <w:w w:val="99"/>
          <w:sz w:val="22"/>
          <w:szCs w:val="22"/>
        </w:rPr>
        <w:t> </w:t>
      </w:r>
      <w:r>
        <w:rPr>
          <w:rFonts w:ascii="宋体" w:hAnsi="宋体" w:cs="宋体" w:eastAsia="宋体" w:hint="default"/>
          <w:sz w:val="22"/>
          <w:szCs w:val="22"/>
        </w:rPr>
        <w:t>供6500万元贷款担保。</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4"/>
          <w:sz w:val="22"/>
          <w:szCs w:val="22"/>
        </w:rPr>
        <w:t> </w:t>
      </w:r>
      <w:r>
        <w:rPr>
          <w:rFonts w:ascii="宋体" w:hAnsi="宋体" w:cs="宋体" w:eastAsia="宋体" w:hint="default"/>
          <w:sz w:val="22"/>
          <w:szCs w:val="22"/>
        </w:rPr>
        <w:t>泰豪科技股份有限公司2010年第四届董事会第七次会议决议，通过了泰豪科技股份有限</w:t>
      </w:r>
      <w:r>
        <w:rPr>
          <w:rFonts w:ascii="宋体" w:hAnsi="宋体" w:cs="宋体" w:eastAsia="宋体" w:hint="default"/>
          <w:w w:val="99"/>
          <w:sz w:val="22"/>
          <w:szCs w:val="22"/>
        </w:rPr>
        <w:t> </w:t>
      </w:r>
      <w:r>
        <w:rPr>
          <w:rFonts w:ascii="宋体" w:hAnsi="宋体" w:cs="宋体" w:eastAsia="宋体" w:hint="default"/>
          <w:spacing w:val="-1"/>
          <w:sz w:val="22"/>
          <w:szCs w:val="22"/>
        </w:rPr>
        <w:t>公司为江西汇仁药业有限公司提供担保的议案，同时江西汇仁集团有限公司为泰豪科技股份有限</w:t>
      </w:r>
      <w:r>
        <w:rPr>
          <w:rFonts w:ascii="宋体" w:hAnsi="宋体" w:cs="宋体" w:eastAsia="宋体" w:hint="default"/>
          <w:w w:val="99"/>
          <w:sz w:val="22"/>
          <w:szCs w:val="22"/>
        </w:rPr>
        <w:t> </w:t>
      </w:r>
      <w:r>
        <w:rPr>
          <w:rFonts w:ascii="宋体" w:hAnsi="宋体" w:cs="宋体" w:eastAsia="宋体" w:hint="default"/>
          <w:spacing w:val="-1"/>
          <w:sz w:val="22"/>
          <w:szCs w:val="22"/>
        </w:rPr>
        <w:t>公司提供反担保。本年度泰豪科技股份有限公司为江西汇仁药业有限公司向银行借款3500万元提</w:t>
      </w:r>
      <w:r>
        <w:rPr>
          <w:rFonts w:ascii="宋体" w:hAnsi="宋体" w:cs="宋体" w:eastAsia="宋体" w:hint="default"/>
          <w:w w:val="99"/>
          <w:sz w:val="22"/>
          <w:szCs w:val="22"/>
        </w:rPr>
        <w:t> </w:t>
      </w:r>
      <w:r>
        <w:rPr>
          <w:rFonts w:ascii="宋体" w:hAnsi="宋体" w:cs="宋体" w:eastAsia="宋体" w:hint="default"/>
          <w:sz w:val="22"/>
          <w:szCs w:val="22"/>
        </w:rPr>
        <w:t>供了担保。</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3"/>
          <w:sz w:val="22"/>
          <w:szCs w:val="22"/>
        </w:rPr>
        <w:t> </w:t>
      </w:r>
      <w:r>
        <w:rPr>
          <w:rFonts w:ascii="宋体" w:hAnsi="宋体" w:cs="宋体" w:eastAsia="宋体" w:hint="default"/>
          <w:sz w:val="22"/>
          <w:szCs w:val="22"/>
        </w:rPr>
        <w:t>泰豪科技股份有限公司2008年第一次临时股东大会，审议通过了泰豪科技股份有限公司</w:t>
      </w:r>
      <w:r>
        <w:rPr>
          <w:rFonts w:ascii="宋体" w:hAnsi="宋体" w:cs="宋体" w:eastAsia="宋体" w:hint="default"/>
          <w:w w:val="99"/>
          <w:sz w:val="22"/>
          <w:szCs w:val="22"/>
        </w:rPr>
        <w:t> </w:t>
      </w:r>
      <w:r>
        <w:rPr>
          <w:rFonts w:ascii="宋体" w:hAnsi="宋体" w:cs="宋体" w:eastAsia="宋体" w:hint="default"/>
          <w:spacing w:val="-1"/>
          <w:sz w:val="22"/>
          <w:szCs w:val="22"/>
        </w:rPr>
        <w:t>为江西特种电机股份有限公司提供担保的议案，担保最高额度不超过8000万元，期限为三年，同</w:t>
      </w:r>
      <w:r>
        <w:rPr>
          <w:rFonts w:ascii="宋体" w:hAnsi="宋体" w:cs="宋体" w:eastAsia="宋体" w:hint="default"/>
          <w:w w:val="99"/>
          <w:sz w:val="22"/>
          <w:szCs w:val="22"/>
        </w:rPr>
        <w:t> </w:t>
      </w:r>
      <w:r>
        <w:rPr>
          <w:rFonts w:ascii="宋体" w:hAnsi="宋体" w:cs="宋体" w:eastAsia="宋体" w:hint="default"/>
          <w:spacing w:val="-1"/>
          <w:sz w:val="22"/>
          <w:szCs w:val="22"/>
        </w:rPr>
        <w:t>时江西特种电机股份有限公司为本公司提供反担保。本年第四届董事会第七次会议决议，同意本</w:t>
      </w:r>
      <w:r>
        <w:rPr>
          <w:rFonts w:ascii="宋体" w:hAnsi="宋体" w:cs="宋体" w:eastAsia="宋体" w:hint="default"/>
          <w:w w:val="99"/>
          <w:sz w:val="22"/>
          <w:szCs w:val="22"/>
        </w:rPr>
        <w:t> </w:t>
      </w:r>
      <w:r>
        <w:rPr>
          <w:rFonts w:ascii="宋体" w:hAnsi="宋体" w:cs="宋体" w:eastAsia="宋体" w:hint="default"/>
          <w:spacing w:val="-1"/>
          <w:sz w:val="22"/>
          <w:szCs w:val="22"/>
        </w:rPr>
        <w:t>公司对江特电机8000万元贷款担保期限由三年延长为六年。截止2010年12月31日，本公司共为江</w:t>
      </w:r>
      <w:r>
        <w:rPr>
          <w:rFonts w:ascii="宋体" w:hAnsi="宋体" w:cs="宋体" w:eastAsia="宋体" w:hint="default"/>
          <w:w w:val="99"/>
          <w:sz w:val="22"/>
          <w:szCs w:val="22"/>
        </w:rPr>
        <w:t> </w:t>
      </w:r>
      <w:r>
        <w:rPr>
          <w:rFonts w:ascii="宋体" w:hAnsi="宋体" w:cs="宋体" w:eastAsia="宋体" w:hint="default"/>
          <w:sz w:val="22"/>
          <w:szCs w:val="22"/>
        </w:rPr>
        <w:t>特电机提供5000万元贷款担保。</w:t>
      </w:r>
    </w:p>
    <w:p>
      <w:pPr>
        <w:spacing w:line="324" w:lineRule="auto" w:before="103"/>
        <w:ind w:left="139" w:right="132" w:firstLine="44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17"/>
          <w:sz w:val="22"/>
          <w:szCs w:val="22"/>
        </w:rPr>
        <w:t> </w:t>
      </w:r>
      <w:r>
        <w:rPr>
          <w:rFonts w:ascii="宋体" w:hAnsi="宋体" w:cs="宋体" w:eastAsia="宋体" w:hint="default"/>
          <w:sz w:val="22"/>
          <w:szCs w:val="22"/>
        </w:rPr>
        <w:t>泰豪科技股份有限公司2010年第二次临时股东大会审议通过《关于为参股子公司南昌</w:t>
      </w:r>
      <w:r>
        <w:rPr>
          <w:rFonts w:ascii="宋体" w:hAnsi="宋体" w:cs="宋体" w:eastAsia="宋体" w:hint="default"/>
          <w:w w:val="99"/>
          <w:sz w:val="22"/>
          <w:szCs w:val="22"/>
        </w:rPr>
        <w:t> </w:t>
      </w:r>
      <w:r>
        <w:rPr>
          <w:rFonts w:ascii="宋体" w:hAnsi="宋体" w:cs="宋体" w:eastAsia="宋体" w:hint="default"/>
          <w:spacing w:val="-4"/>
          <w:w w:val="99"/>
          <w:sz w:val="22"/>
          <w:szCs w:val="22"/>
        </w:rPr>
        <w:t>ABB发电机有限公司提供担保的议案》，同意南昌ABB发电机有限公司向ABB（中国）有限公司申请</w:t>
      </w:r>
      <w:r>
        <w:rPr>
          <w:rFonts w:ascii="宋体" w:hAnsi="宋体" w:cs="宋体" w:eastAsia="宋体" w:hint="default"/>
          <w:spacing w:val="-65"/>
          <w:w w:val="99"/>
          <w:sz w:val="22"/>
          <w:szCs w:val="22"/>
        </w:rPr>
        <w:t> </w:t>
      </w:r>
      <w:r>
        <w:rPr>
          <w:rFonts w:ascii="宋体" w:hAnsi="宋体" w:cs="宋体" w:eastAsia="宋体" w:hint="default"/>
          <w:spacing w:val="-65"/>
          <w:w w:val="99"/>
          <w:sz w:val="22"/>
          <w:szCs w:val="22"/>
        </w:rPr>
      </w:r>
      <w:r>
        <w:rPr>
          <w:rFonts w:ascii="宋体" w:hAnsi="宋体" w:cs="宋体" w:eastAsia="宋体" w:hint="default"/>
          <w:spacing w:val="-1"/>
          <w:sz w:val="22"/>
          <w:szCs w:val="22"/>
        </w:rPr>
        <w:t>6000万元人民币委托贷款，泰豪科技股份有限公司按49%的出资比例承担相关担保责任，ABB（中</w:t>
      </w:r>
      <w:r>
        <w:rPr>
          <w:rFonts w:ascii="宋体" w:hAnsi="宋体" w:cs="宋体" w:eastAsia="宋体" w:hint="default"/>
          <w:w w:val="99"/>
          <w:sz w:val="22"/>
          <w:szCs w:val="22"/>
        </w:rPr>
        <w:t> </w:t>
      </w:r>
      <w:r>
        <w:rPr>
          <w:rFonts w:ascii="宋体" w:hAnsi="宋体" w:cs="宋体" w:eastAsia="宋体" w:hint="default"/>
          <w:sz w:val="22"/>
          <w:szCs w:val="22"/>
        </w:rPr>
        <w:t>国）有限公司也按51%的出资比例承担相关担保责任，担保期限一年。</w:t>
      </w:r>
    </w:p>
    <w:p>
      <w:pPr>
        <w:spacing w:before="103"/>
        <w:ind w:left="579" w:right="0" w:firstLine="0"/>
        <w:jc w:val="left"/>
        <w:rPr>
          <w:rFonts w:ascii="宋体" w:hAnsi="宋体" w:cs="宋体" w:eastAsia="宋体" w:hint="default"/>
          <w:sz w:val="22"/>
          <w:szCs w:val="22"/>
        </w:rPr>
      </w:pPr>
      <w:r>
        <w:rPr>
          <w:rFonts w:ascii="宋体" w:hAnsi="宋体" w:cs="宋体" w:eastAsia="宋体" w:hint="default"/>
          <w:sz w:val="22"/>
          <w:szCs w:val="22"/>
        </w:rPr>
        <w:t>除存在上述或有事项外，截至2010年12月31日，本公司无其他需披露的重大或有事项。</w:t>
      </w:r>
    </w:p>
    <w:p>
      <w:pPr>
        <w:pStyle w:val="Heading3"/>
        <w:spacing w:line="240" w:lineRule="auto" w:before="164"/>
        <w:ind w:left="620" w:right="0"/>
        <w:jc w:val="left"/>
        <w:rPr>
          <w:b w:val="0"/>
          <w:bCs w:val="0"/>
        </w:rPr>
      </w:pPr>
      <w:bookmarkStart w:name="十二、 承诺事项 " w:id="15"/>
      <w:bookmarkEnd w:id="15"/>
      <w:r>
        <w:rPr>
          <w:b w:val="0"/>
          <w:bCs w:val="0"/>
        </w:rPr>
      </w:r>
      <w:r>
        <w:rPr/>
        <w:t>十二、</w:t>
      </w:r>
      <w:r>
        <w:rPr>
          <w:spacing w:val="-68"/>
        </w:rPr>
        <w:t> </w:t>
      </w:r>
      <w:r>
        <w:rPr/>
        <w:t>承诺事项</w:t>
      </w:r>
      <w:r>
        <w:rPr>
          <w:b w:val="0"/>
          <w:bCs w:val="0"/>
        </w:rPr>
      </w:r>
    </w:p>
    <w:p>
      <w:pPr>
        <w:spacing w:before="170"/>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日，本公司无需披露的重大承诺事项。</w:t>
      </w:r>
    </w:p>
    <w:p>
      <w:pPr>
        <w:pStyle w:val="Heading3"/>
        <w:spacing w:line="240" w:lineRule="auto" w:before="164"/>
        <w:ind w:left="620" w:right="0"/>
        <w:jc w:val="left"/>
        <w:rPr>
          <w:b w:val="0"/>
          <w:bCs w:val="0"/>
        </w:rPr>
      </w:pPr>
      <w:bookmarkStart w:name="十三、 资产负债表日后事项 " w:id="16"/>
      <w:bookmarkEnd w:id="16"/>
      <w:r>
        <w:rPr>
          <w:b w:val="0"/>
          <w:bCs w:val="0"/>
        </w:rPr>
      </w:r>
      <w:r>
        <w:rPr/>
        <w:t>十三、</w:t>
      </w:r>
      <w:r>
        <w:rPr>
          <w:spacing w:val="-68"/>
        </w:rPr>
        <w:t> </w:t>
      </w:r>
      <w:r>
        <w:rPr/>
        <w:t>资产负债表日后事项</w:t>
      </w:r>
      <w:r>
        <w:rPr>
          <w:b w:val="0"/>
          <w:bCs w:val="0"/>
        </w:rPr>
      </w:r>
    </w:p>
    <w:p>
      <w:pPr>
        <w:spacing w:before="170"/>
        <w:ind w:left="578" w:right="0" w:firstLine="0"/>
        <w:jc w:val="left"/>
        <w:rPr>
          <w:rFonts w:ascii="宋体" w:hAnsi="宋体" w:cs="宋体" w:eastAsia="宋体" w:hint="default"/>
          <w:sz w:val="22"/>
          <w:szCs w:val="22"/>
        </w:rPr>
      </w:pPr>
      <w:r>
        <w:rPr>
          <w:rFonts w:ascii="宋体" w:hAnsi="宋体" w:cs="宋体" w:eastAsia="宋体" w:hint="default"/>
          <w:sz w:val="22"/>
          <w:szCs w:val="22"/>
        </w:rPr>
        <w:t>根据</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日公司第五届董事会第十五次会议决议，公司本年度向全体股东以每</w:t>
      </w:r>
      <w:r>
        <w:rPr>
          <w:rFonts w:ascii="宋体" w:hAnsi="宋体" w:cs="宋体" w:eastAsia="宋体" w:hint="default"/>
          <w:spacing w:val="-56"/>
          <w:sz w:val="22"/>
          <w:szCs w:val="22"/>
        </w:rPr>
        <w:t> </w:t>
      </w:r>
      <w:r>
        <w:rPr>
          <w:rFonts w:ascii="宋体" w:hAnsi="宋体" w:cs="宋体" w:eastAsia="宋体" w:hint="default"/>
          <w:sz w:val="22"/>
          <w:szCs w:val="22"/>
        </w:rPr>
        <w:t>10</w:t>
      </w:r>
    </w:p>
    <w:p>
      <w:pPr>
        <w:spacing w:before="86"/>
        <w:ind w:left="138" w:right="0" w:firstLine="0"/>
        <w:jc w:val="left"/>
        <w:rPr>
          <w:rFonts w:ascii="宋体" w:hAnsi="宋体" w:cs="宋体" w:eastAsia="宋体" w:hint="default"/>
          <w:sz w:val="22"/>
          <w:szCs w:val="22"/>
        </w:rPr>
      </w:pPr>
      <w:r>
        <w:rPr>
          <w:rFonts w:ascii="宋体" w:hAnsi="宋体" w:cs="宋体" w:eastAsia="宋体" w:hint="default"/>
          <w:w w:val="99"/>
          <w:sz w:val="22"/>
          <w:szCs w:val="22"/>
        </w:rPr>
        <w:t>股送现</w:t>
      </w:r>
      <w:r>
        <w:rPr>
          <w:rFonts w:ascii="宋体" w:hAnsi="宋体" w:cs="宋体" w:eastAsia="宋体" w:hint="default"/>
          <w:spacing w:val="1"/>
          <w:w w:val="99"/>
          <w:sz w:val="22"/>
          <w:szCs w:val="22"/>
        </w:rPr>
        <w:t>金红</w:t>
      </w:r>
      <w:r>
        <w:rPr>
          <w:rFonts w:ascii="宋体" w:hAnsi="宋体" w:cs="宋体" w:eastAsia="宋体" w:hint="default"/>
          <w:w w:val="99"/>
          <w:sz w:val="22"/>
          <w:szCs w:val="22"/>
        </w:rPr>
        <w:t>利</w:t>
      </w:r>
      <w:r>
        <w:rPr>
          <w:rFonts w:ascii="宋体" w:hAnsi="宋体" w:cs="宋体" w:eastAsia="宋体" w:hint="default"/>
          <w:spacing w:val="-40"/>
          <w:sz w:val="22"/>
          <w:szCs w:val="22"/>
        </w:rPr>
        <w:t> </w:t>
      </w:r>
      <w:r>
        <w:rPr>
          <w:rFonts w:ascii="宋体" w:hAnsi="宋体" w:cs="宋体" w:eastAsia="宋体" w:hint="default"/>
          <w:w w:val="99"/>
          <w:sz w:val="22"/>
          <w:szCs w:val="22"/>
        </w:rPr>
        <w:t>1</w:t>
      </w:r>
      <w:r>
        <w:rPr>
          <w:rFonts w:ascii="宋体" w:hAnsi="宋体" w:cs="宋体" w:eastAsia="宋体" w:hint="default"/>
          <w:spacing w:val="-39"/>
          <w:sz w:val="22"/>
          <w:szCs w:val="22"/>
        </w:rPr>
        <w:t> </w:t>
      </w:r>
      <w:r>
        <w:rPr>
          <w:rFonts w:ascii="宋体" w:hAnsi="宋体" w:cs="宋体" w:eastAsia="宋体" w:hint="default"/>
          <w:w w:val="99"/>
          <w:sz w:val="22"/>
          <w:szCs w:val="22"/>
        </w:rPr>
        <w:t>元（</w:t>
      </w:r>
      <w:r>
        <w:rPr>
          <w:rFonts w:ascii="宋体" w:hAnsi="宋体" w:cs="宋体" w:eastAsia="宋体" w:hint="default"/>
          <w:spacing w:val="1"/>
          <w:w w:val="99"/>
          <w:sz w:val="22"/>
          <w:szCs w:val="22"/>
        </w:rPr>
        <w:t>含</w:t>
      </w:r>
      <w:r>
        <w:rPr>
          <w:rFonts w:ascii="宋体" w:hAnsi="宋体" w:cs="宋体" w:eastAsia="宋体" w:hint="default"/>
          <w:w w:val="99"/>
          <w:sz w:val="22"/>
          <w:szCs w:val="22"/>
        </w:rPr>
        <w:t>税</w:t>
      </w:r>
      <w:r>
        <w:rPr>
          <w:rFonts w:ascii="宋体" w:hAnsi="宋体" w:cs="宋体" w:eastAsia="宋体" w:hint="default"/>
          <w:spacing w:val="-110"/>
          <w:w w:val="99"/>
          <w:sz w:val="22"/>
          <w:szCs w:val="22"/>
        </w:rPr>
        <w:t>）</w:t>
      </w:r>
      <w:r>
        <w:rPr>
          <w:rFonts w:ascii="宋体" w:hAnsi="宋体" w:cs="宋体" w:eastAsia="宋体" w:hint="default"/>
          <w:w w:val="99"/>
          <w:sz w:val="22"/>
          <w:szCs w:val="22"/>
        </w:rPr>
        <w:t>，共计</w:t>
      </w:r>
      <w:r>
        <w:rPr>
          <w:rFonts w:ascii="宋体" w:hAnsi="宋体" w:cs="宋体" w:eastAsia="宋体" w:hint="default"/>
          <w:spacing w:val="-40"/>
          <w:sz w:val="22"/>
          <w:szCs w:val="22"/>
        </w:rPr>
        <w:t> </w:t>
      </w:r>
      <w:r>
        <w:rPr>
          <w:rFonts w:ascii="宋体" w:hAnsi="宋体" w:cs="宋体" w:eastAsia="宋体" w:hint="default"/>
          <w:spacing w:val="1"/>
          <w:w w:val="99"/>
          <w:sz w:val="22"/>
          <w:szCs w:val="22"/>
        </w:rPr>
        <w:t>9</w:t>
      </w:r>
      <w:r>
        <w:rPr>
          <w:rFonts w:ascii="宋体" w:hAnsi="宋体" w:cs="宋体" w:eastAsia="宋体" w:hint="default"/>
          <w:w w:val="99"/>
          <w:sz w:val="22"/>
          <w:szCs w:val="22"/>
        </w:rPr>
        <w:t>9,3</w:t>
      </w:r>
      <w:r>
        <w:rPr>
          <w:rFonts w:ascii="宋体" w:hAnsi="宋体" w:cs="宋体" w:eastAsia="宋体" w:hint="default"/>
          <w:spacing w:val="-1"/>
          <w:w w:val="99"/>
          <w:sz w:val="22"/>
          <w:szCs w:val="22"/>
        </w:rPr>
        <w:t>8</w:t>
      </w:r>
      <w:r>
        <w:rPr>
          <w:rFonts w:ascii="宋体" w:hAnsi="宋体" w:cs="宋体" w:eastAsia="宋体" w:hint="default"/>
          <w:w w:val="99"/>
          <w:sz w:val="22"/>
          <w:szCs w:val="22"/>
        </w:rPr>
        <w:t>5,</w:t>
      </w:r>
      <w:r>
        <w:rPr>
          <w:rFonts w:ascii="宋体" w:hAnsi="宋体" w:cs="宋体" w:eastAsia="宋体" w:hint="default"/>
          <w:spacing w:val="-1"/>
          <w:w w:val="99"/>
          <w:sz w:val="22"/>
          <w:szCs w:val="22"/>
        </w:rPr>
        <w:t>0</w:t>
      </w:r>
      <w:r>
        <w:rPr>
          <w:rFonts w:ascii="宋体" w:hAnsi="宋体" w:cs="宋体" w:eastAsia="宋体" w:hint="default"/>
          <w:w w:val="99"/>
          <w:sz w:val="22"/>
          <w:szCs w:val="22"/>
        </w:rPr>
        <w:t>55</w:t>
      </w:r>
      <w:r>
        <w:rPr>
          <w:rFonts w:ascii="宋体" w:hAnsi="宋体" w:cs="宋体" w:eastAsia="宋体" w:hint="default"/>
          <w:spacing w:val="-1"/>
          <w:w w:val="99"/>
          <w:sz w:val="22"/>
          <w:szCs w:val="22"/>
        </w:rPr>
        <w:t>.4</w:t>
      </w:r>
      <w:r>
        <w:rPr>
          <w:rFonts w:ascii="宋体" w:hAnsi="宋体" w:cs="宋体" w:eastAsia="宋体" w:hint="default"/>
          <w:w w:val="99"/>
          <w:sz w:val="22"/>
          <w:szCs w:val="22"/>
        </w:rPr>
        <w:t>0</w:t>
      </w:r>
      <w:r>
        <w:rPr>
          <w:rFonts w:ascii="宋体" w:hAnsi="宋体" w:cs="宋体" w:eastAsia="宋体" w:hint="default"/>
          <w:spacing w:val="-39"/>
          <w:sz w:val="22"/>
          <w:szCs w:val="22"/>
        </w:rPr>
        <w:t> </w:t>
      </w:r>
      <w:r>
        <w:rPr>
          <w:rFonts w:ascii="宋体" w:hAnsi="宋体" w:cs="宋体" w:eastAsia="宋体" w:hint="default"/>
          <w:w w:val="99"/>
          <w:sz w:val="22"/>
          <w:szCs w:val="22"/>
        </w:rPr>
        <w:t>元</w:t>
      </w:r>
      <w:r>
        <w:rPr>
          <w:rFonts w:ascii="宋体" w:hAnsi="宋体" w:cs="宋体" w:eastAsia="宋体" w:hint="default"/>
          <w:sz w:val="24"/>
          <w:szCs w:val="24"/>
        </w:rPr>
        <w:t>；</w:t>
      </w:r>
      <w:r>
        <w:rPr>
          <w:rFonts w:ascii="宋体" w:hAnsi="宋体" w:cs="宋体" w:eastAsia="宋体" w:hint="default"/>
          <w:w w:val="99"/>
          <w:sz w:val="22"/>
          <w:szCs w:val="22"/>
        </w:rPr>
        <w:t>以公司截至</w:t>
      </w:r>
      <w:r>
        <w:rPr>
          <w:rFonts w:ascii="宋体" w:hAnsi="宋体" w:cs="宋体" w:eastAsia="宋体" w:hint="default"/>
          <w:spacing w:val="-40"/>
          <w:sz w:val="22"/>
          <w:szCs w:val="22"/>
        </w:rPr>
        <w:t> </w:t>
      </w:r>
      <w:r>
        <w:rPr>
          <w:rFonts w:ascii="宋体" w:hAnsi="宋体" w:cs="宋体" w:eastAsia="宋体" w:hint="default"/>
          <w:w w:val="99"/>
          <w:sz w:val="22"/>
          <w:szCs w:val="22"/>
        </w:rPr>
        <w:t>2010</w:t>
      </w:r>
      <w:r>
        <w:rPr>
          <w:rFonts w:ascii="宋体" w:hAnsi="宋体" w:cs="宋体" w:eastAsia="宋体" w:hint="default"/>
          <w:spacing w:val="-39"/>
          <w:sz w:val="22"/>
          <w:szCs w:val="22"/>
        </w:rPr>
        <w:t> </w:t>
      </w:r>
      <w:r>
        <w:rPr>
          <w:rFonts w:ascii="宋体" w:hAnsi="宋体" w:cs="宋体" w:eastAsia="宋体" w:hint="default"/>
          <w:w w:val="99"/>
          <w:sz w:val="22"/>
          <w:szCs w:val="22"/>
        </w:rPr>
        <w:t>年</w:t>
      </w:r>
      <w:r>
        <w:rPr>
          <w:rFonts w:ascii="宋体" w:hAnsi="宋体" w:cs="宋体" w:eastAsia="宋体" w:hint="default"/>
          <w:spacing w:val="-40"/>
          <w:sz w:val="22"/>
          <w:szCs w:val="22"/>
        </w:rPr>
        <w:t> </w:t>
      </w:r>
      <w:r>
        <w:rPr>
          <w:rFonts w:ascii="宋体" w:hAnsi="宋体" w:cs="宋体" w:eastAsia="宋体" w:hint="default"/>
          <w:w w:val="99"/>
          <w:sz w:val="22"/>
          <w:szCs w:val="22"/>
        </w:rPr>
        <w:t>12</w:t>
      </w:r>
      <w:r>
        <w:rPr>
          <w:rFonts w:ascii="宋体" w:hAnsi="宋体" w:cs="宋体" w:eastAsia="宋体" w:hint="default"/>
          <w:spacing w:val="-39"/>
          <w:sz w:val="22"/>
          <w:szCs w:val="22"/>
        </w:rPr>
        <w:t> </w:t>
      </w:r>
      <w:r>
        <w:rPr>
          <w:rFonts w:ascii="宋体" w:hAnsi="宋体" w:cs="宋体" w:eastAsia="宋体" w:hint="default"/>
          <w:w w:val="99"/>
          <w:sz w:val="22"/>
          <w:szCs w:val="22"/>
        </w:rPr>
        <w:t>月</w:t>
      </w:r>
      <w:r>
        <w:rPr>
          <w:rFonts w:ascii="宋体" w:hAnsi="宋体" w:cs="宋体" w:eastAsia="宋体" w:hint="default"/>
          <w:spacing w:val="-40"/>
          <w:sz w:val="22"/>
          <w:szCs w:val="22"/>
        </w:rPr>
        <w:t> </w:t>
      </w:r>
      <w:r>
        <w:rPr>
          <w:rFonts w:ascii="宋体" w:hAnsi="宋体" w:cs="宋体" w:eastAsia="宋体" w:hint="default"/>
          <w:w w:val="99"/>
          <w:sz w:val="22"/>
          <w:szCs w:val="22"/>
        </w:rPr>
        <w:t>31</w:t>
      </w:r>
      <w:r>
        <w:rPr>
          <w:rFonts w:ascii="宋体" w:hAnsi="宋体" w:cs="宋体" w:eastAsia="宋体" w:hint="default"/>
          <w:spacing w:val="-39"/>
          <w:sz w:val="22"/>
          <w:szCs w:val="22"/>
        </w:rPr>
        <w:t> </w:t>
      </w:r>
      <w:r>
        <w:rPr>
          <w:rFonts w:ascii="宋体" w:hAnsi="宋体" w:cs="宋体" w:eastAsia="宋体" w:hint="default"/>
          <w:w w:val="99"/>
          <w:sz w:val="22"/>
          <w:szCs w:val="22"/>
        </w:rPr>
        <w:t>日的总</w:t>
      </w:r>
      <w:r>
        <w:rPr>
          <w:rFonts w:ascii="宋体" w:hAnsi="宋体" w:cs="宋体" w:eastAsia="宋体" w:hint="default"/>
          <w:spacing w:val="2"/>
          <w:w w:val="99"/>
          <w:sz w:val="22"/>
          <w:szCs w:val="22"/>
        </w:rPr>
        <w:t>股</w:t>
      </w:r>
      <w:r>
        <w:rPr>
          <w:rFonts w:ascii="宋体" w:hAnsi="宋体" w:cs="宋体" w:eastAsia="宋体" w:hint="default"/>
          <w:w w:val="99"/>
          <w:sz w:val="22"/>
          <w:szCs w:val="22"/>
        </w:rPr>
        <w:t>本</w:t>
      </w:r>
      <w:r>
        <w:rPr>
          <w:rFonts w:ascii="宋体" w:hAnsi="宋体" w:cs="宋体" w:eastAsia="宋体" w:hint="default"/>
          <w:sz w:val="22"/>
          <w:szCs w:val="22"/>
        </w:rPr>
      </w:r>
    </w:p>
    <w:p>
      <w:pPr>
        <w:spacing w:before="92"/>
        <w:ind w:left="138" w:right="0" w:firstLine="0"/>
        <w:jc w:val="left"/>
        <w:rPr>
          <w:rFonts w:ascii="宋体" w:hAnsi="宋体" w:cs="宋体" w:eastAsia="宋体" w:hint="default"/>
          <w:sz w:val="22"/>
          <w:szCs w:val="22"/>
        </w:rPr>
      </w:pPr>
      <w:r>
        <w:rPr>
          <w:rFonts w:ascii="宋体" w:hAnsi="宋体" w:cs="宋体" w:eastAsia="宋体" w:hint="default"/>
          <w:sz w:val="22"/>
          <w:szCs w:val="22"/>
        </w:rPr>
        <w:t>993,850,554</w:t>
      </w:r>
      <w:r>
        <w:rPr>
          <w:rFonts w:ascii="宋体" w:hAnsi="宋体" w:cs="宋体" w:eastAsia="宋体" w:hint="default"/>
          <w:spacing w:val="-55"/>
          <w:sz w:val="22"/>
          <w:szCs w:val="22"/>
        </w:rPr>
        <w:t> </w:t>
      </w:r>
      <w:r>
        <w:rPr>
          <w:rFonts w:ascii="宋体" w:hAnsi="宋体" w:cs="宋体" w:eastAsia="宋体" w:hint="default"/>
          <w:sz w:val="22"/>
          <w:szCs w:val="22"/>
        </w:rPr>
        <w:t>股为基数，每</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股资本公积转增</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股，合计向全体股东转增</w:t>
      </w:r>
      <w:r>
        <w:rPr>
          <w:rFonts w:ascii="宋体" w:hAnsi="宋体" w:cs="宋体" w:eastAsia="宋体" w:hint="default"/>
          <w:spacing w:val="-56"/>
          <w:sz w:val="22"/>
          <w:szCs w:val="22"/>
        </w:rPr>
        <w:t> </w:t>
      </w:r>
      <w:r>
        <w:rPr>
          <w:rFonts w:ascii="宋体" w:hAnsi="宋体" w:cs="宋体" w:eastAsia="宋体" w:hint="default"/>
          <w:sz w:val="22"/>
          <w:szCs w:val="22"/>
        </w:rPr>
        <w:t>993,850,554</w:t>
      </w:r>
      <w:r>
        <w:rPr>
          <w:rFonts w:ascii="宋体" w:hAnsi="宋体" w:cs="宋体" w:eastAsia="宋体" w:hint="default"/>
          <w:spacing w:val="-55"/>
          <w:sz w:val="22"/>
          <w:szCs w:val="22"/>
        </w:rPr>
        <w:t> </w:t>
      </w:r>
      <w:r>
        <w:rPr>
          <w:rFonts w:ascii="宋体" w:hAnsi="宋体" w:cs="宋体" w:eastAsia="宋体" w:hint="default"/>
          <w:sz w:val="22"/>
          <w:szCs w:val="22"/>
        </w:rPr>
        <w:t>股。以</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上方案尚需提交本公司</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年度股东大会审议通过。</w:t>
      </w:r>
    </w:p>
    <w:p>
      <w:pPr>
        <w:pStyle w:val="Heading3"/>
        <w:spacing w:line="240" w:lineRule="auto" w:before="164"/>
        <w:ind w:left="620" w:right="0"/>
        <w:jc w:val="left"/>
        <w:rPr>
          <w:b w:val="0"/>
          <w:bCs w:val="0"/>
        </w:rPr>
      </w:pPr>
      <w:bookmarkStart w:name="十四、 其他重要事项 " w:id="17"/>
      <w:bookmarkEnd w:id="17"/>
      <w:r>
        <w:rPr>
          <w:b w:val="0"/>
          <w:bCs w:val="0"/>
        </w:rPr>
      </w:r>
      <w:r>
        <w:rPr/>
        <w:t>十四、</w:t>
      </w:r>
      <w:r>
        <w:rPr>
          <w:spacing w:val="-68"/>
        </w:rPr>
        <w:t> </w:t>
      </w:r>
      <w:r>
        <w:rPr/>
        <w:t>其他重要事项</w:t>
      </w:r>
      <w:r>
        <w:rPr>
          <w:b w:val="0"/>
          <w:bCs w:val="0"/>
        </w:rPr>
      </w:r>
    </w:p>
    <w:p>
      <w:pPr>
        <w:spacing w:before="170"/>
        <w:ind w:left="578" w:right="0" w:firstLine="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3</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18</w:t>
      </w:r>
      <w:r>
        <w:rPr>
          <w:rFonts w:ascii="宋体" w:hAnsi="宋体" w:cs="宋体" w:eastAsia="宋体" w:hint="default"/>
          <w:spacing w:val="-48"/>
          <w:sz w:val="22"/>
          <w:szCs w:val="22"/>
        </w:rPr>
        <w:t> </w:t>
      </w:r>
      <w:r>
        <w:rPr>
          <w:rFonts w:ascii="宋体" w:hAnsi="宋体" w:cs="宋体" w:eastAsia="宋体" w:hint="default"/>
          <w:sz w:val="22"/>
          <w:szCs w:val="22"/>
        </w:rPr>
        <w:t>日，欧盟对原产于中国的货物扫描系统进行反倾销立案调查，2009</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12</w:t>
      </w:r>
      <w:r>
        <w:rPr>
          <w:rFonts w:ascii="宋体" w:hAnsi="宋体" w:cs="宋体" w:eastAsia="宋体" w:hint="default"/>
          <w:spacing w:val="-48"/>
          <w:sz w:val="22"/>
          <w:szCs w:val="22"/>
        </w:rPr>
        <w:t> </w:t>
      </w:r>
      <w:r>
        <w:rPr>
          <w:rFonts w:ascii="宋体" w:hAnsi="宋体" w:cs="宋体" w:eastAsia="宋体" w:hint="default"/>
          <w:sz w:val="22"/>
          <w:szCs w:val="22"/>
        </w:rPr>
        <w:t>月</w:t>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22" w:firstLine="0"/>
        <w:jc w:val="both"/>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70"/>
          <w:sz w:val="22"/>
          <w:szCs w:val="22"/>
        </w:rPr>
        <w:t> </w:t>
      </w:r>
      <w:r>
        <w:rPr>
          <w:rFonts w:ascii="宋体" w:hAnsi="宋体" w:cs="宋体" w:eastAsia="宋体" w:hint="default"/>
          <w:sz w:val="22"/>
          <w:szCs w:val="22"/>
        </w:rPr>
        <w:t>日欧盟委员会发布初步裁定，对原产于中国的货物扫描设备征收</w:t>
      </w:r>
      <w:r>
        <w:rPr>
          <w:rFonts w:ascii="宋体" w:hAnsi="宋体" w:cs="宋体" w:eastAsia="宋体" w:hint="default"/>
          <w:spacing w:val="-70"/>
          <w:sz w:val="22"/>
          <w:szCs w:val="22"/>
        </w:rPr>
        <w:t> </w:t>
      </w:r>
      <w:r>
        <w:rPr>
          <w:rFonts w:ascii="宋体" w:hAnsi="宋体" w:cs="宋体" w:eastAsia="宋体" w:hint="default"/>
          <w:spacing w:val="-4"/>
          <w:sz w:val="22"/>
          <w:szCs w:val="22"/>
        </w:rPr>
        <w:t>36.60%临时反倾销税，为期</w:t>
      </w:r>
      <w:r>
        <w:rPr>
          <w:rFonts w:ascii="宋体" w:hAnsi="宋体" w:cs="宋体" w:eastAsia="宋体" w:hint="default"/>
          <w:spacing w:val="-70"/>
          <w:sz w:val="22"/>
          <w:szCs w:val="22"/>
        </w:rPr>
        <w:t> </w:t>
      </w:r>
      <w:r>
        <w:rPr>
          <w:rFonts w:ascii="宋体" w:hAnsi="宋体" w:cs="宋体" w:eastAsia="宋体" w:hint="default"/>
          <w:sz w:val="22"/>
          <w:szCs w:val="22"/>
        </w:rPr>
        <w:t>6</w:t>
      </w:r>
      <w:r>
        <w:rPr>
          <w:rFonts w:ascii="宋体" w:hAnsi="宋体" w:cs="宋体" w:eastAsia="宋体" w:hint="default"/>
          <w:w w:val="99"/>
          <w:sz w:val="22"/>
          <w:szCs w:val="22"/>
        </w:rPr>
        <w:t> </w:t>
      </w:r>
      <w:r>
        <w:rPr>
          <w:rFonts w:ascii="宋体" w:hAnsi="宋体" w:cs="宋体" w:eastAsia="宋体" w:hint="default"/>
          <w:sz w:val="22"/>
          <w:szCs w:val="22"/>
        </w:rPr>
        <w:t>个月。2010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6</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16</w:t>
      </w:r>
      <w:r>
        <w:rPr>
          <w:rFonts w:ascii="宋体" w:hAnsi="宋体" w:cs="宋体" w:eastAsia="宋体" w:hint="default"/>
          <w:spacing w:val="-47"/>
          <w:sz w:val="22"/>
          <w:szCs w:val="22"/>
        </w:rPr>
        <w:t> </w:t>
      </w:r>
      <w:r>
        <w:rPr>
          <w:rFonts w:ascii="宋体" w:hAnsi="宋体" w:cs="宋体" w:eastAsia="宋体" w:hint="default"/>
          <w:sz w:val="22"/>
          <w:szCs w:val="22"/>
        </w:rPr>
        <w:t>日，欧盟委员会最终裁定，对原产于中国的货物扫描设备征收</w:t>
      </w:r>
      <w:r>
        <w:rPr>
          <w:rFonts w:ascii="宋体" w:hAnsi="宋体" w:cs="宋体" w:eastAsia="宋体" w:hint="default"/>
          <w:spacing w:val="-46"/>
          <w:sz w:val="22"/>
          <w:szCs w:val="22"/>
        </w:rPr>
        <w:t> </w:t>
      </w:r>
      <w:r>
        <w:rPr>
          <w:rFonts w:ascii="宋体" w:hAnsi="宋体" w:cs="宋体" w:eastAsia="宋体" w:hint="default"/>
          <w:sz w:val="22"/>
          <w:szCs w:val="22"/>
        </w:rPr>
        <w:t>34%的反倾</w:t>
      </w:r>
      <w:r>
        <w:rPr>
          <w:rFonts w:ascii="宋体" w:hAnsi="宋体" w:cs="宋体" w:eastAsia="宋体" w:hint="default"/>
          <w:w w:val="99"/>
          <w:sz w:val="22"/>
          <w:szCs w:val="22"/>
        </w:rPr>
        <w:t> </w:t>
      </w:r>
      <w:r>
        <w:rPr>
          <w:rFonts w:ascii="宋体" w:hAnsi="宋体" w:cs="宋体" w:eastAsia="宋体" w:hint="default"/>
          <w:spacing w:val="-3"/>
          <w:sz w:val="22"/>
          <w:szCs w:val="22"/>
        </w:rPr>
        <w:t>销税，为期</w:t>
      </w:r>
      <w:r>
        <w:rPr>
          <w:rFonts w:ascii="宋体" w:hAnsi="宋体" w:cs="宋体" w:eastAsia="宋体" w:hint="default"/>
          <w:spacing w:val="-68"/>
          <w:sz w:val="22"/>
          <w:szCs w:val="22"/>
        </w:rPr>
        <w:t> </w:t>
      </w:r>
      <w:r>
        <w:rPr>
          <w:rFonts w:ascii="宋体" w:hAnsi="宋体" w:cs="宋体" w:eastAsia="宋体" w:hint="default"/>
          <w:sz w:val="22"/>
          <w:szCs w:val="22"/>
        </w:rPr>
        <w:t>5</w:t>
      </w:r>
      <w:r>
        <w:rPr>
          <w:rFonts w:ascii="宋体" w:hAnsi="宋体" w:cs="宋体" w:eastAsia="宋体" w:hint="default"/>
          <w:spacing w:val="-69"/>
          <w:sz w:val="22"/>
          <w:szCs w:val="22"/>
        </w:rPr>
        <w:t> </w:t>
      </w:r>
      <w:r>
        <w:rPr>
          <w:rFonts w:ascii="宋体" w:hAnsi="宋体" w:cs="宋体" w:eastAsia="宋体" w:hint="default"/>
          <w:sz w:val="22"/>
          <w:szCs w:val="22"/>
        </w:rPr>
        <w:t>年。上述事项，对本公司之控股子公司同方威视技术股份有限公司在欧盟市场上的</w:t>
      </w:r>
      <w:r>
        <w:rPr>
          <w:rFonts w:ascii="宋体" w:hAnsi="宋体" w:cs="宋体" w:eastAsia="宋体" w:hint="default"/>
          <w:w w:val="99"/>
          <w:sz w:val="22"/>
          <w:szCs w:val="22"/>
        </w:rPr>
        <w:t> </w:t>
      </w:r>
      <w:r>
        <w:rPr>
          <w:rFonts w:ascii="宋体" w:hAnsi="宋体" w:cs="宋体" w:eastAsia="宋体" w:hint="default"/>
          <w:sz w:val="22"/>
          <w:szCs w:val="22"/>
        </w:rPr>
        <w:t>销售产生了一定影响。</w:t>
      </w:r>
    </w:p>
    <w:p>
      <w:pPr>
        <w:spacing w:line="324" w:lineRule="auto" w:before="103"/>
        <w:ind w:left="138" w:right="86" w:firstLine="440"/>
        <w:jc w:val="left"/>
        <w:rPr>
          <w:rFonts w:ascii="宋体" w:hAnsi="宋体" w:cs="宋体" w:eastAsia="宋体" w:hint="default"/>
          <w:sz w:val="22"/>
          <w:szCs w:val="22"/>
        </w:rPr>
      </w:pPr>
      <w:r>
        <w:rPr>
          <w:rFonts w:ascii="宋体" w:hAnsi="宋体" w:cs="宋体" w:eastAsia="宋体" w:hint="default"/>
          <w:sz w:val="22"/>
          <w:szCs w:val="22"/>
        </w:rPr>
        <w:t>本公司之子公司唐山晶源裕丰电子股份有限公司于</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pacing w:val="-4"/>
          <w:sz w:val="22"/>
          <w:szCs w:val="22"/>
        </w:rPr>
        <w:t>日与本公司、北京清晶微</w:t>
      </w:r>
      <w:r>
        <w:rPr>
          <w:rFonts w:ascii="宋体" w:hAnsi="宋体" w:cs="宋体" w:eastAsia="宋体" w:hint="default"/>
          <w:w w:val="99"/>
          <w:sz w:val="22"/>
          <w:szCs w:val="22"/>
        </w:rPr>
        <w:t> </w:t>
      </w:r>
      <w:r>
        <w:rPr>
          <w:rFonts w:ascii="宋体" w:hAnsi="宋体" w:cs="宋体" w:eastAsia="宋体" w:hint="default"/>
          <w:spacing w:val="-4"/>
          <w:w w:val="99"/>
          <w:sz w:val="22"/>
          <w:szCs w:val="22"/>
        </w:rPr>
        <w:t>电子科技有限公司及赵维健等八位自然人签订了附条件生效的《非公开发行股票购买资产协议》。</w:t>
      </w:r>
      <w:r>
        <w:rPr>
          <w:rFonts w:ascii="宋体" w:hAnsi="宋体" w:cs="宋体" w:eastAsia="宋体" w:hint="default"/>
          <w:spacing w:val="-71"/>
          <w:w w:val="99"/>
          <w:sz w:val="22"/>
          <w:szCs w:val="22"/>
        </w:rPr>
        <w:t> </w:t>
      </w:r>
      <w:r>
        <w:rPr>
          <w:rFonts w:ascii="宋体" w:hAnsi="宋体" w:cs="宋体" w:eastAsia="宋体" w:hint="default"/>
          <w:spacing w:val="-71"/>
          <w:w w:val="99"/>
          <w:sz w:val="22"/>
          <w:szCs w:val="22"/>
        </w:rPr>
      </w:r>
      <w:r>
        <w:rPr>
          <w:rFonts w:ascii="宋体" w:hAnsi="宋体" w:cs="宋体" w:eastAsia="宋体" w:hint="default"/>
          <w:sz w:val="22"/>
          <w:szCs w:val="22"/>
        </w:rPr>
        <w:t>协议约定，唐山晶源裕丰电子股份有限公司拟通过向北京同方微电子有限公司全体股东定向发行</w:t>
      </w:r>
      <w:r>
        <w:rPr>
          <w:rFonts w:ascii="宋体" w:hAnsi="宋体" w:cs="宋体" w:eastAsia="宋体" w:hint="default"/>
          <w:w w:val="99"/>
          <w:sz w:val="22"/>
          <w:szCs w:val="22"/>
        </w:rPr>
        <w:t> 股份的方式购买该公司</w:t>
      </w:r>
      <w:r>
        <w:rPr>
          <w:rFonts w:ascii="宋体" w:hAnsi="宋体" w:cs="宋体" w:eastAsia="宋体" w:hint="default"/>
          <w:spacing w:val="-48"/>
          <w:w w:val="99"/>
          <w:sz w:val="22"/>
          <w:szCs w:val="22"/>
        </w:rPr>
        <w:t> </w:t>
      </w:r>
      <w:r>
        <w:rPr>
          <w:rFonts w:ascii="宋体" w:hAnsi="宋体" w:cs="宋体" w:eastAsia="宋体" w:hint="default"/>
          <w:spacing w:val="-3"/>
          <w:w w:val="99"/>
          <w:sz w:val="22"/>
          <w:szCs w:val="22"/>
        </w:rPr>
        <w:t>100%股权。前述协议已经本公司和唐山晶源裕丰电子股份有限公司临时股</w:t>
      </w:r>
      <w:r>
        <w:rPr>
          <w:rFonts w:ascii="宋体" w:hAnsi="宋体" w:cs="宋体" w:eastAsia="宋体" w:hint="default"/>
          <w:spacing w:val="-97"/>
          <w:w w:val="99"/>
          <w:sz w:val="22"/>
          <w:szCs w:val="22"/>
        </w:rPr>
        <w:t> </w:t>
      </w:r>
      <w:r>
        <w:rPr>
          <w:rFonts w:ascii="宋体" w:hAnsi="宋体" w:cs="宋体" w:eastAsia="宋体" w:hint="default"/>
          <w:spacing w:val="-97"/>
          <w:w w:val="99"/>
          <w:sz w:val="22"/>
          <w:szCs w:val="22"/>
        </w:rPr>
      </w:r>
      <w:r>
        <w:rPr>
          <w:rFonts w:ascii="宋体" w:hAnsi="宋体" w:cs="宋体" w:eastAsia="宋体" w:hint="default"/>
          <w:sz w:val="22"/>
          <w:szCs w:val="22"/>
        </w:rPr>
        <w:t>东大会决议审议通过，清华大学、教育部已经同意了本次重大资产重组方案，但本次合并仍须经</w:t>
      </w:r>
      <w:r>
        <w:rPr>
          <w:rFonts w:ascii="宋体" w:hAnsi="宋体" w:cs="宋体" w:eastAsia="宋体" w:hint="default"/>
          <w:w w:val="99"/>
          <w:sz w:val="22"/>
          <w:szCs w:val="22"/>
        </w:rPr>
        <w:t> </w:t>
      </w:r>
      <w:r>
        <w:rPr>
          <w:rFonts w:ascii="宋体" w:hAnsi="宋体" w:cs="宋体" w:eastAsia="宋体" w:hint="default"/>
          <w:sz w:val="22"/>
          <w:szCs w:val="22"/>
        </w:rPr>
        <w:t>中国证券监督管理委员会和其他相关监管部门的核准通过。</w:t>
      </w:r>
    </w:p>
    <w:p>
      <w:pPr>
        <w:spacing w:before="103"/>
        <w:ind w:left="578" w:right="213" w:firstLine="0"/>
        <w:jc w:val="left"/>
        <w:rPr>
          <w:rFonts w:ascii="宋体" w:hAnsi="宋体" w:cs="宋体" w:eastAsia="宋体" w:hint="default"/>
          <w:sz w:val="22"/>
          <w:szCs w:val="22"/>
        </w:rPr>
      </w:pPr>
      <w:r>
        <w:rPr>
          <w:rFonts w:ascii="宋体" w:hAnsi="宋体" w:cs="宋体" w:eastAsia="宋体" w:hint="default"/>
          <w:sz w:val="22"/>
          <w:szCs w:val="22"/>
        </w:rPr>
        <w:t>除上述事项外，截至</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日，本公司无需披露的其他重要事项。</w:t>
      </w:r>
    </w:p>
    <w:p>
      <w:pPr>
        <w:pStyle w:val="Heading3"/>
        <w:spacing w:line="240" w:lineRule="auto" w:before="164"/>
        <w:ind w:left="620" w:right="213"/>
        <w:jc w:val="left"/>
        <w:rPr>
          <w:b w:val="0"/>
          <w:bCs w:val="0"/>
        </w:rPr>
      </w:pPr>
      <w:bookmarkStart w:name="十五、 母公司财务报表主要项目注释 " w:id="18"/>
      <w:bookmarkEnd w:id="18"/>
      <w:r>
        <w:rPr>
          <w:b w:val="0"/>
          <w:bCs w:val="0"/>
        </w:rPr>
      </w:r>
      <w:r>
        <w:rPr/>
        <w:t>十五、</w:t>
      </w:r>
      <w:r>
        <w:rPr>
          <w:spacing w:val="-68"/>
        </w:rPr>
        <w:t> </w:t>
      </w:r>
      <w:r>
        <w:rPr/>
        <w:t>母公司财务报表主要项目注释</w:t>
      </w:r>
      <w:r>
        <w:rPr>
          <w:b w:val="0"/>
          <w:bCs w:val="0"/>
        </w:rPr>
      </w:r>
    </w:p>
    <w:p>
      <w:pPr>
        <w:tabs>
          <w:tab w:pos="1045" w:val="left" w:leader="none"/>
        </w:tabs>
        <w:spacing w:before="170"/>
        <w:ind w:left="591" w:right="213"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应收账款</w:t>
      </w:r>
    </w:p>
    <w:p>
      <w:pPr>
        <w:spacing w:before="163"/>
        <w:ind w:left="591" w:right="213" w:firstLine="0"/>
        <w:jc w:val="left"/>
        <w:rPr>
          <w:rFonts w:ascii="宋体" w:hAnsi="宋体" w:cs="宋体" w:eastAsia="宋体" w:hint="default"/>
          <w:sz w:val="22"/>
          <w:szCs w:val="22"/>
        </w:rPr>
      </w:pPr>
      <w:r>
        <w:rPr/>
        <w:pict>
          <v:group style="position:absolute;margin-left:70.440002pt;margin-top:31.469566pt;width:461pt;height:.1pt;mso-position-horizontal-relative:page;mso-position-vertical-relative:paragraph;z-index:-1043848" coordorigin="1409,629" coordsize="9220,2">
            <v:shape style="position:absolute;left:1409;top:629;width:9220;height:2" coordorigin="1409,629" coordsize="9220,0" path="m1409,629l10628,629e" filled="false" stroked="true" strokeweight="1.5pt" strokecolor="#000000">
              <v:path arrowok="t"/>
            </v:shape>
            <w10:wrap type="none"/>
          </v:group>
        </w:pic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应收账款风险分类</w:t>
      </w:r>
    </w:p>
    <w:p>
      <w:pPr>
        <w:spacing w:line="240" w:lineRule="auto" w:before="1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730"/>
        <w:gridCol w:w="1352"/>
        <w:gridCol w:w="781"/>
        <w:gridCol w:w="1346"/>
        <w:gridCol w:w="781"/>
        <w:gridCol w:w="1345"/>
        <w:gridCol w:w="781"/>
        <w:gridCol w:w="1345"/>
        <w:gridCol w:w="774"/>
      </w:tblGrid>
      <w:tr>
        <w:trPr>
          <w:trHeight w:val="618" w:hRule="exact"/>
        </w:trPr>
        <w:tc>
          <w:tcPr>
            <w:tcW w:w="9234" w:type="dxa"/>
            <w:gridSpan w:val="9"/>
            <w:tcBorders>
              <w:top w:val="nil" w:sz="6" w:space="0" w:color="auto"/>
              <w:left w:val="nil" w:sz="6" w:space="0" w:color="auto"/>
              <w:bottom w:val="nil" w:sz="6" w:space="0" w:color="auto"/>
              <w:right w:val="nil" w:sz="6" w:space="0" w:color="auto"/>
            </w:tcBorders>
          </w:tcPr>
          <w:p>
            <w:pPr>
              <w:pStyle w:val="TableParagraph"/>
              <w:tabs>
                <w:tab w:pos="6793" w:val="left" w:leader="none"/>
              </w:tabs>
              <w:spacing w:line="240" w:lineRule="auto" w:before="50"/>
              <w:ind w:left="2540" w:right="0"/>
              <w:jc w:val="left"/>
              <w:rPr>
                <w:rFonts w:ascii="宋体" w:hAnsi="宋体" w:cs="宋体" w:eastAsia="宋体" w:hint="default"/>
                <w:sz w:val="16"/>
                <w:szCs w:val="16"/>
              </w:rPr>
            </w:pPr>
            <w:r>
              <w:rPr>
                <w:rFonts w:ascii="宋体" w:hAnsi="宋体" w:cs="宋体" w:eastAsia="宋体" w:hint="default"/>
                <w:b/>
                <w:bCs/>
                <w:w w:val="95"/>
                <w:sz w:val="16"/>
                <w:szCs w:val="16"/>
              </w:rPr>
              <w:t>年末金额</w:t>
              <w:tab/>
            </w:r>
            <w:r>
              <w:rPr>
                <w:rFonts w:ascii="宋体" w:hAnsi="宋体" w:cs="宋体" w:eastAsia="宋体" w:hint="default"/>
                <w:b/>
                <w:bCs/>
                <w:sz w:val="16"/>
                <w:szCs w:val="16"/>
              </w:rPr>
              <w:t>年初金额</w:t>
            </w:r>
            <w:r>
              <w:rPr>
                <w:rFonts w:ascii="宋体" w:hAnsi="宋体" w:cs="宋体" w:eastAsia="宋体" w:hint="default"/>
                <w:sz w:val="16"/>
                <w:szCs w:val="16"/>
              </w:rPr>
            </w:r>
          </w:p>
          <w:p>
            <w:pPr>
              <w:pStyle w:val="TableParagraph"/>
              <w:spacing w:line="240" w:lineRule="auto" w:before="8"/>
              <w:ind w:right="0"/>
              <w:jc w:val="left"/>
              <w:rPr>
                <w:rFonts w:ascii="宋体" w:hAnsi="宋体" w:cs="宋体" w:eastAsia="宋体" w:hint="default"/>
                <w:sz w:val="4"/>
                <w:szCs w:val="4"/>
              </w:rPr>
            </w:pPr>
          </w:p>
          <w:p>
            <w:pPr>
              <w:pStyle w:val="TableParagraph"/>
              <w:spacing w:line="20" w:lineRule="exact"/>
              <w:ind w:left="724" w:right="-55"/>
              <w:jc w:val="left"/>
              <w:rPr>
                <w:rFonts w:ascii="宋体" w:hAnsi="宋体" w:cs="宋体" w:eastAsia="宋体" w:hint="default"/>
                <w:sz w:val="2"/>
                <w:szCs w:val="2"/>
              </w:rPr>
            </w:pPr>
            <w:r>
              <w:rPr>
                <w:rFonts w:ascii="宋体" w:hAnsi="宋体" w:cs="宋体" w:eastAsia="宋体" w:hint="default"/>
                <w:sz w:val="2"/>
                <w:szCs w:val="2"/>
              </w:rPr>
              <w:pict>
                <v:group style="width:425.7pt;height:.5pt;mso-position-horizontal-relative:char;mso-position-vertical-relative:line" coordorigin="0,0" coordsize="8514,10">
                  <v:group style="position:absolute;left:5;top:5;width:8505;height:2" coordorigin="5,5" coordsize="8505,2">
                    <v:shape style="position:absolute;left:5;top:5;width:8505;height:2" coordorigin="5,5" coordsize="8505,0" path="m5,5l8509,5e" filled="false" stroked="true" strokeweight=".48pt" strokecolor="#000000">
                      <v:path arrowok="t"/>
                    </v:shape>
                  </v:group>
                </v:group>
              </w:pict>
            </w:r>
            <w:r>
              <w:rPr>
                <w:rFonts w:ascii="宋体" w:hAnsi="宋体" w:cs="宋体" w:eastAsia="宋体" w:hint="default"/>
                <w:sz w:val="2"/>
                <w:szCs w:val="2"/>
              </w:rPr>
            </w:r>
          </w:p>
          <w:p>
            <w:pPr>
              <w:pStyle w:val="TableParagraph"/>
              <w:tabs>
                <w:tab w:pos="1478" w:val="left" w:leader="none"/>
                <w:tab w:pos="3604" w:val="left" w:leader="none"/>
                <w:tab w:pos="5731" w:val="left" w:leader="none"/>
                <w:tab w:pos="7856" w:val="left" w:leader="none"/>
              </w:tabs>
              <w:spacing w:line="240" w:lineRule="auto"/>
              <w:ind w:left="115" w:right="0"/>
              <w:jc w:val="left"/>
              <w:rPr>
                <w:rFonts w:ascii="宋体" w:hAnsi="宋体" w:cs="宋体" w:eastAsia="宋体" w:hint="default"/>
                <w:sz w:val="16"/>
                <w:szCs w:val="16"/>
              </w:rPr>
            </w:pPr>
            <w:r>
              <w:rPr>
                <w:rFonts w:ascii="宋体" w:hAnsi="宋体" w:cs="宋体" w:eastAsia="宋体" w:hint="default"/>
                <w:b/>
                <w:bCs/>
                <w:w w:val="95"/>
                <w:position w:val="1"/>
                <w:sz w:val="16"/>
                <w:szCs w:val="16"/>
              </w:rPr>
              <w:t>项目</w:t>
              <w:tab/>
            </w:r>
            <w:r>
              <w:rPr>
                <w:rFonts w:ascii="宋体" w:hAnsi="宋体" w:cs="宋体" w:eastAsia="宋体" w:hint="default"/>
                <w:b/>
                <w:bCs/>
                <w:w w:val="95"/>
                <w:sz w:val="16"/>
                <w:szCs w:val="16"/>
              </w:rPr>
              <w:t>账面余额</w:t>
              <w:tab/>
              <w:t>坏账准备</w:t>
              <w:tab/>
              <w:t>账面余额</w:t>
              <w:tab/>
            </w:r>
            <w:r>
              <w:rPr>
                <w:rFonts w:ascii="宋体" w:hAnsi="宋体" w:cs="宋体" w:eastAsia="宋体" w:hint="default"/>
                <w:b/>
                <w:bCs/>
                <w:sz w:val="16"/>
                <w:szCs w:val="16"/>
              </w:rPr>
              <w:t>坏账准备</w:t>
            </w:r>
            <w:r>
              <w:rPr>
                <w:rFonts w:ascii="宋体" w:hAnsi="宋体" w:cs="宋体" w:eastAsia="宋体" w:hint="default"/>
                <w:sz w:val="16"/>
                <w:szCs w:val="16"/>
              </w:rPr>
            </w:r>
          </w:p>
        </w:tc>
      </w:tr>
      <w:tr>
        <w:trPr>
          <w:trHeight w:val="294" w:hRule="exact"/>
        </w:trPr>
        <w:tc>
          <w:tcPr>
            <w:tcW w:w="730" w:type="dxa"/>
            <w:tcBorders>
              <w:top w:val="nil" w:sz="6" w:space="0" w:color="auto"/>
              <w:left w:val="nil" w:sz="6" w:space="0" w:color="auto"/>
              <w:bottom w:val="single" w:sz="4" w:space="0" w:color="000000"/>
              <w:right w:val="nil" w:sz="6" w:space="0" w:color="auto"/>
            </w:tcBorders>
          </w:tcPr>
          <w:p>
            <w:pPr/>
          </w:p>
        </w:tc>
        <w:tc>
          <w:tcPr>
            <w:tcW w:w="13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6"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7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5" w:right="0"/>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r>
      <w:tr>
        <w:trPr>
          <w:trHeight w:val="1407" w:hRule="exact"/>
        </w:trPr>
        <w:tc>
          <w:tcPr>
            <w:tcW w:w="730" w:type="dxa"/>
            <w:tcBorders>
              <w:top w:val="single" w:sz="4" w:space="0" w:color="000000"/>
              <w:left w:val="nil" w:sz="6" w:space="0" w:color="auto"/>
              <w:bottom w:val="nil" w:sz="6" w:space="0" w:color="auto"/>
              <w:right w:val="nil" w:sz="6" w:space="0" w:color="auto"/>
            </w:tcBorders>
          </w:tcPr>
          <w:p>
            <w:pPr>
              <w:pStyle w:val="TableParagraph"/>
              <w:spacing w:line="200" w:lineRule="exact"/>
              <w:ind w:left="115" w:right="83"/>
              <w:jc w:val="both"/>
              <w:rPr>
                <w:rFonts w:ascii="宋体" w:hAnsi="宋体" w:cs="宋体" w:eastAsia="宋体" w:hint="default"/>
                <w:sz w:val="16"/>
                <w:szCs w:val="16"/>
              </w:rPr>
            </w:pPr>
            <w:r>
              <w:rPr>
                <w:rFonts w:ascii="宋体" w:hAnsi="宋体" w:cs="宋体" w:eastAsia="宋体" w:hint="default"/>
                <w:spacing w:val="10"/>
                <w:sz w:val="16"/>
                <w:szCs w:val="16"/>
              </w:rPr>
              <w:t>按组合</w:t>
            </w:r>
            <w:r>
              <w:rPr>
                <w:rFonts w:ascii="宋体" w:hAnsi="宋体" w:cs="宋体" w:eastAsia="宋体" w:hint="default"/>
                <w:spacing w:val="-64"/>
                <w:sz w:val="16"/>
                <w:szCs w:val="16"/>
              </w:rPr>
              <w:t> </w:t>
            </w:r>
            <w:r>
              <w:rPr>
                <w:rFonts w:ascii="宋体" w:hAnsi="宋体" w:cs="宋体" w:eastAsia="宋体" w:hint="default"/>
                <w:spacing w:val="10"/>
                <w:sz w:val="16"/>
                <w:szCs w:val="16"/>
              </w:rPr>
              <w:t>计提坏</w:t>
            </w:r>
            <w:r>
              <w:rPr>
                <w:rFonts w:ascii="宋体" w:hAnsi="宋体" w:cs="宋体" w:eastAsia="宋体" w:hint="default"/>
                <w:spacing w:val="-64"/>
                <w:sz w:val="16"/>
                <w:szCs w:val="16"/>
              </w:rPr>
              <w:t> </w:t>
            </w:r>
            <w:r>
              <w:rPr>
                <w:rFonts w:ascii="宋体" w:hAnsi="宋体" w:cs="宋体" w:eastAsia="宋体" w:hint="default"/>
                <w:sz w:val="16"/>
                <w:szCs w:val="16"/>
              </w:rPr>
            </w:r>
          </w:p>
          <w:p>
            <w:pPr>
              <w:pStyle w:val="TableParagraph"/>
              <w:spacing w:line="178" w:lineRule="exact"/>
              <w:ind w:left="115" w:right="0"/>
              <w:jc w:val="both"/>
              <w:rPr>
                <w:rFonts w:ascii="宋体" w:hAnsi="宋体" w:cs="宋体" w:eastAsia="宋体" w:hint="default"/>
                <w:sz w:val="16"/>
                <w:szCs w:val="16"/>
              </w:rPr>
            </w:pPr>
            <w:r>
              <w:rPr>
                <w:rFonts w:ascii="宋体" w:hAnsi="宋体" w:cs="宋体" w:eastAsia="宋体" w:hint="default"/>
                <w:spacing w:val="10"/>
                <w:sz w:val="16"/>
                <w:szCs w:val="16"/>
              </w:rPr>
              <w:t>账准备</w:t>
            </w:r>
            <w:r>
              <w:rPr>
                <w:rFonts w:ascii="宋体" w:hAnsi="宋体" w:cs="宋体" w:eastAsia="宋体" w:hint="default"/>
                <w:spacing w:val="-64"/>
                <w:sz w:val="16"/>
                <w:szCs w:val="16"/>
              </w:rPr>
              <w:t> </w:t>
            </w:r>
            <w:r>
              <w:rPr>
                <w:rFonts w:ascii="宋体" w:hAnsi="宋体" w:cs="宋体" w:eastAsia="宋体" w:hint="default"/>
                <w:sz w:val="16"/>
                <w:szCs w:val="16"/>
              </w:rPr>
            </w:r>
          </w:p>
          <w:p>
            <w:pPr>
              <w:pStyle w:val="TableParagraph"/>
              <w:spacing w:line="230" w:lineRule="auto" w:before="3"/>
              <w:ind w:left="115" w:right="83"/>
              <w:jc w:val="both"/>
              <w:rPr>
                <w:rFonts w:ascii="宋体" w:hAnsi="宋体" w:cs="宋体" w:eastAsia="宋体" w:hint="default"/>
                <w:sz w:val="16"/>
                <w:szCs w:val="16"/>
              </w:rPr>
            </w:pPr>
            <w:r>
              <w:rPr>
                <w:rFonts w:ascii="宋体" w:hAnsi="宋体" w:cs="宋体" w:eastAsia="宋体" w:hint="default"/>
                <w:spacing w:val="10"/>
                <w:sz w:val="16"/>
                <w:szCs w:val="16"/>
              </w:rPr>
              <w:t>的应收</w:t>
            </w:r>
            <w:r>
              <w:rPr>
                <w:rFonts w:ascii="宋体" w:hAnsi="宋体" w:cs="宋体" w:eastAsia="宋体" w:hint="default"/>
                <w:spacing w:val="-64"/>
                <w:sz w:val="16"/>
                <w:szCs w:val="16"/>
              </w:rPr>
              <w:t> </w:t>
            </w:r>
            <w:r>
              <w:rPr>
                <w:rFonts w:ascii="宋体" w:hAnsi="宋体" w:cs="宋体" w:eastAsia="宋体" w:hint="default"/>
                <w:sz w:val="16"/>
                <w:szCs w:val="16"/>
              </w:rPr>
              <w:t>账款：</w:t>
            </w:r>
            <w:r>
              <w:rPr>
                <w:rFonts w:ascii="宋体" w:hAnsi="宋体" w:cs="宋体" w:eastAsia="宋体" w:hint="default"/>
                <w:w w:val="99"/>
                <w:sz w:val="16"/>
                <w:szCs w:val="16"/>
              </w:rPr>
              <w:t> </w:t>
            </w:r>
            <w:r>
              <w:rPr>
                <w:rFonts w:ascii="宋体" w:hAnsi="宋体" w:cs="宋体" w:eastAsia="宋体" w:hint="default"/>
                <w:spacing w:val="10"/>
                <w:sz w:val="16"/>
                <w:szCs w:val="16"/>
              </w:rPr>
              <w:t>账龄组</w:t>
            </w:r>
            <w:r>
              <w:rPr>
                <w:rFonts w:ascii="宋体" w:hAnsi="宋体" w:cs="宋体" w:eastAsia="宋体" w:hint="default"/>
                <w:spacing w:val="-64"/>
                <w:sz w:val="16"/>
                <w:szCs w:val="16"/>
              </w:rPr>
              <w:t> </w:t>
            </w:r>
            <w:r>
              <w:rPr>
                <w:rFonts w:ascii="宋体" w:hAnsi="宋体" w:cs="宋体" w:eastAsia="宋体" w:hint="default"/>
                <w:sz w:val="16"/>
                <w:szCs w:val="16"/>
              </w:rPr>
              <w:t>合</w:t>
            </w: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sz w:val="16"/>
              </w:rPr>
              <w:t>762,007,496.45</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6"/>
                <w:szCs w:val="16"/>
              </w:rPr>
            </w:pPr>
            <w:r>
              <w:rPr>
                <w:rFonts w:ascii="宋体"/>
                <w:sz w:val="16"/>
              </w:rPr>
              <w:t>100.00%</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6"/>
                <w:szCs w:val="16"/>
              </w:rPr>
            </w:pPr>
            <w:r>
              <w:rPr>
                <w:rFonts w:ascii="宋体"/>
                <w:sz w:val="16"/>
              </w:rPr>
              <w:t>167,813,595.79</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6"/>
                <w:szCs w:val="16"/>
              </w:rPr>
            </w:pPr>
            <w:r>
              <w:rPr>
                <w:rFonts w:ascii="宋体"/>
                <w:sz w:val="16"/>
              </w:rPr>
              <w:t>100.00%</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6"/>
                <w:szCs w:val="16"/>
              </w:rPr>
            </w:pPr>
            <w:r>
              <w:rPr>
                <w:rFonts w:ascii="宋体"/>
                <w:sz w:val="16"/>
              </w:rPr>
              <w:t>789,704,585.66</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6"/>
                <w:szCs w:val="16"/>
              </w:rPr>
            </w:pPr>
            <w:r>
              <w:rPr>
                <w:rFonts w:ascii="宋体"/>
                <w:sz w:val="16"/>
              </w:rPr>
              <w:t>100.00%</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6"/>
                <w:szCs w:val="16"/>
              </w:rPr>
            </w:pPr>
            <w:r>
              <w:rPr>
                <w:rFonts w:ascii="宋体"/>
                <w:sz w:val="16"/>
              </w:rPr>
              <w:t>228,404,574.74</w:t>
            </w:r>
          </w:p>
        </w:tc>
        <w:tc>
          <w:tcPr>
            <w:tcW w:w="7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6"/>
                <w:szCs w:val="16"/>
              </w:rPr>
            </w:pPr>
            <w:r>
              <w:rPr>
                <w:rFonts w:ascii="宋体"/>
                <w:sz w:val="16"/>
              </w:rPr>
              <w:t>100.00%</w:t>
            </w:r>
          </w:p>
        </w:tc>
      </w:tr>
      <w:tr>
        <w:trPr>
          <w:trHeight w:val="371"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176" w:lineRule="exact"/>
              <w:ind w:left="115" w:right="0"/>
              <w:jc w:val="left"/>
              <w:rPr>
                <w:rFonts w:ascii="宋体" w:hAnsi="宋体" w:cs="宋体" w:eastAsia="宋体" w:hint="default"/>
                <w:sz w:val="16"/>
                <w:szCs w:val="16"/>
              </w:rPr>
            </w:pPr>
            <w:r>
              <w:rPr>
                <w:rFonts w:ascii="宋体" w:hAnsi="宋体" w:cs="宋体" w:eastAsia="宋体" w:hint="default"/>
                <w:spacing w:val="10"/>
                <w:sz w:val="16"/>
                <w:szCs w:val="16"/>
              </w:rPr>
              <w:t>组合小</w:t>
            </w:r>
            <w:r>
              <w:rPr>
                <w:rFonts w:ascii="宋体" w:hAnsi="宋体" w:cs="宋体" w:eastAsia="宋体" w:hint="default"/>
                <w:spacing w:val="-64"/>
                <w:sz w:val="16"/>
                <w:szCs w:val="16"/>
              </w:rPr>
              <w:t> </w:t>
            </w:r>
            <w:r>
              <w:rPr>
                <w:rFonts w:ascii="宋体" w:hAnsi="宋体" w:cs="宋体" w:eastAsia="宋体" w:hint="default"/>
                <w:sz w:val="16"/>
                <w:szCs w:val="16"/>
              </w:rPr>
            </w:r>
          </w:p>
          <w:p>
            <w:pPr>
              <w:pStyle w:val="TableParagraph"/>
              <w:spacing w:line="204" w:lineRule="exact"/>
              <w:ind w:left="115" w:right="0"/>
              <w:jc w:val="left"/>
              <w:rPr>
                <w:rFonts w:ascii="宋体" w:hAnsi="宋体" w:cs="宋体" w:eastAsia="宋体" w:hint="default"/>
                <w:sz w:val="16"/>
                <w:szCs w:val="16"/>
              </w:rPr>
            </w:pPr>
            <w:r>
              <w:rPr>
                <w:rFonts w:ascii="宋体" w:hAnsi="宋体" w:cs="宋体" w:eastAsia="宋体" w:hint="default"/>
                <w:w w:val="99"/>
                <w:sz w:val="16"/>
                <w:szCs w:val="16"/>
              </w:rPr>
              <w:t>计</w:t>
            </w:r>
            <w:r>
              <w:rPr>
                <w:rFonts w:ascii="宋体" w:hAnsi="宋体" w:cs="宋体" w:eastAsia="宋体" w:hint="default"/>
                <w:sz w:val="16"/>
                <w:szCs w:val="16"/>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7" w:right="0"/>
              <w:jc w:val="center"/>
              <w:rPr>
                <w:rFonts w:ascii="宋体" w:hAnsi="宋体" w:cs="宋体" w:eastAsia="宋体" w:hint="default"/>
                <w:sz w:val="16"/>
                <w:szCs w:val="16"/>
              </w:rPr>
            </w:pPr>
            <w:r>
              <w:rPr>
                <w:rFonts w:ascii="宋体"/>
                <w:sz w:val="16"/>
              </w:rPr>
              <w:t>762,007,496.45</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 w:right="0"/>
              <w:jc w:val="center"/>
              <w:rPr>
                <w:rFonts w:ascii="宋体" w:hAnsi="宋体" w:cs="宋体" w:eastAsia="宋体" w:hint="default"/>
                <w:sz w:val="16"/>
                <w:szCs w:val="16"/>
              </w:rPr>
            </w:pPr>
            <w:r>
              <w:rPr>
                <w:rFonts w:ascii="宋体"/>
                <w:sz w:val="16"/>
              </w:rPr>
              <w:t>100.00%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 w:right="0"/>
              <w:jc w:val="center"/>
              <w:rPr>
                <w:rFonts w:ascii="宋体" w:hAnsi="宋体" w:cs="宋体" w:eastAsia="宋体" w:hint="default"/>
                <w:sz w:val="16"/>
                <w:szCs w:val="16"/>
              </w:rPr>
            </w:pPr>
            <w:r>
              <w:rPr>
                <w:rFonts w:ascii="宋体"/>
                <w:sz w:val="16"/>
              </w:rPr>
              <w:t>167,813,595.79</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 w:right="0"/>
              <w:jc w:val="center"/>
              <w:rPr>
                <w:rFonts w:ascii="宋体" w:hAnsi="宋体" w:cs="宋体" w:eastAsia="宋体" w:hint="default"/>
                <w:sz w:val="16"/>
                <w:szCs w:val="16"/>
              </w:rPr>
            </w:pPr>
            <w:r>
              <w:rPr>
                <w:rFonts w:ascii="宋体"/>
                <w:sz w:val="16"/>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 w:right="0"/>
              <w:jc w:val="center"/>
              <w:rPr>
                <w:rFonts w:ascii="宋体" w:hAnsi="宋体" w:cs="宋体" w:eastAsia="宋体" w:hint="default"/>
                <w:sz w:val="16"/>
                <w:szCs w:val="16"/>
              </w:rPr>
            </w:pPr>
            <w:r>
              <w:rPr>
                <w:rFonts w:ascii="宋体"/>
                <w:sz w:val="16"/>
              </w:rPr>
              <w:t>789,704,585.66</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 w:right="0"/>
              <w:jc w:val="center"/>
              <w:rPr>
                <w:rFonts w:ascii="宋体" w:hAnsi="宋体" w:cs="宋体" w:eastAsia="宋体" w:hint="default"/>
                <w:sz w:val="16"/>
                <w:szCs w:val="16"/>
              </w:rPr>
            </w:pPr>
            <w:r>
              <w:rPr>
                <w:rFonts w:ascii="宋体"/>
                <w:sz w:val="16"/>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 w:right="0"/>
              <w:jc w:val="center"/>
              <w:rPr>
                <w:rFonts w:ascii="宋体" w:hAnsi="宋体" w:cs="宋体" w:eastAsia="宋体" w:hint="default"/>
                <w:sz w:val="16"/>
                <w:szCs w:val="16"/>
              </w:rPr>
            </w:pPr>
            <w:r>
              <w:rPr>
                <w:rFonts w:ascii="宋体"/>
                <w:sz w:val="16"/>
              </w:rPr>
              <w:t>228,404,574.74</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 w:right="0"/>
              <w:jc w:val="center"/>
              <w:rPr>
                <w:rFonts w:ascii="宋体" w:hAnsi="宋体" w:cs="宋体" w:eastAsia="宋体" w:hint="default"/>
                <w:sz w:val="16"/>
                <w:szCs w:val="16"/>
              </w:rPr>
            </w:pPr>
            <w:r>
              <w:rPr>
                <w:rFonts w:ascii="宋体"/>
                <w:sz w:val="16"/>
              </w:rPr>
              <w:t>100.00%</w:t>
            </w:r>
          </w:p>
        </w:tc>
      </w:tr>
      <w:tr>
        <w:trPr>
          <w:trHeight w:val="326" w:hRule="exact"/>
        </w:trPr>
        <w:tc>
          <w:tcPr>
            <w:tcW w:w="730"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left="115"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52"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left="4" w:right="0"/>
              <w:jc w:val="center"/>
              <w:rPr>
                <w:rFonts w:ascii="宋体" w:hAnsi="宋体" w:cs="宋体" w:eastAsia="宋体" w:hint="default"/>
                <w:sz w:val="16"/>
                <w:szCs w:val="16"/>
              </w:rPr>
            </w:pPr>
            <w:r>
              <w:rPr>
                <w:rFonts w:ascii="宋体"/>
                <w:b/>
                <w:sz w:val="16"/>
              </w:rPr>
              <w:t>762,007,496.45</w:t>
            </w:r>
            <w:r>
              <w:rPr>
                <w:rFonts w:ascii="宋体"/>
                <w:sz w:val="16"/>
              </w:rPr>
            </w:r>
          </w:p>
        </w:tc>
        <w:tc>
          <w:tcPr>
            <w:tcW w:w="781"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0"/>
              <w:jc w:val="center"/>
              <w:rPr>
                <w:rFonts w:ascii="宋体" w:hAnsi="宋体" w:cs="宋体" w:eastAsia="宋体" w:hint="default"/>
                <w:sz w:val="16"/>
                <w:szCs w:val="16"/>
              </w:rPr>
            </w:pPr>
            <w:r>
              <w:rPr>
                <w:rFonts w:ascii="宋体"/>
                <w:b/>
                <w:sz w:val="16"/>
              </w:rPr>
              <w:t>100.00%</w:t>
            </w:r>
            <w:r>
              <w:rPr>
                <w:rFonts w:ascii="宋体"/>
                <w:sz w:val="16"/>
              </w:rPr>
            </w: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1"/>
              <w:jc w:val="center"/>
              <w:rPr>
                <w:rFonts w:ascii="宋体" w:hAnsi="宋体" w:cs="宋体" w:eastAsia="宋体" w:hint="default"/>
                <w:sz w:val="16"/>
                <w:szCs w:val="16"/>
              </w:rPr>
            </w:pPr>
            <w:r>
              <w:rPr>
                <w:rFonts w:ascii="宋体"/>
                <w:b/>
                <w:sz w:val="16"/>
              </w:rPr>
              <w:t>167,813,595.79</w:t>
            </w:r>
            <w:r>
              <w:rPr>
                <w:rFonts w:ascii="宋体"/>
                <w:sz w:val="16"/>
              </w:rPr>
            </w:r>
          </w:p>
        </w:tc>
        <w:tc>
          <w:tcPr>
            <w:tcW w:w="781"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1"/>
              <w:jc w:val="center"/>
              <w:rPr>
                <w:rFonts w:ascii="宋体" w:hAnsi="宋体" w:cs="宋体" w:eastAsia="宋体" w:hint="default"/>
                <w:sz w:val="16"/>
                <w:szCs w:val="16"/>
              </w:rPr>
            </w:pPr>
            <w:r>
              <w:rPr>
                <w:rFonts w:ascii="宋体"/>
                <w:b/>
                <w:sz w:val="16"/>
              </w:rPr>
              <w:t>100.00%</w:t>
            </w:r>
            <w:r>
              <w:rPr>
                <w:rFonts w:ascii="宋体"/>
                <w:sz w:val="16"/>
              </w:rPr>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0"/>
              <w:jc w:val="center"/>
              <w:rPr>
                <w:rFonts w:ascii="宋体" w:hAnsi="宋体" w:cs="宋体" w:eastAsia="宋体" w:hint="default"/>
                <w:sz w:val="16"/>
                <w:szCs w:val="16"/>
              </w:rPr>
            </w:pPr>
            <w:r>
              <w:rPr>
                <w:rFonts w:ascii="宋体"/>
                <w:b/>
                <w:sz w:val="16"/>
              </w:rPr>
              <w:t>789,704,585.66</w:t>
            </w:r>
            <w:r>
              <w:rPr>
                <w:rFonts w:ascii="宋体"/>
                <w:sz w:val="16"/>
              </w:rPr>
            </w:r>
          </w:p>
        </w:tc>
        <w:tc>
          <w:tcPr>
            <w:tcW w:w="781"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1"/>
              <w:jc w:val="center"/>
              <w:rPr>
                <w:rFonts w:ascii="宋体" w:hAnsi="宋体" w:cs="宋体" w:eastAsia="宋体" w:hint="default"/>
                <w:sz w:val="16"/>
                <w:szCs w:val="16"/>
              </w:rPr>
            </w:pPr>
            <w:r>
              <w:rPr>
                <w:rFonts w:ascii="宋体"/>
                <w:b/>
                <w:sz w:val="16"/>
              </w:rPr>
              <w:t>100.00%</w:t>
            </w:r>
            <w:r>
              <w:rPr>
                <w:rFonts w:ascii="宋体"/>
                <w:sz w:val="16"/>
              </w:rPr>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0"/>
              <w:jc w:val="center"/>
              <w:rPr>
                <w:rFonts w:ascii="宋体" w:hAnsi="宋体" w:cs="宋体" w:eastAsia="宋体" w:hint="default"/>
                <w:sz w:val="16"/>
                <w:szCs w:val="16"/>
              </w:rPr>
            </w:pPr>
            <w:r>
              <w:rPr>
                <w:rFonts w:ascii="宋体"/>
                <w:b/>
                <w:sz w:val="16"/>
              </w:rPr>
              <w:t>228,404,574.74</w:t>
            </w:r>
            <w:r>
              <w:rPr>
                <w:rFonts w:ascii="宋体"/>
                <w:sz w:val="16"/>
              </w:rPr>
            </w:r>
          </w:p>
        </w:tc>
        <w:tc>
          <w:tcPr>
            <w:tcW w:w="774"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left="5" w:right="0"/>
              <w:jc w:val="center"/>
              <w:rPr>
                <w:rFonts w:ascii="宋体" w:hAnsi="宋体" w:cs="宋体" w:eastAsia="宋体" w:hint="default"/>
                <w:sz w:val="16"/>
                <w:szCs w:val="16"/>
              </w:rPr>
            </w:pPr>
            <w:r>
              <w:rPr>
                <w:rFonts w:ascii="宋体"/>
                <w:b/>
                <w:sz w:val="16"/>
              </w:rPr>
              <w:t>100.00%</w:t>
            </w:r>
            <w:r>
              <w:rPr>
                <w:rFonts w:ascii="宋体"/>
                <w:sz w:val="16"/>
              </w:rPr>
            </w:r>
          </w:p>
        </w:tc>
      </w:tr>
      <w:tr>
        <w:trPr>
          <w:trHeight w:val="818" w:hRule="exact"/>
        </w:trPr>
        <w:tc>
          <w:tcPr>
            <w:tcW w:w="923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9"/>
              <w:ind w:left="591"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按账龄分析法计提坏账准备的应收账款</w:t>
            </w:r>
          </w:p>
          <w:p>
            <w:pPr>
              <w:pStyle w:val="TableParagraph"/>
              <w:spacing w:line="240" w:lineRule="auto" w:before="6"/>
              <w:ind w:right="0"/>
              <w:jc w:val="left"/>
              <w:rPr>
                <w:rFonts w:ascii="宋体" w:hAnsi="宋体" w:cs="宋体" w:eastAsia="宋体" w:hint="default"/>
                <w:sz w:val="12"/>
                <w:szCs w:val="12"/>
              </w:rPr>
            </w:pPr>
          </w:p>
          <w:p>
            <w:pPr>
              <w:pStyle w:val="TableParagraph"/>
              <w:spacing w:line="30" w:lineRule="exact"/>
              <w:ind w:left="294" w:right="0"/>
              <w:jc w:val="left"/>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pStyle w:val="TableParagraph"/>
              <w:tabs>
                <w:tab w:pos="6673" w:val="left" w:leader="none"/>
              </w:tabs>
              <w:spacing w:line="240" w:lineRule="auto"/>
              <w:ind w:left="2850" w:right="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tc>
      </w:tr>
    </w:tbl>
    <w:p>
      <w:pPr>
        <w:spacing w:line="240" w:lineRule="auto" w:before="4"/>
        <w:rPr>
          <w:rFonts w:ascii="宋体" w:hAnsi="宋体" w:cs="宋体" w:eastAsia="宋体" w:hint="default"/>
          <w:sz w:val="4"/>
          <w:szCs w:val="4"/>
        </w:rPr>
      </w:pPr>
    </w:p>
    <w:p>
      <w:pPr>
        <w:spacing w:line="20" w:lineRule="exact"/>
        <w:ind w:left="1403" w:right="0" w:firstLine="0"/>
        <w:rPr>
          <w:rFonts w:ascii="宋体" w:hAnsi="宋体" w:cs="宋体" w:eastAsia="宋体" w:hint="default"/>
          <w:sz w:val="2"/>
          <w:szCs w:val="2"/>
        </w:rPr>
      </w:pPr>
      <w:r>
        <w:rPr>
          <w:rFonts w:ascii="宋体" w:hAnsi="宋体" w:cs="宋体" w:eastAsia="宋体" w:hint="default"/>
          <w:sz w:val="2"/>
          <w:szCs w:val="2"/>
        </w:rPr>
        <w:pict>
          <v:group style="width:382.8pt;height:.5pt;mso-position-horizontal-relative:char;mso-position-vertical-relative:line" coordorigin="0,0" coordsize="7656,10">
            <v:group style="position:absolute;left:5;top:5;width:7647;height:2" coordorigin="5,5" coordsize="7647,2">
              <v:shape style="position:absolute;left:5;top:5;width:7647;height:2" coordorigin="5,5" coordsize="7647,0" path="m5,5l7651,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391" w:lineRule="auto" w:before="31"/>
        <w:ind w:left="591" w:right="840" w:firstLine="0"/>
        <w:jc w:val="left"/>
        <w:rPr>
          <w:rFonts w:ascii="宋体" w:hAnsi="宋体" w:cs="宋体" w:eastAsia="宋体" w:hint="default"/>
          <w:sz w:val="22"/>
          <w:szCs w:val="22"/>
        </w:rPr>
      </w:pPr>
      <w:r>
        <w:rPr/>
        <w:pict>
          <v:shape style="position:absolute;margin-left:84.839996pt;margin-top:-129.796707pt;width:431.9pt;height:127.4pt;mso-position-horizontal-relative:page;mso-position-vertical-relative:paragraph;z-index:7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4"/>
                    <w:gridCol w:w="1540"/>
                    <w:gridCol w:w="852"/>
                    <w:gridCol w:w="1485"/>
                    <w:gridCol w:w="1485"/>
                    <w:gridCol w:w="852"/>
                    <w:gridCol w:w="1479"/>
                  </w:tblGrid>
                  <w:tr>
                    <w:trPr>
                      <w:trHeight w:val="501" w:hRule="exact"/>
                    </w:trPr>
                    <w:tc>
                      <w:tcPr>
                        <w:tcW w:w="944"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0"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2"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5"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85"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2"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79"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2" w:hRule="exact"/>
                    </w:trPr>
                    <w:tc>
                      <w:tcPr>
                        <w:tcW w:w="944" w:type="dxa"/>
                        <w:tcBorders>
                          <w:top w:val="single" w:sz="2" w:space="0" w:color="000000"/>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40"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477,913,830.40</w:t>
                        </w:r>
                      </w:p>
                    </w:tc>
                    <w:tc>
                      <w:tcPr>
                        <w:tcW w:w="852"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62.72%</w:t>
                        </w:r>
                      </w:p>
                    </w:tc>
                    <w:tc>
                      <w:tcPr>
                        <w:tcW w:w="1485" w:type="dxa"/>
                        <w:tcBorders>
                          <w:top w:val="single" w:sz="2"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4,742,680.58</w:t>
                        </w:r>
                      </w:p>
                    </w:tc>
                    <w:tc>
                      <w:tcPr>
                        <w:tcW w:w="1485" w:type="dxa"/>
                        <w:tcBorders>
                          <w:top w:val="single" w:sz="2"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420,705,079.64</w:t>
                        </w:r>
                      </w:p>
                    </w:tc>
                    <w:tc>
                      <w:tcPr>
                        <w:tcW w:w="852"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53.27%</w:t>
                        </w:r>
                      </w:p>
                    </w:tc>
                    <w:tc>
                      <w:tcPr>
                        <w:tcW w:w="1479" w:type="dxa"/>
                        <w:tcBorders>
                          <w:top w:val="single" w:sz="2"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4,194,088.32</w:t>
                        </w:r>
                      </w:p>
                    </w:tc>
                  </w:tr>
                  <w:tr>
                    <w:trPr>
                      <w:trHeight w:val="284"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56,035,662.39</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7.35%</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2,742,505.65</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58,573,891.08</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7.42%</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2,685,088.64</w:t>
                        </w:r>
                      </w:p>
                    </w:tc>
                  </w:tr>
                  <w:tr>
                    <w:trPr>
                      <w:trHeight w:val="284"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28,073,997.86</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3.68%</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4,081,302.02</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42,170,326.85</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5.34%</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5,367,660.15</w:t>
                        </w:r>
                      </w:p>
                    </w:tc>
                  </w:tr>
                  <w:tr>
                    <w:trPr>
                      <w:trHeight w:val="284"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27,787,264.02</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3.65%</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6,455,630.05</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37,866,226.03</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4.79%</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10,458,302.21</w:t>
                        </w:r>
                      </w:p>
                    </w:tc>
                  </w:tr>
                  <w:tr>
                    <w:trPr>
                      <w:trHeight w:val="284"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29,756,133.51</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3.90%</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14,396,551.02</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28,893,167.17</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3.66%</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14,679,638.10</w:t>
                        </w:r>
                      </w:p>
                    </w:tc>
                  </w:tr>
                  <w:tr>
                    <w:trPr>
                      <w:trHeight w:val="295" w:hRule="exact"/>
                    </w:trPr>
                    <w:tc>
                      <w:tcPr>
                        <w:tcW w:w="94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40"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142,440,608.27</w:t>
                        </w:r>
                      </w:p>
                    </w:tc>
                    <w:tc>
                      <w:tcPr>
                        <w:tcW w:w="852"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18.70%</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135,394,926.47</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201,495,894.89</w:t>
                        </w:r>
                      </w:p>
                    </w:tc>
                    <w:tc>
                      <w:tcPr>
                        <w:tcW w:w="852"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25.52%</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191,019,797.32</w:t>
                        </w:r>
                      </w:p>
                    </w:tc>
                  </w:tr>
                  <w:tr>
                    <w:trPr>
                      <w:trHeight w:val="304" w:hRule="exact"/>
                    </w:trPr>
                    <w:tc>
                      <w:tcPr>
                        <w:tcW w:w="94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762,007,496.45</w:t>
                        </w:r>
                        <w:r>
                          <w:rPr>
                            <w:rFonts w:ascii="宋体"/>
                            <w:sz w:val="18"/>
                          </w:rPr>
                        </w: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b/>
                            <w:w w:val="95"/>
                            <w:sz w:val="18"/>
                          </w:rPr>
                          <w:t>100.00%</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167,813,595.79</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789,704,585.66</w:t>
                        </w:r>
                        <w:r>
                          <w:rPr>
                            <w:rFonts w:ascii="宋体"/>
                            <w:sz w:val="18"/>
                          </w:rPr>
                        </w: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b/>
                            <w:w w:val="95"/>
                            <w:sz w:val="18"/>
                          </w:rPr>
                          <w:t>100.00%</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b/>
                            <w:w w:val="95"/>
                            <w:sz w:val="18"/>
                          </w:rPr>
                          <w:t>228,404,574.74</w:t>
                        </w:r>
                        <w:r>
                          <w:rPr>
                            <w:rFonts w:ascii="宋体"/>
                            <w:sz w:val="18"/>
                          </w:rPr>
                        </w:r>
                      </w:p>
                    </w:tc>
                  </w:tr>
                </w:tbl>
                <w:p>
                  <w:pPr/>
                </w:p>
              </w:txbxContent>
            </v:textbox>
            <w10:wrap type="none"/>
          </v:shape>
        </w:pict>
      </w: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6"/>
          <w:sz w:val="22"/>
          <w:szCs w:val="22"/>
        </w:rPr>
        <w:t> </w:t>
      </w:r>
      <w:r>
        <w:rPr>
          <w:rFonts w:ascii="宋体" w:hAnsi="宋体" w:cs="宋体" w:eastAsia="宋体" w:hint="default"/>
          <w:sz w:val="22"/>
          <w:szCs w:val="22"/>
        </w:rPr>
        <w:t>5%（含</w:t>
      </w:r>
      <w:r>
        <w:rPr>
          <w:rFonts w:ascii="宋体" w:hAnsi="宋体" w:cs="宋体" w:eastAsia="宋体" w:hint="default"/>
          <w:spacing w:val="-56"/>
          <w:sz w:val="22"/>
          <w:szCs w:val="22"/>
        </w:rPr>
        <w:t> </w:t>
      </w:r>
      <w:r>
        <w:rPr>
          <w:rFonts w:ascii="宋体" w:hAnsi="宋体" w:cs="宋体" w:eastAsia="宋体" w:hint="default"/>
          <w:sz w:val="22"/>
          <w:szCs w:val="22"/>
        </w:rPr>
        <w:t>5%）以上表决权股份的股东单位欠款。</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年末余额中前五名单位欠款</w:t>
      </w:r>
      <w:r>
        <w:rPr>
          <w:rFonts w:ascii="宋体" w:hAnsi="宋体" w:cs="宋体" w:eastAsia="宋体" w:hint="default"/>
          <w:spacing w:val="-59"/>
          <w:sz w:val="22"/>
          <w:szCs w:val="22"/>
        </w:rPr>
        <w:t> </w:t>
      </w:r>
      <w:r>
        <w:rPr>
          <w:rFonts w:ascii="宋体" w:hAnsi="宋体" w:cs="宋体" w:eastAsia="宋体" w:hint="default"/>
          <w:sz w:val="22"/>
          <w:szCs w:val="22"/>
        </w:rPr>
        <w:t>149,666,290.90</w:t>
      </w:r>
      <w:r>
        <w:rPr>
          <w:rFonts w:ascii="宋体" w:hAnsi="宋体" w:cs="宋体" w:eastAsia="宋体" w:hint="default"/>
          <w:spacing w:val="-59"/>
          <w:sz w:val="22"/>
          <w:szCs w:val="22"/>
        </w:rPr>
        <w:t> </w:t>
      </w:r>
      <w:r>
        <w:rPr>
          <w:rFonts w:ascii="宋体" w:hAnsi="宋体" w:cs="宋体" w:eastAsia="宋体" w:hint="default"/>
          <w:sz w:val="22"/>
          <w:szCs w:val="22"/>
        </w:rPr>
        <w:t>元，占其应收账款总额的</w:t>
      </w:r>
      <w:r>
        <w:rPr>
          <w:rFonts w:ascii="宋体" w:hAnsi="宋体" w:cs="宋体" w:eastAsia="宋体" w:hint="default"/>
          <w:spacing w:val="-58"/>
          <w:sz w:val="22"/>
          <w:szCs w:val="22"/>
        </w:rPr>
        <w:t> </w:t>
      </w:r>
      <w:r>
        <w:rPr>
          <w:rFonts w:ascii="宋体" w:hAnsi="宋体" w:cs="宋体" w:eastAsia="宋体" w:hint="default"/>
          <w:sz w:val="22"/>
          <w:szCs w:val="22"/>
        </w:rPr>
        <w:t>19.64%。</w:t>
      </w:r>
    </w:p>
    <w:p>
      <w:pPr>
        <w:spacing w:before="41"/>
        <w:ind w:left="591" w:right="213"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3"/>
          <w:sz w:val="22"/>
          <w:szCs w:val="22"/>
        </w:rPr>
        <w:t> </w:t>
      </w:r>
      <w:r>
        <w:rPr>
          <w:rFonts w:ascii="宋体" w:hAnsi="宋体" w:cs="宋体" w:eastAsia="宋体" w:hint="default"/>
          <w:sz w:val="22"/>
          <w:szCs w:val="22"/>
        </w:rPr>
        <w:t>期末余额中应收关联方款项合计</w:t>
      </w:r>
      <w:r>
        <w:rPr>
          <w:rFonts w:ascii="宋体" w:hAnsi="宋体" w:cs="宋体" w:eastAsia="宋体" w:hint="default"/>
          <w:spacing w:val="-59"/>
          <w:sz w:val="22"/>
          <w:szCs w:val="22"/>
        </w:rPr>
        <w:t> </w:t>
      </w:r>
      <w:r>
        <w:rPr>
          <w:rFonts w:ascii="宋体" w:hAnsi="宋体" w:cs="宋体" w:eastAsia="宋体" w:hint="default"/>
          <w:sz w:val="22"/>
          <w:szCs w:val="22"/>
        </w:rPr>
        <w:t>37,626,469.38</w:t>
      </w:r>
      <w:r>
        <w:rPr>
          <w:rFonts w:ascii="宋体" w:hAnsi="宋体" w:cs="宋体" w:eastAsia="宋体" w:hint="default"/>
          <w:spacing w:val="-59"/>
          <w:sz w:val="22"/>
          <w:szCs w:val="22"/>
        </w:rPr>
        <w:t> </w:t>
      </w:r>
      <w:r>
        <w:rPr>
          <w:rFonts w:ascii="宋体" w:hAnsi="宋体" w:cs="宋体" w:eastAsia="宋体" w:hint="default"/>
          <w:sz w:val="22"/>
          <w:szCs w:val="22"/>
        </w:rPr>
        <w:t>元，占应收账款总额的</w:t>
      </w:r>
      <w:r>
        <w:rPr>
          <w:rFonts w:ascii="宋体" w:hAnsi="宋体" w:cs="宋体" w:eastAsia="宋体" w:hint="default"/>
          <w:spacing w:val="-59"/>
          <w:sz w:val="22"/>
          <w:szCs w:val="22"/>
        </w:rPr>
        <w:t> </w:t>
      </w:r>
      <w:r>
        <w:rPr>
          <w:rFonts w:ascii="宋体" w:hAnsi="宋体" w:cs="宋体" w:eastAsia="宋体" w:hint="default"/>
          <w:sz w:val="22"/>
          <w:szCs w:val="22"/>
        </w:rPr>
        <w:t>4.94%。</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tabs>
          <w:tab w:pos="2105" w:val="left" w:leader="none"/>
        </w:tabs>
        <w:spacing w:before="31"/>
        <w:ind w:left="1652" w:right="2055"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其他应收款</w:t>
      </w:r>
    </w:p>
    <w:p>
      <w:pPr>
        <w:spacing w:before="162"/>
        <w:ind w:left="1651" w:right="2055"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其他应收款风险分类</w:t>
      </w:r>
    </w:p>
    <w:p>
      <w:pPr>
        <w:spacing w:line="240" w:lineRule="auto" w:before="6"/>
        <w:rPr>
          <w:rFonts w:ascii="宋体" w:hAnsi="宋体" w:cs="宋体" w:eastAsia="宋体" w:hint="default"/>
          <w:sz w:val="12"/>
          <w:szCs w:val="12"/>
        </w:rPr>
      </w:pPr>
    </w:p>
    <w:p>
      <w:pPr>
        <w:spacing w:line="30" w:lineRule="exact"/>
        <w:ind w:left="136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3.6pt;height:1.5pt;mso-position-horizontal-relative:char;mso-position-vertical-relative:line" coordorigin="0,0" coordsize="8872,30">
            <v:group style="position:absolute;left:15;top:15;width:8842;height:2" coordorigin="15,15" coordsize="8842,2">
              <v:shape style="position:absolute;left:15;top:15;width:8842;height:2" coordorigin="15,15" coordsize="8842,0" path="m15,15l8857,15e" filled="false" stroked="true" strokeweight="1.5pt" strokecolor="#000000">
                <v:path arrowok="t"/>
              </v:shape>
            </v:group>
          </v:group>
        </w:pict>
      </w:r>
      <w:r>
        <w:rPr>
          <w:rFonts w:ascii="宋体" w:hAnsi="宋体" w:cs="宋体" w:eastAsia="宋体" w:hint="default"/>
          <w:position w:val="0"/>
          <w:sz w:val="3"/>
          <w:szCs w:val="3"/>
        </w:rPr>
      </w:r>
    </w:p>
    <w:p>
      <w:pPr>
        <w:tabs>
          <w:tab w:pos="7941" w:val="left" w:leader="none"/>
        </w:tabs>
        <w:spacing w:before="25"/>
        <w:ind w:left="3861" w:right="2055" w:firstLine="0"/>
        <w:jc w:val="left"/>
        <w:rPr>
          <w:rFonts w:ascii="宋体" w:hAnsi="宋体" w:cs="宋体" w:eastAsia="宋体" w:hint="default"/>
          <w:sz w:val="15"/>
          <w:szCs w:val="15"/>
        </w:rPr>
      </w:pPr>
      <w:r>
        <w:rPr>
          <w:rFonts w:ascii="宋体" w:hAnsi="宋体" w:cs="宋体" w:eastAsia="宋体" w:hint="default"/>
          <w:b/>
          <w:bCs/>
          <w:w w:val="95"/>
          <w:sz w:val="15"/>
          <w:szCs w:val="15"/>
        </w:rPr>
        <w:t>年末金额</w:t>
        <w:tab/>
      </w:r>
      <w:r>
        <w:rPr>
          <w:rFonts w:ascii="宋体" w:hAnsi="宋体" w:cs="宋体" w:eastAsia="宋体" w:hint="default"/>
          <w:b/>
          <w:bCs/>
          <w:sz w:val="15"/>
          <w:szCs w:val="15"/>
        </w:rPr>
        <w:t>年初金额</w:t>
      </w:r>
      <w:r>
        <w:rPr>
          <w:rFonts w:ascii="宋体" w:hAnsi="宋体" w:cs="宋体" w:eastAsia="宋体" w:hint="default"/>
          <w:sz w:val="15"/>
          <w:szCs w:val="15"/>
        </w:rPr>
      </w:r>
    </w:p>
    <w:p>
      <w:pPr>
        <w:spacing w:line="240" w:lineRule="auto" w:before="9"/>
        <w:rPr>
          <w:rFonts w:ascii="宋体" w:hAnsi="宋体" w:cs="宋体" w:eastAsia="宋体" w:hint="default"/>
          <w:b/>
          <w:bCs/>
          <w:sz w:val="4"/>
          <w:szCs w:val="4"/>
        </w:rPr>
      </w:pPr>
    </w:p>
    <w:p>
      <w:pPr>
        <w:spacing w:line="20" w:lineRule="exact"/>
        <w:ind w:left="2055" w:right="0" w:firstLine="0"/>
        <w:rPr>
          <w:rFonts w:ascii="宋体" w:hAnsi="宋体" w:cs="宋体" w:eastAsia="宋体" w:hint="default"/>
          <w:sz w:val="2"/>
          <w:szCs w:val="2"/>
        </w:rPr>
      </w:pPr>
      <w:r>
        <w:rPr>
          <w:rFonts w:ascii="宋体" w:hAnsi="宋体" w:cs="宋体" w:eastAsia="宋体" w:hint="default"/>
          <w:sz w:val="2"/>
          <w:szCs w:val="2"/>
        </w:rPr>
        <w:pict>
          <v:group style="width:408.45pt;height:.5pt;mso-position-horizontal-relative:char;mso-position-vertical-relative:line" coordorigin="0,0" coordsize="8169,10">
            <v:group style="position:absolute;left:5;top:5;width:4203;height:2" coordorigin="5,5" coordsize="4203,2">
              <v:shape style="position:absolute;left:5;top:5;width:4203;height:2" coordorigin="5,5" coordsize="4203,0" path="m5,5l4207,5e" filled="false" stroked="true" strokeweight=".48pt" strokecolor="#000000">
                <v:path arrowok="t"/>
              </v:shape>
            </v:group>
            <v:group style="position:absolute;left:4207;top:5;width:2013;height:2" coordorigin="4207,5" coordsize="2013,2">
              <v:shape style="position:absolute;left:4207;top:5;width:2013;height:2" coordorigin="4207,5" coordsize="2013,0" path="m4207,5l6220,5e" filled="false" stroked="true" strokeweight=".48pt" strokecolor="#000000">
                <v:path arrowok="t"/>
              </v:shape>
            </v:group>
            <v:group style="position:absolute;left:6220;top:5;width:1944;height:2" coordorigin="6220,5" coordsize="1944,2">
              <v:shape style="position:absolute;left:6220;top:5;width:1944;height:2" coordorigin="6220,5" coordsize="1944,0" path="m6220,5l8164,5e" filled="false" stroked="true" strokeweight=".48pt" strokecolor="#000000">
                <v:path arrowok="t"/>
              </v:shape>
            </v:group>
          </v:group>
        </w:pict>
      </w:r>
      <w:r>
        <w:rPr>
          <w:rFonts w:ascii="宋体" w:hAnsi="宋体" w:cs="宋体" w:eastAsia="宋体" w:hint="default"/>
          <w:sz w:val="2"/>
          <w:szCs w:val="2"/>
        </w:rPr>
      </w:r>
    </w:p>
    <w:p>
      <w:pPr>
        <w:tabs>
          <w:tab w:pos="2850" w:val="left" w:leader="none"/>
          <w:tab w:pos="4947" w:val="left" w:leader="none"/>
          <w:tab w:pos="6967" w:val="left" w:leader="none"/>
          <w:tab w:pos="8952" w:val="left" w:leader="none"/>
        </w:tabs>
        <w:spacing w:before="5"/>
        <w:ind w:left="1478" w:right="346" w:firstLine="0"/>
        <w:jc w:val="left"/>
        <w:rPr>
          <w:rFonts w:ascii="宋体" w:hAnsi="宋体" w:cs="宋体" w:eastAsia="宋体" w:hint="default"/>
          <w:sz w:val="15"/>
          <w:szCs w:val="15"/>
        </w:rPr>
      </w:pPr>
      <w:r>
        <w:rPr>
          <w:rFonts w:ascii="宋体" w:hAnsi="宋体" w:cs="宋体" w:eastAsia="宋体" w:hint="default"/>
          <w:b/>
          <w:bCs/>
          <w:w w:val="95"/>
          <w:position w:val="3"/>
          <w:sz w:val="15"/>
          <w:szCs w:val="15"/>
        </w:rPr>
        <w:t>项目</w:t>
        <w:tab/>
      </w:r>
      <w:r>
        <w:rPr>
          <w:rFonts w:ascii="宋体" w:hAnsi="宋体" w:cs="宋体" w:eastAsia="宋体" w:hint="default"/>
          <w:b/>
          <w:bCs/>
          <w:w w:val="95"/>
          <w:sz w:val="15"/>
          <w:szCs w:val="15"/>
        </w:rPr>
        <w:t>账面余额</w:t>
        <w:tab/>
        <w:t>坏账准备</w:t>
        <w:tab/>
        <w:t>账面余额</w:t>
        <w:tab/>
      </w:r>
      <w:r>
        <w:rPr>
          <w:rFonts w:ascii="宋体" w:hAnsi="宋体" w:cs="宋体" w:eastAsia="宋体" w:hint="default"/>
          <w:b/>
          <w:bCs/>
          <w:sz w:val="15"/>
          <w:szCs w:val="15"/>
        </w:rPr>
        <w:t>坏账准备</w:t>
      </w:r>
      <w:r>
        <w:rPr>
          <w:rFonts w:ascii="宋体" w:hAnsi="宋体" w:cs="宋体" w:eastAsia="宋体" w:hint="default"/>
          <w:sz w:val="15"/>
          <w:szCs w:val="15"/>
        </w:rPr>
      </w:r>
    </w:p>
    <w:p>
      <w:pPr>
        <w:spacing w:line="240" w:lineRule="auto" w:before="1"/>
        <w:rPr>
          <w:rFonts w:ascii="宋体" w:hAnsi="宋体" w:cs="宋体" w:eastAsia="宋体" w:hint="default"/>
          <w:b/>
          <w:bCs/>
          <w:sz w:val="5"/>
          <w:szCs w:val="5"/>
        </w:rPr>
      </w:pPr>
    </w:p>
    <w:tbl>
      <w:tblPr>
        <w:tblW w:w="0" w:type="auto"/>
        <w:jc w:val="left"/>
        <w:tblInd w:w="1370" w:type="dxa"/>
        <w:tblLayout w:type="fixed"/>
        <w:tblCellMar>
          <w:top w:w="0" w:type="dxa"/>
          <w:left w:w="0" w:type="dxa"/>
          <w:bottom w:w="0" w:type="dxa"/>
          <w:right w:w="0" w:type="dxa"/>
        </w:tblCellMar>
        <w:tblLook w:val="01E0"/>
      </w:tblPr>
      <w:tblGrid>
        <w:gridCol w:w="690"/>
        <w:gridCol w:w="1434"/>
        <w:gridCol w:w="746"/>
        <w:gridCol w:w="1276"/>
        <w:gridCol w:w="746"/>
        <w:gridCol w:w="1276"/>
        <w:gridCol w:w="745"/>
        <w:gridCol w:w="1199"/>
        <w:gridCol w:w="738"/>
      </w:tblGrid>
      <w:tr>
        <w:trPr>
          <w:trHeight w:val="293" w:hRule="exact"/>
        </w:trPr>
        <w:tc>
          <w:tcPr>
            <w:tcW w:w="690" w:type="dxa"/>
            <w:tcBorders>
              <w:top w:val="nil" w:sz="6" w:space="0" w:color="auto"/>
              <w:left w:val="nil" w:sz="6" w:space="0" w:color="auto"/>
              <w:bottom w:val="single" w:sz="4" w:space="0" w:color="000000"/>
              <w:right w:val="nil" w:sz="6" w:space="0" w:color="auto"/>
            </w:tcBorders>
          </w:tcPr>
          <w:p>
            <w:pPr/>
          </w:p>
        </w:tc>
        <w:tc>
          <w:tcPr>
            <w:tcW w:w="143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6"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4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4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4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19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3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8"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1611" w:hRule="exact"/>
        </w:trPr>
        <w:tc>
          <w:tcPr>
            <w:tcW w:w="690" w:type="dxa"/>
            <w:tcBorders>
              <w:top w:val="single" w:sz="4" w:space="0" w:color="000000"/>
              <w:left w:val="nil" w:sz="6" w:space="0" w:color="auto"/>
              <w:bottom w:val="nil" w:sz="6" w:space="0" w:color="auto"/>
              <w:right w:val="nil" w:sz="6" w:space="0" w:color="auto"/>
            </w:tcBorders>
          </w:tcPr>
          <w:p>
            <w:pPr>
              <w:pStyle w:val="TableParagraph"/>
              <w:spacing w:line="181" w:lineRule="exact"/>
              <w:ind w:left="108" w:right="0"/>
              <w:jc w:val="both"/>
              <w:rPr>
                <w:rFonts w:ascii="宋体" w:hAnsi="宋体" w:cs="宋体" w:eastAsia="宋体" w:hint="default"/>
                <w:sz w:val="15"/>
                <w:szCs w:val="15"/>
              </w:rPr>
            </w:pPr>
            <w:r>
              <w:rPr>
                <w:rFonts w:ascii="宋体" w:hAnsi="宋体" w:cs="宋体" w:eastAsia="宋体" w:hint="default"/>
                <w:spacing w:val="10"/>
                <w:sz w:val="15"/>
                <w:szCs w:val="15"/>
              </w:rPr>
              <w:t>按组合</w:t>
            </w:r>
            <w:r>
              <w:rPr>
                <w:rFonts w:ascii="宋体" w:hAnsi="宋体" w:cs="宋体" w:eastAsia="宋体" w:hint="default"/>
                <w:spacing w:val="-60"/>
                <w:sz w:val="15"/>
                <w:szCs w:val="15"/>
              </w:rPr>
              <w:t> </w:t>
            </w:r>
            <w:r>
              <w:rPr>
                <w:rFonts w:ascii="宋体" w:hAnsi="宋体" w:cs="宋体" w:eastAsia="宋体" w:hint="default"/>
                <w:sz w:val="15"/>
                <w:szCs w:val="15"/>
              </w:rPr>
            </w:r>
          </w:p>
          <w:p>
            <w:pPr>
              <w:pStyle w:val="TableParagraph"/>
              <w:spacing w:line="244" w:lineRule="auto" w:before="4"/>
              <w:ind w:left="108" w:right="83"/>
              <w:jc w:val="both"/>
              <w:rPr>
                <w:rFonts w:ascii="宋体" w:hAnsi="宋体" w:cs="宋体" w:eastAsia="宋体" w:hint="default"/>
                <w:sz w:val="15"/>
                <w:szCs w:val="15"/>
              </w:rPr>
            </w:pPr>
            <w:r>
              <w:rPr>
                <w:rFonts w:ascii="宋体" w:hAnsi="宋体" w:cs="宋体" w:eastAsia="宋体" w:hint="default"/>
                <w:spacing w:val="10"/>
                <w:sz w:val="15"/>
                <w:szCs w:val="15"/>
              </w:rPr>
              <w:t>计提坏</w:t>
            </w:r>
            <w:r>
              <w:rPr>
                <w:rFonts w:ascii="宋体" w:hAnsi="宋体" w:cs="宋体" w:eastAsia="宋体" w:hint="default"/>
                <w:spacing w:val="-60"/>
                <w:sz w:val="15"/>
                <w:szCs w:val="15"/>
              </w:rPr>
              <w:t> </w:t>
            </w:r>
            <w:r>
              <w:rPr>
                <w:rFonts w:ascii="宋体" w:hAnsi="宋体" w:cs="宋体" w:eastAsia="宋体" w:hint="default"/>
                <w:spacing w:val="10"/>
                <w:sz w:val="15"/>
                <w:szCs w:val="15"/>
              </w:rPr>
              <w:t>账准备</w:t>
            </w:r>
            <w:r>
              <w:rPr>
                <w:rFonts w:ascii="宋体" w:hAnsi="宋体" w:cs="宋体" w:eastAsia="宋体" w:hint="default"/>
                <w:spacing w:val="-60"/>
                <w:sz w:val="15"/>
                <w:szCs w:val="15"/>
              </w:rPr>
              <w:t> </w:t>
            </w:r>
            <w:r>
              <w:rPr>
                <w:rFonts w:ascii="宋体" w:hAnsi="宋体" w:cs="宋体" w:eastAsia="宋体" w:hint="default"/>
                <w:spacing w:val="10"/>
                <w:sz w:val="15"/>
                <w:szCs w:val="15"/>
              </w:rPr>
              <w:t>的其他</w:t>
            </w:r>
            <w:r>
              <w:rPr>
                <w:rFonts w:ascii="宋体" w:hAnsi="宋体" w:cs="宋体" w:eastAsia="宋体" w:hint="default"/>
                <w:spacing w:val="-60"/>
                <w:sz w:val="15"/>
                <w:szCs w:val="15"/>
              </w:rPr>
              <w:t> </w:t>
            </w:r>
            <w:r>
              <w:rPr>
                <w:rFonts w:ascii="宋体" w:hAnsi="宋体" w:cs="宋体" w:eastAsia="宋体" w:hint="default"/>
                <w:sz w:val="15"/>
                <w:szCs w:val="15"/>
              </w:rPr>
              <w:t>应</w:t>
            </w:r>
            <w:r>
              <w:rPr>
                <w:rFonts w:ascii="宋体" w:hAnsi="宋体" w:cs="宋体" w:eastAsia="宋体" w:hint="default"/>
                <w:spacing w:val="31"/>
                <w:sz w:val="15"/>
                <w:szCs w:val="15"/>
              </w:rPr>
              <w:t> </w:t>
            </w:r>
            <w:r>
              <w:rPr>
                <w:rFonts w:ascii="宋体" w:hAnsi="宋体" w:cs="宋体" w:eastAsia="宋体" w:hint="default"/>
                <w:sz w:val="15"/>
                <w:szCs w:val="15"/>
              </w:rPr>
              <w:t>收</w:t>
            </w:r>
            <w:r>
              <w:rPr>
                <w:rFonts w:ascii="宋体" w:hAnsi="宋体" w:cs="宋体" w:eastAsia="宋体" w:hint="default"/>
                <w:sz w:val="15"/>
                <w:szCs w:val="15"/>
              </w:rPr>
              <w:t> 款：</w:t>
            </w:r>
          </w:p>
          <w:p>
            <w:pPr>
              <w:pStyle w:val="TableParagraph"/>
              <w:spacing w:line="242" w:lineRule="auto" w:before="1"/>
              <w:ind w:left="108" w:right="83"/>
              <w:jc w:val="both"/>
              <w:rPr>
                <w:rFonts w:ascii="宋体" w:hAnsi="宋体" w:cs="宋体" w:eastAsia="宋体" w:hint="default"/>
                <w:sz w:val="15"/>
                <w:szCs w:val="15"/>
              </w:rPr>
            </w:pPr>
            <w:r>
              <w:rPr>
                <w:rFonts w:ascii="宋体" w:hAnsi="宋体" w:cs="宋体" w:eastAsia="宋体" w:hint="default"/>
                <w:spacing w:val="10"/>
                <w:sz w:val="15"/>
                <w:szCs w:val="15"/>
              </w:rPr>
              <w:t>账龄组</w:t>
            </w:r>
            <w:r>
              <w:rPr>
                <w:rFonts w:ascii="宋体" w:hAnsi="宋体" w:cs="宋体" w:eastAsia="宋体" w:hint="default"/>
                <w:spacing w:val="-60"/>
                <w:sz w:val="15"/>
                <w:szCs w:val="15"/>
              </w:rPr>
              <w:t> </w:t>
            </w:r>
            <w:r>
              <w:rPr>
                <w:rFonts w:ascii="宋体" w:hAnsi="宋体" w:cs="宋体" w:eastAsia="宋体" w:hint="default"/>
                <w:sz w:val="15"/>
                <w:szCs w:val="15"/>
              </w:rPr>
              <w:t>合</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7" w:right="0"/>
              <w:jc w:val="center"/>
              <w:rPr>
                <w:rFonts w:ascii="宋体" w:hAnsi="宋体" w:cs="宋体" w:eastAsia="宋体" w:hint="default"/>
                <w:sz w:val="15"/>
                <w:szCs w:val="15"/>
              </w:rPr>
            </w:pPr>
            <w:r>
              <w:rPr>
                <w:rFonts w:ascii="宋体"/>
                <w:sz w:val="15"/>
              </w:rPr>
              <w:t>1,176,296,972.79</w:t>
            </w:r>
          </w:p>
        </w:tc>
        <w:tc>
          <w:tcPr>
            <w:tcW w:w="7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15"/>
                <w:szCs w:val="15"/>
              </w:rPr>
            </w:pPr>
            <w:r>
              <w:rPr>
                <w:rFonts w:ascii="宋体"/>
                <w:sz w:val="15"/>
              </w:rPr>
              <w:t>100.00%</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8" w:right="0"/>
              <w:jc w:val="center"/>
              <w:rPr>
                <w:rFonts w:ascii="宋体" w:hAnsi="宋体" w:cs="宋体" w:eastAsia="宋体" w:hint="default"/>
                <w:sz w:val="15"/>
                <w:szCs w:val="15"/>
              </w:rPr>
            </w:pPr>
            <w:r>
              <w:rPr>
                <w:rFonts w:ascii="宋体"/>
                <w:sz w:val="15"/>
              </w:rPr>
              <w:t>110,153,383.71</w:t>
            </w:r>
          </w:p>
        </w:tc>
        <w:tc>
          <w:tcPr>
            <w:tcW w:w="7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sz w:val="15"/>
              </w:rPr>
              <w:t>100.00%</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sz w:val="15"/>
              </w:rPr>
              <w:t>948,845,604.58</w:t>
            </w:r>
          </w:p>
        </w:tc>
        <w:tc>
          <w:tcPr>
            <w:tcW w:w="7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15"/>
                <w:szCs w:val="15"/>
              </w:rPr>
            </w:pPr>
            <w:r>
              <w:rPr>
                <w:rFonts w:ascii="宋体"/>
                <w:sz w:val="15"/>
              </w:rPr>
              <w:t>100.00%</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6" w:right="0"/>
              <w:jc w:val="center"/>
              <w:rPr>
                <w:rFonts w:ascii="宋体" w:hAnsi="宋体" w:cs="宋体" w:eastAsia="宋体" w:hint="default"/>
                <w:sz w:val="15"/>
                <w:szCs w:val="15"/>
              </w:rPr>
            </w:pPr>
            <w:r>
              <w:rPr>
                <w:rFonts w:ascii="宋体"/>
                <w:sz w:val="15"/>
              </w:rPr>
              <w:t>80,773,715.63</w:t>
            </w:r>
          </w:p>
        </w:tc>
        <w:tc>
          <w:tcPr>
            <w:tcW w:w="7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2" w:right="0"/>
              <w:jc w:val="center"/>
              <w:rPr>
                <w:rFonts w:ascii="宋体" w:hAnsi="宋体" w:cs="宋体" w:eastAsia="宋体" w:hint="default"/>
                <w:sz w:val="15"/>
                <w:szCs w:val="15"/>
              </w:rPr>
            </w:pPr>
            <w:r>
              <w:rPr>
                <w:rFonts w:ascii="宋体"/>
                <w:sz w:val="15"/>
              </w:rPr>
              <w:t>100.00%</w:t>
            </w:r>
          </w:p>
        </w:tc>
      </w:tr>
      <w:tr>
        <w:trPr>
          <w:trHeight w:val="399" w:hRule="exact"/>
        </w:trPr>
        <w:tc>
          <w:tcPr>
            <w:tcW w:w="690" w:type="dxa"/>
            <w:tcBorders>
              <w:top w:val="nil" w:sz="6" w:space="0" w:color="auto"/>
              <w:left w:val="nil" w:sz="6" w:space="0" w:color="auto"/>
              <w:bottom w:val="single" w:sz="4" w:space="0" w:color="000000"/>
              <w:right w:val="nil" w:sz="6" w:space="0" w:color="auto"/>
            </w:tcBorders>
          </w:tcPr>
          <w:p>
            <w:pPr>
              <w:pStyle w:val="TableParagraph"/>
              <w:spacing w:line="175" w:lineRule="exact"/>
              <w:ind w:left="107" w:right="0"/>
              <w:jc w:val="left"/>
              <w:rPr>
                <w:rFonts w:ascii="宋体" w:hAnsi="宋体" w:cs="宋体" w:eastAsia="宋体" w:hint="default"/>
                <w:sz w:val="15"/>
                <w:szCs w:val="15"/>
              </w:rPr>
            </w:pPr>
            <w:r>
              <w:rPr>
                <w:rFonts w:ascii="宋体" w:hAnsi="宋体" w:cs="宋体" w:eastAsia="宋体" w:hint="default"/>
                <w:spacing w:val="10"/>
                <w:sz w:val="15"/>
                <w:szCs w:val="15"/>
              </w:rPr>
              <w:t>组合小</w:t>
            </w:r>
            <w:r>
              <w:rPr>
                <w:rFonts w:ascii="宋体" w:hAnsi="宋体" w:cs="宋体" w:eastAsia="宋体" w:hint="default"/>
                <w:spacing w:val="-60"/>
                <w:sz w:val="15"/>
                <w:szCs w:val="15"/>
              </w:rPr>
              <w:t> </w:t>
            </w:r>
            <w:r>
              <w:rPr>
                <w:rFonts w:ascii="宋体" w:hAnsi="宋体" w:cs="宋体" w:eastAsia="宋体" w:hint="default"/>
                <w:sz w:val="15"/>
                <w:szCs w:val="15"/>
              </w:rPr>
            </w:r>
          </w:p>
          <w:p>
            <w:pPr>
              <w:pStyle w:val="TableParagraph"/>
              <w:spacing w:line="240" w:lineRule="auto" w:before="4"/>
              <w:ind w:left="107"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7" w:right="0"/>
              <w:jc w:val="center"/>
              <w:rPr>
                <w:rFonts w:ascii="宋体" w:hAnsi="宋体" w:cs="宋体" w:eastAsia="宋体" w:hint="default"/>
                <w:sz w:val="15"/>
                <w:szCs w:val="15"/>
              </w:rPr>
            </w:pPr>
            <w:r>
              <w:rPr>
                <w:rFonts w:ascii="宋体"/>
                <w:sz w:val="15"/>
              </w:rPr>
              <w:t>1,176,296,972.79</w:t>
            </w:r>
          </w:p>
        </w:tc>
        <w:tc>
          <w:tcPr>
            <w:tcW w:w="74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5" w:right="0"/>
              <w:jc w:val="center"/>
              <w:rPr>
                <w:rFonts w:ascii="宋体" w:hAnsi="宋体" w:cs="宋体" w:eastAsia="宋体" w:hint="default"/>
                <w:sz w:val="15"/>
                <w:szCs w:val="15"/>
              </w:rPr>
            </w:pPr>
            <w:r>
              <w:rPr>
                <w:rFonts w:ascii="宋体"/>
                <w:sz w:val="15"/>
              </w:rPr>
              <w:t>100.00%</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8" w:right="0"/>
              <w:jc w:val="center"/>
              <w:rPr>
                <w:rFonts w:ascii="宋体" w:hAnsi="宋体" w:cs="宋体" w:eastAsia="宋体" w:hint="default"/>
                <w:sz w:val="15"/>
                <w:szCs w:val="15"/>
              </w:rPr>
            </w:pPr>
            <w:r>
              <w:rPr>
                <w:rFonts w:ascii="宋体"/>
                <w:sz w:val="15"/>
              </w:rPr>
              <w:t>110,153,383.71</w:t>
            </w:r>
          </w:p>
        </w:tc>
        <w:tc>
          <w:tcPr>
            <w:tcW w:w="74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4" w:right="0"/>
              <w:jc w:val="center"/>
              <w:rPr>
                <w:rFonts w:ascii="宋体" w:hAnsi="宋体" w:cs="宋体" w:eastAsia="宋体" w:hint="default"/>
                <w:sz w:val="15"/>
                <w:szCs w:val="15"/>
              </w:rPr>
            </w:pPr>
            <w:r>
              <w:rPr>
                <w:rFonts w:ascii="宋体"/>
                <w:sz w:val="15"/>
              </w:rPr>
              <w:t>100.00%</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7" w:right="0"/>
              <w:jc w:val="center"/>
              <w:rPr>
                <w:rFonts w:ascii="宋体" w:hAnsi="宋体" w:cs="宋体" w:eastAsia="宋体" w:hint="default"/>
                <w:sz w:val="15"/>
                <w:szCs w:val="15"/>
              </w:rPr>
            </w:pPr>
            <w:r>
              <w:rPr>
                <w:rFonts w:ascii="宋体"/>
                <w:sz w:val="15"/>
              </w:rPr>
              <w:t>948,845,604.58</w:t>
            </w:r>
          </w:p>
        </w:tc>
        <w:tc>
          <w:tcPr>
            <w:tcW w:w="745"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3" w:right="0"/>
              <w:jc w:val="center"/>
              <w:rPr>
                <w:rFonts w:ascii="宋体" w:hAnsi="宋体" w:cs="宋体" w:eastAsia="宋体" w:hint="default"/>
                <w:sz w:val="15"/>
                <w:szCs w:val="15"/>
              </w:rPr>
            </w:pPr>
            <w:r>
              <w:rPr>
                <w:rFonts w:ascii="宋体"/>
                <w:sz w:val="15"/>
              </w:rPr>
              <w:t>100.00%</w:t>
            </w:r>
          </w:p>
        </w:tc>
        <w:tc>
          <w:tcPr>
            <w:tcW w:w="119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6" w:right="0"/>
              <w:jc w:val="center"/>
              <w:rPr>
                <w:rFonts w:ascii="宋体" w:hAnsi="宋体" w:cs="宋体" w:eastAsia="宋体" w:hint="default"/>
                <w:sz w:val="15"/>
                <w:szCs w:val="15"/>
              </w:rPr>
            </w:pPr>
            <w:r>
              <w:rPr>
                <w:rFonts w:ascii="宋体"/>
                <w:sz w:val="15"/>
              </w:rPr>
              <w:t>80,773,715.63</w:t>
            </w:r>
          </w:p>
        </w:tc>
        <w:tc>
          <w:tcPr>
            <w:tcW w:w="738"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2" w:right="0"/>
              <w:jc w:val="center"/>
              <w:rPr>
                <w:rFonts w:ascii="宋体" w:hAnsi="宋体" w:cs="宋体" w:eastAsia="宋体" w:hint="default"/>
                <w:sz w:val="15"/>
                <w:szCs w:val="15"/>
              </w:rPr>
            </w:pPr>
            <w:r>
              <w:rPr>
                <w:rFonts w:ascii="宋体"/>
                <w:sz w:val="15"/>
              </w:rPr>
              <w:t>100.00%</w:t>
            </w:r>
          </w:p>
        </w:tc>
      </w:tr>
      <w:tr>
        <w:trPr>
          <w:trHeight w:val="303" w:hRule="exact"/>
        </w:trPr>
        <w:tc>
          <w:tcPr>
            <w:tcW w:w="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107"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4" w:right="0"/>
              <w:jc w:val="center"/>
              <w:rPr>
                <w:rFonts w:ascii="宋体" w:hAnsi="宋体" w:cs="宋体" w:eastAsia="宋体" w:hint="default"/>
                <w:sz w:val="15"/>
                <w:szCs w:val="15"/>
              </w:rPr>
            </w:pPr>
            <w:r>
              <w:rPr>
                <w:rFonts w:ascii="宋体"/>
                <w:b/>
                <w:sz w:val="15"/>
              </w:rPr>
              <w:t>1,176,296,972.79</w:t>
            </w:r>
            <w:r>
              <w:rPr>
                <w:rFonts w:ascii="宋体"/>
                <w:sz w:val="15"/>
              </w:rPr>
            </w:r>
          </w:p>
        </w:tc>
        <w:tc>
          <w:tcPr>
            <w:tcW w:w="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b/>
                <w:sz w:val="15"/>
              </w:rPr>
              <w:t>100.00%</w:t>
            </w:r>
            <w:r>
              <w:rPr>
                <w:rFonts w:ascii="宋体"/>
                <w:sz w:val="15"/>
              </w:rPr>
            </w:r>
          </w:p>
        </w:tc>
        <w:tc>
          <w:tcPr>
            <w:tcW w:w="1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
              <w:jc w:val="center"/>
              <w:rPr>
                <w:rFonts w:ascii="宋体" w:hAnsi="宋体" w:cs="宋体" w:eastAsia="宋体" w:hint="default"/>
                <w:sz w:val="15"/>
                <w:szCs w:val="15"/>
              </w:rPr>
            </w:pPr>
            <w:r>
              <w:rPr>
                <w:rFonts w:ascii="宋体"/>
                <w:b/>
                <w:sz w:val="15"/>
              </w:rPr>
              <w:t>110,153,383.71</w:t>
            </w:r>
            <w:r>
              <w:rPr>
                <w:rFonts w:ascii="宋体"/>
                <w:sz w:val="15"/>
              </w:rPr>
            </w:r>
          </w:p>
        </w:tc>
        <w:tc>
          <w:tcPr>
            <w:tcW w:w="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b/>
                <w:sz w:val="15"/>
              </w:rPr>
              <w:t>100.00%</w:t>
            </w:r>
            <w:r>
              <w:rPr>
                <w:rFonts w:ascii="宋体"/>
                <w:sz w:val="15"/>
              </w:rPr>
            </w:r>
          </w:p>
        </w:tc>
        <w:tc>
          <w:tcPr>
            <w:tcW w:w="1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
              <w:jc w:val="center"/>
              <w:rPr>
                <w:rFonts w:ascii="宋体" w:hAnsi="宋体" w:cs="宋体" w:eastAsia="宋体" w:hint="default"/>
                <w:sz w:val="15"/>
                <w:szCs w:val="15"/>
              </w:rPr>
            </w:pPr>
            <w:r>
              <w:rPr>
                <w:rFonts w:ascii="宋体"/>
                <w:b/>
                <w:sz w:val="15"/>
              </w:rPr>
              <w:t>948,845,604.58</w:t>
            </w:r>
            <w:r>
              <w:rPr>
                <w:rFonts w:ascii="宋体"/>
                <w:sz w:val="15"/>
              </w:rPr>
            </w:r>
          </w:p>
        </w:tc>
        <w:tc>
          <w:tcPr>
            <w:tcW w:w="745"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b/>
                <w:sz w:val="15"/>
              </w:rPr>
              <w:t>100.00%</w:t>
            </w:r>
            <w:r>
              <w:rPr>
                <w:rFonts w:ascii="宋体"/>
                <w:sz w:val="15"/>
              </w:rPr>
            </w:r>
          </w:p>
        </w:tc>
        <w:tc>
          <w:tcPr>
            <w:tcW w:w="11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b/>
                <w:sz w:val="15"/>
              </w:rPr>
              <w:t>80,773,715.63</w:t>
            </w:r>
            <w:r>
              <w:rPr>
                <w:rFonts w:ascii="宋体"/>
                <w:sz w:val="15"/>
              </w:rPr>
            </w:r>
          </w:p>
        </w:tc>
        <w:tc>
          <w:tcPr>
            <w:tcW w:w="73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7" w:right="0"/>
              <w:jc w:val="center"/>
              <w:rPr>
                <w:rFonts w:ascii="宋体" w:hAnsi="宋体" w:cs="宋体" w:eastAsia="宋体" w:hint="default"/>
                <w:sz w:val="15"/>
                <w:szCs w:val="15"/>
              </w:rPr>
            </w:pPr>
            <w:r>
              <w:rPr>
                <w:rFonts w:ascii="宋体"/>
                <w:b/>
                <w:sz w:val="15"/>
              </w:rPr>
              <w:t>100.00%</w:t>
            </w:r>
            <w:r>
              <w:rPr>
                <w:rFonts w:ascii="宋体"/>
                <w:sz w:val="15"/>
              </w:rPr>
            </w:r>
          </w:p>
        </w:tc>
      </w:tr>
      <w:tr>
        <w:trPr>
          <w:trHeight w:val="818" w:hRule="exact"/>
        </w:trPr>
        <w:tc>
          <w:tcPr>
            <w:tcW w:w="884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9"/>
              <w:ind w:left="39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按账龄分析法计提坏账准备的其他应收款</w:t>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0" w:lineRule="exact"/>
              <w:ind w:left="99" w:right="0"/>
              <w:jc w:val="left"/>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pStyle w:val="TableParagraph"/>
              <w:tabs>
                <w:tab w:pos="6523" w:val="left" w:leader="none"/>
              </w:tabs>
              <w:spacing w:line="240" w:lineRule="auto"/>
              <w:ind w:left="2654" w:right="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tc>
      </w:tr>
    </w:tbl>
    <w:p>
      <w:pPr>
        <w:spacing w:line="240" w:lineRule="auto" w:before="5"/>
        <w:rPr>
          <w:rFonts w:ascii="宋体" w:hAnsi="宋体" w:cs="宋体" w:eastAsia="宋体" w:hint="default"/>
          <w:b/>
          <w:bCs/>
          <w:sz w:val="4"/>
          <w:szCs w:val="4"/>
        </w:rPr>
      </w:pPr>
    </w:p>
    <w:p>
      <w:pPr>
        <w:spacing w:line="20" w:lineRule="exact"/>
        <w:ind w:left="2372" w:right="0" w:firstLine="0"/>
        <w:rPr>
          <w:rFonts w:ascii="宋体" w:hAnsi="宋体" w:cs="宋体" w:eastAsia="宋体" w:hint="default"/>
          <w:sz w:val="2"/>
          <w:szCs w:val="2"/>
        </w:rPr>
      </w:pPr>
      <w:r>
        <w:rPr>
          <w:rFonts w:ascii="宋体" w:hAnsi="宋体" w:cs="宋体" w:eastAsia="宋体" w:hint="default"/>
          <w:sz w:val="2"/>
          <w:szCs w:val="2"/>
        </w:rPr>
        <w:pict>
          <v:group style="width:387.4pt;height:.5pt;mso-position-horizontal-relative:char;mso-position-vertical-relative:line" coordorigin="0,0" coordsize="7748,10">
            <v:group style="position:absolute;left:5;top:5;width:7738;height:2" coordorigin="5,5" coordsize="7738,2">
              <v:shape style="position:absolute;left:5;top:5;width:7738;height:2" coordorigin="5,5" coordsize="7738,0" path="m5,5l7742,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spacing w:line="391" w:lineRule="auto" w:before="31"/>
        <w:ind w:left="1652" w:right="1583" w:firstLine="0"/>
        <w:jc w:val="left"/>
        <w:rPr>
          <w:rFonts w:ascii="宋体" w:hAnsi="宋体" w:cs="宋体" w:eastAsia="宋体" w:hint="default"/>
          <w:sz w:val="22"/>
          <w:szCs w:val="22"/>
        </w:rPr>
      </w:pPr>
      <w:r>
        <w:rPr/>
        <w:pict>
          <v:shape style="position:absolute;margin-left:84.839996pt;margin-top:-129.796722pt;width:431.9pt;height:127.4pt;mso-position-horizontal-relative:page;mso-position-vertical-relative:paragraph;z-index:7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99"/>
                    <w:gridCol w:w="1677"/>
                    <w:gridCol w:w="851"/>
                    <w:gridCol w:w="1485"/>
                    <w:gridCol w:w="1485"/>
                    <w:gridCol w:w="852"/>
                    <w:gridCol w:w="1389"/>
                  </w:tblGrid>
                  <w:tr>
                    <w:trPr>
                      <w:trHeight w:val="502" w:hRule="exact"/>
                    </w:trPr>
                    <w:tc>
                      <w:tcPr>
                        <w:tcW w:w="899"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7"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5"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85"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2"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89"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2" w:hRule="exact"/>
                    </w:trPr>
                    <w:tc>
                      <w:tcPr>
                        <w:tcW w:w="899" w:type="dxa"/>
                        <w:tcBorders>
                          <w:top w:val="single" w:sz="2" w:space="0" w:color="000000"/>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7"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359,563,237.54</w:t>
                        </w:r>
                      </w:p>
                    </w:tc>
                    <w:tc>
                      <w:tcPr>
                        <w:tcW w:w="851"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30.57%</w:t>
                        </w:r>
                      </w:p>
                    </w:tc>
                    <w:tc>
                      <w:tcPr>
                        <w:tcW w:w="1485" w:type="dxa"/>
                        <w:tcBorders>
                          <w:top w:val="single" w:sz="2"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2,763,128.12</w:t>
                        </w:r>
                      </w:p>
                    </w:tc>
                    <w:tc>
                      <w:tcPr>
                        <w:tcW w:w="1485" w:type="dxa"/>
                        <w:tcBorders>
                          <w:top w:val="single" w:sz="2"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252,765,260.78</w:t>
                        </w:r>
                      </w:p>
                    </w:tc>
                    <w:tc>
                      <w:tcPr>
                        <w:tcW w:w="852"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26.64%</w:t>
                        </w:r>
                      </w:p>
                    </w:tc>
                    <w:tc>
                      <w:tcPr>
                        <w:tcW w:w="1389" w:type="dxa"/>
                        <w:tcBorders>
                          <w:top w:val="single" w:sz="2"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761,302.83</w:t>
                        </w:r>
                      </w:p>
                    </w:tc>
                  </w:tr>
                  <w:tr>
                    <w:trPr>
                      <w:trHeight w:val="284"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238,726,662.38</w:t>
                        </w:r>
                      </w:p>
                    </w:tc>
                    <w:tc>
                      <w:tcPr>
                        <w:tcW w:w="8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20.29%</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831,818.24</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265,109,500.81</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27.94%</w:t>
                        </w:r>
                      </w:p>
                    </w:tc>
                    <w:tc>
                      <w:tcPr>
                        <w:tcW w:w="138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3,047,042.88</w:t>
                        </w:r>
                      </w:p>
                    </w:tc>
                  </w:tr>
                  <w:tr>
                    <w:trPr>
                      <w:trHeight w:val="284"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200,937,269.50</w:t>
                        </w:r>
                      </w:p>
                    </w:tc>
                    <w:tc>
                      <w:tcPr>
                        <w:tcW w:w="8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17.08%</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6,585,408.73</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227,708,526.93</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24.00%</w:t>
                        </w:r>
                      </w:p>
                    </w:tc>
                    <w:tc>
                      <w:tcPr>
                        <w:tcW w:w="138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7,747,066.61</w:t>
                        </w:r>
                      </w:p>
                    </w:tc>
                  </w:tr>
                  <w:tr>
                    <w:trPr>
                      <w:trHeight w:val="284"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200,326,894.05</w:t>
                        </w:r>
                      </w:p>
                    </w:tc>
                    <w:tc>
                      <w:tcPr>
                        <w:tcW w:w="8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17.03%</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11,368,393.32</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82,631,833.05</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8.71%</w:t>
                        </w:r>
                      </w:p>
                    </w:tc>
                    <w:tc>
                      <w:tcPr>
                        <w:tcW w:w="138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6,440,503.57</w:t>
                        </w:r>
                      </w:p>
                    </w:tc>
                  </w:tr>
                  <w:tr>
                    <w:trPr>
                      <w:trHeight w:val="284"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75,313,150.69</w:t>
                        </w:r>
                      </w:p>
                    </w:tc>
                    <w:tc>
                      <w:tcPr>
                        <w:tcW w:w="8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6.40%</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9,793,245.52</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39,065,782.47</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4.12%</w:t>
                        </w:r>
                      </w:p>
                    </w:tc>
                    <w:tc>
                      <w:tcPr>
                        <w:tcW w:w="138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19,403,616.93</w:t>
                        </w:r>
                      </w:p>
                    </w:tc>
                  </w:tr>
                  <w:tr>
                    <w:trPr>
                      <w:trHeight w:val="293" w:hRule="exact"/>
                    </w:trPr>
                    <w:tc>
                      <w:tcPr>
                        <w:tcW w:w="89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77"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101,429,758.63</w:t>
                        </w:r>
                      </w:p>
                    </w:tc>
                    <w:tc>
                      <w:tcPr>
                        <w:tcW w:w="851"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8.63%</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78,811,389.78</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81,564,700.54</w:t>
                        </w:r>
                      </w:p>
                    </w:tc>
                    <w:tc>
                      <w:tcPr>
                        <w:tcW w:w="852"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8.59%</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43,374,182.81</w:t>
                        </w:r>
                      </w:p>
                    </w:tc>
                  </w:tr>
                  <w:tr>
                    <w:trPr>
                      <w:trHeight w:val="304" w:hRule="exact"/>
                    </w:trPr>
                    <w:tc>
                      <w:tcPr>
                        <w:tcW w:w="89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b/>
                            <w:w w:val="95"/>
                            <w:sz w:val="18"/>
                          </w:rPr>
                          <w:t>1,176,296,972.79</w:t>
                        </w:r>
                        <w:r>
                          <w:rPr>
                            <w:rFonts w:ascii="宋体"/>
                            <w:sz w:val="18"/>
                          </w:rPr>
                        </w:r>
                      </w:p>
                    </w:tc>
                    <w:tc>
                      <w:tcPr>
                        <w:tcW w:w="85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b/>
                            <w:w w:val="95"/>
                            <w:sz w:val="18"/>
                          </w:rPr>
                          <w:t>100.00%</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110,153,383.71</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948,845,604.58</w:t>
                        </w:r>
                        <w:r>
                          <w:rPr>
                            <w:rFonts w:ascii="宋体"/>
                            <w:sz w:val="18"/>
                          </w:rPr>
                        </w: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100.00%</w:t>
                        </w:r>
                        <w:r>
                          <w:rPr>
                            <w:rFonts w:ascii="宋体"/>
                            <w:sz w:val="18"/>
                          </w:rPr>
                        </w: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b/>
                            <w:w w:val="95"/>
                            <w:sz w:val="18"/>
                          </w:rPr>
                          <w:t>80,773,715.63</w:t>
                        </w:r>
                        <w:r>
                          <w:rPr>
                            <w:rFonts w:ascii="宋体"/>
                            <w:sz w:val="18"/>
                          </w:rPr>
                        </w:r>
                      </w:p>
                    </w:tc>
                  </w:tr>
                </w:tbl>
                <w:p>
                  <w:pPr/>
                </w:p>
              </w:txbxContent>
            </v:textbox>
            <w10:wrap type="none"/>
          </v:shape>
        </w:pict>
      </w: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年末余额中前五名单位欠款</w:t>
      </w:r>
      <w:r>
        <w:rPr>
          <w:rFonts w:ascii="宋体" w:hAnsi="宋体" w:cs="宋体" w:eastAsia="宋体" w:hint="default"/>
          <w:spacing w:val="-59"/>
          <w:sz w:val="22"/>
          <w:szCs w:val="22"/>
        </w:rPr>
        <w:t> </w:t>
      </w:r>
      <w:r>
        <w:rPr>
          <w:rFonts w:ascii="宋体" w:hAnsi="宋体" w:cs="宋体" w:eastAsia="宋体" w:hint="default"/>
          <w:sz w:val="22"/>
          <w:szCs w:val="22"/>
        </w:rPr>
        <w:t>690,389,231.84</w:t>
      </w:r>
      <w:r>
        <w:rPr>
          <w:rFonts w:ascii="宋体" w:hAnsi="宋体" w:cs="宋体" w:eastAsia="宋体" w:hint="default"/>
          <w:spacing w:val="-59"/>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8"/>
          <w:sz w:val="22"/>
          <w:szCs w:val="22"/>
        </w:rPr>
        <w:t> </w:t>
      </w:r>
      <w:r>
        <w:rPr>
          <w:rFonts w:ascii="宋体" w:hAnsi="宋体" w:cs="宋体" w:eastAsia="宋体" w:hint="default"/>
          <w:sz w:val="22"/>
          <w:szCs w:val="22"/>
        </w:rPr>
        <w:t>58.69%。</w:t>
      </w:r>
    </w:p>
    <w:p>
      <w:pPr>
        <w:spacing w:before="41"/>
        <w:ind w:left="1651" w:right="34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3"/>
          <w:sz w:val="22"/>
          <w:szCs w:val="22"/>
        </w:rPr>
        <w:t> </w:t>
      </w:r>
      <w:r>
        <w:rPr>
          <w:rFonts w:ascii="宋体" w:hAnsi="宋体" w:cs="宋体" w:eastAsia="宋体" w:hint="default"/>
          <w:sz w:val="22"/>
          <w:szCs w:val="22"/>
        </w:rPr>
        <w:t>年末余额中应收关联方款项合计</w:t>
      </w:r>
      <w:r>
        <w:rPr>
          <w:rFonts w:ascii="宋体" w:hAnsi="宋体" w:cs="宋体" w:eastAsia="宋体" w:hint="default"/>
          <w:spacing w:val="-59"/>
          <w:sz w:val="22"/>
          <w:szCs w:val="22"/>
        </w:rPr>
        <w:t> </w:t>
      </w:r>
      <w:r>
        <w:rPr>
          <w:rFonts w:ascii="宋体" w:hAnsi="宋体" w:cs="宋体" w:eastAsia="宋体" w:hint="default"/>
          <w:sz w:val="22"/>
          <w:szCs w:val="22"/>
        </w:rPr>
        <w:t>654,058,001.48</w:t>
      </w:r>
      <w:r>
        <w:rPr>
          <w:rFonts w:ascii="宋体" w:hAnsi="宋体" w:cs="宋体" w:eastAsia="宋体" w:hint="default"/>
          <w:spacing w:val="-59"/>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9"/>
          <w:sz w:val="22"/>
          <w:szCs w:val="22"/>
        </w:rPr>
        <w:t> </w:t>
      </w:r>
      <w:r>
        <w:rPr>
          <w:rFonts w:ascii="宋体" w:hAnsi="宋体" w:cs="宋体" w:eastAsia="宋体" w:hint="default"/>
          <w:sz w:val="22"/>
          <w:szCs w:val="22"/>
        </w:rPr>
        <w:t>55.60%。</w:t>
      </w:r>
    </w:p>
    <w:p>
      <w:pPr>
        <w:tabs>
          <w:tab w:pos="2105" w:val="left" w:leader="none"/>
        </w:tabs>
        <w:spacing w:before="180"/>
        <w:ind w:left="1651" w:right="2055"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长期股权投资</w:t>
      </w:r>
    </w:p>
    <w:p>
      <w:pPr>
        <w:spacing w:before="163"/>
        <w:ind w:left="1651" w:right="2055"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长期股权投资</w:t>
      </w:r>
    </w:p>
    <w:p>
      <w:pPr>
        <w:spacing w:line="240" w:lineRule="auto" w:before="7"/>
        <w:rPr>
          <w:rFonts w:ascii="宋体" w:hAnsi="宋体" w:cs="宋体" w:eastAsia="宋体" w:hint="default"/>
          <w:sz w:val="12"/>
          <w:szCs w:val="12"/>
        </w:rPr>
      </w:pPr>
    </w:p>
    <w:p>
      <w:pPr>
        <w:spacing w:line="30" w:lineRule="exact"/>
        <w:ind w:left="146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6117" w:val="left" w:leader="none"/>
          <w:tab w:pos="8929" w:val="left" w:leader="none"/>
        </w:tabs>
        <w:spacing w:before="0"/>
        <w:ind w:left="1584" w:right="346"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1476" w:type="dxa"/>
        <w:tblLayout w:type="fixed"/>
        <w:tblCellMar>
          <w:top w:w="0" w:type="dxa"/>
          <w:left w:w="0" w:type="dxa"/>
          <w:bottom w:w="0" w:type="dxa"/>
          <w:right w:w="0" w:type="dxa"/>
        </w:tblCellMar>
        <w:tblLook w:val="01E0"/>
      </w:tblPr>
      <w:tblGrid>
        <w:gridCol w:w="3028"/>
        <w:gridCol w:w="3135"/>
        <w:gridCol w:w="2475"/>
      </w:tblGrid>
      <w:tr>
        <w:trPr>
          <w:trHeight w:val="261" w:hRule="exact"/>
        </w:trPr>
        <w:tc>
          <w:tcPr>
            <w:tcW w:w="302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3135" w:type="dxa"/>
            <w:tcBorders>
              <w:top w:val="single" w:sz="4" w:space="0" w:color="000000"/>
              <w:left w:val="nil" w:sz="6" w:space="0" w:color="auto"/>
              <w:bottom w:val="nil" w:sz="6" w:space="0" w:color="auto"/>
              <w:right w:val="nil" w:sz="6" w:space="0" w:color="auto"/>
            </w:tcBorders>
          </w:tcPr>
          <w:p>
            <w:pPr>
              <w:pStyle w:val="TableParagraph"/>
              <w:spacing w:line="234" w:lineRule="exact"/>
              <w:ind w:right="436"/>
              <w:jc w:val="right"/>
              <w:rPr>
                <w:rFonts w:ascii="宋体" w:hAnsi="宋体" w:cs="宋体" w:eastAsia="宋体" w:hint="default"/>
                <w:sz w:val="24"/>
                <w:szCs w:val="24"/>
              </w:rPr>
            </w:pPr>
            <w:r>
              <w:rPr>
                <w:rFonts w:ascii="宋体"/>
                <w:sz w:val="24"/>
              </w:rPr>
              <w:t>4,083,265,327.68</w:t>
            </w:r>
          </w:p>
        </w:tc>
        <w:tc>
          <w:tcPr>
            <w:tcW w:w="2475" w:type="dxa"/>
            <w:tcBorders>
              <w:top w:val="single" w:sz="4" w:space="0" w:color="000000"/>
              <w:left w:val="nil" w:sz="6" w:space="0" w:color="auto"/>
              <w:bottom w:val="nil" w:sz="6" w:space="0" w:color="auto"/>
              <w:right w:val="nil" w:sz="6" w:space="0" w:color="auto"/>
            </w:tcBorders>
          </w:tcPr>
          <w:p>
            <w:pPr>
              <w:pStyle w:val="TableParagraph"/>
              <w:spacing w:line="234" w:lineRule="exact"/>
              <w:ind w:right="98"/>
              <w:jc w:val="right"/>
              <w:rPr>
                <w:rFonts w:ascii="宋体" w:hAnsi="宋体" w:cs="宋体" w:eastAsia="宋体" w:hint="default"/>
                <w:sz w:val="24"/>
                <w:szCs w:val="24"/>
              </w:rPr>
            </w:pPr>
            <w:r>
              <w:rPr>
                <w:rFonts w:ascii="宋体"/>
                <w:sz w:val="24"/>
              </w:rPr>
              <w:t>2,922,819,507.63</w:t>
            </w:r>
          </w:p>
        </w:tc>
      </w:tr>
      <w:tr>
        <w:trPr>
          <w:trHeight w:val="28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3135" w:type="dxa"/>
            <w:tcBorders>
              <w:top w:val="nil" w:sz="6" w:space="0" w:color="auto"/>
              <w:left w:val="nil" w:sz="6" w:space="0" w:color="auto"/>
              <w:bottom w:val="nil" w:sz="6" w:space="0" w:color="auto"/>
              <w:right w:val="nil" w:sz="6" w:space="0" w:color="auto"/>
            </w:tcBorders>
          </w:tcPr>
          <w:p>
            <w:pPr>
              <w:pStyle w:val="TableParagraph"/>
              <w:spacing w:line="262" w:lineRule="exact"/>
              <w:ind w:right="436"/>
              <w:jc w:val="right"/>
              <w:rPr>
                <w:rFonts w:ascii="宋体" w:hAnsi="宋体" w:cs="宋体" w:eastAsia="宋体" w:hint="default"/>
                <w:sz w:val="24"/>
                <w:szCs w:val="24"/>
              </w:rPr>
            </w:pPr>
            <w:r>
              <w:rPr>
                <w:rFonts w:ascii="宋体"/>
                <w:sz w:val="24"/>
              </w:rPr>
              <w:t>1,315,287,580.13</w:t>
            </w:r>
          </w:p>
        </w:tc>
        <w:tc>
          <w:tcPr>
            <w:tcW w:w="2475" w:type="dxa"/>
            <w:tcBorders>
              <w:top w:val="nil" w:sz="6" w:space="0" w:color="auto"/>
              <w:left w:val="nil" w:sz="6" w:space="0" w:color="auto"/>
              <w:bottom w:val="nil" w:sz="6" w:space="0" w:color="auto"/>
              <w:right w:val="nil" w:sz="6" w:space="0" w:color="auto"/>
            </w:tcBorders>
          </w:tcPr>
          <w:p>
            <w:pPr>
              <w:pStyle w:val="TableParagraph"/>
              <w:spacing w:line="262" w:lineRule="exact"/>
              <w:ind w:right="98"/>
              <w:jc w:val="right"/>
              <w:rPr>
                <w:rFonts w:ascii="宋体" w:hAnsi="宋体" w:cs="宋体" w:eastAsia="宋体" w:hint="default"/>
                <w:sz w:val="24"/>
                <w:szCs w:val="24"/>
              </w:rPr>
            </w:pPr>
            <w:r>
              <w:rPr>
                <w:rFonts w:ascii="宋体"/>
                <w:sz w:val="24"/>
              </w:rPr>
              <w:t>1,313,161,383.07</w:t>
            </w:r>
          </w:p>
        </w:tc>
      </w:tr>
      <w:tr>
        <w:trPr>
          <w:trHeight w:val="28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3135" w:type="dxa"/>
            <w:tcBorders>
              <w:top w:val="nil" w:sz="6" w:space="0" w:color="auto"/>
              <w:left w:val="nil" w:sz="6" w:space="0" w:color="auto"/>
              <w:bottom w:val="nil" w:sz="6" w:space="0" w:color="auto"/>
              <w:right w:val="nil" w:sz="6" w:space="0" w:color="auto"/>
            </w:tcBorders>
          </w:tcPr>
          <w:p>
            <w:pPr>
              <w:pStyle w:val="TableParagraph"/>
              <w:spacing w:line="262" w:lineRule="exact"/>
              <w:ind w:right="436"/>
              <w:jc w:val="right"/>
              <w:rPr>
                <w:rFonts w:ascii="宋体" w:hAnsi="宋体" w:cs="宋体" w:eastAsia="宋体" w:hint="default"/>
                <w:sz w:val="24"/>
                <w:szCs w:val="24"/>
              </w:rPr>
            </w:pPr>
            <w:r>
              <w:rPr>
                <w:rFonts w:ascii="宋体"/>
                <w:b/>
                <w:sz w:val="24"/>
              </w:rPr>
              <w:t>5,398,552,907.81</w:t>
            </w:r>
            <w:r>
              <w:rPr>
                <w:rFonts w:ascii="宋体"/>
                <w:sz w:val="24"/>
              </w:rPr>
            </w:r>
          </w:p>
        </w:tc>
        <w:tc>
          <w:tcPr>
            <w:tcW w:w="2475" w:type="dxa"/>
            <w:tcBorders>
              <w:top w:val="nil" w:sz="6" w:space="0" w:color="auto"/>
              <w:left w:val="nil" w:sz="6" w:space="0" w:color="auto"/>
              <w:bottom w:val="nil" w:sz="6" w:space="0" w:color="auto"/>
              <w:right w:val="nil" w:sz="6" w:space="0" w:color="auto"/>
            </w:tcBorders>
          </w:tcPr>
          <w:p>
            <w:pPr>
              <w:pStyle w:val="TableParagraph"/>
              <w:spacing w:line="262" w:lineRule="exact"/>
              <w:ind w:right="98"/>
              <w:jc w:val="right"/>
              <w:rPr>
                <w:rFonts w:ascii="宋体" w:hAnsi="宋体" w:cs="宋体" w:eastAsia="宋体" w:hint="default"/>
                <w:sz w:val="24"/>
                <w:szCs w:val="24"/>
              </w:rPr>
            </w:pPr>
            <w:r>
              <w:rPr>
                <w:rFonts w:ascii="宋体"/>
                <w:b/>
                <w:sz w:val="24"/>
              </w:rPr>
              <w:t>4,235,980,890.70</w:t>
            </w:r>
            <w:r>
              <w:rPr>
                <w:rFonts w:ascii="宋体"/>
                <w:sz w:val="24"/>
              </w:rPr>
            </w:r>
          </w:p>
        </w:tc>
      </w:tr>
      <w:tr>
        <w:trPr>
          <w:trHeight w:val="314" w:hRule="exact"/>
        </w:trPr>
        <w:tc>
          <w:tcPr>
            <w:tcW w:w="302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3135" w:type="dxa"/>
            <w:tcBorders>
              <w:top w:val="nil" w:sz="6" w:space="0" w:color="auto"/>
              <w:left w:val="nil" w:sz="6" w:space="0" w:color="auto"/>
              <w:bottom w:val="single" w:sz="4" w:space="0" w:color="000000"/>
              <w:right w:val="nil" w:sz="6" w:space="0" w:color="auto"/>
            </w:tcBorders>
          </w:tcPr>
          <w:p>
            <w:pPr>
              <w:pStyle w:val="TableParagraph"/>
              <w:spacing w:line="262" w:lineRule="exact"/>
              <w:ind w:right="436"/>
              <w:jc w:val="right"/>
              <w:rPr>
                <w:rFonts w:ascii="宋体" w:hAnsi="宋体" w:cs="宋体" w:eastAsia="宋体" w:hint="default"/>
                <w:sz w:val="24"/>
                <w:szCs w:val="24"/>
              </w:rPr>
            </w:pPr>
            <w:r>
              <w:rPr>
                <w:rFonts w:ascii="宋体"/>
                <w:sz w:val="24"/>
              </w:rPr>
              <w:t>0.00</w:t>
            </w:r>
          </w:p>
        </w:tc>
        <w:tc>
          <w:tcPr>
            <w:tcW w:w="2475" w:type="dxa"/>
            <w:tcBorders>
              <w:top w:val="nil" w:sz="6" w:space="0" w:color="auto"/>
              <w:left w:val="nil" w:sz="6" w:space="0" w:color="auto"/>
              <w:bottom w:val="single" w:sz="4" w:space="0" w:color="000000"/>
              <w:right w:val="nil" w:sz="6" w:space="0" w:color="auto"/>
            </w:tcBorders>
          </w:tcPr>
          <w:p>
            <w:pPr>
              <w:pStyle w:val="TableParagraph"/>
              <w:spacing w:line="262" w:lineRule="exact"/>
              <w:ind w:right="98"/>
              <w:jc w:val="right"/>
              <w:rPr>
                <w:rFonts w:ascii="宋体" w:hAnsi="宋体" w:cs="宋体" w:eastAsia="宋体" w:hint="default"/>
                <w:sz w:val="24"/>
                <w:szCs w:val="24"/>
              </w:rPr>
            </w:pPr>
            <w:r>
              <w:rPr>
                <w:rFonts w:ascii="宋体"/>
                <w:sz w:val="24"/>
              </w:rPr>
              <w:t>0.00</w:t>
            </w:r>
          </w:p>
        </w:tc>
      </w:tr>
      <w:tr>
        <w:trPr>
          <w:trHeight w:val="304" w:hRule="exact"/>
        </w:trPr>
        <w:tc>
          <w:tcPr>
            <w:tcW w:w="302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长期股权投资净值</w:t>
            </w:r>
            <w:r>
              <w:rPr>
                <w:rFonts w:ascii="宋体" w:hAnsi="宋体" w:cs="宋体" w:eastAsia="宋体" w:hint="default"/>
                <w:sz w:val="18"/>
                <w:szCs w:val="18"/>
              </w:rPr>
            </w:r>
          </w:p>
        </w:tc>
        <w:tc>
          <w:tcPr>
            <w:tcW w:w="3135"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436"/>
              <w:jc w:val="right"/>
              <w:rPr>
                <w:rFonts w:ascii="宋体" w:hAnsi="宋体" w:cs="宋体" w:eastAsia="宋体" w:hint="default"/>
                <w:sz w:val="24"/>
                <w:szCs w:val="24"/>
              </w:rPr>
            </w:pPr>
            <w:r>
              <w:rPr>
                <w:rFonts w:ascii="宋体"/>
                <w:b/>
                <w:sz w:val="24"/>
              </w:rPr>
              <w:t>5,398,552,907.81</w:t>
            </w:r>
            <w:r>
              <w:rPr>
                <w:rFonts w:ascii="宋体"/>
                <w:sz w:val="24"/>
              </w:rPr>
            </w:r>
          </w:p>
        </w:tc>
        <w:tc>
          <w:tcPr>
            <w:tcW w:w="2475"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98"/>
              <w:jc w:val="right"/>
              <w:rPr>
                <w:rFonts w:ascii="宋体" w:hAnsi="宋体" w:cs="宋体" w:eastAsia="宋体" w:hint="default"/>
                <w:sz w:val="24"/>
                <w:szCs w:val="24"/>
              </w:rPr>
            </w:pPr>
            <w:r>
              <w:rPr>
                <w:rFonts w:ascii="宋体"/>
                <w:b/>
                <w:sz w:val="24"/>
              </w:rPr>
              <w:t>4,235,980,890.70</w:t>
            </w:r>
            <w:r>
              <w:rPr>
                <w:rFonts w:ascii="宋体"/>
                <w:sz w:val="24"/>
              </w:rPr>
            </w:r>
          </w:p>
        </w:tc>
      </w:tr>
    </w:tbl>
    <w:p>
      <w:pPr>
        <w:spacing w:before="79"/>
        <w:ind w:left="1652" w:right="2055"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按成本法核算的长期股权投资</w:t>
      </w:r>
    </w:p>
    <w:p>
      <w:pPr>
        <w:spacing w:line="240" w:lineRule="auto" w:before="6"/>
        <w:rPr>
          <w:rFonts w:ascii="宋体" w:hAnsi="宋体" w:cs="宋体" w:eastAsia="宋体" w:hint="default"/>
          <w:sz w:val="12"/>
          <w:szCs w:val="12"/>
        </w:rPr>
      </w:pPr>
    </w:p>
    <w:p>
      <w:pPr>
        <w:spacing w:line="30" w:lineRule="exact"/>
        <w:ind w:left="1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66.5pt;height:1.5pt;mso-position-horizontal-relative:char;mso-position-vertical-relative:line" coordorigin="0,0" coordsize="11330,30">
            <v:group style="position:absolute;left:15;top:15;width:11300;height:2" coordorigin="15,15" coordsize="11300,2">
              <v:shape style="position:absolute;left:15;top:15;width:11300;height:2" coordorigin="15,15" coordsize="11300,0" path="m15,15l1131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220" w:right="100"/>
        </w:sectPr>
      </w:pPr>
    </w:p>
    <w:p>
      <w:pPr>
        <w:spacing w:line="240" w:lineRule="auto" w:before="9"/>
        <w:rPr>
          <w:rFonts w:ascii="宋体" w:hAnsi="宋体" w:cs="宋体" w:eastAsia="宋体" w:hint="default"/>
          <w:sz w:val="11"/>
          <w:szCs w:val="11"/>
        </w:rPr>
      </w:pPr>
    </w:p>
    <w:p>
      <w:pPr>
        <w:spacing w:before="0"/>
        <w:ind w:left="740" w:right="-20" w:firstLine="0"/>
        <w:jc w:val="left"/>
        <w:rPr>
          <w:rFonts w:ascii="宋体" w:hAnsi="宋体" w:cs="宋体" w:eastAsia="宋体" w:hint="default"/>
          <w:sz w:val="14"/>
          <w:szCs w:val="14"/>
        </w:rPr>
      </w:pPr>
      <w:r>
        <w:rPr>
          <w:rFonts w:ascii="宋体" w:hAnsi="宋体" w:cs="宋体" w:eastAsia="宋体" w:hint="default"/>
          <w:b/>
          <w:bCs/>
          <w:sz w:val="14"/>
          <w:szCs w:val="14"/>
        </w:rPr>
        <w:t>被投资单位名称</w:t>
      </w:r>
      <w:r>
        <w:rPr>
          <w:rFonts w:ascii="宋体" w:hAnsi="宋体" w:cs="宋体" w:eastAsia="宋体" w:hint="default"/>
          <w:sz w:val="14"/>
          <w:szCs w:val="14"/>
        </w:rPr>
      </w:r>
    </w:p>
    <w:p>
      <w:pPr>
        <w:tabs>
          <w:tab w:pos="1375" w:val="left" w:leader="none"/>
        </w:tabs>
        <w:spacing w:before="53"/>
        <w:ind w:left="740" w:right="-20" w:firstLine="0"/>
        <w:jc w:val="left"/>
        <w:rPr>
          <w:rFonts w:ascii="宋体" w:hAnsi="宋体" w:cs="宋体" w:eastAsia="宋体" w:hint="default"/>
          <w:sz w:val="14"/>
          <w:szCs w:val="14"/>
        </w:rPr>
      </w:pPr>
      <w:r>
        <w:rPr>
          <w:w w:val="95"/>
        </w:rPr>
        <w:br w:type="column"/>
      </w:r>
      <w:r>
        <w:rPr>
          <w:rFonts w:ascii="宋体" w:hAnsi="宋体" w:cs="宋体" w:eastAsia="宋体" w:hint="default"/>
          <w:b/>
          <w:bCs/>
          <w:w w:val="95"/>
          <w:sz w:val="14"/>
          <w:szCs w:val="14"/>
        </w:rPr>
        <w:t>持股</w:t>
        <w:tab/>
      </w:r>
      <w:r>
        <w:rPr>
          <w:rFonts w:ascii="宋体" w:hAnsi="宋体" w:cs="宋体" w:eastAsia="宋体" w:hint="default"/>
          <w:b/>
          <w:bCs/>
          <w:sz w:val="14"/>
          <w:szCs w:val="14"/>
        </w:rPr>
        <w:t>表决权</w:t>
      </w:r>
      <w:r>
        <w:rPr>
          <w:rFonts w:ascii="宋体" w:hAnsi="宋体" w:cs="宋体" w:eastAsia="宋体" w:hint="default"/>
          <w:sz w:val="14"/>
          <w:szCs w:val="14"/>
        </w:rPr>
      </w:r>
    </w:p>
    <w:p>
      <w:pPr>
        <w:tabs>
          <w:tab w:pos="1445" w:val="left" w:leader="none"/>
        </w:tabs>
        <w:spacing w:before="17"/>
        <w:ind w:left="740" w:right="-20" w:firstLine="0"/>
        <w:jc w:val="left"/>
        <w:rPr>
          <w:rFonts w:ascii="宋体" w:hAnsi="宋体" w:cs="宋体" w:eastAsia="宋体" w:hint="default"/>
          <w:sz w:val="14"/>
          <w:szCs w:val="14"/>
        </w:rPr>
      </w:pPr>
      <w:r>
        <w:rPr>
          <w:rFonts w:ascii="宋体" w:hAnsi="宋体" w:cs="宋体" w:eastAsia="宋体" w:hint="default"/>
          <w:b/>
          <w:bCs/>
          <w:w w:val="95"/>
          <w:sz w:val="14"/>
          <w:szCs w:val="14"/>
        </w:rPr>
        <w:t>比例</w:t>
        <w:tab/>
      </w:r>
      <w:r>
        <w:rPr>
          <w:rFonts w:ascii="宋体" w:hAnsi="宋体" w:cs="宋体" w:eastAsia="宋体" w:hint="default"/>
          <w:b/>
          <w:bCs/>
          <w:sz w:val="14"/>
          <w:szCs w:val="14"/>
        </w:rPr>
        <w:t>比例</w:t>
      </w:r>
      <w:r>
        <w:rPr>
          <w:rFonts w:ascii="宋体" w:hAnsi="宋体" w:cs="宋体" w:eastAsia="宋体" w:hint="default"/>
          <w:sz w:val="14"/>
          <w:szCs w:val="14"/>
        </w:rPr>
      </w:r>
    </w:p>
    <w:p>
      <w:pPr>
        <w:spacing w:line="240" w:lineRule="auto" w:before="9"/>
        <w:rPr>
          <w:rFonts w:ascii="宋体" w:hAnsi="宋体" w:cs="宋体" w:eastAsia="宋体" w:hint="default"/>
          <w:b/>
          <w:bCs/>
          <w:sz w:val="11"/>
          <w:szCs w:val="11"/>
        </w:rPr>
      </w:pPr>
      <w:r>
        <w:rPr/>
        <w:br w:type="column"/>
      </w:r>
      <w:r>
        <w:rPr>
          <w:rFonts w:ascii="宋体"/>
          <w:b/>
          <w:sz w:val="11"/>
        </w:rPr>
      </w:r>
    </w:p>
    <w:p>
      <w:pPr>
        <w:tabs>
          <w:tab w:pos="1839" w:val="left" w:leader="none"/>
          <w:tab w:pos="3184" w:val="left" w:leader="none"/>
          <w:tab w:pos="4458" w:val="left" w:leader="none"/>
          <w:tab w:pos="5732" w:val="left" w:leader="none"/>
        </w:tabs>
        <w:spacing w:before="0"/>
        <w:ind w:left="495" w:right="-20" w:firstLine="0"/>
        <w:jc w:val="left"/>
        <w:rPr>
          <w:rFonts w:ascii="宋体" w:hAnsi="宋体" w:cs="宋体" w:eastAsia="宋体" w:hint="default"/>
          <w:sz w:val="14"/>
          <w:szCs w:val="14"/>
        </w:rPr>
      </w:pPr>
      <w:r>
        <w:rPr>
          <w:rFonts w:ascii="宋体" w:hAnsi="宋体" w:cs="宋体" w:eastAsia="宋体" w:hint="default"/>
          <w:b/>
          <w:bCs/>
          <w:w w:val="95"/>
          <w:sz w:val="14"/>
          <w:szCs w:val="14"/>
        </w:rPr>
        <w:t>投资成本</w:t>
        <w:tab/>
        <w:t>年初金额</w:t>
        <w:tab/>
        <w:t>本年增加</w:t>
        <w:tab/>
        <w:t>本年减少</w:t>
        <w:tab/>
      </w:r>
      <w:r>
        <w:rPr>
          <w:rFonts w:ascii="宋体" w:hAnsi="宋体" w:cs="宋体" w:eastAsia="宋体" w:hint="default"/>
          <w:b/>
          <w:bCs/>
          <w:sz w:val="14"/>
          <w:szCs w:val="14"/>
        </w:rPr>
        <w:t>年末金额</w:t>
      </w:r>
      <w:r>
        <w:rPr>
          <w:rFonts w:ascii="宋体" w:hAnsi="宋体" w:cs="宋体" w:eastAsia="宋体" w:hint="default"/>
          <w:sz w:val="14"/>
          <w:szCs w:val="14"/>
        </w:rPr>
      </w:r>
    </w:p>
    <w:p>
      <w:pPr>
        <w:spacing w:line="261" w:lineRule="auto" w:before="53"/>
        <w:ind w:left="638" w:right="330" w:hanging="71"/>
        <w:jc w:val="left"/>
        <w:rPr>
          <w:rFonts w:ascii="宋体" w:hAnsi="宋体" w:cs="宋体" w:eastAsia="宋体" w:hint="default"/>
          <w:sz w:val="14"/>
          <w:szCs w:val="14"/>
        </w:rPr>
      </w:pPr>
      <w:r>
        <w:rPr/>
        <w:br w:type="column"/>
      </w:r>
      <w:r>
        <w:rPr>
          <w:rFonts w:ascii="宋体" w:hAnsi="宋体" w:cs="宋体" w:eastAsia="宋体" w:hint="default"/>
          <w:b/>
          <w:bCs/>
          <w:sz w:val="14"/>
          <w:szCs w:val="14"/>
        </w:rPr>
        <w:t>当年分得的</w:t>
      </w:r>
      <w:r>
        <w:rPr>
          <w:rFonts w:ascii="宋体" w:hAnsi="宋体" w:cs="宋体" w:eastAsia="宋体" w:hint="default"/>
          <w:b/>
          <w:bCs/>
          <w:w w:val="99"/>
          <w:sz w:val="14"/>
          <w:szCs w:val="14"/>
        </w:rPr>
        <w:t> </w:t>
      </w:r>
      <w:r>
        <w:rPr>
          <w:rFonts w:ascii="宋体" w:hAnsi="宋体" w:cs="宋体" w:eastAsia="宋体" w:hint="default"/>
          <w:b/>
          <w:bCs/>
          <w:sz w:val="14"/>
          <w:szCs w:val="14"/>
        </w:rPr>
        <w:t>现金红利</w:t>
      </w:r>
      <w:r>
        <w:rPr>
          <w:rFonts w:ascii="宋体" w:hAnsi="宋体" w:cs="宋体" w:eastAsia="宋体" w:hint="default"/>
          <w:sz w:val="14"/>
          <w:szCs w:val="14"/>
        </w:rPr>
      </w:r>
    </w:p>
    <w:p>
      <w:pPr>
        <w:spacing w:after="0" w:line="261" w:lineRule="auto"/>
        <w:jc w:val="left"/>
        <w:rPr>
          <w:rFonts w:ascii="宋体" w:hAnsi="宋体" w:cs="宋体" w:eastAsia="宋体" w:hint="default"/>
          <w:sz w:val="14"/>
          <w:szCs w:val="14"/>
        </w:rPr>
        <w:sectPr>
          <w:type w:val="continuous"/>
          <w:pgSz w:w="11910" w:h="16840"/>
          <w:pgMar w:top="1600" w:bottom="280" w:left="220" w:right="100"/>
          <w:cols w:num="4" w:equalWidth="0">
            <w:col w:w="1724" w:space="68"/>
            <w:col w:w="1798" w:space="40"/>
            <w:col w:w="6295" w:space="40"/>
            <w:col w:w="1625"/>
          </w:cols>
        </w:sectPr>
      </w:pPr>
    </w:p>
    <w:p>
      <w:pPr>
        <w:spacing w:line="240" w:lineRule="auto" w:before="13"/>
        <w:rPr>
          <w:rFonts w:ascii="宋体" w:hAnsi="宋体" w:cs="宋体" w:eastAsia="宋体" w:hint="default"/>
          <w:b/>
          <w:bCs/>
          <w:sz w:val="4"/>
          <w:szCs w:val="4"/>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565.450pt;height:.5pt;mso-position-horizontal-relative:char;mso-position-vertical-relative:line" coordorigin="0,0" coordsize="11309,10">
            <v:group style="position:absolute;left:5;top:5;width:11300;height:2" coordorigin="5,5" coordsize="11300,2">
              <v:shape style="position:absolute;left:5;top:5;width:11300;height:2" coordorigin="5,5" coordsize="11300,0" path="m5,5l11304,5e" filled="false" stroked="true" strokeweight=".48pt" strokecolor="#000000">
                <v:path arrowok="t"/>
              </v:shape>
            </v:group>
          </v:group>
        </w:pict>
      </w:r>
      <w:r>
        <w:rPr>
          <w:rFonts w:ascii="宋体" w:hAnsi="宋体" w:cs="宋体" w:eastAsia="宋体" w:hint="default"/>
          <w:sz w:val="2"/>
          <w:szCs w:val="2"/>
        </w:rPr>
      </w:r>
    </w:p>
    <w:p>
      <w:pPr>
        <w:spacing w:before="27"/>
        <w:ind w:left="252" w:right="2055" w:firstLine="0"/>
        <w:jc w:val="left"/>
        <w:rPr>
          <w:rFonts w:ascii="宋体" w:hAnsi="宋体" w:cs="宋体" w:eastAsia="宋体" w:hint="default"/>
          <w:sz w:val="14"/>
          <w:szCs w:val="14"/>
        </w:rPr>
      </w:pPr>
      <w:r>
        <w:rPr/>
        <w:pict>
          <v:shape style="position:absolute;margin-left:130.516083pt;margin-top:-.793819pt;width:449.4pt;height:49.55pt;mso-position-horizontal-relative:page;mso-position-vertical-relative:paragraph;z-index:7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5"/>
                    <w:gridCol w:w="780"/>
                    <w:gridCol w:w="1345"/>
                    <w:gridCol w:w="1696"/>
                    <w:gridCol w:w="995"/>
                    <w:gridCol w:w="1204"/>
                    <w:gridCol w:w="1310"/>
                    <w:gridCol w:w="1022"/>
                  </w:tblGrid>
                  <w:tr>
                    <w:trPr>
                      <w:trHeight w:val="328"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2" w:right="0"/>
                          <w:jc w:val="left"/>
                          <w:rPr>
                            <w:rFonts w:ascii="宋体" w:hAnsi="宋体" w:cs="宋体" w:eastAsia="宋体" w:hint="default"/>
                            <w:sz w:val="14"/>
                            <w:szCs w:val="14"/>
                          </w:rPr>
                        </w:pPr>
                        <w:r>
                          <w:rPr>
                            <w:rFonts w:ascii="宋体"/>
                            <w:sz w:val="14"/>
                          </w:rPr>
                          <w:t>22.71%</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1" w:right="0"/>
                          <w:jc w:val="left"/>
                          <w:rPr>
                            <w:rFonts w:ascii="宋体" w:hAnsi="宋体" w:cs="宋体" w:eastAsia="宋体" w:hint="default"/>
                            <w:sz w:val="14"/>
                            <w:szCs w:val="14"/>
                          </w:rPr>
                        </w:pPr>
                        <w:r>
                          <w:rPr>
                            <w:rFonts w:ascii="宋体"/>
                            <w:sz w:val="14"/>
                          </w:rPr>
                          <w:t>22.71%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9"/>
                          <w:jc w:val="right"/>
                          <w:rPr>
                            <w:rFonts w:ascii="宋体" w:hAnsi="宋体" w:cs="宋体" w:eastAsia="宋体" w:hint="default"/>
                            <w:sz w:val="14"/>
                            <w:szCs w:val="14"/>
                          </w:rPr>
                        </w:pPr>
                        <w:r>
                          <w:rPr>
                            <w:rFonts w:ascii="宋体"/>
                            <w:spacing w:val="-1"/>
                            <w:sz w:val="14"/>
                          </w:rPr>
                          <w:t>260,722,201.08</w:t>
                        </w:r>
                        <w:r>
                          <w:rPr>
                            <w:rFonts w:ascii="宋体"/>
                            <w:sz w:val="14"/>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30"/>
                          <w:jc w:val="right"/>
                          <w:rPr>
                            <w:rFonts w:ascii="宋体" w:hAnsi="宋体" w:cs="宋体" w:eastAsia="宋体" w:hint="default"/>
                            <w:sz w:val="14"/>
                            <w:szCs w:val="14"/>
                          </w:rPr>
                        </w:pPr>
                        <w:r>
                          <w:rPr>
                            <w:rFonts w:ascii="宋体"/>
                            <w:spacing w:val="-1"/>
                            <w:sz w:val="14"/>
                          </w:rPr>
                          <w:t>260,530,230.89</w:t>
                        </w:r>
                        <w:r>
                          <w:rPr>
                            <w:rFonts w:ascii="宋体"/>
                            <w:sz w:val="14"/>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9"/>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0"/>
                          <w:jc w:val="right"/>
                          <w:rPr>
                            <w:rFonts w:ascii="宋体" w:hAnsi="宋体" w:cs="宋体" w:eastAsia="宋体" w:hint="default"/>
                            <w:sz w:val="14"/>
                            <w:szCs w:val="14"/>
                          </w:rPr>
                        </w:pPr>
                        <w:r>
                          <w:rPr>
                            <w:rFonts w:ascii="宋体"/>
                            <w:spacing w:val="-1"/>
                            <w:sz w:val="14"/>
                          </w:rPr>
                          <w:t>6,299,757.22</w:t>
                        </w:r>
                        <w:r>
                          <w:rPr>
                            <w:rFonts w:ascii="宋体"/>
                            <w:sz w:val="14"/>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4"/>
                          <w:jc w:val="right"/>
                          <w:rPr>
                            <w:rFonts w:ascii="宋体" w:hAnsi="宋体" w:cs="宋体" w:eastAsia="宋体" w:hint="default"/>
                            <w:sz w:val="14"/>
                            <w:szCs w:val="14"/>
                          </w:rPr>
                        </w:pPr>
                        <w:r>
                          <w:rPr>
                            <w:rFonts w:ascii="宋体"/>
                            <w:spacing w:val="-1"/>
                            <w:sz w:val="14"/>
                          </w:rPr>
                          <w:t>254,230,473.67</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8,590,000.00</w:t>
                        </w:r>
                        <w:r>
                          <w:rPr>
                            <w:rFonts w:ascii="宋体"/>
                            <w:sz w:val="14"/>
                          </w:rPr>
                        </w:r>
                      </w:p>
                    </w:tc>
                  </w:tr>
                  <w:tr>
                    <w:trPr>
                      <w:trHeight w:val="343"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 w:right="0"/>
                          <w:jc w:val="left"/>
                          <w:rPr>
                            <w:rFonts w:ascii="宋体" w:hAnsi="宋体" w:cs="宋体" w:eastAsia="宋体" w:hint="default"/>
                            <w:sz w:val="14"/>
                            <w:szCs w:val="14"/>
                          </w:rPr>
                        </w:pPr>
                        <w:r>
                          <w:rPr>
                            <w:rFonts w:ascii="宋体"/>
                            <w:sz w:val="14"/>
                          </w:rPr>
                          <w:t>100.00%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9" w:right="0"/>
                          <w:jc w:val="left"/>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8"/>
                          <w:jc w:val="right"/>
                          <w:rPr>
                            <w:rFonts w:ascii="宋体" w:hAnsi="宋体" w:cs="宋体" w:eastAsia="宋体" w:hint="default"/>
                            <w:sz w:val="14"/>
                            <w:szCs w:val="14"/>
                          </w:rPr>
                        </w:pPr>
                        <w:r>
                          <w:rPr>
                            <w:rFonts w:ascii="宋体"/>
                            <w:spacing w:val="-1"/>
                            <w:sz w:val="14"/>
                          </w:rPr>
                          <w:t>1,000,000.00</w:t>
                        </w:r>
                        <w:r>
                          <w:rPr>
                            <w:rFonts w:ascii="宋体"/>
                            <w:sz w:val="14"/>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30"/>
                          <w:jc w:val="right"/>
                          <w:rPr>
                            <w:rFonts w:ascii="宋体" w:hAnsi="宋体" w:cs="宋体" w:eastAsia="宋体" w:hint="default"/>
                            <w:sz w:val="14"/>
                            <w:szCs w:val="14"/>
                          </w:rPr>
                        </w:pPr>
                        <w:r>
                          <w:rPr>
                            <w:rFonts w:ascii="宋体"/>
                            <w:spacing w:val="-1"/>
                            <w:sz w:val="14"/>
                          </w:rPr>
                          <w:t>1,000,000.00</w:t>
                        </w:r>
                        <w:r>
                          <w:rPr>
                            <w:rFonts w:ascii="宋体"/>
                            <w:sz w:val="14"/>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9"/>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1"/>
                          <w:jc w:val="right"/>
                          <w:rPr>
                            <w:rFonts w:ascii="宋体" w:hAnsi="宋体" w:cs="宋体" w:eastAsia="宋体" w:hint="default"/>
                            <w:sz w:val="14"/>
                            <w:szCs w:val="14"/>
                          </w:rPr>
                        </w:pPr>
                        <w:r>
                          <w:rPr>
                            <w:rFonts w:ascii="宋体"/>
                            <w:spacing w:val="-1"/>
                            <w:sz w:val="14"/>
                          </w:rPr>
                          <w:t>0.00</w:t>
                        </w:r>
                        <w:r>
                          <w:rPr>
                            <w:rFonts w:ascii="宋体"/>
                            <w:sz w:val="14"/>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4"/>
                          <w:jc w:val="right"/>
                          <w:rPr>
                            <w:rFonts w:ascii="宋体" w:hAnsi="宋体" w:cs="宋体" w:eastAsia="宋体" w:hint="default"/>
                            <w:sz w:val="14"/>
                            <w:szCs w:val="14"/>
                          </w:rPr>
                        </w:pPr>
                        <w:r>
                          <w:rPr>
                            <w:rFonts w:ascii="宋体"/>
                            <w:spacing w:val="-1"/>
                            <w:sz w:val="14"/>
                          </w:rPr>
                          <w:t>1,000,000.00</w:t>
                        </w:r>
                        <w:r>
                          <w:rPr>
                            <w:rFonts w:ascii="宋体"/>
                            <w:sz w:val="14"/>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321"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4"/>
                            <w:szCs w:val="14"/>
                          </w:rPr>
                        </w:pPr>
                        <w:r>
                          <w:rPr>
                            <w:rFonts w:ascii="宋体"/>
                            <w:sz w:val="14"/>
                          </w:rPr>
                          <w:t>100.00%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6" w:right="0"/>
                          <w:jc w:val="left"/>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0"/>
                          <w:jc w:val="right"/>
                          <w:rPr>
                            <w:rFonts w:ascii="宋体" w:hAnsi="宋体" w:cs="宋体" w:eastAsia="宋体" w:hint="default"/>
                            <w:sz w:val="14"/>
                            <w:szCs w:val="14"/>
                          </w:rPr>
                        </w:pPr>
                        <w:r>
                          <w:rPr>
                            <w:rFonts w:ascii="宋体"/>
                            <w:spacing w:val="-1"/>
                            <w:sz w:val="14"/>
                          </w:rPr>
                          <w:t>169,666,900.00</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30"/>
                          <w:jc w:val="right"/>
                          <w:rPr>
                            <w:rFonts w:ascii="宋体" w:hAnsi="宋体" w:cs="宋体" w:eastAsia="宋体" w:hint="default"/>
                            <w:sz w:val="14"/>
                            <w:szCs w:val="14"/>
                          </w:rPr>
                        </w:pPr>
                        <w:r>
                          <w:rPr>
                            <w:rFonts w:ascii="宋体"/>
                            <w:spacing w:val="-1"/>
                            <w:sz w:val="14"/>
                          </w:rPr>
                          <w:t>169,666,900.00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0"/>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0"/>
                          <w:jc w:val="right"/>
                          <w:rPr>
                            <w:rFonts w:ascii="宋体" w:hAnsi="宋体" w:cs="宋体" w:eastAsia="宋体" w:hint="default"/>
                            <w:sz w:val="14"/>
                            <w:szCs w:val="14"/>
                          </w:rPr>
                        </w:pPr>
                        <w:r>
                          <w:rPr>
                            <w:rFonts w:ascii="宋体"/>
                            <w:spacing w:val="-1"/>
                            <w:sz w:val="14"/>
                          </w:rPr>
                          <w:t>0.00</w:t>
                        </w:r>
                        <w:r>
                          <w:rPr>
                            <w:rFonts w:ascii="宋体"/>
                            <w:sz w:val="14"/>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4"/>
                          <w:jc w:val="right"/>
                          <w:rPr>
                            <w:rFonts w:ascii="宋体" w:hAnsi="宋体" w:cs="宋体" w:eastAsia="宋体" w:hint="default"/>
                            <w:sz w:val="14"/>
                            <w:szCs w:val="14"/>
                          </w:rPr>
                        </w:pPr>
                        <w:r>
                          <w:rPr>
                            <w:rFonts w:ascii="宋体"/>
                            <w:spacing w:val="-1"/>
                            <w:sz w:val="14"/>
                          </w:rPr>
                          <w:t>169,666,900.00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4"/>
                            <w:szCs w:val="14"/>
                          </w:rPr>
                        </w:pPr>
                        <w:r>
                          <w:rPr>
                            <w:rFonts w:ascii="宋体"/>
                            <w:spacing w:val="-1"/>
                            <w:sz w:val="14"/>
                          </w:rPr>
                          <w:t>0.00</w:t>
                        </w:r>
                        <w:r>
                          <w:rPr>
                            <w:rFonts w:ascii="宋体"/>
                            <w:sz w:val="14"/>
                          </w:rPr>
                        </w:r>
                      </w:p>
                    </w:tc>
                  </w:tr>
                </w:tbl>
                <w:p>
                  <w:pPr/>
                </w:p>
              </w:txbxContent>
            </v:textbox>
            <w10:wrap type="none"/>
          </v:shape>
        </w:pict>
      </w:r>
      <w:r>
        <w:rPr>
          <w:rFonts w:ascii="宋体" w:hAnsi="宋体" w:cs="宋体" w:eastAsia="宋体" w:hint="default"/>
          <w:sz w:val="14"/>
          <w:szCs w:val="14"/>
        </w:rPr>
        <w:t>泰豪科技股份有限公司</w:t>
      </w:r>
    </w:p>
    <w:p>
      <w:pPr>
        <w:spacing w:line="261" w:lineRule="auto" w:before="60"/>
        <w:ind w:left="252" w:right="9112" w:firstLine="0"/>
        <w:jc w:val="left"/>
        <w:rPr>
          <w:rFonts w:ascii="宋体" w:hAnsi="宋体" w:cs="宋体" w:eastAsia="宋体" w:hint="default"/>
          <w:sz w:val="14"/>
          <w:szCs w:val="14"/>
        </w:rPr>
      </w:pPr>
      <w:r>
        <w:rPr>
          <w:rFonts w:ascii="宋体" w:hAnsi="宋体" w:cs="宋体" w:eastAsia="宋体" w:hint="default"/>
          <w:sz w:val="14"/>
          <w:szCs w:val="14"/>
        </w:rPr>
        <w:t>中国学术期刊（光盘版）</w:t>
      </w:r>
      <w:r>
        <w:rPr>
          <w:rFonts w:ascii="宋体" w:hAnsi="宋体" w:cs="宋体" w:eastAsia="宋体" w:hint="default"/>
          <w:w w:val="100"/>
          <w:sz w:val="14"/>
          <w:szCs w:val="14"/>
        </w:rPr>
        <w:t> </w:t>
      </w:r>
      <w:r>
        <w:rPr>
          <w:rFonts w:ascii="宋体" w:hAnsi="宋体" w:cs="宋体" w:eastAsia="宋体" w:hint="default"/>
          <w:sz w:val="14"/>
          <w:szCs w:val="14"/>
        </w:rPr>
        <w:t>电子杂志社</w:t>
      </w:r>
    </w:p>
    <w:p>
      <w:pPr>
        <w:spacing w:before="45"/>
        <w:ind w:left="252" w:right="2055" w:firstLine="0"/>
        <w:jc w:val="left"/>
        <w:rPr>
          <w:rFonts w:ascii="宋体" w:hAnsi="宋体" w:cs="宋体" w:eastAsia="宋体" w:hint="default"/>
          <w:sz w:val="14"/>
          <w:szCs w:val="14"/>
        </w:rPr>
      </w:pPr>
      <w:r>
        <w:rPr>
          <w:rFonts w:ascii="宋体" w:hAnsi="宋体" w:cs="宋体" w:eastAsia="宋体" w:hint="default"/>
          <w:sz w:val="14"/>
          <w:szCs w:val="14"/>
        </w:rPr>
        <w:t>北京同方创新投资有限公司</w:t>
      </w:r>
    </w:p>
    <w:p>
      <w:pPr>
        <w:spacing w:line="240" w:lineRule="auto" w:before="12"/>
        <w:rPr>
          <w:rFonts w:ascii="宋体" w:hAnsi="宋体" w:cs="宋体" w:eastAsia="宋体" w:hint="default"/>
          <w:sz w:val="4"/>
          <w:szCs w:val="4"/>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567.550pt;height:1.5pt;mso-position-horizontal-relative:char;mso-position-vertical-relative:line" coordorigin="0,0" coordsize="11351,30">
            <v:group style="position:absolute;left:15;top:15;width:2192;height:2" coordorigin="15,15" coordsize="2192,2">
              <v:shape style="position:absolute;left:15;top:15;width:2192;height:2" coordorigin="15,15" coordsize="2192,0" path="m15,15l2206,15e" filled="false" stroked="true" strokeweight="1.5pt" strokecolor="#000000">
                <v:path arrowok="t"/>
              </v:shape>
            </v:group>
            <v:group style="position:absolute;left:2192;top:15;width:720;height:2" coordorigin="2192,15" coordsize="720,2">
              <v:shape style="position:absolute;left:2192;top:15;width:720;height:2" coordorigin="2192,15" coordsize="720,0" path="m2192,15l2912,15e" filled="false" stroked="true" strokeweight="1.5pt" strokecolor="#000000">
                <v:path arrowok="t"/>
              </v:shape>
            </v:group>
            <v:group style="position:absolute;left:2897;top:15;width:722;height:2" coordorigin="2897,15" coordsize="722,2">
              <v:shape style="position:absolute;left:2897;top:15;width:722;height:2" coordorigin="2897,15" coordsize="722,0" path="m2897,15l3619,15e" filled="false" stroked="true" strokeweight="1.5pt" strokecolor="#000000">
                <v:path arrowok="t"/>
              </v:shape>
            </v:group>
            <v:group style="position:absolute;left:3604;top:15;width:1359;height:2" coordorigin="3604,15" coordsize="1359,2">
              <v:shape style="position:absolute;left:3604;top:15;width:1359;height:2" coordorigin="3604,15" coordsize="1359,0" path="m3604,15l4963,15e" filled="false" stroked="true" strokeweight="1.5pt" strokecolor="#000000">
                <v:path arrowok="t"/>
              </v:shape>
            </v:group>
            <v:group style="position:absolute;left:4948;top:15;width:1360;height:2" coordorigin="4948,15" coordsize="1360,2">
              <v:shape style="position:absolute;left:4948;top:15;width:1360;height:2" coordorigin="4948,15" coordsize="1360,0" path="m4948,15l6308,15e" filled="false" stroked="true" strokeweight="1.5pt" strokecolor="#000000">
                <v:path arrowok="t"/>
              </v:shape>
            </v:group>
            <v:group style="position:absolute;left:6293;top:15;width:1360;height:2" coordorigin="6293,15" coordsize="1360,2">
              <v:shape style="position:absolute;left:6293;top:15;width:1360;height:2" coordorigin="6293,15" coordsize="1360,0" path="m6293,15l7653,15e" filled="false" stroked="true" strokeweight="1.5pt" strokecolor="#000000">
                <v:path arrowok="t"/>
              </v:shape>
            </v:group>
            <v:group style="position:absolute;left:7639;top:15;width:1218;height:2" coordorigin="7639,15" coordsize="1218,2">
              <v:shape style="position:absolute;left:7639;top:15;width:1218;height:2" coordorigin="7639,15" coordsize="1218,0" path="m7639,15l8857,15e" filled="false" stroked="true" strokeweight="1.5pt" strokecolor="#000000">
                <v:path arrowok="t"/>
              </v:shape>
            </v:group>
            <v:group style="position:absolute;left:8842;top:15;width:1360;height:2" coordorigin="8842,15" coordsize="1360,2">
              <v:shape style="position:absolute;left:8842;top:15;width:1360;height:2" coordorigin="8842,15" coordsize="1360,0" path="m8842,15l10202,15e" filled="false" stroked="true" strokeweight="1.5pt" strokecolor="#000000">
                <v:path arrowok="t"/>
              </v:shape>
            </v:group>
            <v:group style="position:absolute;left:10187;top:15;width:1149;height:2" coordorigin="10187,15" coordsize="1149,2">
              <v:shape style="position:absolute;left:10187;top:15;width:1149;height:2" coordorigin="10187,15" coordsize="1149,0" path="m10187,15l1133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220" w:right="100"/>
        </w:sectPr>
      </w:pPr>
    </w:p>
    <w:p>
      <w:pPr>
        <w:spacing w:line="240" w:lineRule="auto" w:before="0"/>
        <w:rPr>
          <w:rFonts w:ascii="宋体" w:hAnsi="宋体" w:cs="宋体" w:eastAsia="宋体" w:hint="default"/>
          <w:sz w:val="20"/>
          <w:szCs w:val="20"/>
        </w:rPr>
      </w:pPr>
      <w:r>
        <w:rPr/>
        <w:pict>
          <v:shape style="position:absolute;margin-left:18.240pt;margin-top:86.346527pt;width:565pt;height:659.2pt;mso-position-horizontal-relative:page;mso-position-vertical-relative:page;z-index:7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1"/>
                    <w:gridCol w:w="600"/>
                    <w:gridCol w:w="708"/>
                    <w:gridCol w:w="1345"/>
                    <w:gridCol w:w="1345"/>
                    <w:gridCol w:w="1345"/>
                    <w:gridCol w:w="1204"/>
                    <w:gridCol w:w="1345"/>
                    <w:gridCol w:w="1126"/>
                  </w:tblGrid>
                  <w:tr>
                    <w:trPr>
                      <w:trHeight w:val="300" w:hRule="exact"/>
                    </w:trPr>
                    <w:tc>
                      <w:tcPr>
                        <w:tcW w:w="11299" w:type="dxa"/>
                        <w:gridSpan w:val="9"/>
                        <w:tcBorders>
                          <w:top w:val="nil" w:sz="6" w:space="0" w:color="auto"/>
                          <w:left w:val="nil" w:sz="6" w:space="0" w:color="auto"/>
                          <w:bottom w:val="nil" w:sz="6" w:space="0" w:color="auto"/>
                          <w:right w:val="nil" w:sz="6" w:space="0" w:color="auto"/>
                        </w:tcBorders>
                      </w:tcPr>
                      <w:p>
                        <w:pPr>
                          <w:pStyle w:val="TableParagraph"/>
                          <w:tabs>
                            <w:tab w:pos="3023" w:val="left" w:leader="none"/>
                            <w:tab w:pos="10387" w:val="left" w:leader="none"/>
                          </w:tabs>
                          <w:spacing w:line="240" w:lineRule="auto" w:before="57"/>
                          <w:ind w:left="2387" w:right="0"/>
                          <w:jc w:val="left"/>
                          <w:rPr>
                            <w:rFonts w:ascii="宋体" w:hAnsi="宋体" w:cs="宋体" w:eastAsia="宋体" w:hint="default"/>
                            <w:sz w:val="14"/>
                            <w:szCs w:val="14"/>
                          </w:rPr>
                        </w:pPr>
                        <w:r>
                          <w:rPr>
                            <w:rFonts w:ascii="宋体" w:hAnsi="宋体" w:cs="宋体" w:eastAsia="宋体" w:hint="default"/>
                            <w:b/>
                            <w:bCs/>
                            <w:w w:val="95"/>
                            <w:sz w:val="14"/>
                            <w:szCs w:val="14"/>
                          </w:rPr>
                          <w:t>持股</w:t>
                          <w:tab/>
                          <w:t>表决权</w:t>
                          <w:tab/>
                        </w:r>
                        <w:r>
                          <w:rPr>
                            <w:rFonts w:ascii="宋体" w:hAnsi="宋体" w:cs="宋体" w:eastAsia="宋体" w:hint="default"/>
                            <w:b/>
                            <w:bCs/>
                            <w:sz w:val="14"/>
                            <w:szCs w:val="14"/>
                          </w:rPr>
                          <w:t>当年分得的</w:t>
                        </w:r>
                        <w:r>
                          <w:rPr>
                            <w:rFonts w:ascii="宋体" w:hAnsi="宋体" w:cs="宋体" w:eastAsia="宋体" w:hint="default"/>
                            <w:sz w:val="14"/>
                            <w:szCs w:val="14"/>
                          </w:rPr>
                        </w:r>
                      </w:p>
                    </w:tc>
                  </w:tr>
                  <w:tr>
                    <w:trPr>
                      <w:trHeight w:val="224" w:hRule="exact"/>
                    </w:trPr>
                    <w:tc>
                      <w:tcPr>
                        <w:tcW w:w="2881"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right="210"/>
                          <w:jc w:val="right"/>
                          <w:rPr>
                            <w:rFonts w:ascii="宋体" w:hAnsi="宋体" w:cs="宋体" w:eastAsia="宋体" w:hint="default"/>
                            <w:sz w:val="14"/>
                            <w:szCs w:val="14"/>
                          </w:rPr>
                        </w:pPr>
                        <w:r>
                          <w:rPr>
                            <w:rFonts w:ascii="宋体" w:hAnsi="宋体" w:cs="宋体" w:eastAsia="宋体" w:hint="default"/>
                            <w:b/>
                            <w:bCs/>
                            <w:w w:val="95"/>
                            <w:sz w:val="14"/>
                            <w:szCs w:val="14"/>
                          </w:rPr>
                          <w:t>比例</w:t>
                        </w:r>
                        <w:r>
                          <w:rPr>
                            <w:rFonts w:ascii="宋体" w:hAnsi="宋体" w:cs="宋体" w:eastAsia="宋体" w:hint="default"/>
                            <w:sz w:val="14"/>
                            <w:szCs w:val="14"/>
                          </w:rPr>
                        </w:r>
                      </w:p>
                    </w:tc>
                    <w:tc>
                      <w:tcPr>
                        <w:tcW w:w="708" w:type="dxa"/>
                        <w:tcBorders>
                          <w:top w:val="nil" w:sz="6" w:space="0" w:color="auto"/>
                          <w:left w:val="nil" w:sz="6" w:space="0" w:color="auto"/>
                          <w:bottom w:val="nil" w:sz="6" w:space="0" w:color="auto"/>
                          <w:right w:val="nil" w:sz="6" w:space="0" w:color="auto"/>
                        </w:tcBorders>
                      </w:tcPr>
                      <w:p>
                        <w:pPr>
                          <w:pStyle w:val="TableParagraph"/>
                          <w:spacing w:line="140" w:lineRule="exact"/>
                          <w:ind w:right="1"/>
                          <w:jc w:val="center"/>
                          <w:rPr>
                            <w:rFonts w:ascii="宋体" w:hAnsi="宋体" w:cs="宋体" w:eastAsia="宋体" w:hint="default"/>
                            <w:sz w:val="14"/>
                            <w:szCs w:val="14"/>
                          </w:rPr>
                        </w:pPr>
                        <w:r>
                          <w:rPr>
                            <w:rFonts w:ascii="宋体" w:hAnsi="宋体" w:cs="宋体" w:eastAsia="宋体" w:hint="default"/>
                            <w:b/>
                            <w:bCs/>
                            <w:sz w:val="14"/>
                            <w:szCs w:val="14"/>
                          </w:rPr>
                          <w:t>比例</w:t>
                        </w:r>
                        <w:r>
                          <w:rPr>
                            <w:rFonts w:ascii="宋体" w:hAnsi="宋体" w:cs="宋体" w:eastAsia="宋体" w:hint="default"/>
                            <w:sz w:val="14"/>
                            <w:szCs w:val="14"/>
                          </w:rPr>
                        </w:r>
                      </w:p>
                    </w:tc>
                    <w:tc>
                      <w:tcPr>
                        <w:tcW w:w="7710" w:type="dxa"/>
                        <w:gridSpan w:val="6"/>
                        <w:tcBorders>
                          <w:top w:val="nil" w:sz="6" w:space="0" w:color="auto"/>
                          <w:left w:val="nil" w:sz="6" w:space="0" w:color="auto"/>
                          <w:bottom w:val="nil" w:sz="6" w:space="0" w:color="auto"/>
                          <w:right w:val="nil" w:sz="6" w:space="0" w:color="auto"/>
                        </w:tcBorders>
                      </w:tcPr>
                      <w:p>
                        <w:pPr>
                          <w:pStyle w:val="TableParagraph"/>
                          <w:spacing w:line="140" w:lineRule="exact"/>
                          <w:ind w:right="277"/>
                          <w:jc w:val="right"/>
                          <w:rPr>
                            <w:rFonts w:ascii="宋体" w:hAnsi="宋体" w:cs="宋体" w:eastAsia="宋体" w:hint="default"/>
                            <w:sz w:val="14"/>
                            <w:szCs w:val="14"/>
                          </w:rPr>
                        </w:pPr>
                        <w:r>
                          <w:rPr>
                            <w:rFonts w:ascii="宋体" w:hAnsi="宋体" w:cs="宋体" w:eastAsia="宋体" w:hint="default"/>
                            <w:b/>
                            <w:bCs/>
                            <w:w w:val="95"/>
                            <w:sz w:val="14"/>
                            <w:szCs w:val="14"/>
                          </w:rPr>
                          <w:t>现金红利</w:t>
                        </w:r>
                        <w:r>
                          <w:rPr>
                            <w:rFonts w:ascii="宋体" w:hAnsi="宋体" w:cs="宋体" w:eastAsia="宋体" w:hint="default"/>
                            <w:sz w:val="14"/>
                            <w:szCs w:val="14"/>
                          </w:rPr>
                        </w:r>
                      </w:p>
                    </w:tc>
                  </w:tr>
                  <w:tr>
                    <w:trPr>
                      <w:trHeight w:val="299"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4"/>
                            <w:szCs w:val="14"/>
                          </w:rPr>
                        </w:pPr>
                        <w:r>
                          <w:rPr>
                            <w:rFonts w:ascii="宋体" w:hAnsi="宋体" w:cs="宋体" w:eastAsia="宋体" w:hint="default"/>
                            <w:sz w:val="14"/>
                            <w:szCs w:val="14"/>
                          </w:rPr>
                          <w:t>同方光盘股份有限公司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7" w:right="0"/>
                          <w:jc w:val="left"/>
                          <w:rPr>
                            <w:rFonts w:ascii="宋体" w:hAnsi="宋体" w:cs="宋体" w:eastAsia="宋体" w:hint="default"/>
                            <w:sz w:val="14"/>
                            <w:szCs w:val="14"/>
                          </w:rPr>
                        </w:pPr>
                        <w:r>
                          <w:rPr>
                            <w:rFonts w:ascii="宋体"/>
                            <w:sz w:val="14"/>
                          </w:rPr>
                          <w:t>98.98%</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宋体" w:hAnsi="宋体" w:cs="宋体" w:eastAsia="宋体" w:hint="default"/>
                            <w:sz w:val="14"/>
                            <w:szCs w:val="14"/>
                          </w:rPr>
                        </w:pPr>
                        <w:r>
                          <w:rPr>
                            <w:rFonts w:ascii="宋体"/>
                            <w:sz w:val="14"/>
                          </w:rPr>
                          <w:t>98.98%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宋体" w:hAnsi="宋体" w:cs="宋体" w:eastAsia="宋体" w:hint="default"/>
                            <w:sz w:val="14"/>
                            <w:szCs w:val="14"/>
                          </w:rPr>
                        </w:pPr>
                        <w:r>
                          <w:rPr>
                            <w:rFonts w:ascii="宋体"/>
                            <w:spacing w:val="-1"/>
                            <w:sz w:val="14"/>
                          </w:rPr>
                          <w:t>121,534,000.00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宋体" w:hAnsi="宋体" w:cs="宋体" w:eastAsia="宋体" w:hint="default"/>
                            <w:sz w:val="14"/>
                            <w:szCs w:val="14"/>
                          </w:rPr>
                        </w:pPr>
                        <w:r>
                          <w:rPr>
                            <w:rFonts w:ascii="宋体"/>
                            <w:spacing w:val="-1"/>
                            <w:sz w:val="14"/>
                          </w:rPr>
                          <w:t>100,054,351.74</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4"/>
                            <w:szCs w:val="14"/>
                          </w:rPr>
                        </w:pPr>
                        <w:r>
                          <w:rPr>
                            <w:rFonts w:ascii="宋体"/>
                            <w:spacing w:val="-1"/>
                            <w:sz w:val="14"/>
                          </w:rPr>
                          <w:t>100,054,351.74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北京同方光盘股份有限公司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98.98%</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98.98%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21,479,648.26</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21,479,648.26</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21,479,648.26</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山东同方鲁颖电子有限公司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83.07%</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83.07%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82,866,626.66</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82,866,626.66</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82,866,626.66</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北京同方房地产开发有限公司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51,640,000.00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51,640,000.00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51,640,000.00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北京同方软件股份有限公司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74.00%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74.00%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34,864,600.00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34,864,600.00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34,864,600.00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同方威视技术股份有限公司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76.00%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76.00%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57,000,000.00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57,000,000.00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57,000,000.00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28,500,000.00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北京同方微电子有限公司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 w:right="0"/>
                          <w:jc w:val="left"/>
                          <w:rPr>
                            <w:rFonts w:ascii="宋体" w:hAnsi="宋体" w:cs="宋体" w:eastAsia="宋体" w:hint="default"/>
                            <w:sz w:val="14"/>
                            <w:szCs w:val="14"/>
                          </w:rPr>
                        </w:pPr>
                        <w:r>
                          <w:rPr>
                            <w:rFonts w:ascii="宋体"/>
                            <w:sz w:val="14"/>
                          </w:rPr>
                          <w:t>86.00%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86.00%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53,320,500.00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67,194,500.00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z w:val="14"/>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67,194,500.00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北京同方凌讯科技有限公司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93.10%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center"/>
                          <w:rPr>
                            <w:rFonts w:ascii="宋体" w:hAnsi="宋体" w:cs="宋体" w:eastAsia="宋体" w:hint="default"/>
                            <w:sz w:val="14"/>
                            <w:szCs w:val="14"/>
                          </w:rPr>
                        </w:pPr>
                        <w:r>
                          <w:rPr>
                            <w:rFonts w:ascii="宋体"/>
                            <w:sz w:val="14"/>
                          </w:rPr>
                          <w:t>93.10%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186,200,000.00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197,000,000.00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197,000,000.00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同方健康科技（北京）有限公司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42.23%</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center"/>
                          <w:rPr>
                            <w:rFonts w:ascii="宋体" w:hAnsi="宋体" w:cs="宋体" w:eastAsia="宋体" w:hint="default"/>
                            <w:sz w:val="14"/>
                            <w:szCs w:val="14"/>
                          </w:rPr>
                        </w:pPr>
                        <w:r>
                          <w:rPr>
                            <w:rFonts w:ascii="宋体"/>
                            <w:sz w:val="14"/>
                          </w:rPr>
                          <w:t>42.23%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17,500,000.00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17,500,000.00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17,500,000.00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北京市同方教育培训学校</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1,000,000.00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1,000,000.00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北京同方物业管理有限公司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9,530,000.00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9,530,000.00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9,530,000.00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同方鼎欣信息技术有限公司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80.00%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center"/>
                          <w:rPr>
                            <w:rFonts w:ascii="宋体" w:hAnsi="宋体" w:cs="宋体" w:eastAsia="宋体" w:hint="default"/>
                            <w:sz w:val="14"/>
                            <w:szCs w:val="14"/>
                          </w:rPr>
                        </w:pPr>
                        <w:r>
                          <w:rPr>
                            <w:rFonts w:ascii="宋体"/>
                            <w:sz w:val="14"/>
                          </w:rPr>
                          <w:t>80.00%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61,280,547.07</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43,240,547.07</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12,240,000.00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55,480,547.07</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21,574,400.00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sz w:val="14"/>
                          </w:rPr>
                          <w:t>THTFUSAInc.</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20,641,105.00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20,641,105.00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20,641,105.00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无锡同方创新科技园有限公司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99,910,000.00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99,910,000.00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99,910,000.00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同方鞍山科技园有限公司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29,950,000.00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29,950,000.00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29,950,000.00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沈阳同方多媒体科技有限公司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317,218,326.28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315,870,970.73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315,870,970.73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沈阳同方科技园有限公司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125,271,232.65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125,271,232.65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125,271,232.65</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sz w:val="14"/>
                          </w:rPr>
                          <w:t>TechnovatorInt.PrivateLtd.</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 w:right="0"/>
                          <w:jc w:val="left"/>
                          <w:rPr>
                            <w:rFonts w:ascii="宋体" w:hAnsi="宋体" w:cs="宋体" w:eastAsia="宋体" w:hint="default"/>
                            <w:sz w:val="14"/>
                            <w:szCs w:val="14"/>
                          </w:rPr>
                        </w:pPr>
                        <w:r>
                          <w:rPr>
                            <w:rFonts w:ascii="宋体"/>
                            <w:sz w:val="14"/>
                          </w:rPr>
                          <w:t>25.33%</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25.33%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4"/>
                            <w:szCs w:val="14"/>
                          </w:rPr>
                        </w:pPr>
                        <w:r>
                          <w:rPr>
                            <w:rFonts w:ascii="宋体"/>
                            <w:spacing w:val="-1"/>
                            <w:sz w:val="14"/>
                          </w:rPr>
                          <w:t>43,363,900.00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43,363,900.00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43,363,900.00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sz w:val="14"/>
                          </w:rPr>
                          <w:t>ResuccessInvestmentsLtd.</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4"/>
                            <w:szCs w:val="14"/>
                          </w:rPr>
                        </w:pPr>
                        <w:r>
                          <w:rPr>
                            <w:rFonts w:ascii="宋体"/>
                            <w:spacing w:val="-1"/>
                            <w:sz w:val="14"/>
                          </w:rPr>
                          <w:t>140,504,808.10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140,504,808.10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140,504,808.10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清芯光电有限公司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55.00%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center"/>
                          <w:rPr>
                            <w:rFonts w:ascii="宋体" w:hAnsi="宋体" w:cs="宋体" w:eastAsia="宋体" w:hint="default"/>
                            <w:sz w:val="14"/>
                            <w:szCs w:val="14"/>
                          </w:rPr>
                        </w:pPr>
                        <w:r>
                          <w:rPr>
                            <w:rFonts w:ascii="宋体"/>
                            <w:sz w:val="14"/>
                          </w:rPr>
                          <w:t>55.00%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45,757,599.40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45,757,599.40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45,757,599.40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同方炭素科技有限公司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94.00%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94.00%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47,000,000.00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47,000,000.00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47,000,000.00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同方工业有限公司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400,000,000.00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400,000,000.00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400,000,000.00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12"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同方锐安科技有限公司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60,000,000.00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60,000,000.00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60,000,000.00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323" w:hRule="exact"/>
                    </w:trPr>
                    <w:tc>
                      <w:tcPr>
                        <w:tcW w:w="1129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0"/>
                          <w:ind w:left="108" w:right="0"/>
                          <w:jc w:val="left"/>
                          <w:rPr>
                            <w:rFonts w:ascii="宋体" w:hAnsi="宋体" w:cs="宋体" w:eastAsia="宋体" w:hint="default"/>
                            <w:sz w:val="14"/>
                            <w:szCs w:val="14"/>
                          </w:rPr>
                        </w:pPr>
                        <w:r>
                          <w:rPr>
                            <w:rFonts w:ascii="宋体"/>
                            <w:sz w:val="14"/>
                          </w:rPr>
                          <w:t>TongFangAsiaPacific</w:t>
                        </w:r>
                      </w:p>
                    </w:tc>
                  </w:tr>
                  <w:tr>
                    <w:trPr>
                      <w:trHeight w:val="171"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120" w:lineRule="exact"/>
                          <w:ind w:left="108" w:right="0"/>
                          <w:jc w:val="left"/>
                          <w:rPr>
                            <w:rFonts w:ascii="宋体" w:hAnsi="宋体" w:cs="宋体" w:eastAsia="宋体" w:hint="default"/>
                            <w:sz w:val="14"/>
                            <w:szCs w:val="14"/>
                          </w:rPr>
                        </w:pPr>
                        <w:r>
                          <w:rPr>
                            <w:rFonts w:ascii="宋体"/>
                            <w:sz w:val="14"/>
                          </w:rPr>
                          <w:t>(R&amp;DCenter)PteLtd.</w:t>
                        </w:r>
                      </w:p>
                    </w:tc>
                    <w:tc>
                      <w:tcPr>
                        <w:tcW w:w="60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r>
                  <w:tr>
                    <w:trPr>
                      <w:trHeight w:val="263"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4"/>
                            <w:szCs w:val="14"/>
                          </w:rPr>
                        </w:pPr>
                        <w:r>
                          <w:rPr>
                            <w:rFonts w:ascii="宋体" w:hAnsi="宋体" w:cs="宋体" w:eastAsia="宋体" w:hint="default"/>
                            <w:sz w:val="14"/>
                            <w:szCs w:val="14"/>
                          </w:rPr>
                          <w:t>同方光电科技有限公司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4"/>
                            <w:szCs w:val="14"/>
                          </w:rPr>
                        </w:pPr>
                        <w:r>
                          <w:rPr>
                            <w:rFonts w:ascii="宋体"/>
                            <w:spacing w:val="-1"/>
                            <w:sz w:val="14"/>
                          </w:rPr>
                          <w:t>80,000,000.00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4"/>
                            <w:szCs w:val="14"/>
                          </w:rPr>
                        </w:pPr>
                        <w:r>
                          <w:rPr>
                            <w:rFonts w:ascii="宋体"/>
                            <w:spacing w:val="-1"/>
                            <w:sz w:val="14"/>
                          </w:rPr>
                          <w:t>80,000,000.00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14"/>
                            <w:szCs w:val="14"/>
                          </w:rPr>
                        </w:pPr>
                        <w:r>
                          <w:rPr>
                            <w:rFonts w:ascii="宋体"/>
                            <w:spacing w:val="-1"/>
                            <w:sz w:val="14"/>
                          </w:rPr>
                          <w:t>80,000,000.00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北京同方吉兆科技有限公司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85.46%</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85.46%</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67,771,000.00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67,771,000.00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67,771,000.00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14"/>
                            <w:szCs w:val="14"/>
                          </w:rPr>
                        </w:pPr>
                        <w:r>
                          <w:rPr>
                            <w:rFonts w:ascii="宋体" w:hAnsi="宋体" w:cs="宋体" w:eastAsia="宋体" w:hint="default"/>
                            <w:sz w:val="14"/>
                            <w:szCs w:val="14"/>
                          </w:rPr>
                          <w:t>淮安同方水务有限公司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14"/>
                            <w:szCs w:val="14"/>
                          </w:rPr>
                        </w:pPr>
                        <w:r>
                          <w:rPr>
                            <w:rFonts w:ascii="宋体"/>
                            <w:sz w:val="14"/>
                          </w:rPr>
                          <w:t>49.55%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14"/>
                            <w:szCs w:val="14"/>
                          </w:rPr>
                        </w:pPr>
                        <w:r>
                          <w:rPr>
                            <w:rFonts w:ascii="宋体"/>
                            <w:sz w:val="14"/>
                          </w:rPr>
                          <w:t>49.55%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宋体" w:hAnsi="宋体" w:cs="宋体" w:eastAsia="宋体" w:hint="default"/>
                            <w:sz w:val="14"/>
                            <w:szCs w:val="14"/>
                          </w:rPr>
                        </w:pPr>
                        <w:r>
                          <w:rPr>
                            <w:rFonts w:ascii="宋体"/>
                            <w:spacing w:val="-1"/>
                            <w:sz w:val="14"/>
                          </w:rPr>
                          <w:t>57,260,000.00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宋体" w:hAnsi="宋体" w:cs="宋体" w:eastAsia="宋体" w:hint="default"/>
                            <w:sz w:val="14"/>
                            <w:szCs w:val="14"/>
                          </w:rPr>
                        </w:pPr>
                        <w:r>
                          <w:rPr>
                            <w:rFonts w:ascii="宋体"/>
                            <w:spacing w:val="-1"/>
                            <w:sz w:val="14"/>
                          </w:rPr>
                          <w:t>57,260,000.00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宋体" w:hAnsi="宋体" w:cs="宋体" w:eastAsia="宋体" w:hint="default"/>
                            <w:sz w:val="14"/>
                            <w:szCs w:val="14"/>
                          </w:rPr>
                        </w:pPr>
                        <w:r>
                          <w:rPr>
                            <w:rFonts w:ascii="宋体"/>
                            <w:spacing w:val="-1"/>
                            <w:sz w:val="14"/>
                          </w:rPr>
                          <w:t>57,260,000.00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惠州市同方水务有限公司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36,000,000.00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36,000,000.00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36,000,000.00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同方光电（香港）有限公司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45.00%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45.00%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15,403,500.00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15,403,500.00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15,403,500.00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南通同方半导体有限公司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 w:right="0"/>
                          <w:jc w:val="left"/>
                          <w:rPr>
                            <w:rFonts w:ascii="宋体" w:hAnsi="宋体" w:cs="宋体" w:eastAsia="宋体" w:hint="default"/>
                            <w:sz w:val="14"/>
                            <w:szCs w:val="14"/>
                          </w:rPr>
                        </w:pPr>
                        <w:r>
                          <w:rPr>
                            <w:rFonts w:ascii="宋体"/>
                            <w:sz w:val="14"/>
                          </w:rPr>
                          <w:t>99.00%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宋体" w:hAnsi="宋体" w:cs="宋体" w:eastAsia="宋体" w:hint="default"/>
                            <w:sz w:val="14"/>
                            <w:szCs w:val="14"/>
                          </w:rPr>
                        </w:pPr>
                        <w:r>
                          <w:rPr>
                            <w:rFonts w:ascii="宋体"/>
                            <w:sz w:val="14"/>
                          </w:rPr>
                          <w:t>99.00%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495,000,000.00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495,000,000.00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495,000,000.00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南通同方科技园有限公司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 w:right="0"/>
                          <w:jc w:val="left"/>
                          <w:rPr>
                            <w:rFonts w:ascii="宋体" w:hAnsi="宋体" w:cs="宋体" w:eastAsia="宋体" w:hint="default"/>
                            <w:sz w:val="14"/>
                            <w:szCs w:val="14"/>
                          </w:rPr>
                        </w:pPr>
                        <w:r>
                          <w:rPr>
                            <w:rFonts w:ascii="宋体"/>
                            <w:sz w:val="14"/>
                          </w:rPr>
                          <w:t>99.00%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宋体" w:hAnsi="宋体" w:cs="宋体" w:eastAsia="宋体" w:hint="default"/>
                            <w:sz w:val="14"/>
                            <w:szCs w:val="14"/>
                          </w:rPr>
                        </w:pPr>
                        <w:r>
                          <w:rPr>
                            <w:rFonts w:ascii="宋体"/>
                            <w:sz w:val="14"/>
                          </w:rPr>
                          <w:t>99.00%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198,000,000.00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198,000,000.00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198,000,000.00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深圳市同方多媒体科技有限公司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4"/>
                            <w:szCs w:val="14"/>
                          </w:rPr>
                        </w:pPr>
                        <w:r>
                          <w:rPr>
                            <w:rFonts w:ascii="宋体"/>
                            <w:sz w:val="14"/>
                          </w:rPr>
                          <w:t>100.00%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14"/>
                            <w:szCs w:val="14"/>
                          </w:rPr>
                        </w:pPr>
                        <w:r>
                          <w:rPr>
                            <w:rFonts w:ascii="宋体"/>
                            <w:sz w:val="14"/>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300,000,000.00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300,000,000.00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300,000,000.00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13"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唐山晶源裕丰电子股份有限公司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 w:right="0"/>
                          <w:jc w:val="left"/>
                          <w:rPr>
                            <w:rFonts w:ascii="宋体" w:hAnsi="宋体" w:cs="宋体" w:eastAsia="宋体" w:hint="default"/>
                            <w:sz w:val="14"/>
                            <w:szCs w:val="14"/>
                          </w:rPr>
                        </w:pPr>
                        <w:r>
                          <w:rPr>
                            <w:rFonts w:ascii="宋体"/>
                            <w:sz w:val="14"/>
                          </w:rPr>
                          <w:t>25.00%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center"/>
                          <w:rPr>
                            <w:rFonts w:ascii="宋体" w:hAnsi="宋体" w:cs="宋体" w:eastAsia="宋体" w:hint="default"/>
                            <w:sz w:val="14"/>
                            <w:szCs w:val="14"/>
                          </w:rPr>
                        </w:pPr>
                        <w:r>
                          <w:rPr>
                            <w:rFonts w:ascii="宋体"/>
                            <w:sz w:val="14"/>
                          </w:rPr>
                          <w:t>25.00%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302,575,700.00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302,575,700.00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302,575,700.00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322" w:hRule="exact"/>
                    </w:trPr>
                    <w:tc>
                      <w:tcPr>
                        <w:tcW w:w="1129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14"/>
                            <w:szCs w:val="14"/>
                          </w:rPr>
                        </w:pPr>
                        <w:r>
                          <w:rPr>
                            <w:rFonts w:ascii="宋体" w:hAnsi="宋体" w:cs="宋体" w:eastAsia="宋体" w:hint="default"/>
                            <w:sz w:val="14"/>
                            <w:szCs w:val="14"/>
                          </w:rPr>
                          <w:t>北京高新技术创业投资</w:t>
                        </w:r>
                      </w:p>
                    </w:tc>
                  </w:tr>
                  <w:tr>
                    <w:trPr>
                      <w:trHeight w:val="172"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140" w:lineRule="exact"/>
                          <w:ind w:left="107" w:right="0"/>
                          <w:jc w:val="left"/>
                          <w:rPr>
                            <w:rFonts w:ascii="宋体" w:hAnsi="宋体" w:cs="宋体" w:eastAsia="宋体" w:hint="default"/>
                            <w:sz w:val="14"/>
                            <w:szCs w:val="14"/>
                          </w:rPr>
                        </w:pPr>
                        <w:r>
                          <w:rPr>
                            <w:rFonts w:ascii="宋体" w:hAnsi="宋体" w:cs="宋体" w:eastAsia="宋体" w:hint="default"/>
                            <w:sz w:val="14"/>
                            <w:szCs w:val="14"/>
                          </w:rPr>
                          <w:t>股份有限公司</w:t>
                        </w:r>
                      </w:p>
                    </w:tc>
                    <w:tc>
                      <w:tcPr>
                        <w:tcW w:w="60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r>
                  <w:tr>
                    <w:trPr>
                      <w:trHeight w:val="263"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4"/>
                            <w:szCs w:val="14"/>
                          </w:rPr>
                        </w:pPr>
                        <w:r>
                          <w:rPr>
                            <w:rFonts w:ascii="宋体" w:hAnsi="宋体" w:cs="宋体" w:eastAsia="宋体" w:hint="default"/>
                            <w:sz w:val="14"/>
                            <w:szCs w:val="14"/>
                          </w:rPr>
                          <w:t>武汉国际会展中心股份有限公司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 w:right="0"/>
                          <w:jc w:val="left"/>
                          <w:rPr>
                            <w:rFonts w:ascii="宋体" w:hAnsi="宋体" w:cs="宋体" w:eastAsia="宋体" w:hint="default"/>
                            <w:sz w:val="14"/>
                            <w:szCs w:val="14"/>
                          </w:rPr>
                        </w:pPr>
                        <w:r>
                          <w:rPr>
                            <w:rFonts w:ascii="宋体"/>
                            <w:sz w:val="14"/>
                          </w:rPr>
                          <w:t>2.21%</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4"/>
                            <w:szCs w:val="14"/>
                          </w:rPr>
                        </w:pPr>
                        <w:r>
                          <w:rPr>
                            <w:rFonts w:ascii="宋体"/>
                            <w:sz w:val="14"/>
                          </w:rPr>
                          <w:t>2.21%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14"/>
                            <w:szCs w:val="14"/>
                          </w:rPr>
                        </w:pPr>
                        <w:r>
                          <w:rPr>
                            <w:rFonts w:ascii="宋体"/>
                            <w:spacing w:val="-1"/>
                            <w:sz w:val="14"/>
                          </w:rPr>
                          <w:t>5,000,000.00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14"/>
                            <w:szCs w:val="14"/>
                          </w:rPr>
                        </w:pPr>
                        <w:r>
                          <w:rPr>
                            <w:rFonts w:ascii="宋体"/>
                            <w:spacing w:val="-1"/>
                            <w:sz w:val="14"/>
                          </w:rPr>
                          <w:t>5,000,000.00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14"/>
                            <w:szCs w:val="14"/>
                          </w:rPr>
                        </w:pPr>
                        <w:r>
                          <w:rPr>
                            <w:rFonts w:ascii="宋体"/>
                            <w:spacing w:val="-1"/>
                            <w:sz w:val="14"/>
                          </w:rPr>
                          <w:t>5,000,000.00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北京首开亿信置业股份有限公司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2" w:right="0"/>
                          <w:jc w:val="left"/>
                          <w:rPr>
                            <w:rFonts w:ascii="宋体" w:hAnsi="宋体" w:cs="宋体" w:eastAsia="宋体" w:hint="default"/>
                            <w:sz w:val="14"/>
                            <w:szCs w:val="14"/>
                          </w:rPr>
                        </w:pPr>
                        <w:r>
                          <w:rPr>
                            <w:rFonts w:ascii="宋体"/>
                            <w:sz w:val="14"/>
                          </w:rPr>
                          <w:t>0.31%</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0.31%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1,540,000.00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1,540,000.00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1,540,000.00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4"/>
                            <w:szCs w:val="14"/>
                          </w:rPr>
                        </w:pPr>
                        <w:r>
                          <w:rPr>
                            <w:rFonts w:ascii="宋体" w:hAnsi="宋体" w:cs="宋体" w:eastAsia="宋体" w:hint="default"/>
                            <w:sz w:val="14"/>
                            <w:szCs w:val="14"/>
                          </w:rPr>
                          <w:t>启迪控股股份有限公司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2" w:right="0"/>
                          <w:jc w:val="left"/>
                          <w:rPr>
                            <w:rFonts w:ascii="宋体" w:hAnsi="宋体" w:cs="宋体" w:eastAsia="宋体" w:hint="default"/>
                            <w:sz w:val="14"/>
                            <w:szCs w:val="14"/>
                          </w:rPr>
                        </w:pPr>
                        <w:r>
                          <w:rPr>
                            <w:rFonts w:ascii="宋体"/>
                            <w:sz w:val="14"/>
                          </w:rPr>
                          <w:t>0.52%</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0.52%</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2,500,000.00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2,500,000.00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2,500,000.00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0"/>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航天科工卫星技术有限公司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 w:right="0"/>
                          <w:jc w:val="left"/>
                          <w:rPr>
                            <w:rFonts w:ascii="宋体" w:hAnsi="宋体" w:cs="宋体" w:eastAsia="宋体" w:hint="default"/>
                            <w:sz w:val="14"/>
                            <w:szCs w:val="14"/>
                          </w:rPr>
                        </w:pPr>
                        <w:r>
                          <w:rPr>
                            <w:rFonts w:ascii="宋体"/>
                            <w:sz w:val="14"/>
                          </w:rPr>
                          <w:t>13.74%</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13.74%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10,300,000.00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13,260,636.40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13,260,636.40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8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hAnsi="宋体" w:cs="宋体" w:eastAsia="宋体" w:hint="default"/>
                            <w:sz w:val="14"/>
                            <w:szCs w:val="14"/>
                          </w:rPr>
                          <w:t>中投信用担保有限公司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2" w:right="0"/>
                          <w:jc w:val="left"/>
                          <w:rPr>
                            <w:rFonts w:ascii="宋体" w:hAnsi="宋体" w:cs="宋体" w:eastAsia="宋体" w:hint="default"/>
                            <w:sz w:val="14"/>
                            <w:szCs w:val="14"/>
                          </w:rPr>
                        </w:pPr>
                        <w:r>
                          <w:rPr>
                            <w:rFonts w:ascii="宋体"/>
                            <w:sz w:val="14"/>
                          </w:rPr>
                          <w:t>1.00%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1.00%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10,000,000.00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10,000,000.00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10,000,000.00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0"/>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12"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4"/>
                            <w:szCs w:val="14"/>
                          </w:rPr>
                        </w:pPr>
                        <w:r>
                          <w:rPr>
                            <w:rFonts w:ascii="宋体"/>
                            <w:sz w:val="14"/>
                          </w:rPr>
                          <w:t>LegendSiliconCorp.</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2" w:right="0"/>
                          <w:jc w:val="left"/>
                          <w:rPr>
                            <w:rFonts w:ascii="宋体" w:hAnsi="宋体" w:cs="宋体" w:eastAsia="宋体" w:hint="default"/>
                            <w:sz w:val="14"/>
                            <w:szCs w:val="14"/>
                          </w:rPr>
                        </w:pPr>
                        <w:r>
                          <w:rPr>
                            <w:rFonts w:ascii="宋体"/>
                            <w:sz w:val="14"/>
                          </w:rPr>
                          <w:t>3.66%</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4"/>
                            <w:szCs w:val="14"/>
                          </w:rPr>
                        </w:pPr>
                        <w:r>
                          <w:rPr>
                            <w:rFonts w:ascii="宋体"/>
                            <w:sz w:val="14"/>
                          </w:rPr>
                          <w:t>3.66%</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18,404,728.00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18,404,728.00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2"/>
                            <w:sz w:val="14"/>
                          </w:rPr>
                          <w:t>0.00</w:t>
                        </w:r>
                        <w:r>
                          <w:rPr>
                            <w:rFonts w:ascii="宋体"/>
                            <w:sz w:val="14"/>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4"/>
                            <w:szCs w:val="14"/>
                          </w:rPr>
                        </w:pPr>
                        <w:r>
                          <w:rPr>
                            <w:rFonts w:ascii="宋体"/>
                            <w:spacing w:val="-1"/>
                            <w:sz w:val="14"/>
                          </w:rPr>
                          <w:t>18,404,728.00</w:t>
                        </w:r>
                        <w:r>
                          <w:rPr>
                            <w:rFonts w:ascii="宋体"/>
                            <w:sz w:val="14"/>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323" w:hRule="exact"/>
                    </w:trPr>
                    <w:tc>
                      <w:tcPr>
                        <w:tcW w:w="1129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宋体" w:hAnsi="宋体" w:cs="宋体" w:eastAsia="宋体" w:hint="default"/>
                            <w:sz w:val="14"/>
                            <w:szCs w:val="14"/>
                          </w:rPr>
                        </w:pPr>
                        <w:r>
                          <w:rPr>
                            <w:rFonts w:ascii="宋体" w:hAnsi="宋体" w:cs="宋体" w:eastAsia="宋体" w:hint="default"/>
                            <w:sz w:val="14"/>
                            <w:szCs w:val="14"/>
                          </w:rPr>
                          <w:t>北京同方信息安全技术</w:t>
                        </w:r>
                      </w:p>
                    </w:tc>
                  </w:tr>
                  <w:tr>
                    <w:trPr>
                      <w:trHeight w:val="171"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120" w:lineRule="exact"/>
                          <w:ind w:left="107" w:right="0"/>
                          <w:jc w:val="left"/>
                          <w:rPr>
                            <w:rFonts w:ascii="宋体" w:hAnsi="宋体" w:cs="宋体" w:eastAsia="宋体" w:hint="default"/>
                            <w:sz w:val="14"/>
                            <w:szCs w:val="14"/>
                          </w:rPr>
                        </w:pPr>
                        <w:r>
                          <w:rPr>
                            <w:rFonts w:ascii="宋体" w:hAnsi="宋体" w:cs="宋体" w:eastAsia="宋体" w:hint="default"/>
                            <w:sz w:val="14"/>
                            <w:szCs w:val="14"/>
                          </w:rPr>
                          <w:t>股份有限公司</w:t>
                        </w:r>
                      </w:p>
                    </w:tc>
                    <w:tc>
                      <w:tcPr>
                        <w:tcW w:w="60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r>
                  <w:tr>
                    <w:trPr>
                      <w:trHeight w:val="260" w:hRule="exact"/>
                    </w:trPr>
                    <w:tc>
                      <w:tcPr>
                        <w:tcW w:w="228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08" w:right="0"/>
                          <w:jc w:val="left"/>
                          <w:rPr>
                            <w:rFonts w:ascii="宋体" w:hAnsi="宋体" w:cs="宋体" w:eastAsia="宋体" w:hint="default"/>
                            <w:sz w:val="14"/>
                            <w:szCs w:val="14"/>
                          </w:rPr>
                        </w:pPr>
                        <w:r>
                          <w:rPr>
                            <w:rFonts w:ascii="宋体" w:hAnsi="宋体" w:cs="宋体" w:eastAsia="宋体" w:hint="default"/>
                            <w:sz w:val="14"/>
                            <w:szCs w:val="14"/>
                          </w:rPr>
                          <w:t>北京同方电子商务有限公司</w:t>
                        </w:r>
                      </w:p>
                    </w:tc>
                    <w:tc>
                      <w:tcPr>
                        <w:tcW w:w="60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37" w:right="0"/>
                          <w:jc w:val="left"/>
                          <w:rPr>
                            <w:rFonts w:ascii="宋体" w:hAnsi="宋体" w:cs="宋体" w:eastAsia="宋体" w:hint="default"/>
                            <w:sz w:val="14"/>
                            <w:szCs w:val="14"/>
                          </w:rPr>
                        </w:pPr>
                        <w:r>
                          <w:rPr>
                            <w:rFonts w:ascii="宋体"/>
                            <w:sz w:val="14"/>
                          </w:rPr>
                          <w:t>16.00%</w:t>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4"/>
                            <w:szCs w:val="14"/>
                          </w:rPr>
                        </w:pPr>
                        <w:r>
                          <w:rPr>
                            <w:rFonts w:ascii="宋体"/>
                            <w:sz w:val="14"/>
                          </w:rPr>
                          <w:t>16.00%</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14"/>
                            <w:szCs w:val="14"/>
                          </w:rPr>
                        </w:pPr>
                        <w:r>
                          <w:rPr>
                            <w:rFonts w:ascii="宋体"/>
                            <w:spacing w:val="-1"/>
                            <w:sz w:val="14"/>
                          </w:rPr>
                          <w:t>179,863,622.73</w:t>
                        </w:r>
                        <w:r>
                          <w:rPr>
                            <w:rFonts w:ascii="宋体"/>
                            <w:sz w:val="14"/>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14"/>
                            <w:szCs w:val="14"/>
                          </w:rPr>
                        </w:pPr>
                        <w:r>
                          <w:rPr>
                            <w:rFonts w:ascii="宋体"/>
                            <w:spacing w:val="-1"/>
                            <w:sz w:val="14"/>
                          </w:rPr>
                          <w:t>142,013,622.73</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14"/>
                            <w:szCs w:val="14"/>
                          </w:rPr>
                        </w:pPr>
                        <w:r>
                          <w:rPr>
                            <w:rFonts w:ascii="宋体"/>
                            <w:spacing w:val="-1"/>
                            <w:sz w:val="14"/>
                          </w:rPr>
                          <w:t>142,013,622.73</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4"/>
                            <w:szCs w:val="14"/>
                          </w:rPr>
                        </w:pPr>
                        <w:r>
                          <w:rPr>
                            <w:rFonts w:ascii="宋体"/>
                            <w:spacing w:val="-1"/>
                            <w:sz w:val="14"/>
                          </w:rPr>
                          <w:t>0.00</w:t>
                        </w:r>
                        <w:r>
                          <w:rPr>
                            <w:rFonts w:ascii="宋体"/>
                            <w:sz w:val="14"/>
                          </w:rPr>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99"/>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304" w:hRule="exact"/>
                    </w:trPr>
                    <w:tc>
                      <w:tcPr>
                        <w:tcW w:w="22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08" w:right="0"/>
                          <w:jc w:val="left"/>
                          <w:rPr>
                            <w:rFonts w:ascii="宋体" w:hAnsi="宋体" w:cs="宋体" w:eastAsia="宋体" w:hint="default"/>
                            <w:sz w:val="14"/>
                            <w:szCs w:val="14"/>
                          </w:rPr>
                        </w:pPr>
                        <w:r>
                          <w:rPr>
                            <w:rFonts w:ascii="宋体" w:hAnsi="宋体" w:cs="宋体" w:eastAsia="宋体" w:hint="default"/>
                            <w:b/>
                            <w:bCs/>
                            <w:sz w:val="14"/>
                            <w:szCs w:val="14"/>
                          </w:rPr>
                          <w:t>合计</w:t>
                        </w:r>
                        <w:r>
                          <w:rPr>
                            <w:rFonts w:ascii="宋体" w:hAnsi="宋体" w:cs="宋体" w:eastAsia="宋体" w:hint="default"/>
                            <w:sz w:val="14"/>
                            <w:szCs w:val="14"/>
                          </w:rPr>
                        </w:r>
                      </w:p>
                    </w:tc>
                    <w:tc>
                      <w:tcPr>
                        <w:tcW w:w="600" w:type="dxa"/>
                        <w:tcBorders>
                          <w:top w:val="single" w:sz="4" w:space="0" w:color="000000"/>
                          <w:left w:val="nil" w:sz="6" w:space="0" w:color="auto"/>
                          <w:bottom w:val="single" w:sz="12" w:space="0" w:color="000000"/>
                          <w:right w:val="nil" w:sz="6" w:space="0" w:color="auto"/>
                        </w:tcBorders>
                      </w:tcPr>
                      <w:p>
                        <w:pPr/>
                      </w:p>
                    </w:tc>
                    <w:tc>
                      <w:tcPr>
                        <w:tcW w:w="708" w:type="dxa"/>
                        <w:tcBorders>
                          <w:top w:val="single" w:sz="4" w:space="0" w:color="000000"/>
                          <w:left w:val="nil" w:sz="6" w:space="0" w:color="auto"/>
                          <w:bottom w:val="single" w:sz="12" w:space="0" w:color="000000"/>
                          <w:right w:val="nil" w:sz="6" w:space="0" w:color="auto"/>
                        </w:tcBorders>
                      </w:tcPr>
                      <w:p>
                        <w:pP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4"/>
                          <w:jc w:val="right"/>
                          <w:rPr>
                            <w:rFonts w:ascii="宋体" w:hAnsi="宋体" w:cs="宋体" w:eastAsia="宋体" w:hint="default"/>
                            <w:sz w:val="14"/>
                            <w:szCs w:val="14"/>
                          </w:rPr>
                        </w:pPr>
                        <w:r>
                          <w:rPr>
                            <w:rFonts w:ascii="宋体"/>
                            <w:b/>
                            <w:spacing w:val="-1"/>
                            <w:sz w:val="14"/>
                          </w:rPr>
                          <w:t>4,285,233,448.92</w:t>
                        </w:r>
                        <w:r>
                          <w:rPr>
                            <w:rFonts w:ascii="宋体"/>
                            <w:spacing w:val="-1"/>
                            <w:sz w:val="14"/>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宋体" w:hAnsi="宋体" w:cs="宋体" w:eastAsia="宋体" w:hint="default"/>
                            <w:sz w:val="14"/>
                            <w:szCs w:val="14"/>
                          </w:rPr>
                        </w:pPr>
                        <w:r>
                          <w:rPr>
                            <w:rFonts w:ascii="宋体"/>
                            <w:b/>
                            <w:spacing w:val="-1"/>
                            <w:sz w:val="14"/>
                          </w:rPr>
                          <w:t>2,922,819,507.63</w:t>
                        </w:r>
                        <w:r>
                          <w:rPr>
                            <w:rFonts w:ascii="宋体"/>
                            <w:spacing w:val="-1"/>
                            <w:sz w:val="14"/>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宋体" w:hAnsi="宋体" w:cs="宋体" w:eastAsia="宋体" w:hint="default"/>
                            <w:sz w:val="14"/>
                            <w:szCs w:val="14"/>
                          </w:rPr>
                        </w:pPr>
                        <w:r>
                          <w:rPr>
                            <w:rFonts w:ascii="宋体"/>
                            <w:b/>
                            <w:spacing w:val="-1"/>
                            <w:sz w:val="14"/>
                          </w:rPr>
                          <w:t>1,323,219,200.00</w:t>
                        </w:r>
                        <w:r>
                          <w:rPr>
                            <w:rFonts w:ascii="宋体"/>
                            <w:spacing w:val="-1"/>
                            <w:sz w:val="14"/>
                          </w:rPr>
                        </w:r>
                      </w:p>
                    </w:tc>
                    <w:tc>
                      <w:tcPr>
                        <w:tcW w:w="12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宋体" w:hAnsi="宋体" w:cs="宋体" w:eastAsia="宋体" w:hint="default"/>
                            <w:sz w:val="14"/>
                            <w:szCs w:val="14"/>
                          </w:rPr>
                        </w:pPr>
                        <w:r>
                          <w:rPr>
                            <w:rFonts w:ascii="宋体"/>
                            <w:b/>
                            <w:spacing w:val="-1"/>
                            <w:sz w:val="14"/>
                          </w:rPr>
                          <w:t>162,773,379.95</w:t>
                        </w:r>
                        <w:r>
                          <w:rPr>
                            <w:rFonts w:ascii="宋体"/>
                            <w:spacing w:val="-1"/>
                            <w:sz w:val="14"/>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宋体" w:hAnsi="宋体" w:cs="宋体" w:eastAsia="宋体" w:hint="default"/>
                            <w:sz w:val="14"/>
                            <w:szCs w:val="14"/>
                          </w:rPr>
                        </w:pPr>
                        <w:r>
                          <w:rPr>
                            <w:rFonts w:ascii="宋体"/>
                            <w:b/>
                            <w:spacing w:val="-1"/>
                            <w:sz w:val="14"/>
                          </w:rPr>
                          <w:t>4,083,265,327.68</w:t>
                        </w:r>
                        <w:r>
                          <w:rPr>
                            <w:rFonts w:ascii="宋体"/>
                            <w:spacing w:val="-1"/>
                            <w:sz w:val="14"/>
                          </w:rPr>
                        </w:r>
                      </w:p>
                    </w:tc>
                    <w:tc>
                      <w:tcPr>
                        <w:tcW w:w="1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99"/>
                          <w:jc w:val="right"/>
                          <w:rPr>
                            <w:rFonts w:ascii="宋体" w:hAnsi="宋体" w:cs="宋体" w:eastAsia="宋体" w:hint="default"/>
                            <w:sz w:val="14"/>
                            <w:szCs w:val="14"/>
                          </w:rPr>
                        </w:pPr>
                        <w:r>
                          <w:rPr>
                            <w:rFonts w:ascii="宋体"/>
                            <w:b/>
                            <w:spacing w:val="-1"/>
                            <w:sz w:val="14"/>
                          </w:rPr>
                          <w:t>58,664,400.00</w:t>
                        </w:r>
                        <w:r>
                          <w:rPr>
                            <w:rFonts w:ascii="宋体"/>
                            <w:spacing w:val="-1"/>
                            <w:sz w:val="14"/>
                          </w:rPr>
                        </w:r>
                      </w:p>
                    </w:tc>
                  </w:tr>
                </w:tbl>
                <w:p>
                  <w:pPr/>
                </w:p>
              </w:txbxContent>
            </v:textbox>
            <w10:wrap type="none"/>
          </v:shape>
        </w:pict>
      </w:r>
    </w:p>
    <w:p>
      <w:pPr>
        <w:spacing w:line="240" w:lineRule="auto" w:before="6"/>
        <w:rPr>
          <w:rFonts w:ascii="宋体" w:hAnsi="宋体" w:cs="宋体" w:eastAsia="宋体" w:hint="default"/>
          <w:sz w:val="26"/>
          <w:szCs w:val="26"/>
        </w:rPr>
      </w:pPr>
    </w:p>
    <w:p>
      <w:pPr>
        <w:spacing w:line="30" w:lineRule="exact"/>
        <w:ind w:left="1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66.5pt;height:1.5pt;mso-position-horizontal-relative:char;mso-position-vertical-relative:line" coordorigin="0,0" coordsize="11330,30">
            <v:group style="position:absolute;left:15;top:15;width:11300;height:2" coordorigin="15,15" coordsize="11300,2">
              <v:shape style="position:absolute;left:15;top:15;width:11300;height:2" coordorigin="15,15" coordsize="11300,0" path="m15,15l1131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5"/>
        <w:rPr>
          <w:rFonts w:ascii="宋体" w:hAnsi="宋体" w:cs="宋体" w:eastAsia="宋体" w:hint="default"/>
          <w:sz w:val="7"/>
          <w:szCs w:val="7"/>
        </w:rPr>
      </w:pPr>
    </w:p>
    <w:p>
      <w:pPr>
        <w:tabs>
          <w:tab w:pos="4105" w:val="left" w:leader="none"/>
          <w:tab w:pos="5449" w:val="left" w:leader="none"/>
          <w:tab w:pos="6794" w:val="left" w:leader="none"/>
          <w:tab w:pos="8068" w:val="left" w:leader="none"/>
          <w:tab w:pos="9342" w:val="left" w:leader="none"/>
        </w:tabs>
        <w:spacing w:before="57"/>
        <w:ind w:left="720" w:right="0" w:firstLine="0"/>
        <w:jc w:val="left"/>
        <w:rPr>
          <w:rFonts w:ascii="宋体" w:hAnsi="宋体" w:cs="宋体" w:eastAsia="宋体" w:hint="default"/>
          <w:sz w:val="14"/>
          <w:szCs w:val="14"/>
        </w:rPr>
      </w:pPr>
      <w:r>
        <w:rPr>
          <w:rFonts w:ascii="宋体" w:hAnsi="宋体" w:cs="宋体" w:eastAsia="宋体" w:hint="default"/>
          <w:b/>
          <w:bCs/>
          <w:w w:val="95"/>
          <w:sz w:val="14"/>
          <w:szCs w:val="14"/>
        </w:rPr>
        <w:t>被投资单位名称</w:t>
        <w:tab/>
        <w:t>投资成本</w:t>
        <w:tab/>
        <w:t>年初金额</w:t>
        <w:tab/>
        <w:t>本年增加</w:t>
        <w:tab/>
        <w:t>本年减少</w:t>
        <w:tab/>
      </w:r>
      <w:r>
        <w:rPr>
          <w:rFonts w:ascii="宋体" w:hAnsi="宋体" w:cs="宋体" w:eastAsia="宋体" w:hint="default"/>
          <w:b/>
          <w:bCs/>
          <w:sz w:val="14"/>
          <w:szCs w:val="14"/>
        </w:rPr>
        <w:t>年末金额</w:t>
      </w:r>
      <w:r>
        <w:rPr>
          <w:rFonts w:ascii="宋体" w:hAnsi="宋体" w:cs="宋体" w:eastAsia="宋体" w:hint="default"/>
          <w:sz w:val="14"/>
          <w:szCs w:val="14"/>
        </w:rPr>
      </w:r>
    </w:p>
    <w:p>
      <w:pPr>
        <w:spacing w:line="240" w:lineRule="auto" w:before="8"/>
        <w:rPr>
          <w:rFonts w:ascii="宋体" w:hAnsi="宋体" w:cs="宋体" w:eastAsia="宋体" w:hint="default"/>
          <w:b/>
          <w:bCs/>
          <w:sz w:val="13"/>
          <w:szCs w:val="13"/>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565.450pt;height:.5pt;mso-position-horizontal-relative:char;mso-position-vertical-relative:line" coordorigin="0,0" coordsize="11309,10">
            <v:group style="position:absolute;left:5;top:5;width:11300;height:2" coordorigin="5,5" coordsize="11300,2">
              <v:shape style="position:absolute;left:5;top:5;width:11300;height:2" coordorigin="5,5" coordsize="11300,0" path="m5,5l1130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tabs>
          <w:tab w:pos="3115" w:val="left" w:leader="none"/>
          <w:tab w:pos="4040" w:val="left" w:leader="none"/>
          <w:tab w:pos="5384" w:val="left" w:leader="none"/>
          <w:tab w:pos="7360" w:val="left" w:leader="none"/>
          <w:tab w:pos="8563" w:val="left" w:leader="none"/>
          <w:tab w:pos="9279" w:val="left" w:leader="none"/>
          <w:tab w:pos="11042" w:val="left" w:leader="none"/>
        </w:tabs>
        <w:spacing w:before="57"/>
        <w:ind w:left="2409" w:right="0" w:firstLine="0"/>
        <w:jc w:val="left"/>
        <w:rPr>
          <w:rFonts w:ascii="宋体" w:hAnsi="宋体" w:cs="宋体" w:eastAsia="宋体" w:hint="default"/>
          <w:sz w:val="14"/>
          <w:szCs w:val="14"/>
        </w:rPr>
      </w:pPr>
      <w:r>
        <w:rPr>
          <w:rFonts w:ascii="宋体"/>
          <w:spacing w:val="-1"/>
          <w:sz w:val="14"/>
        </w:rPr>
        <w:t>100.00%</w:t>
        <w:tab/>
        <w:t>100.00%</w:t>
        <w:tab/>
        <w:t>21,772,500.00</w:t>
        <w:tab/>
        <w:t>21,772,500.00</w:t>
        <w:tab/>
        <w:t>0.00</w:t>
        <w:tab/>
        <w:t>0.00</w:t>
        <w:tab/>
        <w:t>21,772,500.00</w:t>
        <w:tab/>
        <w:t>0.00</w:t>
      </w:r>
      <w:r>
        <w:rPr>
          <w:rFonts w:ascii="宋体"/>
          <w:sz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3183" w:val="left" w:leader="none"/>
          <w:tab w:pos="4040" w:val="left" w:leader="none"/>
          <w:tab w:pos="5384" w:val="left" w:leader="none"/>
          <w:tab w:pos="7360" w:val="left" w:leader="none"/>
          <w:tab w:pos="8563" w:val="left" w:leader="none"/>
          <w:tab w:pos="9279" w:val="left" w:leader="none"/>
          <w:tab w:pos="11043" w:val="left" w:leader="none"/>
        </w:tabs>
        <w:spacing w:before="57"/>
        <w:ind w:left="2477" w:right="0" w:firstLine="0"/>
        <w:jc w:val="left"/>
        <w:rPr>
          <w:rFonts w:ascii="宋体" w:hAnsi="宋体" w:cs="宋体" w:eastAsia="宋体" w:hint="default"/>
          <w:sz w:val="14"/>
          <w:szCs w:val="14"/>
        </w:rPr>
      </w:pPr>
      <w:r>
        <w:rPr>
          <w:rFonts w:ascii="宋体"/>
          <w:spacing w:val="-1"/>
          <w:sz w:val="14"/>
        </w:rPr>
        <w:t>3.23%</w:t>
        <w:tab/>
        <w:t>3.23%</w:t>
        <w:tab/>
        <w:t>10,000,000.00</w:t>
        <w:tab/>
        <w:t>10,000,000.00</w:t>
        <w:tab/>
        <w:t>0.00</w:t>
        <w:tab/>
        <w:t>0.00</w:t>
        <w:tab/>
        <w:t>10,000,000.00</w:t>
        <w:tab/>
        <w:t>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tabs>
          <w:tab w:pos="3183" w:val="left" w:leader="none"/>
          <w:tab w:pos="4040" w:val="left" w:leader="none"/>
          <w:tab w:pos="5384" w:val="left" w:leader="none"/>
          <w:tab w:pos="7360" w:val="left" w:leader="none"/>
          <w:tab w:pos="7934" w:val="left" w:leader="none"/>
          <w:tab w:pos="9909" w:val="left" w:leader="none"/>
          <w:tab w:pos="11043" w:val="left" w:leader="none"/>
        </w:tabs>
        <w:spacing w:before="57"/>
        <w:ind w:left="2477" w:right="0" w:firstLine="0"/>
        <w:jc w:val="left"/>
        <w:rPr>
          <w:rFonts w:ascii="宋体" w:hAnsi="宋体" w:cs="宋体" w:eastAsia="宋体" w:hint="default"/>
          <w:sz w:val="14"/>
          <w:szCs w:val="14"/>
        </w:rPr>
      </w:pPr>
      <w:r>
        <w:rPr>
          <w:rFonts w:ascii="宋体"/>
          <w:spacing w:val="-1"/>
          <w:sz w:val="14"/>
        </w:rPr>
        <w:t>0.00%</w:t>
        <w:tab/>
        <w:t>0.00%</w:t>
        <w:tab/>
        <w:t>14,620,403.69</w:t>
        <w:tab/>
        <w:t>14,460,000.00</w:t>
        <w:tab/>
        <w:t>0.00</w:t>
        <w:tab/>
        <w:t>14,460,000.00</w:t>
        <w:tab/>
        <w:t>0.00</w:t>
        <w:tab/>
        <w:t>0.00</w:t>
      </w:r>
    </w:p>
    <w:p>
      <w:pPr>
        <w:spacing w:after="0"/>
        <w:jc w:val="left"/>
        <w:rPr>
          <w:rFonts w:ascii="宋体" w:hAnsi="宋体" w:cs="宋体" w:eastAsia="宋体" w:hint="default"/>
          <w:sz w:val="14"/>
          <w:szCs w:val="14"/>
        </w:rPr>
        <w:sectPr>
          <w:pgSz w:w="11910" w:h="16840"/>
          <w:pgMar w:header="610" w:footer="784" w:top="1080" w:bottom="980" w:left="240" w:right="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21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按权益法核算的长期股权投资</w:t>
      </w:r>
    </w:p>
    <w:p>
      <w:pPr>
        <w:spacing w:line="240" w:lineRule="auto" w:before="5"/>
        <w:rPr>
          <w:rFonts w:ascii="宋体" w:hAnsi="宋体" w:cs="宋体" w:eastAsia="宋体" w:hint="default"/>
          <w:sz w:val="12"/>
          <w:szCs w:val="12"/>
        </w:rPr>
      </w:pPr>
    </w:p>
    <w:p>
      <w:pPr>
        <w:spacing w:line="30" w:lineRule="exact"/>
        <w:ind w:left="131" w:right="0" w:firstLine="0"/>
        <w:rPr>
          <w:rFonts w:ascii="宋体" w:hAnsi="宋体" w:cs="宋体" w:eastAsia="宋体" w:hint="default"/>
          <w:sz w:val="3"/>
          <w:szCs w:val="3"/>
        </w:rPr>
      </w:pPr>
      <w:r>
        <w:rPr>
          <w:rFonts w:ascii="宋体" w:hAnsi="宋体" w:cs="宋体" w:eastAsia="宋体" w:hint="default"/>
          <w:position w:val="0"/>
          <w:sz w:val="3"/>
          <w:szCs w:val="3"/>
        </w:rPr>
        <w:pict>
          <v:group style="width:522.4500pt;height:1.5pt;mso-position-horizontal-relative:char;mso-position-vertical-relative:line" coordorigin="0,0" coordsize="10449,30">
            <v:group style="position:absolute;left:15;top:15;width:10419;height:2" coordorigin="15,15" coordsize="10419,2">
              <v:shape style="position:absolute;left:15;top:15;width:10419;height:2" coordorigin="15,15" coordsize="10419,0" path="m15,15l10433,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660" w:right="540"/>
        </w:sectPr>
      </w:pPr>
    </w:p>
    <w:p>
      <w:pPr>
        <w:tabs>
          <w:tab w:pos="3178" w:val="left" w:leader="none"/>
        </w:tabs>
        <w:spacing w:line="227"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被投资单位名称</w:t>
        <w:tab/>
      </w:r>
      <w:r>
        <w:rPr>
          <w:rFonts w:ascii="宋体" w:hAnsi="宋体" w:cs="宋体" w:eastAsia="宋体" w:hint="default"/>
          <w:b/>
          <w:bCs/>
          <w:w w:val="95"/>
          <w:position w:val="10"/>
          <w:sz w:val="16"/>
          <w:szCs w:val="16"/>
        </w:rPr>
        <w:t>持股</w:t>
      </w:r>
      <w:r>
        <w:rPr>
          <w:rFonts w:ascii="宋体" w:hAnsi="宋体" w:cs="宋体" w:eastAsia="宋体" w:hint="default"/>
          <w:sz w:val="16"/>
          <w:szCs w:val="16"/>
        </w:rPr>
      </w:r>
    </w:p>
    <w:p>
      <w:pPr>
        <w:spacing w:line="155"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1435" w:val="left" w:leader="none"/>
        </w:tabs>
        <w:spacing w:line="178" w:lineRule="exact" w:before="0"/>
        <w:ind w:left="254" w:right="-2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表决权</w:t>
        <w:tab/>
      </w:r>
      <w:r>
        <w:rPr>
          <w:rFonts w:ascii="宋体" w:hAnsi="宋体" w:cs="宋体" w:eastAsia="宋体" w:hint="default"/>
          <w:b/>
          <w:bCs/>
          <w:sz w:val="16"/>
          <w:szCs w:val="16"/>
        </w:rPr>
        <w:t>投资</w:t>
      </w:r>
      <w:r>
        <w:rPr>
          <w:rFonts w:ascii="宋体" w:hAnsi="宋体" w:cs="宋体" w:eastAsia="宋体" w:hint="default"/>
          <w:sz w:val="16"/>
          <w:szCs w:val="16"/>
        </w:rPr>
      </w:r>
    </w:p>
    <w:p>
      <w:pPr>
        <w:tabs>
          <w:tab w:pos="1435" w:val="left" w:leader="none"/>
        </w:tabs>
        <w:spacing w:line="205" w:lineRule="exact" w:before="0"/>
        <w:ind w:left="334" w:right="-20" w:firstLine="0"/>
        <w:jc w:val="left"/>
        <w:rPr>
          <w:rFonts w:ascii="宋体" w:hAnsi="宋体" w:cs="宋体" w:eastAsia="宋体" w:hint="default"/>
          <w:sz w:val="16"/>
          <w:szCs w:val="16"/>
        </w:rPr>
      </w:pPr>
      <w:r>
        <w:rPr>
          <w:rFonts w:ascii="宋体" w:hAnsi="宋体" w:cs="宋体" w:eastAsia="宋体" w:hint="default"/>
          <w:b/>
          <w:bCs/>
          <w:w w:val="95"/>
          <w:sz w:val="16"/>
          <w:szCs w:val="16"/>
        </w:rPr>
        <w:t>比例</w:t>
        <w:tab/>
      </w:r>
      <w:r>
        <w:rPr>
          <w:rFonts w:ascii="宋体" w:hAnsi="宋体" w:cs="宋体" w:eastAsia="宋体" w:hint="default"/>
          <w:b/>
          <w:bCs/>
          <w:sz w:val="16"/>
          <w:szCs w:val="16"/>
        </w:rPr>
        <w:t>成本</w:t>
      </w:r>
      <w:r>
        <w:rPr>
          <w:rFonts w:ascii="宋体" w:hAnsi="宋体" w:cs="宋体" w:eastAsia="宋体" w:hint="default"/>
          <w:sz w:val="16"/>
          <w:szCs w:val="16"/>
        </w:rPr>
      </w:r>
    </w:p>
    <w:p>
      <w:pPr>
        <w:tabs>
          <w:tab w:pos="1675" w:val="left" w:leader="none"/>
          <w:tab w:pos="3096" w:val="left" w:leader="none"/>
        </w:tabs>
        <w:spacing w:line="178" w:lineRule="exact" w:before="0"/>
        <w:ind w:left="254"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年初</w:t>
        <w:tab/>
        <w:t>本年</w:t>
        <w:tab/>
      </w:r>
      <w:r>
        <w:rPr>
          <w:rFonts w:ascii="宋体" w:hAnsi="宋体" w:cs="宋体" w:eastAsia="宋体" w:hint="default"/>
          <w:b/>
          <w:bCs/>
          <w:sz w:val="16"/>
          <w:szCs w:val="16"/>
        </w:rPr>
        <w:t>年末</w:t>
      </w:r>
      <w:r>
        <w:rPr>
          <w:rFonts w:ascii="宋体" w:hAnsi="宋体" w:cs="宋体" w:eastAsia="宋体" w:hint="default"/>
          <w:sz w:val="16"/>
          <w:szCs w:val="16"/>
        </w:rPr>
      </w:r>
    </w:p>
    <w:p>
      <w:pPr>
        <w:tabs>
          <w:tab w:pos="1514" w:val="left" w:leader="none"/>
          <w:tab w:pos="3096" w:val="left" w:leader="none"/>
        </w:tabs>
        <w:spacing w:line="205" w:lineRule="exact" w:before="0"/>
        <w:ind w:left="254" w:right="0" w:firstLine="0"/>
        <w:jc w:val="left"/>
        <w:rPr>
          <w:rFonts w:ascii="宋体" w:hAnsi="宋体" w:cs="宋体" w:eastAsia="宋体" w:hint="default"/>
          <w:sz w:val="16"/>
          <w:szCs w:val="16"/>
        </w:rPr>
      </w:pPr>
      <w:r>
        <w:rPr>
          <w:rFonts w:ascii="宋体" w:hAnsi="宋体" w:cs="宋体" w:eastAsia="宋体" w:hint="default"/>
          <w:b/>
          <w:bCs/>
          <w:w w:val="95"/>
          <w:sz w:val="16"/>
          <w:szCs w:val="16"/>
        </w:rPr>
        <w:t>金额</w:t>
        <w:tab/>
        <w:t>权益增减</w:t>
        <w:tab/>
      </w:r>
      <w:r>
        <w:rPr>
          <w:rFonts w:ascii="宋体" w:hAnsi="宋体" w:cs="宋体" w:eastAsia="宋体" w:hint="default"/>
          <w:b/>
          <w:bCs/>
          <w:sz w:val="16"/>
          <w:szCs w:val="16"/>
        </w:rPr>
        <w:t>金额</w:t>
      </w:r>
      <w:r>
        <w:rPr>
          <w:rFonts w:ascii="宋体" w:hAnsi="宋体" w:cs="宋体" w:eastAsia="宋体" w:hint="default"/>
          <w:sz w:val="16"/>
          <w:szCs w:val="16"/>
        </w:rPr>
      </w:r>
    </w:p>
    <w:p>
      <w:pPr>
        <w:spacing w:after="0" w:line="205" w:lineRule="exact"/>
        <w:jc w:val="left"/>
        <w:rPr>
          <w:rFonts w:ascii="宋体" w:hAnsi="宋体" w:cs="宋体" w:eastAsia="宋体" w:hint="default"/>
          <w:sz w:val="16"/>
          <w:szCs w:val="16"/>
        </w:rPr>
        <w:sectPr>
          <w:type w:val="continuous"/>
          <w:pgSz w:w="11910" w:h="16840"/>
          <w:pgMar w:top="1600" w:bottom="280" w:left="660" w:right="540"/>
          <w:cols w:num="3" w:equalWidth="0">
            <w:col w:w="3755" w:space="199"/>
            <w:col w:w="1757" w:space="849"/>
            <w:col w:w="4150"/>
          </w:cols>
        </w:sectPr>
      </w:pPr>
    </w:p>
    <w:p>
      <w:pPr>
        <w:spacing w:line="20" w:lineRule="exact"/>
        <w:ind w:left="141" w:right="0" w:firstLine="0"/>
        <w:rPr>
          <w:rFonts w:ascii="宋体" w:hAnsi="宋体" w:cs="宋体" w:eastAsia="宋体" w:hint="default"/>
          <w:sz w:val="2"/>
          <w:szCs w:val="2"/>
        </w:rPr>
      </w:pPr>
      <w:r>
        <w:rPr>
          <w:rFonts w:ascii="宋体" w:hAnsi="宋体" w:cs="宋体" w:eastAsia="宋体" w:hint="default"/>
          <w:sz w:val="2"/>
          <w:szCs w:val="2"/>
        </w:rPr>
        <w:pict>
          <v:group style="width:521.4pt;height:.5pt;mso-position-horizontal-relative:char;mso-position-vertical-relative:line" coordorigin="0,0" coordsize="10428,10">
            <v:group style="position:absolute;left:5;top:5;width:10419;height:2" coordorigin="5,5" coordsize="10419,2">
              <v:shape style="position:absolute;left:5;top:5;width:10419;height:2" coordorigin="5,5" coordsize="10419,0" path="m5,5l10423,5e" filled="false" stroked="true" strokeweight=".48pt" strokecolor="#000000">
                <v:path arrowok="t"/>
              </v:shape>
            </v:group>
          </v:group>
        </w:pict>
      </w:r>
      <w:r>
        <w:rPr>
          <w:rFonts w:ascii="宋体" w:hAnsi="宋体" w:cs="宋体" w:eastAsia="宋体" w:hint="default"/>
          <w:sz w:val="2"/>
          <w:szCs w:val="2"/>
        </w:rPr>
      </w:r>
    </w:p>
    <w:p>
      <w:pPr>
        <w:tabs>
          <w:tab w:pos="3357" w:val="left" w:leader="none"/>
          <w:tab w:pos="4212" w:val="left" w:leader="none"/>
          <w:tab w:pos="5076" w:val="left" w:leader="none"/>
          <w:tab w:pos="7300" w:val="left" w:leader="none"/>
          <w:tab w:pos="7916" w:val="left" w:leader="none"/>
          <w:tab w:pos="9422" w:val="left" w:leader="none"/>
        </w:tabs>
        <w:spacing w:before="22"/>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北京同方电子商务有限公司</w:t>
        <w:tab/>
      </w:r>
      <w:r>
        <w:rPr>
          <w:rFonts w:ascii="宋体" w:hAnsi="宋体" w:cs="宋体" w:eastAsia="宋体" w:hint="default"/>
          <w:spacing w:val="-1"/>
          <w:sz w:val="16"/>
          <w:szCs w:val="16"/>
        </w:rPr>
        <w:t>16.00%</w:t>
        <w:tab/>
        <w:t>16.00%</w:t>
        <w:tab/>
        <w:t>22,722,179.64</w:t>
        <w:tab/>
      </w:r>
      <w:r>
        <w:rPr>
          <w:rFonts w:ascii="宋体" w:hAnsi="宋体" w:cs="宋体" w:eastAsia="宋体" w:hint="default"/>
          <w:w w:val="95"/>
          <w:sz w:val="16"/>
          <w:szCs w:val="16"/>
        </w:rPr>
        <w:t>0.00</w:t>
        <w:tab/>
      </w:r>
      <w:r>
        <w:rPr>
          <w:rFonts w:ascii="宋体" w:hAnsi="宋体" w:cs="宋体" w:eastAsia="宋体" w:hint="default"/>
          <w:spacing w:val="-1"/>
          <w:sz w:val="16"/>
          <w:szCs w:val="16"/>
        </w:rPr>
        <w:t>33,292,847.88</w:t>
        <w:tab/>
        <w:t>33,292,847.88</w:t>
      </w:r>
    </w:p>
    <w:p>
      <w:pPr>
        <w:tabs>
          <w:tab w:pos="3357" w:val="left" w:leader="none"/>
          <w:tab w:pos="4212" w:val="left" w:leader="none"/>
          <w:tab w:pos="5156" w:val="left" w:leader="none"/>
          <w:tab w:pos="6661" w:val="left" w:leader="none"/>
          <w:tab w:pos="8155" w:val="left" w:leader="none"/>
          <w:tab w:pos="950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吉林同方科贸有限责任公司</w:t>
        <w:tab/>
      </w:r>
      <w:r>
        <w:rPr>
          <w:rFonts w:ascii="宋体" w:hAnsi="宋体" w:cs="宋体" w:eastAsia="宋体" w:hint="default"/>
          <w:spacing w:val="-1"/>
          <w:sz w:val="16"/>
          <w:szCs w:val="16"/>
        </w:rPr>
        <w:t>20.00%</w:t>
        <w:tab/>
        <w:t>20.00%</w:t>
        <w:tab/>
        <w:t>1,600,000.00</w:t>
        <w:tab/>
        <w:t>1,493,734.78</w:t>
        <w:tab/>
        <w:t>-16,196.89</w:t>
        <w:tab/>
        <w:t>1,477,537.89</w:t>
      </w:r>
    </w:p>
    <w:p>
      <w:pPr>
        <w:tabs>
          <w:tab w:pos="3357" w:val="left" w:leader="none"/>
          <w:tab w:pos="4212" w:val="left" w:leader="none"/>
          <w:tab w:pos="5076" w:val="left" w:leader="none"/>
          <w:tab w:pos="6580" w:val="left" w:leader="none"/>
          <w:tab w:pos="8155" w:val="left" w:leader="none"/>
          <w:tab w:pos="9422" w:val="left" w:leader="none"/>
        </w:tabs>
        <w:spacing w:before="73"/>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郑州同方神火科技有限公司</w:t>
        <w:tab/>
      </w:r>
      <w:r>
        <w:rPr>
          <w:rFonts w:ascii="宋体" w:hAnsi="宋体" w:cs="宋体" w:eastAsia="宋体" w:hint="default"/>
          <w:spacing w:val="-1"/>
          <w:sz w:val="16"/>
          <w:szCs w:val="16"/>
        </w:rPr>
        <w:t>50.00%</w:t>
        <w:tab/>
        <w:t>50.00%</w:t>
        <w:tab/>
        <w:t>10,000,000.00</w:t>
        <w:tab/>
        <w:t>10,482,311.48</w:t>
        <w:tab/>
        <w:t>-22,598.47</w:t>
        <w:tab/>
        <w:t>10,459,713.01</w:t>
      </w:r>
    </w:p>
    <w:p>
      <w:pPr>
        <w:tabs>
          <w:tab w:pos="3316" w:val="left" w:leader="none"/>
          <w:tab w:pos="4171" w:val="left" w:leader="none"/>
          <w:tab w:pos="4998" w:val="left" w:leader="none"/>
          <w:tab w:pos="6502" w:val="left" w:leader="none"/>
          <w:tab w:pos="7995" w:val="left" w:leader="none"/>
          <w:tab w:pos="9344"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同方人工环境有限公司</w:t>
        <w:tab/>
      </w:r>
      <w:r>
        <w:rPr>
          <w:rFonts w:ascii="宋体" w:hAnsi="宋体" w:cs="宋体" w:eastAsia="宋体" w:hint="default"/>
          <w:spacing w:val="-1"/>
          <w:sz w:val="16"/>
          <w:szCs w:val="16"/>
        </w:rPr>
        <w:t>40.964%</w:t>
        <w:tab/>
        <w:t>40.964%</w:t>
        <w:tab/>
        <w:t>102,000,000.00</w:t>
        <w:tab/>
        <w:t>172,089,605.24</w:t>
        <w:tab/>
        <w:t>7,906,268.73</w:t>
        <w:tab/>
        <w:t>179,995,873.97</w:t>
      </w:r>
    </w:p>
    <w:p>
      <w:pPr>
        <w:tabs>
          <w:tab w:pos="3358" w:val="left" w:leader="none"/>
          <w:tab w:pos="4213" w:val="left" w:leader="none"/>
          <w:tab w:pos="5076" w:val="left" w:leader="none"/>
          <w:tab w:pos="7300" w:val="left" w:leader="none"/>
          <w:tab w:pos="8636" w:val="left" w:leader="none"/>
          <w:tab w:pos="1014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北京中录同方文化传播有限公司</w:t>
        <w:tab/>
      </w:r>
      <w:r>
        <w:rPr>
          <w:rFonts w:ascii="宋体" w:hAnsi="宋体" w:cs="宋体" w:eastAsia="宋体" w:hint="default"/>
          <w:spacing w:val="-1"/>
          <w:sz w:val="16"/>
          <w:szCs w:val="16"/>
        </w:rPr>
        <w:t>50.00%</w:t>
        <w:tab/>
        <w:t>50.00%</w:t>
        <w:tab/>
        <w:t>29,000,000.00</w:t>
        <w:tab/>
      </w:r>
      <w:r>
        <w:rPr>
          <w:rFonts w:ascii="宋体" w:hAnsi="宋体" w:cs="宋体" w:eastAsia="宋体" w:hint="default"/>
          <w:w w:val="95"/>
          <w:sz w:val="16"/>
          <w:szCs w:val="16"/>
        </w:rPr>
        <w:t>0.00</w:t>
        <w:tab/>
        <w:t>0.00</w:t>
      </w:r>
      <w:r>
        <w:rPr>
          <w:rFonts w:ascii="Times New Roman" w:hAnsi="Times New Roman" w:cs="Times New Roman" w:eastAsia="Times New Roman" w:hint="default"/>
          <w:b/>
          <w:bCs/>
          <w:w w:val="95"/>
          <w:sz w:val="16"/>
          <w:szCs w:val="16"/>
        </w:rPr>
        <w:tab/>
      </w:r>
      <w:r>
        <w:rPr>
          <w:rFonts w:ascii="宋体" w:hAnsi="宋体" w:cs="宋体" w:eastAsia="宋体" w:hint="default"/>
          <w:sz w:val="16"/>
          <w:szCs w:val="16"/>
        </w:rPr>
        <w:t>0.00</w:t>
      </w:r>
    </w:p>
    <w:p>
      <w:pPr>
        <w:tabs>
          <w:tab w:pos="3356" w:val="left" w:leader="none"/>
          <w:tab w:pos="4212" w:val="left" w:leader="none"/>
          <w:tab w:pos="4997" w:val="left" w:leader="none"/>
          <w:tab w:pos="6502" w:val="left" w:leader="none"/>
          <w:tab w:pos="7996" w:val="left" w:leader="none"/>
          <w:tab w:pos="9344" w:val="left" w:leader="none"/>
        </w:tabs>
        <w:spacing w:before="73"/>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嘉融投资有限公司</w:t>
        <w:tab/>
      </w:r>
      <w:r>
        <w:rPr>
          <w:rFonts w:ascii="宋体" w:hAnsi="宋体" w:cs="宋体" w:eastAsia="宋体" w:hint="default"/>
          <w:spacing w:val="-1"/>
          <w:sz w:val="16"/>
          <w:szCs w:val="16"/>
        </w:rPr>
        <w:t>25.00%</w:t>
        <w:tab/>
        <w:t>25.00%</w:t>
        <w:tab/>
        <w:t>150,370,000.00</w:t>
        <w:tab/>
        <w:t>149,322,635.77</w:t>
        <w:tab/>
        <w:t>2,077,567.49</w:t>
        <w:tab/>
        <w:t>151,400,203.26</w:t>
      </w:r>
    </w:p>
    <w:p>
      <w:pPr>
        <w:tabs>
          <w:tab w:pos="3357" w:val="left" w:leader="none"/>
          <w:tab w:pos="4212" w:val="left" w:leader="none"/>
          <w:tab w:pos="5076" w:val="left" w:leader="none"/>
          <w:tab w:pos="6580" w:val="left" w:leader="none"/>
          <w:tab w:pos="7995" w:val="left" w:leader="none"/>
          <w:tab w:pos="942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云南云电同方科技有限公司</w:t>
        <w:tab/>
      </w:r>
      <w:r>
        <w:rPr>
          <w:rFonts w:ascii="宋体" w:hAnsi="宋体" w:cs="宋体" w:eastAsia="宋体" w:hint="default"/>
          <w:spacing w:val="-1"/>
          <w:sz w:val="16"/>
          <w:szCs w:val="16"/>
        </w:rPr>
        <w:t>37.50%</w:t>
        <w:tab/>
        <w:t>37.50%</w:t>
        <w:tab/>
        <w:t>30,000,000.00</w:t>
        <w:tab/>
        <w:t>12,976,761.85</w:t>
        <w:tab/>
        <w:t>3,092,435.53</w:t>
        <w:tab/>
        <w:t>16,069,197.38</w:t>
      </w:r>
    </w:p>
    <w:p>
      <w:pPr>
        <w:tabs>
          <w:tab w:pos="3357" w:val="left" w:leader="none"/>
          <w:tab w:pos="4212" w:val="left" w:leader="none"/>
          <w:tab w:pos="5076" w:val="left" w:leader="none"/>
          <w:tab w:pos="6503" w:val="left" w:leader="none"/>
          <w:tab w:pos="7915" w:val="left" w:leader="none"/>
          <w:tab w:pos="9344"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同方环境股份有限公司</w:t>
        <w:tab/>
      </w:r>
      <w:r>
        <w:rPr>
          <w:rFonts w:ascii="宋体" w:hAnsi="宋体" w:cs="宋体" w:eastAsia="宋体" w:hint="default"/>
          <w:spacing w:val="-1"/>
          <w:sz w:val="16"/>
          <w:szCs w:val="16"/>
        </w:rPr>
        <w:t>31.50%</w:t>
        <w:tab/>
        <w:t>31.50%</w:t>
        <w:tab/>
        <w:t>35,000,000.00</w:t>
        <w:tab/>
        <w:t>127,611,900.69</w:t>
        <w:tab/>
        <w:t>33,834,319.46</w:t>
        <w:tab/>
        <w:t>161,446,220.15</w:t>
      </w:r>
    </w:p>
    <w:p>
      <w:pPr>
        <w:tabs>
          <w:tab w:pos="3356" w:val="left" w:leader="none"/>
          <w:tab w:pos="4212" w:val="left" w:leader="none"/>
          <w:tab w:pos="4997" w:val="left" w:leader="none"/>
          <w:tab w:pos="6502" w:val="left" w:leader="none"/>
          <w:tab w:pos="7996" w:val="left" w:leader="none"/>
          <w:tab w:pos="9344" w:val="left" w:leader="none"/>
        </w:tabs>
        <w:spacing w:before="73"/>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同方投资有限公司</w:t>
        <w:tab/>
      </w:r>
      <w:r>
        <w:rPr>
          <w:rFonts w:ascii="宋体" w:hAnsi="宋体" w:cs="宋体" w:eastAsia="宋体" w:hint="default"/>
          <w:spacing w:val="-1"/>
          <w:sz w:val="16"/>
          <w:szCs w:val="16"/>
        </w:rPr>
        <w:t>36.36%</w:t>
        <w:tab/>
        <w:t>36.36%</w:t>
        <w:tab/>
        <w:t>200,000,000.00</w:t>
        <w:tab/>
        <w:t>383,637,806.82</w:t>
        <w:tab/>
        <w:t>2,723,598.62</w:t>
        <w:tab/>
        <w:t>386,361,405.44</w:t>
      </w:r>
    </w:p>
    <w:p>
      <w:pPr>
        <w:tabs>
          <w:tab w:pos="3357" w:val="left" w:leader="none"/>
          <w:tab w:pos="4212" w:val="left" w:leader="none"/>
          <w:tab w:pos="5076" w:val="left" w:leader="none"/>
          <w:tab w:pos="6580" w:val="left" w:leader="none"/>
          <w:tab w:pos="7915" w:val="left" w:leader="none"/>
          <w:tab w:pos="942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北京同方易豪科技有限公司</w:t>
        <w:tab/>
      </w:r>
      <w:r>
        <w:rPr>
          <w:rFonts w:ascii="宋体" w:hAnsi="宋体" w:cs="宋体" w:eastAsia="宋体" w:hint="default"/>
          <w:spacing w:val="-1"/>
          <w:sz w:val="16"/>
          <w:szCs w:val="16"/>
        </w:rPr>
        <w:t>32.25%</w:t>
        <w:tab/>
        <w:t>32.25%</w:t>
        <w:tab/>
        <w:t>14,662,000.00</w:t>
        <w:tab/>
        <w:t>14,040,929.88</w:t>
        <w:tab/>
        <w:t>-1,071,751.59</w:t>
        <w:tab/>
        <w:t>12,969,178.29</w:t>
      </w:r>
    </w:p>
    <w:p>
      <w:pPr>
        <w:tabs>
          <w:tab w:pos="3278" w:val="left" w:leader="none"/>
          <w:tab w:pos="4133" w:val="left" w:leader="none"/>
          <w:tab w:pos="5156" w:val="left" w:leader="none"/>
          <w:tab w:pos="6661" w:val="left" w:leader="none"/>
          <w:tab w:pos="7915" w:val="left" w:leader="none"/>
          <w:tab w:pos="966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北京亚仕同方科技有限公司</w:t>
        <w:tab/>
      </w:r>
      <w:r>
        <w:rPr>
          <w:rFonts w:ascii="宋体" w:hAnsi="宋体" w:cs="宋体" w:eastAsia="宋体" w:hint="default"/>
          <w:spacing w:val="-1"/>
          <w:sz w:val="16"/>
          <w:szCs w:val="16"/>
        </w:rPr>
        <w:t>49.9999%</w:t>
        <w:tab/>
        <w:t>49.9999%</w:t>
        <w:tab/>
        <w:t>9,938,413.20</w:t>
        <w:tab/>
        <w:t>3,989,481.73</w:t>
        <w:tab/>
        <w:t>-3,845,343.48</w:t>
        <w:tab/>
        <w:t>144,138.25</w:t>
      </w:r>
    </w:p>
    <w:p>
      <w:pPr>
        <w:tabs>
          <w:tab w:pos="3398" w:val="left" w:leader="none"/>
          <w:tab w:pos="4253" w:val="left" w:leader="none"/>
          <w:tab w:pos="5157" w:val="left" w:leader="none"/>
          <w:tab w:pos="6662" w:val="left" w:leader="none"/>
          <w:tab w:pos="7916" w:val="left" w:leader="none"/>
          <w:tab w:pos="10142" w:val="left" w:leader="none"/>
        </w:tabs>
        <w:spacing w:before="73"/>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上海百视通电视传媒有限公司</w:t>
        <w:tab/>
      </w:r>
      <w:r>
        <w:rPr>
          <w:rFonts w:ascii="宋体" w:hAnsi="宋体" w:cs="宋体" w:eastAsia="宋体" w:hint="default"/>
          <w:spacing w:val="-1"/>
          <w:sz w:val="16"/>
          <w:szCs w:val="16"/>
        </w:rPr>
        <w:t>0.00%</w:t>
        <w:tab/>
        <w:t>0.00%</w:t>
        <w:tab/>
        <w:t>5,920,000.00</w:t>
        <w:tab/>
        <w:t>7,493,902.39</w:t>
        <w:tab/>
        <w:t>-7,493,902.39</w:t>
      </w:r>
      <w:r>
        <w:rPr>
          <w:rFonts w:ascii="Times New Roman" w:hAnsi="Times New Roman" w:cs="Times New Roman" w:eastAsia="Times New Roman" w:hint="default"/>
          <w:b/>
          <w:bCs/>
          <w:spacing w:val="-1"/>
          <w:sz w:val="16"/>
          <w:szCs w:val="16"/>
        </w:rPr>
        <w:tab/>
      </w:r>
      <w:r>
        <w:rPr>
          <w:rFonts w:ascii="宋体" w:hAnsi="宋体" w:cs="宋体" w:eastAsia="宋体" w:hint="default"/>
          <w:sz w:val="16"/>
          <w:szCs w:val="16"/>
        </w:rPr>
        <w:t>0.00</w:t>
      </w:r>
    </w:p>
    <w:p>
      <w:pPr>
        <w:tabs>
          <w:tab w:pos="3318" w:val="left" w:leader="none"/>
          <w:tab w:pos="4173" w:val="left" w:leader="none"/>
          <w:tab w:pos="4999" w:val="left" w:leader="none"/>
          <w:tab w:pos="6503" w:val="left" w:leader="none"/>
          <w:tab w:pos="7837" w:val="left" w:leader="none"/>
          <w:tab w:pos="9344"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百视通网络电视技术发展有限责任公司</w:t>
        <w:tab/>
      </w:r>
      <w:r>
        <w:rPr>
          <w:rFonts w:ascii="宋体" w:hAnsi="宋体" w:cs="宋体" w:eastAsia="宋体" w:hint="default"/>
          <w:spacing w:val="-1"/>
          <w:sz w:val="16"/>
          <w:szCs w:val="16"/>
        </w:rPr>
        <w:t>15.466%</w:t>
        <w:tab/>
        <w:t>15.466%</w:t>
        <w:tab/>
        <w:t>144,080,000.00</w:t>
        <w:tab/>
        <w:t>268,146,246.87</w:t>
        <w:tab/>
        <w:t>-95,527,854.95</w:t>
        <w:tab/>
        <w:t>172,618,391.92</w:t>
      </w:r>
    </w:p>
    <w:p>
      <w:pPr>
        <w:tabs>
          <w:tab w:pos="3359" w:val="left" w:leader="none"/>
          <w:tab w:pos="4214" w:val="left" w:leader="none"/>
          <w:tab w:pos="5077" w:val="left" w:leader="none"/>
          <w:tab w:pos="6581" w:val="left" w:leader="none"/>
          <w:tab w:pos="7915" w:val="left" w:leader="none"/>
          <w:tab w:pos="942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同方恩欧凯（无锡）膜技术有限公司</w:t>
        <w:tab/>
      </w:r>
      <w:r>
        <w:rPr>
          <w:rFonts w:ascii="宋体" w:hAnsi="宋体" w:cs="宋体" w:eastAsia="宋体" w:hint="default"/>
          <w:spacing w:val="-1"/>
          <w:sz w:val="16"/>
          <w:szCs w:val="16"/>
        </w:rPr>
        <w:t>50.00%</w:t>
        <w:tab/>
        <w:t>50.00%</w:t>
        <w:tab/>
        <w:t>20,000,000.00</w:t>
        <w:tab/>
        <w:t>19,957,465.74</w:t>
        <w:tab/>
        <w:t>-2,287,069.13</w:t>
        <w:tab/>
        <w:t>17,670,396.61</w:t>
      </w:r>
    </w:p>
    <w:p>
      <w:pPr>
        <w:tabs>
          <w:tab w:pos="3358" w:val="left" w:leader="none"/>
          <w:tab w:pos="4213" w:val="left" w:leader="none"/>
          <w:tab w:pos="5076" w:val="left" w:leader="none"/>
          <w:tab w:pos="6581" w:val="left" w:leader="none"/>
          <w:tab w:pos="8076" w:val="left" w:leader="none"/>
          <w:tab w:pos="9422" w:val="left" w:leader="none"/>
        </w:tabs>
        <w:spacing w:before="73"/>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同方泰豪动漫产业投资有限公司</w:t>
        <w:tab/>
      </w:r>
      <w:r>
        <w:rPr>
          <w:rFonts w:ascii="宋体" w:hAnsi="宋体" w:cs="宋体" w:eastAsia="宋体" w:hint="default"/>
          <w:spacing w:val="-1"/>
          <w:sz w:val="16"/>
          <w:szCs w:val="16"/>
        </w:rPr>
        <w:t>40.00%</w:t>
        <w:tab/>
        <w:t>40.00%</w:t>
        <w:tab/>
        <w:t>80,000,000.00</w:t>
        <w:tab/>
        <w:t>79,835,542.31</w:t>
        <w:tab/>
        <w:t>-389,935.14</w:t>
        <w:tab/>
        <w:t>79,445,607.17</w:t>
      </w:r>
    </w:p>
    <w:p>
      <w:pPr>
        <w:tabs>
          <w:tab w:pos="3357" w:val="left" w:leader="none"/>
          <w:tab w:pos="4212" w:val="left" w:leader="none"/>
          <w:tab w:pos="5156" w:val="left" w:leader="none"/>
          <w:tab w:pos="6661" w:val="left" w:leader="none"/>
          <w:tab w:pos="8076" w:val="left" w:leader="none"/>
          <w:tab w:pos="950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重庆同方合志科技有限公司</w:t>
        <w:tab/>
      </w:r>
      <w:r>
        <w:rPr>
          <w:rFonts w:ascii="宋体" w:hAnsi="宋体" w:cs="宋体" w:eastAsia="宋体" w:hint="default"/>
          <w:spacing w:val="-1"/>
          <w:sz w:val="16"/>
          <w:szCs w:val="16"/>
        </w:rPr>
        <w:t>40.00%</w:t>
        <w:tab/>
        <w:t>40.00%</w:t>
        <w:tab/>
        <w:t>8,000,000.00</w:t>
        <w:tab/>
        <w:t>8,000,000.00</w:t>
        <w:tab/>
        <w:t>-738,330.36</w:t>
        <w:tab/>
        <w:t>7,261,669.64</w:t>
      </w:r>
    </w:p>
    <w:p>
      <w:pPr>
        <w:tabs>
          <w:tab w:pos="3357" w:val="left" w:leader="none"/>
          <w:tab w:pos="4212" w:val="left" w:leader="none"/>
          <w:tab w:pos="5076" w:val="left" w:leader="none"/>
          <w:tab w:pos="6580" w:val="left" w:leader="none"/>
          <w:tab w:pos="7995" w:val="left" w:leader="none"/>
          <w:tab w:pos="9422"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龙江环保集团股份有限公司</w:t>
        <w:tab/>
      </w:r>
      <w:r>
        <w:rPr>
          <w:rFonts w:ascii="宋体" w:hAnsi="宋体" w:cs="宋体" w:eastAsia="宋体" w:hint="default"/>
          <w:spacing w:val="-1"/>
          <w:sz w:val="16"/>
          <w:szCs w:val="16"/>
        </w:rPr>
        <w:t>10.16%</w:t>
        <w:tab/>
        <w:t>10.16%</w:t>
        <w:tab/>
        <w:t>47,500,000.00</w:t>
        <w:tab/>
        <w:t>54,083,057.52</w:t>
        <w:tab/>
        <w:t>5,513,856.64</w:t>
        <w:tab/>
        <w:t>59,596,914.16</w:t>
      </w:r>
    </w:p>
    <w:p>
      <w:pPr>
        <w:tabs>
          <w:tab w:pos="3357" w:val="left" w:leader="none"/>
          <w:tab w:pos="4212" w:val="left" w:leader="none"/>
          <w:tab w:pos="5076" w:val="left" w:leader="none"/>
          <w:tab w:pos="7300" w:val="left" w:leader="none"/>
          <w:tab w:pos="7916" w:val="left" w:leader="none"/>
          <w:tab w:pos="9422" w:val="left" w:leader="none"/>
        </w:tabs>
        <w:spacing w:before="73"/>
        <w:ind w:left="254" w:right="0" w:firstLine="0"/>
        <w:jc w:val="left"/>
        <w:rPr>
          <w:rFonts w:ascii="宋体" w:hAnsi="宋体" w:cs="宋体" w:eastAsia="宋体" w:hint="default"/>
          <w:sz w:val="16"/>
          <w:szCs w:val="16"/>
        </w:rPr>
      </w:pPr>
      <w:r>
        <w:rPr>
          <w:rFonts w:ascii="宋体" w:hAnsi="宋体" w:cs="宋体" w:eastAsia="宋体" w:hint="default"/>
          <w:w w:val="95"/>
          <w:sz w:val="16"/>
          <w:szCs w:val="16"/>
        </w:rPr>
        <w:t>北京辰安伟业科技有限公司</w:t>
        <w:tab/>
      </w:r>
      <w:r>
        <w:rPr>
          <w:rFonts w:ascii="宋体" w:hAnsi="宋体" w:cs="宋体" w:eastAsia="宋体" w:hint="default"/>
          <w:spacing w:val="-1"/>
          <w:sz w:val="16"/>
          <w:szCs w:val="16"/>
        </w:rPr>
        <w:t>11.25%</w:t>
        <w:tab/>
        <w:t>11.25%</w:t>
        <w:tab/>
        <w:t>25,200,000.00</w:t>
        <w:tab/>
      </w:r>
      <w:r>
        <w:rPr>
          <w:rFonts w:ascii="宋体" w:hAnsi="宋体" w:cs="宋体" w:eastAsia="宋体" w:hint="default"/>
          <w:w w:val="95"/>
          <w:sz w:val="16"/>
          <w:szCs w:val="16"/>
        </w:rPr>
        <w:t>0.00</w:t>
        <w:tab/>
      </w:r>
      <w:r>
        <w:rPr>
          <w:rFonts w:ascii="宋体" w:hAnsi="宋体" w:cs="宋体" w:eastAsia="宋体" w:hint="default"/>
          <w:spacing w:val="-1"/>
          <w:sz w:val="16"/>
          <w:szCs w:val="16"/>
        </w:rPr>
        <w:t>25,078,285.11</w:t>
        <w:tab/>
        <w:t>25,078,285.11</w:t>
      </w:r>
    </w:p>
    <w:p>
      <w:pPr>
        <w:tabs>
          <w:tab w:pos="4984" w:val="left" w:leader="none"/>
          <w:tab w:pos="6330" w:val="left" w:leader="none"/>
          <w:tab w:pos="7987" w:val="left" w:leader="none"/>
          <w:tab w:pos="9173" w:val="left" w:leader="none"/>
        </w:tabs>
        <w:spacing w:before="75"/>
        <w:ind w:left="254" w:right="0" w:firstLine="0"/>
        <w:jc w:val="left"/>
        <w:rPr>
          <w:rFonts w:ascii="宋体" w:hAnsi="宋体" w:cs="宋体" w:eastAsia="宋体" w:hint="default"/>
          <w:sz w:val="16"/>
          <w:szCs w:val="16"/>
        </w:rPr>
      </w:pPr>
      <w:r>
        <w:rPr>
          <w:rFonts w:ascii="宋体" w:hAnsi="宋体" w:cs="宋体" w:eastAsia="宋体" w:hint="default"/>
          <w:b/>
          <w:bCs/>
          <w:w w:val="95"/>
          <w:sz w:val="16"/>
          <w:szCs w:val="16"/>
        </w:rPr>
        <w:t>合计</w:t>
        <w:tab/>
        <w:t>935,992,592.84</w:t>
        <w:tab/>
        <w:t>1,313,161,383.07</w:t>
        <w:tab/>
        <w:t>2,126,197.06</w:t>
        <w:tab/>
      </w:r>
      <w:r>
        <w:rPr>
          <w:rFonts w:ascii="宋体" w:hAnsi="宋体" w:cs="宋体" w:eastAsia="宋体" w:hint="default"/>
          <w:b/>
          <w:bCs/>
          <w:sz w:val="16"/>
          <w:szCs w:val="16"/>
        </w:rPr>
        <w:t>1,315,287,580.13</w:t>
      </w:r>
      <w:r>
        <w:rPr>
          <w:rFonts w:ascii="宋体" w:hAnsi="宋体" w:cs="宋体" w:eastAsia="宋体" w:hint="default"/>
          <w:sz w:val="16"/>
          <w:szCs w:val="16"/>
        </w:rPr>
      </w:r>
    </w:p>
    <w:p>
      <w:pPr>
        <w:spacing w:line="240" w:lineRule="auto" w:before="8"/>
        <w:rPr>
          <w:rFonts w:ascii="宋体" w:hAnsi="宋体" w:cs="宋体" w:eastAsia="宋体" w:hint="default"/>
          <w:b/>
          <w:bCs/>
          <w:sz w:val="4"/>
          <w:szCs w:val="4"/>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523.5pt;height:1.5pt;mso-position-horizontal-relative:char;mso-position-vertical-relative:line" coordorigin="0,0" coordsize="10470,30">
            <v:group style="position:absolute;left:15;top:15;width:3035;height:2" coordorigin="15,15" coordsize="3035,2">
              <v:shape style="position:absolute;left:15;top:15;width:3035;height:2" coordorigin="15,15" coordsize="3035,0" path="m15,15l3050,15e" filled="false" stroked="true" strokeweight="1.5pt" strokecolor="#000000">
                <v:path arrowok="t"/>
              </v:shape>
            </v:group>
            <v:group style="position:absolute;left:3035;top:15;width:870;height:2" coordorigin="3035,15" coordsize="870,2">
              <v:shape style="position:absolute;left:3035;top:15;width:870;height:2" coordorigin="3035,15" coordsize="870,0" path="m3035,15l3905,15e" filled="false" stroked="true" strokeweight="1.5pt" strokecolor="#000000">
                <v:path arrowok="t"/>
              </v:shape>
            </v:group>
            <v:group style="position:absolute;left:3891;top:15;width:870;height:2" coordorigin="3891,15" coordsize="870,2">
              <v:shape style="position:absolute;left:3891;top:15;width:870;height:2" coordorigin="3891,15" coordsize="870,0" path="m3891,15l4761,15e" filled="false" stroked="true" strokeweight="1.5pt" strokecolor="#000000">
                <v:path arrowok="t"/>
              </v:shape>
            </v:group>
            <v:group style="position:absolute;left:4747;top:15;width:1360;height:2" coordorigin="4747,15" coordsize="1360,2">
              <v:shape style="position:absolute;left:4747;top:15;width:1360;height:2" coordorigin="4747,15" coordsize="1360,0" path="m4747,15l6106,15e" filled="false" stroked="true" strokeweight="1.5pt" strokecolor="#000000">
                <v:path arrowok="t"/>
              </v:shape>
            </v:group>
            <v:group style="position:absolute;left:6092;top:15;width:1521;height:2" coordorigin="6092,15" coordsize="1521,2">
              <v:shape style="position:absolute;left:6092;top:15;width:1521;height:2" coordorigin="6092,15" coordsize="1521,0" path="m6092,15l7612,15e" filled="false" stroked="true" strokeweight="1.5pt" strokecolor="#000000">
                <v:path arrowok="t"/>
              </v:shape>
            </v:group>
            <v:group style="position:absolute;left:7598;top:15;width:1352;height:2" coordorigin="7598,15" coordsize="1352,2">
              <v:shape style="position:absolute;left:7598;top:15;width:1352;height:2" coordorigin="7598,15" coordsize="1352,0" path="m7598,15l8949,15e" filled="false" stroked="true" strokeweight="1.5pt" strokecolor="#000000">
                <v:path arrowok="t"/>
              </v:shape>
            </v:group>
            <v:group style="position:absolute;left:8935;top:15;width:1521;height:2" coordorigin="8935,15" coordsize="1521,2">
              <v:shape style="position:absolute;left:8935;top:15;width:1521;height:2" coordorigin="8935,15" coordsize="1521,0" path="m8935,15l1045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121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对联营企业的投资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0" w:right="539" w:firstLine="0"/>
        <w:jc w:val="right"/>
        <w:rPr>
          <w:rFonts w:ascii="宋体" w:hAnsi="宋体" w:cs="宋体" w:eastAsia="宋体" w:hint="default"/>
          <w:sz w:val="18"/>
          <w:szCs w:val="18"/>
        </w:rPr>
      </w:pPr>
      <w:r>
        <w:rPr/>
        <w:pict>
          <v:shape style="position:absolute;margin-left:55.32pt;margin-top:-216.094986pt;width:490.9pt;height:279pt;mso-position-horizontal-relative:page;mso-position-vertical-relative:paragraph;z-index:7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9"/>
                    <w:gridCol w:w="1340"/>
                    <w:gridCol w:w="4033"/>
                    <w:gridCol w:w="985"/>
                  </w:tblGrid>
                  <w:tr>
                    <w:trPr>
                      <w:trHeight w:val="303" w:hRule="exact"/>
                    </w:trPr>
                    <w:tc>
                      <w:tcPr>
                        <w:tcW w:w="345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4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403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85"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36"/>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sz w:val="18"/>
                            <w:szCs w:val="18"/>
                          </w:rPr>
                        </w:r>
                      </w:p>
                    </w:tc>
                  </w:tr>
                  <w:tr>
                    <w:trPr>
                      <w:trHeight w:val="199" w:hRule="exact"/>
                    </w:trPr>
                    <w:tc>
                      <w:tcPr>
                        <w:tcW w:w="3459" w:type="dxa"/>
                        <w:tcBorders>
                          <w:top w:val="single" w:sz="4" w:space="0" w:color="000000"/>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
                    </w:tc>
                    <w:tc>
                      <w:tcPr>
                        <w:tcW w:w="4033" w:type="dxa"/>
                        <w:tcBorders>
                          <w:top w:val="single" w:sz="4" w:space="0" w:color="000000"/>
                          <w:left w:val="nil" w:sz="6" w:space="0" w:color="auto"/>
                          <w:bottom w:val="nil" w:sz="6" w:space="0" w:color="auto"/>
                          <w:right w:val="nil" w:sz="6" w:space="0" w:color="auto"/>
                        </w:tcBorders>
                      </w:tcPr>
                      <w:p>
                        <w:pPr>
                          <w:pStyle w:val="TableParagraph"/>
                          <w:spacing w:line="185" w:lineRule="exact"/>
                          <w:ind w:left="149" w:right="0"/>
                          <w:jc w:val="left"/>
                          <w:rPr>
                            <w:rFonts w:ascii="宋体" w:hAnsi="宋体" w:cs="宋体" w:eastAsia="宋体" w:hint="default"/>
                            <w:sz w:val="18"/>
                            <w:szCs w:val="18"/>
                          </w:rPr>
                        </w:pPr>
                        <w:r>
                          <w:rPr>
                            <w:rFonts w:ascii="宋体" w:hAnsi="宋体" w:cs="宋体" w:eastAsia="宋体" w:hint="default"/>
                            <w:sz w:val="18"/>
                            <w:szCs w:val="18"/>
                          </w:rPr>
                          <w:t>网络技术和计算机软硬件研发；投资咨询、国际</w:t>
                        </w:r>
                      </w:p>
                    </w:tc>
                    <w:tc>
                      <w:tcPr>
                        <w:tcW w:w="985" w:type="dxa"/>
                        <w:tcBorders>
                          <w:top w:val="single" w:sz="4" w:space="0" w:color="000000"/>
                          <w:left w:val="nil" w:sz="6" w:space="0" w:color="auto"/>
                          <w:bottom w:val="nil" w:sz="6" w:space="0" w:color="auto"/>
                          <w:right w:val="nil" w:sz="6" w:space="0" w:color="auto"/>
                        </w:tcBorders>
                      </w:tcPr>
                      <w:p>
                        <w:pPr/>
                      </w:p>
                    </w:tc>
                  </w:tr>
                  <w:tr>
                    <w:trPr>
                      <w:trHeight w:val="201"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190"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190" w:lineRule="exact"/>
                          <w:ind w:left="29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033" w:type="dxa"/>
                        <w:tcBorders>
                          <w:top w:val="nil" w:sz="6" w:space="0" w:color="auto"/>
                          <w:left w:val="nil" w:sz="6" w:space="0" w:color="auto"/>
                          <w:bottom w:val="nil" w:sz="6" w:space="0" w:color="auto"/>
                          <w:right w:val="nil" w:sz="6" w:space="0" w:color="auto"/>
                        </w:tcBorders>
                      </w:tcPr>
                      <w:p>
                        <w:pPr>
                          <w:pStyle w:val="TableParagraph"/>
                          <w:spacing w:line="191" w:lineRule="exact"/>
                          <w:ind w:left="149" w:right="0"/>
                          <w:jc w:val="left"/>
                          <w:rPr>
                            <w:rFonts w:ascii="宋体" w:hAnsi="宋体" w:cs="宋体" w:eastAsia="宋体" w:hint="default"/>
                            <w:sz w:val="18"/>
                            <w:szCs w:val="18"/>
                          </w:rPr>
                        </w:pPr>
                        <w:r>
                          <w:rPr>
                            <w:rFonts w:ascii="宋体" w:hAnsi="宋体" w:cs="宋体" w:eastAsia="宋体" w:hint="default"/>
                            <w:sz w:val="18"/>
                            <w:szCs w:val="18"/>
                          </w:rPr>
                          <w:t>经济咨询、科技咨询、环保信息咨询、贸易信息</w:t>
                        </w:r>
                      </w:p>
                    </w:tc>
                    <w:tc>
                      <w:tcPr>
                        <w:tcW w:w="985" w:type="dxa"/>
                        <w:tcBorders>
                          <w:top w:val="nil" w:sz="6" w:space="0" w:color="auto"/>
                          <w:left w:val="nil" w:sz="6" w:space="0" w:color="auto"/>
                          <w:bottom w:val="nil" w:sz="6" w:space="0" w:color="auto"/>
                          <w:right w:val="nil" w:sz="6" w:space="0" w:color="auto"/>
                        </w:tcBorders>
                      </w:tcPr>
                      <w:p>
                        <w:pPr>
                          <w:pStyle w:val="TableParagraph"/>
                          <w:spacing w:line="190" w:lineRule="exact"/>
                          <w:ind w:right="98"/>
                          <w:jc w:val="right"/>
                          <w:rPr>
                            <w:rFonts w:ascii="宋体" w:hAnsi="宋体" w:cs="宋体" w:eastAsia="宋体" w:hint="default"/>
                            <w:sz w:val="18"/>
                            <w:szCs w:val="18"/>
                          </w:rPr>
                        </w:pPr>
                        <w:r>
                          <w:rPr>
                            <w:rFonts w:ascii="宋体"/>
                            <w:sz w:val="18"/>
                          </w:rPr>
                          <w:t>16.00%</w:t>
                        </w:r>
                      </w:p>
                    </w:tc>
                  </w:tr>
                  <w:tr>
                    <w:trPr>
                      <w:trHeight w:val="221" w:hRule="exact"/>
                    </w:trPr>
                    <w:tc>
                      <w:tcPr>
                        <w:tcW w:w="3459"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4033" w:type="dxa"/>
                        <w:tcBorders>
                          <w:top w:val="nil" w:sz="6" w:space="0" w:color="auto"/>
                          <w:left w:val="nil" w:sz="6" w:space="0" w:color="auto"/>
                          <w:bottom w:val="nil" w:sz="6" w:space="0" w:color="auto"/>
                          <w:right w:val="nil" w:sz="6" w:space="0" w:color="auto"/>
                        </w:tcBorders>
                      </w:tcPr>
                      <w:p>
                        <w:pPr>
                          <w:pStyle w:val="TableParagraph"/>
                          <w:spacing w:line="190" w:lineRule="exact"/>
                          <w:ind w:left="149"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985" w:type="dxa"/>
                        <w:tcBorders>
                          <w:top w:val="nil" w:sz="6" w:space="0" w:color="auto"/>
                          <w:left w:val="nil" w:sz="6" w:space="0" w:color="auto"/>
                          <w:bottom w:val="nil" w:sz="6" w:space="0" w:color="auto"/>
                          <w:right w:val="nil" w:sz="6" w:space="0" w:color="auto"/>
                        </w:tcBorders>
                      </w:tcPr>
                      <w:p>
                        <w:pPr/>
                      </w:p>
                    </w:tc>
                  </w:tr>
                  <w:tr>
                    <w:trPr>
                      <w:trHeight w:val="263"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11" w:lineRule="exact"/>
                          <w:ind w:left="290"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4033" w:type="dxa"/>
                        <w:tcBorders>
                          <w:top w:val="nil" w:sz="6" w:space="0" w:color="auto"/>
                          <w:left w:val="nil" w:sz="6" w:space="0" w:color="auto"/>
                          <w:bottom w:val="nil" w:sz="6" w:space="0" w:color="auto"/>
                          <w:right w:val="nil" w:sz="6" w:space="0" w:color="auto"/>
                        </w:tcBorders>
                      </w:tcPr>
                      <w:p>
                        <w:pPr>
                          <w:pStyle w:val="TableParagraph"/>
                          <w:spacing w:line="211" w:lineRule="exact"/>
                          <w:ind w:left="149" w:right="0"/>
                          <w:jc w:val="left"/>
                          <w:rPr>
                            <w:rFonts w:ascii="宋体" w:hAnsi="宋体" w:cs="宋体" w:eastAsia="宋体" w:hint="default"/>
                            <w:sz w:val="18"/>
                            <w:szCs w:val="18"/>
                          </w:rPr>
                        </w:pPr>
                        <w:r>
                          <w:rPr>
                            <w:rFonts w:ascii="宋体" w:hAnsi="宋体" w:cs="宋体" w:eastAsia="宋体" w:hint="default"/>
                            <w:sz w:val="18"/>
                            <w:szCs w:val="18"/>
                          </w:rPr>
                          <w:t>计算机及信息产品、人环控制设备、仪器仪表</w:t>
                        </w:r>
                      </w:p>
                    </w:tc>
                    <w:tc>
                      <w:tcPr>
                        <w:tcW w:w="985" w:type="dxa"/>
                        <w:tcBorders>
                          <w:top w:val="nil" w:sz="6" w:space="0" w:color="auto"/>
                          <w:left w:val="nil" w:sz="6" w:space="0" w:color="auto"/>
                          <w:bottom w:val="nil" w:sz="6" w:space="0" w:color="auto"/>
                          <w:right w:val="nil" w:sz="6" w:space="0" w:color="auto"/>
                        </w:tcBorders>
                      </w:tcPr>
                      <w:p>
                        <w:pPr>
                          <w:pStyle w:val="TableParagraph"/>
                          <w:spacing w:line="211" w:lineRule="exact"/>
                          <w:ind w:right="98"/>
                          <w:jc w:val="right"/>
                          <w:rPr>
                            <w:rFonts w:ascii="宋体" w:hAnsi="宋体" w:cs="宋体" w:eastAsia="宋体" w:hint="default"/>
                            <w:sz w:val="18"/>
                            <w:szCs w:val="18"/>
                          </w:rPr>
                        </w:pPr>
                        <w:r>
                          <w:rPr>
                            <w:rFonts w:ascii="宋体"/>
                            <w:sz w:val="18"/>
                          </w:rPr>
                          <w:t>20.00%</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电子、通信、计算机软硬件，医疗仪器</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中央空调机组、空气和水净化系统</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40.96%</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北京昌平</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音像制品、数字多媒体、宽频网络多媒体</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上海浦东</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实业投资、创业投资、投资咨询与管理</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25.00%</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与电力高科技产品</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37.50%</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环保工程、新能源发电、垃圾处理</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31.50%</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项目投资及管理、咨询服务</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36.36%</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酒店宽带互联网与互动数字电视系统解决方案</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32.25%</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电子标签识别技术产品</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49.9999%</w:t>
                        </w:r>
                      </w:p>
                    </w:tc>
                  </w:tr>
                  <w:tr>
                    <w:trPr>
                      <w:trHeight w:val="284"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上海长宁</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开展</w:t>
                        </w:r>
                        <w:r>
                          <w:rPr>
                            <w:rFonts w:ascii="宋体" w:hAnsi="宋体" w:cs="宋体" w:eastAsia="宋体" w:hint="default"/>
                            <w:spacing w:val="-46"/>
                            <w:sz w:val="18"/>
                            <w:szCs w:val="18"/>
                          </w:rPr>
                          <w:t> </w:t>
                        </w:r>
                        <w:r>
                          <w:rPr>
                            <w:rFonts w:ascii="宋体" w:hAnsi="宋体" w:cs="宋体" w:eastAsia="宋体" w:hint="default"/>
                            <w:sz w:val="18"/>
                            <w:szCs w:val="18"/>
                          </w:rPr>
                          <w:t>IPTV</w:t>
                        </w:r>
                        <w:r>
                          <w:rPr>
                            <w:rFonts w:ascii="宋体" w:hAnsi="宋体" w:cs="宋体" w:eastAsia="宋体" w:hint="default"/>
                            <w:spacing w:val="-46"/>
                            <w:sz w:val="18"/>
                            <w:szCs w:val="18"/>
                          </w:rPr>
                          <w:t> </w:t>
                        </w:r>
                        <w:r>
                          <w:rPr>
                            <w:rFonts w:ascii="宋体" w:hAnsi="宋体" w:cs="宋体" w:eastAsia="宋体" w:hint="default"/>
                            <w:sz w:val="18"/>
                            <w:szCs w:val="18"/>
                          </w:rPr>
                          <w:t>收拾及广告服务运营</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15.466%</w:t>
                        </w:r>
                      </w:p>
                    </w:tc>
                  </w:tr>
                  <w:tr>
                    <w:trPr>
                      <w:trHeight w:val="232"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黑龙江哈市</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水务项目投资、建设、运营</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10.16%</w:t>
                        </w:r>
                      </w:p>
                    </w:tc>
                  </w:tr>
                  <w:tr>
                    <w:trPr>
                      <w:trHeight w:val="302" w:hRule="exact"/>
                    </w:trPr>
                    <w:tc>
                      <w:tcPr>
                        <w:tcW w:w="9817" w:type="dxa"/>
                        <w:gridSpan w:val="4"/>
                        <w:tcBorders>
                          <w:top w:val="nil" w:sz="6" w:space="0" w:color="auto"/>
                          <w:left w:val="nil" w:sz="6" w:space="0" w:color="auto"/>
                          <w:bottom w:val="nil" w:sz="6" w:space="0" w:color="auto"/>
                          <w:right w:val="nil" w:sz="6" w:space="0" w:color="auto"/>
                        </w:tcBorders>
                      </w:tcPr>
                      <w:p>
                        <w:pPr>
                          <w:pStyle w:val="TableParagraph"/>
                          <w:tabs>
                            <w:tab w:pos="3749" w:val="left" w:leader="none"/>
                            <w:tab w:pos="4948" w:val="left" w:leader="none"/>
                          </w:tabs>
                          <w:spacing w:line="335" w:lineRule="exact" w:before="7"/>
                          <w:ind w:left="107" w:right="0"/>
                          <w:jc w:val="left"/>
                          <w:rPr>
                            <w:rFonts w:ascii="宋体" w:hAnsi="宋体" w:cs="宋体" w:eastAsia="宋体" w:hint="default"/>
                            <w:sz w:val="18"/>
                            <w:szCs w:val="18"/>
                          </w:rPr>
                        </w:pPr>
                        <w:r>
                          <w:rPr>
                            <w:rFonts w:ascii="宋体" w:hAnsi="宋体" w:cs="宋体" w:eastAsia="宋体" w:hint="default"/>
                            <w:position w:val="-9"/>
                            <w:sz w:val="18"/>
                            <w:szCs w:val="18"/>
                          </w:rPr>
                          <w:t>同方恩欧凯（无锡）膜技术有限公司</w:t>
                          <w:tab/>
                          <w:t>江苏无锡</w:t>
                          <w:tab/>
                        </w:r>
                        <w:r>
                          <w:rPr>
                            <w:rFonts w:ascii="宋体" w:hAnsi="宋体" w:cs="宋体" w:eastAsia="宋体" w:hint="default"/>
                            <w:sz w:val="18"/>
                            <w:szCs w:val="18"/>
                          </w:rPr>
                          <w:t>环保用有机膜、膜组件及膜生产设备的研发与生</w:t>
                        </w:r>
                      </w:p>
                    </w:tc>
                  </w:tr>
                  <w:tr>
                    <w:trPr>
                      <w:trHeight w:val="171" w:hRule="exact"/>
                    </w:trPr>
                    <w:tc>
                      <w:tcPr>
                        <w:tcW w:w="3459"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4033" w:type="dxa"/>
                        <w:tcBorders>
                          <w:top w:val="nil" w:sz="6" w:space="0" w:color="auto"/>
                          <w:left w:val="nil" w:sz="6" w:space="0" w:color="auto"/>
                          <w:bottom w:val="nil" w:sz="6" w:space="0" w:color="auto"/>
                          <w:right w:val="nil" w:sz="6" w:space="0" w:color="auto"/>
                        </w:tcBorders>
                      </w:tcPr>
                      <w:p>
                        <w:pPr>
                          <w:pStyle w:val="TableParagraph"/>
                          <w:spacing w:line="140" w:lineRule="exact"/>
                          <w:ind w:left="149" w:right="0"/>
                          <w:jc w:val="left"/>
                          <w:rPr>
                            <w:rFonts w:ascii="宋体" w:hAnsi="宋体" w:cs="宋体" w:eastAsia="宋体" w:hint="default"/>
                            <w:sz w:val="18"/>
                            <w:szCs w:val="18"/>
                          </w:rPr>
                        </w:pPr>
                        <w:r>
                          <w:rPr>
                            <w:rFonts w:ascii="宋体" w:hAnsi="宋体" w:cs="宋体" w:eastAsia="宋体" w:hint="default"/>
                            <w:sz w:val="18"/>
                            <w:szCs w:val="18"/>
                          </w:rPr>
                          <w:t>产</w:t>
                        </w:r>
                      </w:p>
                    </w:tc>
                    <w:tc>
                      <w:tcPr>
                        <w:tcW w:w="985" w:type="dxa"/>
                        <w:tcBorders>
                          <w:top w:val="nil" w:sz="6" w:space="0" w:color="auto"/>
                          <w:left w:val="nil" w:sz="6" w:space="0" w:color="auto"/>
                          <w:bottom w:val="nil" w:sz="6" w:space="0" w:color="auto"/>
                          <w:right w:val="nil" w:sz="6" w:space="0" w:color="auto"/>
                        </w:tcBorders>
                      </w:tcPr>
                      <w:p>
                        <w:pPr/>
                      </w:p>
                    </w:tc>
                  </w:tr>
                  <w:tr>
                    <w:trPr>
                      <w:trHeight w:val="263"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11" w:lineRule="exact"/>
                          <w:ind w:left="290"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033" w:type="dxa"/>
                        <w:tcBorders>
                          <w:top w:val="nil" w:sz="6" w:space="0" w:color="auto"/>
                          <w:left w:val="nil" w:sz="6" w:space="0" w:color="auto"/>
                          <w:bottom w:val="nil" w:sz="6" w:space="0" w:color="auto"/>
                          <w:right w:val="nil" w:sz="6" w:space="0" w:color="auto"/>
                        </w:tcBorders>
                      </w:tcPr>
                      <w:p>
                        <w:pPr>
                          <w:pStyle w:val="TableParagraph"/>
                          <w:spacing w:line="211" w:lineRule="exact"/>
                          <w:ind w:left="149" w:right="0"/>
                          <w:jc w:val="left"/>
                          <w:rPr>
                            <w:rFonts w:ascii="宋体" w:hAnsi="宋体" w:cs="宋体" w:eastAsia="宋体" w:hint="default"/>
                            <w:sz w:val="18"/>
                            <w:szCs w:val="18"/>
                          </w:rPr>
                        </w:pPr>
                        <w:r>
                          <w:rPr>
                            <w:rFonts w:ascii="宋体" w:hAnsi="宋体" w:cs="宋体" w:eastAsia="宋体" w:hint="default"/>
                            <w:sz w:val="18"/>
                            <w:szCs w:val="18"/>
                          </w:rPr>
                          <w:t>动漫形象及相关衍生产品开发、生产、经营</w:t>
                        </w:r>
                      </w:p>
                    </w:tc>
                    <w:tc>
                      <w:tcPr>
                        <w:tcW w:w="985" w:type="dxa"/>
                        <w:tcBorders>
                          <w:top w:val="nil" w:sz="6" w:space="0" w:color="auto"/>
                          <w:left w:val="nil" w:sz="6" w:space="0" w:color="auto"/>
                          <w:bottom w:val="nil" w:sz="6" w:space="0" w:color="auto"/>
                          <w:right w:val="nil" w:sz="6" w:space="0" w:color="auto"/>
                        </w:tcBorders>
                      </w:tcPr>
                      <w:p>
                        <w:pPr>
                          <w:pStyle w:val="TableParagraph"/>
                          <w:spacing w:line="211" w:lineRule="exact"/>
                          <w:ind w:right="98"/>
                          <w:jc w:val="right"/>
                          <w:rPr>
                            <w:rFonts w:ascii="宋体" w:hAnsi="宋体" w:cs="宋体" w:eastAsia="宋体" w:hint="default"/>
                            <w:sz w:val="18"/>
                            <w:szCs w:val="18"/>
                          </w:rPr>
                        </w:pPr>
                        <w:r>
                          <w:rPr>
                            <w:rFonts w:ascii="宋体"/>
                            <w:sz w:val="18"/>
                          </w:rPr>
                          <w:t>40.00%</w:t>
                        </w:r>
                      </w:p>
                    </w:tc>
                  </w:tr>
                  <w:tr>
                    <w:trPr>
                      <w:trHeight w:val="232"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03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8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11.25%</w:t>
                        </w:r>
                      </w:p>
                    </w:tc>
                  </w:tr>
                  <w:tr>
                    <w:trPr>
                      <w:trHeight w:val="352" w:hRule="exact"/>
                    </w:trPr>
                    <w:tc>
                      <w:tcPr>
                        <w:tcW w:w="9817" w:type="dxa"/>
                        <w:gridSpan w:val="4"/>
                        <w:tcBorders>
                          <w:top w:val="nil" w:sz="6" w:space="0" w:color="auto"/>
                          <w:left w:val="nil" w:sz="6" w:space="0" w:color="auto"/>
                          <w:bottom w:val="nil" w:sz="6" w:space="0" w:color="auto"/>
                          <w:right w:val="nil" w:sz="6" w:space="0" w:color="auto"/>
                        </w:tcBorders>
                      </w:tcPr>
                      <w:p>
                        <w:pPr>
                          <w:pStyle w:val="TableParagraph"/>
                          <w:tabs>
                            <w:tab w:pos="3749" w:val="left" w:leader="none"/>
                            <w:tab w:pos="4948" w:val="left" w:leader="none"/>
                          </w:tabs>
                          <w:spacing w:line="218" w:lineRule="exact" w:before="16"/>
                          <w:ind w:left="107" w:right="0"/>
                          <w:jc w:val="left"/>
                          <w:rPr>
                            <w:rFonts w:ascii="宋体" w:hAnsi="宋体" w:cs="宋体" w:eastAsia="宋体" w:hint="default"/>
                            <w:sz w:val="18"/>
                            <w:szCs w:val="18"/>
                          </w:rPr>
                        </w:pPr>
                        <w:r>
                          <w:rPr>
                            <w:rFonts w:ascii="宋体" w:hAnsi="宋体" w:cs="宋体" w:eastAsia="宋体" w:hint="default"/>
                            <w:position w:val="-9"/>
                            <w:sz w:val="18"/>
                            <w:szCs w:val="18"/>
                          </w:rPr>
                          <w:t>重庆同方合志科技有限公司</w:t>
                          <w:tab/>
                          <w:t>重庆北部</w:t>
                          <w:tab/>
                        </w:r>
                        <w:r>
                          <w:rPr>
                            <w:rFonts w:ascii="宋体" w:hAnsi="宋体" w:cs="宋体" w:eastAsia="宋体" w:hint="default"/>
                            <w:sz w:val="18"/>
                            <w:szCs w:val="18"/>
                          </w:rPr>
                          <w:t>通信设备器材、嵌入式电子系统、计算机软硬件</w:t>
                        </w:r>
                      </w:p>
                      <w:p>
                        <w:pPr>
                          <w:pStyle w:val="TableParagraph"/>
                          <w:tabs>
                            <w:tab w:pos="9176" w:val="left" w:leader="none"/>
                          </w:tabs>
                          <w:spacing w:line="157" w:lineRule="exact"/>
                          <w:ind w:left="4948" w:right="0"/>
                          <w:jc w:val="left"/>
                          <w:rPr>
                            <w:rFonts w:ascii="宋体" w:hAnsi="宋体" w:cs="宋体" w:eastAsia="宋体" w:hint="default"/>
                            <w:sz w:val="18"/>
                            <w:szCs w:val="18"/>
                          </w:rPr>
                        </w:pPr>
                        <w:r>
                          <w:rPr>
                            <w:rFonts w:ascii="宋体" w:hAnsi="宋体" w:cs="宋体" w:eastAsia="宋体" w:hint="default"/>
                            <w:sz w:val="18"/>
                            <w:szCs w:val="18"/>
                          </w:rPr>
                          <w:t>的开发、产销与技术服务</w:t>
                          <w:tab/>
                        </w:r>
                        <w:r>
                          <w:rPr>
                            <w:rFonts w:ascii="宋体" w:hAnsi="宋体" w:cs="宋体" w:eastAsia="宋体" w:hint="default"/>
                            <w:position w:val="10"/>
                            <w:sz w:val="18"/>
                            <w:szCs w:val="18"/>
                          </w:rPr>
                          <w:t>40.00%</w:t>
                        </w:r>
                        <w:r>
                          <w:rPr>
                            <w:rFonts w:ascii="宋体" w:hAnsi="宋体" w:cs="宋体" w:eastAsia="宋体" w:hint="default"/>
                            <w:sz w:val="18"/>
                            <w:szCs w:val="18"/>
                          </w:rPr>
                        </w:r>
                      </w:p>
                    </w:tc>
                  </w:tr>
                </w:tbl>
                <w:p>
                  <w:pPr/>
                </w:p>
              </w:txbxContent>
            </v:textbox>
            <w10:wrap type="none"/>
          </v:shape>
        </w:pict>
      </w:r>
      <w:r>
        <w:rPr>
          <w:rFonts w:ascii="宋体"/>
          <w:sz w:val="18"/>
        </w:rPr>
        <w:t>50.00%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30" w:lineRule="exact"/>
        <w:ind w:left="4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45pt;height:1.5pt;mso-position-horizontal-relative:char;mso-position-vertical-relative:line" coordorigin="0,0" coordsize="9869,30">
            <v:group style="position:absolute;left:15;top:15;width:3657;height:2" coordorigin="15,15" coordsize="3657,2">
              <v:shape style="position:absolute;left:15;top:15;width:3657;height:2" coordorigin="15,15" coordsize="3657,0" path="m15,15l3671,15e" filled="false" stroked="true" strokeweight="1.5pt" strokecolor="#000000">
                <v:path arrowok="t"/>
              </v:shape>
            </v:group>
            <v:group style="position:absolute;left:3657;top:15;width:1214;height:2" coordorigin="3657,15" coordsize="1214,2">
              <v:shape style="position:absolute;left:3657;top:15;width:1214;height:2" coordorigin="3657,15" coordsize="1214,0" path="m3657,15l4870,15e" filled="false" stroked="true" strokeweight="1.5pt" strokecolor="#000000">
                <v:path arrowok="t"/>
              </v:shape>
            </v:group>
            <v:group style="position:absolute;left:4856;top:15;width:3988;height:2" coordorigin="4856,15" coordsize="3988,2">
              <v:shape style="position:absolute;left:4856;top:15;width:3988;height:2" coordorigin="4856,15" coordsize="3988,0" path="m4856,15l8843,15e" filled="false" stroked="true" strokeweight="1.5pt" strokecolor="#000000">
                <v:path arrowok="t"/>
              </v:shape>
            </v:group>
            <v:group style="position:absolute;left:8829;top:15;width:1025;height:2" coordorigin="8829,15" coordsize="1025,2">
              <v:shape style="position:absolute;left:8829;top:15;width:1025;height:2" coordorigin="8829,15" coordsize="1025,0" path="m8829,15l985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660" w:right="5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3755"/>
        <w:gridCol w:w="2965"/>
        <w:gridCol w:w="1918"/>
      </w:tblGrid>
      <w:tr>
        <w:trPr>
          <w:trHeight w:val="965" w:hRule="exact"/>
        </w:trPr>
        <w:tc>
          <w:tcPr>
            <w:tcW w:w="3755" w:type="dxa"/>
            <w:tcBorders>
              <w:top w:val="nil" w:sz="6" w:space="0" w:color="auto"/>
              <w:left w:val="nil" w:sz="6" w:space="0" w:color="auto"/>
              <w:bottom w:val="single" w:sz="12" w:space="0" w:color="000000"/>
              <w:right w:val="nil" w:sz="6" w:space="0" w:color="auto"/>
            </w:tcBorders>
          </w:tcPr>
          <w:p>
            <w:pPr>
              <w:pStyle w:val="TableParagraph"/>
              <w:tabs>
                <w:tab w:pos="628" w:val="left" w:leader="none"/>
              </w:tabs>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营业收入、营业成本</w:t>
            </w:r>
          </w:p>
          <w:p>
            <w:pPr>
              <w:pStyle w:val="TableParagraph"/>
              <w:spacing w:line="240" w:lineRule="auto" w:before="162"/>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营业收入及成本</w:t>
            </w:r>
          </w:p>
        </w:tc>
        <w:tc>
          <w:tcPr>
            <w:tcW w:w="4883"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7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6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51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1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3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375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65" w:type="dxa"/>
            <w:tcBorders>
              <w:top w:val="single" w:sz="4" w:space="0" w:color="000000"/>
              <w:left w:val="nil" w:sz="6" w:space="0" w:color="auto"/>
              <w:bottom w:val="nil" w:sz="6" w:space="0" w:color="auto"/>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7,250,465,969.85</w:t>
            </w:r>
          </w:p>
        </w:tc>
        <w:tc>
          <w:tcPr>
            <w:tcW w:w="191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6,785,309,532.96</w:t>
            </w:r>
          </w:p>
        </w:tc>
      </w:tr>
      <w:tr>
        <w:trPr>
          <w:trHeight w:val="294" w:hRule="exact"/>
        </w:trPr>
        <w:tc>
          <w:tcPr>
            <w:tcW w:w="375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65" w:type="dxa"/>
            <w:tcBorders>
              <w:top w:val="nil" w:sz="6" w:space="0" w:color="auto"/>
              <w:left w:val="nil" w:sz="6" w:space="0" w:color="auto"/>
              <w:bottom w:val="single" w:sz="4" w:space="0" w:color="000000"/>
              <w:right w:val="nil" w:sz="6" w:space="0" w:color="auto"/>
            </w:tcBorders>
          </w:tcPr>
          <w:p>
            <w:pPr>
              <w:pStyle w:val="TableParagraph"/>
              <w:spacing w:line="232" w:lineRule="exact"/>
              <w:ind w:right="362"/>
              <w:jc w:val="right"/>
              <w:rPr>
                <w:rFonts w:ascii="宋体" w:hAnsi="宋体" w:cs="宋体" w:eastAsia="宋体" w:hint="default"/>
                <w:sz w:val="18"/>
                <w:szCs w:val="18"/>
              </w:rPr>
            </w:pPr>
            <w:r>
              <w:rPr>
                <w:rFonts w:ascii="宋体"/>
                <w:sz w:val="18"/>
              </w:rPr>
              <w:t>36,574,261.49</w:t>
            </w:r>
          </w:p>
        </w:tc>
        <w:tc>
          <w:tcPr>
            <w:tcW w:w="191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27,826,358.03</w:t>
            </w:r>
          </w:p>
        </w:tc>
      </w:tr>
      <w:tr>
        <w:trPr>
          <w:trHeight w:val="303" w:hRule="exact"/>
        </w:trPr>
        <w:tc>
          <w:tcPr>
            <w:tcW w:w="375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6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b/>
                <w:w w:val="95"/>
                <w:sz w:val="18"/>
              </w:rPr>
              <w:t>7,287,040,231.34</w:t>
            </w:r>
            <w:r>
              <w:rPr>
                <w:rFonts w:ascii="宋体"/>
                <w:sz w:val="18"/>
              </w:rPr>
            </w:r>
          </w:p>
        </w:tc>
        <w:tc>
          <w:tcPr>
            <w:tcW w:w="191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6,813,135,890.99</w:t>
            </w:r>
            <w:r>
              <w:rPr>
                <w:rFonts w:ascii="宋体"/>
                <w:sz w:val="18"/>
              </w:rPr>
            </w:r>
          </w:p>
        </w:tc>
      </w:tr>
      <w:tr>
        <w:trPr>
          <w:trHeight w:val="303" w:hRule="exact"/>
        </w:trPr>
        <w:tc>
          <w:tcPr>
            <w:tcW w:w="37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名客户销售额</w:t>
            </w:r>
          </w:p>
        </w:tc>
        <w:tc>
          <w:tcPr>
            <w:tcW w:w="296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1,079,864,720.14</w:t>
            </w:r>
          </w:p>
        </w:tc>
        <w:tc>
          <w:tcPr>
            <w:tcW w:w="191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1,209,584,663.52</w:t>
            </w:r>
          </w:p>
        </w:tc>
      </w:tr>
      <w:tr>
        <w:trPr>
          <w:trHeight w:val="303" w:hRule="exact"/>
        </w:trPr>
        <w:tc>
          <w:tcPr>
            <w:tcW w:w="375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296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14.82%</w:t>
            </w:r>
          </w:p>
        </w:tc>
        <w:tc>
          <w:tcPr>
            <w:tcW w:w="191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17.75%</w:t>
            </w:r>
          </w:p>
        </w:tc>
      </w:tr>
      <w:tr>
        <w:trPr>
          <w:trHeight w:val="292" w:hRule="exact"/>
        </w:trPr>
        <w:tc>
          <w:tcPr>
            <w:tcW w:w="3755" w:type="dxa"/>
            <w:tcBorders>
              <w:top w:val="single" w:sz="12"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65" w:type="dxa"/>
            <w:tcBorders>
              <w:top w:val="single" w:sz="12" w:space="0" w:color="000000"/>
              <w:left w:val="nil" w:sz="6" w:space="0" w:color="auto"/>
              <w:bottom w:val="nil" w:sz="6" w:space="0" w:color="auto"/>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6,850,133,035.56</w:t>
            </w:r>
          </w:p>
        </w:tc>
        <w:tc>
          <w:tcPr>
            <w:tcW w:w="1918" w:type="dxa"/>
            <w:tcBorders>
              <w:top w:val="single" w:sz="12"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6,217,577,623.10</w:t>
            </w:r>
          </w:p>
        </w:tc>
      </w:tr>
      <w:tr>
        <w:trPr>
          <w:trHeight w:val="294" w:hRule="exact"/>
        </w:trPr>
        <w:tc>
          <w:tcPr>
            <w:tcW w:w="375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65" w:type="dxa"/>
            <w:tcBorders>
              <w:top w:val="nil" w:sz="6" w:space="0" w:color="auto"/>
              <w:left w:val="nil" w:sz="6" w:space="0" w:color="auto"/>
              <w:bottom w:val="single" w:sz="4" w:space="0" w:color="000000"/>
              <w:right w:val="nil" w:sz="6" w:space="0" w:color="auto"/>
            </w:tcBorders>
          </w:tcPr>
          <w:p>
            <w:pPr>
              <w:pStyle w:val="TableParagraph"/>
              <w:spacing w:line="232" w:lineRule="exact"/>
              <w:ind w:right="362"/>
              <w:jc w:val="right"/>
              <w:rPr>
                <w:rFonts w:ascii="宋体" w:hAnsi="宋体" w:cs="宋体" w:eastAsia="宋体" w:hint="default"/>
                <w:sz w:val="18"/>
                <w:szCs w:val="18"/>
              </w:rPr>
            </w:pPr>
            <w:r>
              <w:rPr>
                <w:rFonts w:ascii="宋体"/>
                <w:sz w:val="18"/>
              </w:rPr>
              <w:t>5,501,188.27</w:t>
            </w:r>
          </w:p>
        </w:tc>
        <w:tc>
          <w:tcPr>
            <w:tcW w:w="191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263,707.34</w:t>
            </w:r>
          </w:p>
        </w:tc>
      </w:tr>
      <w:tr>
        <w:trPr>
          <w:trHeight w:val="303" w:hRule="exact"/>
        </w:trPr>
        <w:tc>
          <w:tcPr>
            <w:tcW w:w="375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6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b/>
                <w:w w:val="95"/>
                <w:sz w:val="18"/>
              </w:rPr>
              <w:t>6,855,634,223.83</w:t>
            </w:r>
            <w:r>
              <w:rPr>
                <w:rFonts w:ascii="宋体"/>
                <w:sz w:val="18"/>
              </w:rPr>
            </w:r>
          </w:p>
        </w:tc>
        <w:tc>
          <w:tcPr>
            <w:tcW w:w="191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6,217,841,330.44</w:t>
            </w:r>
            <w:r>
              <w:rPr>
                <w:rFonts w:ascii="宋体"/>
                <w:sz w:val="18"/>
              </w:rPr>
            </w:r>
          </w:p>
        </w:tc>
      </w:tr>
    </w:tbl>
    <w:p>
      <w:pPr>
        <w:spacing w:before="79"/>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主营业务—按业务类别分类</w:t>
      </w:r>
    </w:p>
    <w:p>
      <w:pPr>
        <w:spacing w:line="240" w:lineRule="auto" w:before="6"/>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7031" w:val="left" w:leader="none"/>
        </w:tabs>
        <w:spacing w:line="174" w:lineRule="exact" w:before="0"/>
        <w:ind w:left="3695" w:right="0" w:firstLine="0"/>
        <w:jc w:val="left"/>
        <w:rPr>
          <w:rFonts w:ascii="宋体" w:hAnsi="宋体" w:cs="宋体" w:eastAsia="宋体" w:hint="default"/>
          <w:sz w:val="18"/>
          <w:szCs w:val="18"/>
        </w:rPr>
      </w:pPr>
      <w:r>
        <w:rPr>
          <w:rFonts w:ascii="宋体" w:hAnsi="宋体" w:cs="宋体" w:eastAsia="宋体" w:hint="default"/>
          <w:b/>
          <w:bCs/>
          <w:w w:val="95"/>
          <w:sz w:val="18"/>
          <w:szCs w:val="18"/>
        </w:rPr>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184" w:lineRule="exact" w:before="0"/>
        <w:ind w:left="524" w:right="0" w:firstLine="0"/>
        <w:jc w:val="left"/>
        <w:rPr>
          <w:rFonts w:ascii="宋体" w:hAnsi="宋体" w:cs="宋体" w:eastAsia="宋体" w:hint="default"/>
          <w:sz w:val="18"/>
          <w:szCs w:val="18"/>
        </w:rPr>
      </w:pPr>
      <w:r>
        <w:rPr/>
        <w:pict>
          <v:shape style="position:absolute;margin-left:84.839996pt;margin-top:5.703364pt;width:431.9pt;height:449.85pt;mso-position-horizontal-relative:page;mso-position-vertical-relative:paragraph;z-index:7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8"/>
                    <w:gridCol w:w="3249"/>
                    <w:gridCol w:w="1661"/>
                  </w:tblGrid>
                  <w:tr>
                    <w:trPr>
                      <w:trHeight w:val="293" w:hRule="exact"/>
                    </w:trPr>
                    <w:tc>
                      <w:tcPr>
                        <w:tcW w:w="3728"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2264"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3249" w:type="dxa"/>
                        <w:tcBorders>
                          <w:top w:val="single" w:sz="4" w:space="0" w:color="000000"/>
                          <w:left w:val="nil" w:sz="6" w:space="0" w:color="auto"/>
                          <w:bottom w:val="single" w:sz="4" w:space="0" w:color="000000"/>
                          <w:right w:val="nil" w:sz="6" w:space="0" w:color="auto"/>
                        </w:tcBorders>
                      </w:tcPr>
                      <w:p>
                        <w:pPr>
                          <w:pStyle w:val="TableParagraph"/>
                          <w:tabs>
                            <w:tab w:pos="1871" w:val="left" w:leader="none"/>
                          </w:tabs>
                          <w:spacing w:line="226" w:lineRule="exact"/>
                          <w:ind w:left="204" w:right="0"/>
                          <w:jc w:val="left"/>
                          <w:rPr>
                            <w:rFonts w:ascii="宋体" w:hAnsi="宋体" w:cs="宋体" w:eastAsia="宋体" w:hint="default"/>
                            <w:sz w:val="18"/>
                            <w:szCs w:val="18"/>
                          </w:rPr>
                        </w:pPr>
                        <w:r>
                          <w:rPr>
                            <w:rFonts w:ascii="宋体" w:hAnsi="宋体" w:cs="宋体" w:eastAsia="宋体" w:hint="default"/>
                            <w:b/>
                            <w:bCs/>
                            <w:w w:val="95"/>
                            <w:sz w:val="18"/>
                            <w:szCs w:val="18"/>
                          </w:rPr>
                          <w:t>主营业务成本</w:t>
                          <w:tab/>
                        </w: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282" w:hRule="exact"/>
                    </w:trPr>
                    <w:tc>
                      <w:tcPr>
                        <w:tcW w:w="3728" w:type="dxa"/>
                        <w:tcBorders>
                          <w:top w:val="single" w:sz="4" w:space="0" w:color="000000"/>
                          <w:left w:val="nil" w:sz="6" w:space="0" w:color="auto"/>
                          <w:bottom w:val="nil" w:sz="6" w:space="0" w:color="auto"/>
                          <w:right w:val="nil" w:sz="6" w:space="0" w:color="auto"/>
                        </w:tcBorders>
                      </w:tcPr>
                      <w:p>
                        <w:pPr>
                          <w:pStyle w:val="TableParagraph"/>
                          <w:tabs>
                            <w:tab w:pos="2092"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信息技术</w:t>
                          <w:tab/>
                          <w:t>7,013,131,578.61</w:t>
                        </w:r>
                      </w:p>
                    </w:tc>
                    <w:tc>
                      <w:tcPr>
                        <w:tcW w:w="3249" w:type="dxa"/>
                        <w:tcBorders>
                          <w:top w:val="single" w:sz="4" w:space="0" w:color="000000"/>
                          <w:left w:val="nil" w:sz="6" w:space="0" w:color="auto"/>
                          <w:bottom w:val="nil" w:sz="6" w:space="0" w:color="auto"/>
                          <w:right w:val="nil" w:sz="6" w:space="0" w:color="auto"/>
                        </w:tcBorders>
                      </w:tcPr>
                      <w:p>
                        <w:pPr>
                          <w:pStyle w:val="TableParagraph"/>
                          <w:tabs>
                            <w:tab w:pos="1667" w:val="left" w:leader="none"/>
                          </w:tabs>
                          <w:spacing w:line="226" w:lineRule="exact"/>
                          <w:ind w:right="105"/>
                          <w:jc w:val="right"/>
                          <w:rPr>
                            <w:rFonts w:ascii="宋体" w:hAnsi="宋体" w:cs="宋体" w:eastAsia="宋体" w:hint="default"/>
                            <w:sz w:val="18"/>
                            <w:szCs w:val="18"/>
                          </w:rPr>
                        </w:pPr>
                        <w:r>
                          <w:rPr>
                            <w:rFonts w:ascii="宋体"/>
                            <w:sz w:val="18"/>
                          </w:rPr>
                          <w:t>6,628,552,218.50</w:t>
                          <w:tab/>
                          <w:t>6,315,607,856.58</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pacing w:val="-1"/>
                            <w:sz w:val="18"/>
                          </w:rPr>
                          <w:t>5,823,979,656.68</w:t>
                        </w:r>
                      </w:p>
                    </w:tc>
                  </w:tr>
                  <w:tr>
                    <w:trPr>
                      <w:trHeight w:val="294" w:hRule="exact"/>
                    </w:trPr>
                    <w:tc>
                      <w:tcPr>
                        <w:tcW w:w="3728" w:type="dxa"/>
                        <w:tcBorders>
                          <w:top w:val="nil" w:sz="6" w:space="0" w:color="auto"/>
                          <w:left w:val="nil" w:sz="6" w:space="0" w:color="auto"/>
                          <w:bottom w:val="single" w:sz="4" w:space="0" w:color="000000"/>
                          <w:right w:val="nil" w:sz="6" w:space="0" w:color="auto"/>
                        </w:tcBorders>
                      </w:tcPr>
                      <w:p>
                        <w:pPr>
                          <w:pStyle w:val="TableParagraph"/>
                          <w:tabs>
                            <w:tab w:pos="2272"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能源环境</w:t>
                          <w:tab/>
                          <w:t>237,334,391.24</w:t>
                        </w:r>
                      </w:p>
                    </w:tc>
                    <w:tc>
                      <w:tcPr>
                        <w:tcW w:w="3249" w:type="dxa"/>
                        <w:tcBorders>
                          <w:top w:val="nil" w:sz="6" w:space="0" w:color="auto"/>
                          <w:left w:val="nil" w:sz="6" w:space="0" w:color="auto"/>
                          <w:bottom w:val="single" w:sz="4" w:space="0" w:color="000000"/>
                          <w:right w:val="nil" w:sz="6" w:space="0" w:color="auto"/>
                        </w:tcBorders>
                      </w:tcPr>
                      <w:p>
                        <w:pPr>
                          <w:pStyle w:val="TableParagraph"/>
                          <w:tabs>
                            <w:tab w:pos="1667" w:val="left" w:leader="none"/>
                          </w:tabs>
                          <w:spacing w:line="232" w:lineRule="exact"/>
                          <w:ind w:right="105"/>
                          <w:jc w:val="right"/>
                          <w:rPr>
                            <w:rFonts w:ascii="宋体" w:hAnsi="宋体" w:cs="宋体" w:eastAsia="宋体" w:hint="default"/>
                            <w:sz w:val="18"/>
                            <w:szCs w:val="18"/>
                          </w:rPr>
                        </w:pPr>
                        <w:r>
                          <w:rPr>
                            <w:rFonts w:ascii="宋体"/>
                            <w:sz w:val="18"/>
                          </w:rPr>
                          <w:t>221,580,817.06</w:t>
                          <w:tab/>
                          <w:t>469,701,676.38</w:t>
                        </w:r>
                      </w:p>
                    </w:tc>
                    <w:tc>
                      <w:tcPr>
                        <w:tcW w:w="1661"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393,597,966.42</w:t>
                        </w:r>
                      </w:p>
                    </w:tc>
                  </w:tr>
                  <w:tr>
                    <w:trPr>
                      <w:trHeight w:val="303" w:hRule="exact"/>
                    </w:trPr>
                    <w:tc>
                      <w:tcPr>
                        <w:tcW w:w="3728" w:type="dxa"/>
                        <w:tcBorders>
                          <w:top w:val="single" w:sz="4" w:space="0" w:color="000000"/>
                          <w:left w:val="nil" w:sz="6" w:space="0" w:color="auto"/>
                          <w:bottom w:val="single" w:sz="12" w:space="0" w:color="000000"/>
                          <w:right w:val="nil" w:sz="6" w:space="0" w:color="auto"/>
                        </w:tcBorders>
                      </w:tcPr>
                      <w:p>
                        <w:pPr>
                          <w:pStyle w:val="TableParagraph"/>
                          <w:tabs>
                            <w:tab w:pos="2080"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7,250,465,969.85</w:t>
                        </w:r>
                        <w:r>
                          <w:rPr>
                            <w:rFonts w:ascii="宋体" w:hAnsi="宋体" w:cs="宋体" w:eastAsia="宋体" w:hint="default"/>
                            <w:sz w:val="18"/>
                            <w:szCs w:val="18"/>
                          </w:rPr>
                        </w:r>
                      </w:p>
                    </w:tc>
                    <w:tc>
                      <w:tcPr>
                        <w:tcW w:w="3249" w:type="dxa"/>
                        <w:tcBorders>
                          <w:top w:val="single" w:sz="4" w:space="0" w:color="000000"/>
                          <w:left w:val="nil" w:sz="6" w:space="0" w:color="auto"/>
                          <w:bottom w:val="single" w:sz="12" w:space="0" w:color="000000"/>
                          <w:right w:val="nil" w:sz="6" w:space="0" w:color="auto"/>
                        </w:tcBorders>
                      </w:tcPr>
                      <w:p>
                        <w:pPr>
                          <w:pStyle w:val="TableParagraph"/>
                          <w:tabs>
                            <w:tab w:pos="1667" w:val="left" w:leader="none"/>
                          </w:tabs>
                          <w:spacing w:line="226" w:lineRule="exact"/>
                          <w:ind w:right="105"/>
                          <w:jc w:val="right"/>
                          <w:rPr>
                            <w:rFonts w:ascii="宋体" w:hAnsi="宋体" w:cs="宋体" w:eastAsia="宋体" w:hint="default"/>
                            <w:sz w:val="18"/>
                            <w:szCs w:val="18"/>
                          </w:rPr>
                        </w:pPr>
                        <w:r>
                          <w:rPr>
                            <w:rFonts w:ascii="宋体"/>
                            <w:b/>
                            <w:w w:val="95"/>
                            <w:sz w:val="18"/>
                          </w:rPr>
                          <w:t>6,850,133,035.56</w:t>
                          <w:tab/>
                          <w:t>6,785,309,532.96</w:t>
                        </w:r>
                        <w:r>
                          <w:rPr>
                            <w:rFonts w:ascii="宋体"/>
                            <w:sz w:val="18"/>
                          </w:rPr>
                        </w:r>
                      </w:p>
                    </w:tc>
                    <w:tc>
                      <w:tcPr>
                        <w:tcW w:w="166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6,217,577,623.10</w:t>
                        </w:r>
                        <w:r>
                          <w:rPr>
                            <w:rFonts w:ascii="宋体"/>
                            <w:sz w:val="18"/>
                          </w:rPr>
                        </w:r>
                      </w:p>
                    </w:tc>
                  </w:tr>
                  <w:tr>
                    <w:trPr>
                      <w:trHeight w:val="528" w:hRule="exact"/>
                    </w:trPr>
                    <w:tc>
                      <w:tcPr>
                        <w:tcW w:w="3728" w:type="dxa"/>
                        <w:tcBorders>
                          <w:top w:val="single" w:sz="12" w:space="0" w:color="000000"/>
                          <w:left w:val="nil" w:sz="6" w:space="0" w:color="auto"/>
                          <w:bottom w:val="nil" w:sz="6" w:space="0" w:color="auto"/>
                          <w:right w:val="nil" w:sz="6" w:space="0" w:color="auto"/>
                        </w:tcBorders>
                      </w:tcPr>
                      <w:p>
                        <w:pPr>
                          <w:pStyle w:val="TableParagraph"/>
                          <w:tabs>
                            <w:tab w:pos="628" w:val="left" w:leader="none"/>
                          </w:tabs>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投资收益</w:t>
                        </w:r>
                      </w:p>
                    </w:tc>
                    <w:tc>
                      <w:tcPr>
                        <w:tcW w:w="3249" w:type="dxa"/>
                        <w:tcBorders>
                          <w:top w:val="single" w:sz="12" w:space="0" w:color="000000"/>
                          <w:left w:val="nil" w:sz="6" w:space="0" w:color="auto"/>
                          <w:bottom w:val="nil" w:sz="6" w:space="0" w:color="auto"/>
                          <w:right w:val="nil" w:sz="6" w:space="0" w:color="auto"/>
                        </w:tcBorders>
                      </w:tcPr>
                      <w:p>
                        <w:pPr/>
                      </w:p>
                    </w:tc>
                    <w:tc>
                      <w:tcPr>
                        <w:tcW w:w="1661" w:type="dxa"/>
                        <w:tcBorders>
                          <w:top w:val="single" w:sz="12" w:space="0" w:color="000000"/>
                          <w:left w:val="nil" w:sz="6" w:space="0" w:color="auto"/>
                          <w:bottom w:val="nil" w:sz="6" w:space="0" w:color="auto"/>
                          <w:right w:val="nil" w:sz="6" w:space="0" w:color="auto"/>
                        </w:tcBorders>
                      </w:tcPr>
                      <w:p>
                        <w:pPr/>
                      </w:p>
                    </w:tc>
                  </w:tr>
                  <w:tr>
                    <w:trPr>
                      <w:trHeight w:val="537" w:hRule="exact"/>
                    </w:trPr>
                    <w:tc>
                      <w:tcPr>
                        <w:tcW w:w="3728"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投资收益来源</w:t>
                        </w:r>
                      </w:p>
                    </w:tc>
                    <w:tc>
                      <w:tcPr>
                        <w:tcW w:w="3249" w:type="dxa"/>
                        <w:tcBorders>
                          <w:top w:val="nil" w:sz="6" w:space="0" w:color="auto"/>
                          <w:left w:val="nil" w:sz="6" w:space="0" w:color="auto"/>
                          <w:bottom w:val="single" w:sz="12" w:space="0" w:color="000000"/>
                          <w:right w:val="nil" w:sz="6" w:space="0" w:color="auto"/>
                        </w:tcBorders>
                      </w:tcPr>
                      <w:p>
                        <w:pPr/>
                      </w:p>
                    </w:tc>
                    <w:tc>
                      <w:tcPr>
                        <w:tcW w:w="1661" w:type="dxa"/>
                        <w:tcBorders>
                          <w:top w:val="nil" w:sz="6" w:space="0" w:color="auto"/>
                          <w:left w:val="nil" w:sz="6" w:space="0" w:color="auto"/>
                          <w:bottom w:val="single" w:sz="12" w:space="0" w:color="000000"/>
                          <w:right w:val="nil" w:sz="6" w:space="0" w:color="auto"/>
                        </w:tcBorders>
                      </w:tcPr>
                      <w:p>
                        <w:pPr/>
                      </w:p>
                    </w:tc>
                  </w:tr>
                  <w:tr>
                    <w:trPr>
                      <w:trHeight w:val="275" w:hRule="exact"/>
                    </w:trPr>
                    <w:tc>
                      <w:tcPr>
                        <w:tcW w:w="3728"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49"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74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61"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59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55" w:hRule="exact"/>
                    </w:trPr>
                    <w:tc>
                      <w:tcPr>
                        <w:tcW w:w="3728" w:type="dxa"/>
                        <w:tcBorders>
                          <w:top w:val="single" w:sz="4" w:space="0" w:color="000000"/>
                          <w:left w:val="nil" w:sz="6" w:space="0" w:color="auto"/>
                          <w:bottom w:val="nil" w:sz="6" w:space="0" w:color="auto"/>
                          <w:right w:val="nil" w:sz="6" w:space="0" w:color="auto"/>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249" w:type="dxa"/>
                        <w:tcBorders>
                          <w:top w:val="single" w:sz="4" w:space="0" w:color="000000"/>
                          <w:left w:val="nil" w:sz="6" w:space="0" w:color="auto"/>
                          <w:bottom w:val="nil" w:sz="6" w:space="0" w:color="auto"/>
                          <w:right w:val="nil" w:sz="6" w:space="0" w:color="auto"/>
                        </w:tcBorders>
                      </w:tcPr>
                      <w:p>
                        <w:pPr>
                          <w:pStyle w:val="TableParagraph"/>
                          <w:spacing w:line="213" w:lineRule="exact"/>
                          <w:ind w:left="1533" w:right="0"/>
                          <w:jc w:val="left"/>
                          <w:rPr>
                            <w:rFonts w:ascii="宋体" w:hAnsi="宋体" w:cs="宋体" w:eastAsia="宋体" w:hint="default"/>
                            <w:sz w:val="18"/>
                            <w:szCs w:val="18"/>
                          </w:rPr>
                        </w:pPr>
                        <w:r>
                          <w:rPr>
                            <w:rFonts w:ascii="宋体"/>
                            <w:sz w:val="18"/>
                          </w:rPr>
                          <w:t>58,664,400.00</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13" w:lineRule="exact"/>
                          <w:ind w:right="98"/>
                          <w:jc w:val="right"/>
                          <w:rPr>
                            <w:rFonts w:ascii="宋体" w:hAnsi="宋体" w:cs="宋体" w:eastAsia="宋体" w:hint="default"/>
                            <w:sz w:val="18"/>
                            <w:szCs w:val="18"/>
                          </w:rPr>
                        </w:pPr>
                        <w:r>
                          <w:rPr>
                            <w:rFonts w:ascii="宋体"/>
                            <w:sz w:val="18"/>
                          </w:rPr>
                          <w:t>3,509,564.94</w:t>
                        </w:r>
                      </w:p>
                    </w:tc>
                  </w:tr>
                  <w:tr>
                    <w:trPr>
                      <w:trHeight w:val="255"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49" w:type="dxa"/>
                        <w:tcBorders>
                          <w:top w:val="nil" w:sz="6" w:space="0" w:color="auto"/>
                          <w:left w:val="nil" w:sz="6" w:space="0" w:color="auto"/>
                          <w:bottom w:val="nil" w:sz="6" w:space="0" w:color="auto"/>
                          <w:right w:val="nil" w:sz="6" w:space="0" w:color="auto"/>
                        </w:tcBorders>
                      </w:tcPr>
                      <w:p>
                        <w:pPr>
                          <w:pStyle w:val="TableParagraph"/>
                          <w:spacing w:line="217" w:lineRule="exact"/>
                          <w:ind w:left="1443" w:right="0"/>
                          <w:jc w:val="left"/>
                          <w:rPr>
                            <w:rFonts w:ascii="宋体" w:hAnsi="宋体" w:cs="宋体" w:eastAsia="宋体" w:hint="default"/>
                            <w:sz w:val="18"/>
                            <w:szCs w:val="18"/>
                          </w:rPr>
                        </w:pPr>
                        <w:r>
                          <w:rPr>
                            <w:rFonts w:ascii="宋体"/>
                            <w:sz w:val="18"/>
                          </w:rPr>
                          <w:t>154,686,512.71</w:t>
                        </w:r>
                      </w:p>
                    </w:tc>
                    <w:tc>
                      <w:tcPr>
                        <w:tcW w:w="1661" w:type="dxa"/>
                        <w:tcBorders>
                          <w:top w:val="nil" w:sz="6" w:space="0" w:color="auto"/>
                          <w:left w:val="nil" w:sz="6" w:space="0" w:color="auto"/>
                          <w:bottom w:val="nil" w:sz="6" w:space="0" w:color="auto"/>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宋体"/>
                            <w:sz w:val="18"/>
                          </w:rPr>
                          <w:t>278,491,218.03</w:t>
                        </w:r>
                      </w:p>
                    </w:tc>
                  </w:tr>
                  <w:tr>
                    <w:trPr>
                      <w:trHeight w:val="255"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49" w:type="dxa"/>
                        <w:tcBorders>
                          <w:top w:val="nil" w:sz="6" w:space="0" w:color="auto"/>
                          <w:left w:val="nil" w:sz="6" w:space="0" w:color="auto"/>
                          <w:bottom w:val="nil" w:sz="6" w:space="0" w:color="auto"/>
                          <w:right w:val="nil" w:sz="6" w:space="0" w:color="auto"/>
                        </w:tcBorders>
                      </w:tcPr>
                      <w:p>
                        <w:pPr>
                          <w:pStyle w:val="TableParagraph"/>
                          <w:spacing w:line="218" w:lineRule="exact"/>
                          <w:ind w:left="1443" w:right="0"/>
                          <w:jc w:val="left"/>
                          <w:rPr>
                            <w:rFonts w:ascii="宋体" w:hAnsi="宋体" w:cs="宋体" w:eastAsia="宋体" w:hint="default"/>
                            <w:sz w:val="18"/>
                            <w:szCs w:val="18"/>
                          </w:rPr>
                        </w:pPr>
                        <w:r>
                          <w:rPr>
                            <w:rFonts w:ascii="宋体"/>
                            <w:sz w:val="18"/>
                          </w:rPr>
                          <w:t>359,178,035.40</w:t>
                        </w:r>
                      </w:p>
                    </w:tc>
                    <w:tc>
                      <w:tcPr>
                        <w:tcW w:w="1661" w:type="dxa"/>
                        <w:tcBorders>
                          <w:top w:val="nil" w:sz="6" w:space="0" w:color="auto"/>
                          <w:left w:val="nil" w:sz="6" w:space="0" w:color="auto"/>
                          <w:bottom w:val="nil" w:sz="6" w:space="0" w:color="auto"/>
                          <w:right w:val="nil" w:sz="6" w:space="0" w:color="auto"/>
                        </w:tcBorders>
                      </w:tcPr>
                      <w:p>
                        <w:pPr>
                          <w:pStyle w:val="TableParagraph"/>
                          <w:spacing w:line="218" w:lineRule="exact"/>
                          <w:ind w:right="98"/>
                          <w:jc w:val="right"/>
                          <w:rPr>
                            <w:rFonts w:ascii="宋体" w:hAnsi="宋体" w:cs="宋体" w:eastAsia="宋体" w:hint="default"/>
                            <w:sz w:val="18"/>
                            <w:szCs w:val="18"/>
                          </w:rPr>
                        </w:pPr>
                        <w:r>
                          <w:rPr>
                            <w:rFonts w:ascii="宋体"/>
                            <w:sz w:val="18"/>
                          </w:rPr>
                          <w:t>-9,700,000.00</w:t>
                        </w:r>
                      </w:p>
                    </w:tc>
                  </w:tr>
                  <w:tr>
                    <w:trPr>
                      <w:trHeight w:val="255"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3249" w:type="dxa"/>
                        <w:tcBorders>
                          <w:top w:val="nil" w:sz="6" w:space="0" w:color="auto"/>
                          <w:left w:val="nil" w:sz="6" w:space="0" w:color="auto"/>
                          <w:bottom w:val="nil" w:sz="6" w:space="0" w:color="auto"/>
                          <w:right w:val="nil" w:sz="6" w:space="0" w:color="auto"/>
                        </w:tcBorders>
                      </w:tcPr>
                      <w:p>
                        <w:pPr>
                          <w:pStyle w:val="TableParagraph"/>
                          <w:spacing w:line="217" w:lineRule="exact"/>
                          <w:ind w:left="1803" w:right="0"/>
                          <w:jc w:val="left"/>
                          <w:rPr>
                            <w:rFonts w:ascii="宋体" w:hAnsi="宋体" w:cs="宋体" w:eastAsia="宋体" w:hint="default"/>
                            <w:sz w:val="18"/>
                            <w:szCs w:val="18"/>
                          </w:rPr>
                        </w:pPr>
                        <w:r>
                          <w:rPr>
                            <w:rFonts w:ascii="宋体"/>
                            <w:sz w:val="18"/>
                          </w:rPr>
                          <w:t>102,926.34</w:t>
                        </w:r>
                      </w:p>
                    </w:tc>
                    <w:tc>
                      <w:tcPr>
                        <w:tcW w:w="1661" w:type="dxa"/>
                        <w:tcBorders>
                          <w:top w:val="nil" w:sz="6" w:space="0" w:color="auto"/>
                          <w:left w:val="nil" w:sz="6" w:space="0" w:color="auto"/>
                          <w:bottom w:val="nil" w:sz="6" w:space="0" w:color="auto"/>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宋体"/>
                            <w:sz w:val="18"/>
                          </w:rPr>
                          <w:t>0.00</w:t>
                        </w:r>
                      </w:p>
                    </w:tc>
                  </w:tr>
                  <w:tr>
                    <w:trPr>
                      <w:trHeight w:val="255"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49" w:type="dxa"/>
                        <w:tcBorders>
                          <w:top w:val="nil" w:sz="6" w:space="0" w:color="auto"/>
                          <w:left w:val="nil" w:sz="6" w:space="0" w:color="auto"/>
                          <w:bottom w:val="nil" w:sz="6" w:space="0" w:color="auto"/>
                          <w:right w:val="nil" w:sz="6" w:space="0" w:color="auto"/>
                        </w:tcBorders>
                      </w:tcPr>
                      <w:p>
                        <w:pPr>
                          <w:pStyle w:val="TableParagraph"/>
                          <w:spacing w:line="218" w:lineRule="exact"/>
                          <w:ind w:left="1533" w:right="0"/>
                          <w:jc w:val="left"/>
                          <w:rPr>
                            <w:rFonts w:ascii="宋体" w:hAnsi="宋体" w:cs="宋体" w:eastAsia="宋体" w:hint="default"/>
                            <w:sz w:val="18"/>
                            <w:szCs w:val="18"/>
                          </w:rPr>
                        </w:pPr>
                        <w:r>
                          <w:rPr>
                            <w:rFonts w:ascii="宋体"/>
                            <w:sz w:val="18"/>
                          </w:rPr>
                          <w:t>-1,328,469.23</w:t>
                        </w:r>
                      </w:p>
                    </w:tc>
                    <w:tc>
                      <w:tcPr>
                        <w:tcW w:w="1661" w:type="dxa"/>
                        <w:tcBorders>
                          <w:top w:val="nil" w:sz="6" w:space="0" w:color="auto"/>
                          <w:left w:val="nil" w:sz="6" w:space="0" w:color="auto"/>
                          <w:bottom w:val="nil" w:sz="6" w:space="0" w:color="auto"/>
                          <w:right w:val="nil" w:sz="6" w:space="0" w:color="auto"/>
                        </w:tcBorders>
                      </w:tcPr>
                      <w:p>
                        <w:pPr>
                          <w:pStyle w:val="TableParagraph"/>
                          <w:spacing w:line="218" w:lineRule="exact"/>
                          <w:ind w:right="98"/>
                          <w:jc w:val="right"/>
                          <w:rPr>
                            <w:rFonts w:ascii="宋体" w:hAnsi="宋体" w:cs="宋体" w:eastAsia="宋体" w:hint="default"/>
                            <w:sz w:val="18"/>
                            <w:szCs w:val="18"/>
                          </w:rPr>
                        </w:pPr>
                        <w:r>
                          <w:rPr>
                            <w:rFonts w:ascii="宋体"/>
                            <w:sz w:val="18"/>
                          </w:rPr>
                          <w:t>2,649,609.78</w:t>
                        </w:r>
                      </w:p>
                    </w:tc>
                  </w:tr>
                  <w:tr>
                    <w:trPr>
                      <w:trHeight w:val="255"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49" w:type="dxa"/>
                        <w:tcBorders>
                          <w:top w:val="nil" w:sz="6" w:space="0" w:color="auto"/>
                          <w:left w:val="nil" w:sz="6" w:space="0" w:color="auto"/>
                          <w:bottom w:val="nil" w:sz="6" w:space="0" w:color="auto"/>
                          <w:right w:val="nil" w:sz="6" w:space="0" w:color="auto"/>
                        </w:tcBorders>
                      </w:tcPr>
                      <w:p>
                        <w:pPr>
                          <w:pStyle w:val="TableParagraph"/>
                          <w:spacing w:line="217" w:lineRule="exact"/>
                          <w:ind w:right="542"/>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宋体"/>
                            <w:sz w:val="18"/>
                          </w:rPr>
                          <w:t>0.00</w:t>
                        </w:r>
                      </w:p>
                    </w:tc>
                  </w:tr>
                  <w:tr>
                    <w:trPr>
                      <w:trHeight w:val="265" w:hRule="exact"/>
                    </w:trPr>
                    <w:tc>
                      <w:tcPr>
                        <w:tcW w:w="3728" w:type="dxa"/>
                        <w:tcBorders>
                          <w:top w:val="nil" w:sz="6" w:space="0" w:color="auto"/>
                          <w:left w:val="nil" w:sz="6" w:space="0" w:color="auto"/>
                          <w:bottom w:val="single" w:sz="4" w:space="0" w:color="000000"/>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3249" w:type="dxa"/>
                        <w:tcBorders>
                          <w:top w:val="nil" w:sz="6" w:space="0" w:color="auto"/>
                          <w:left w:val="nil" w:sz="6" w:space="0" w:color="auto"/>
                          <w:bottom w:val="single" w:sz="4" w:space="0" w:color="000000"/>
                          <w:right w:val="nil" w:sz="6" w:space="0" w:color="auto"/>
                        </w:tcBorders>
                      </w:tcPr>
                      <w:p>
                        <w:pPr>
                          <w:pStyle w:val="TableParagraph"/>
                          <w:spacing w:line="218" w:lineRule="exact"/>
                          <w:ind w:left="1623" w:right="0"/>
                          <w:jc w:val="left"/>
                          <w:rPr>
                            <w:rFonts w:ascii="宋体" w:hAnsi="宋体" w:cs="宋体" w:eastAsia="宋体" w:hint="default"/>
                            <w:sz w:val="18"/>
                            <w:szCs w:val="18"/>
                          </w:rPr>
                        </w:pPr>
                        <w:r>
                          <w:rPr>
                            <w:rFonts w:ascii="宋体"/>
                            <w:sz w:val="18"/>
                          </w:rPr>
                          <w:t>6,692,598.00</w:t>
                        </w:r>
                      </w:p>
                    </w:tc>
                    <w:tc>
                      <w:tcPr>
                        <w:tcW w:w="1661" w:type="dxa"/>
                        <w:tcBorders>
                          <w:top w:val="nil" w:sz="6" w:space="0" w:color="auto"/>
                          <w:left w:val="nil" w:sz="6" w:space="0" w:color="auto"/>
                          <w:bottom w:val="single" w:sz="4" w:space="0" w:color="000000"/>
                          <w:right w:val="nil" w:sz="6" w:space="0" w:color="auto"/>
                        </w:tcBorders>
                      </w:tcPr>
                      <w:p>
                        <w:pPr>
                          <w:pStyle w:val="TableParagraph"/>
                          <w:spacing w:line="218" w:lineRule="exact"/>
                          <w:ind w:right="98"/>
                          <w:jc w:val="right"/>
                          <w:rPr>
                            <w:rFonts w:ascii="宋体" w:hAnsi="宋体" w:cs="宋体" w:eastAsia="宋体" w:hint="default"/>
                            <w:sz w:val="18"/>
                            <w:szCs w:val="18"/>
                          </w:rPr>
                        </w:pPr>
                        <w:r>
                          <w:rPr>
                            <w:rFonts w:ascii="宋体"/>
                            <w:sz w:val="18"/>
                          </w:rPr>
                          <w:t>9,062,658.00</w:t>
                        </w:r>
                      </w:p>
                    </w:tc>
                  </w:tr>
                  <w:tr>
                    <w:trPr>
                      <w:trHeight w:val="275" w:hRule="exact"/>
                    </w:trPr>
                    <w:tc>
                      <w:tcPr>
                        <w:tcW w:w="3728"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49"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1433" w:right="0"/>
                          <w:jc w:val="left"/>
                          <w:rPr>
                            <w:rFonts w:ascii="宋体" w:hAnsi="宋体" w:cs="宋体" w:eastAsia="宋体" w:hint="default"/>
                            <w:sz w:val="18"/>
                            <w:szCs w:val="18"/>
                          </w:rPr>
                        </w:pPr>
                        <w:r>
                          <w:rPr>
                            <w:rFonts w:ascii="宋体"/>
                            <w:b/>
                            <w:sz w:val="18"/>
                          </w:rPr>
                          <w:t>577,996,003.22</w:t>
                        </w:r>
                        <w:r>
                          <w:rPr>
                            <w:rFonts w:ascii="宋体"/>
                            <w:sz w:val="18"/>
                          </w:rPr>
                        </w:r>
                      </w:p>
                    </w:tc>
                    <w:tc>
                      <w:tcPr>
                        <w:tcW w:w="1661" w:type="dxa"/>
                        <w:tcBorders>
                          <w:top w:val="single" w:sz="4" w:space="0" w:color="000000"/>
                          <w:left w:val="nil" w:sz="6" w:space="0" w:color="auto"/>
                          <w:bottom w:val="single" w:sz="12" w:space="0" w:color="000000"/>
                          <w:right w:val="nil" w:sz="6" w:space="0" w:color="auto"/>
                        </w:tcBorders>
                      </w:tcPr>
                      <w:p>
                        <w:pPr>
                          <w:pStyle w:val="TableParagraph"/>
                          <w:spacing w:line="212" w:lineRule="exact"/>
                          <w:ind w:right="100"/>
                          <w:jc w:val="right"/>
                          <w:rPr>
                            <w:rFonts w:ascii="宋体" w:hAnsi="宋体" w:cs="宋体" w:eastAsia="宋体" w:hint="default"/>
                            <w:sz w:val="18"/>
                            <w:szCs w:val="18"/>
                          </w:rPr>
                        </w:pPr>
                        <w:r>
                          <w:rPr>
                            <w:rFonts w:ascii="宋体"/>
                            <w:b/>
                            <w:w w:val="95"/>
                            <w:sz w:val="18"/>
                          </w:rPr>
                          <w:t>284,013,050.75</w:t>
                        </w:r>
                        <w:r>
                          <w:rPr>
                            <w:rFonts w:ascii="宋体"/>
                            <w:sz w:val="18"/>
                          </w:rPr>
                        </w:r>
                      </w:p>
                    </w:tc>
                  </w:tr>
                  <w:tr>
                    <w:trPr>
                      <w:trHeight w:val="576" w:hRule="exact"/>
                    </w:trPr>
                    <w:tc>
                      <w:tcPr>
                        <w:tcW w:w="37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成本法核算的长期股权投资收益</w:t>
                        </w:r>
                      </w:p>
                    </w:tc>
                    <w:tc>
                      <w:tcPr>
                        <w:tcW w:w="3249" w:type="dxa"/>
                        <w:tcBorders>
                          <w:top w:val="single" w:sz="12" w:space="0" w:color="000000"/>
                          <w:left w:val="nil" w:sz="6" w:space="0" w:color="auto"/>
                          <w:bottom w:val="single" w:sz="12" w:space="0" w:color="000000"/>
                          <w:right w:val="nil" w:sz="6" w:space="0" w:color="auto"/>
                        </w:tcBorders>
                      </w:tcPr>
                      <w:p>
                        <w:pPr/>
                      </w:p>
                    </w:tc>
                    <w:tc>
                      <w:tcPr>
                        <w:tcW w:w="1661" w:type="dxa"/>
                        <w:tcBorders>
                          <w:top w:val="single" w:sz="12" w:space="0" w:color="000000"/>
                          <w:left w:val="nil" w:sz="6" w:space="0" w:color="auto"/>
                          <w:bottom w:val="single" w:sz="12" w:space="0" w:color="000000"/>
                          <w:right w:val="nil" w:sz="6" w:space="0" w:color="auto"/>
                        </w:tcBorders>
                      </w:tcPr>
                      <w:p>
                        <w:pPr/>
                      </w:p>
                    </w:tc>
                  </w:tr>
                  <w:tr>
                    <w:trPr>
                      <w:trHeight w:val="309" w:hRule="exact"/>
                    </w:trPr>
                    <w:tc>
                      <w:tcPr>
                        <w:tcW w:w="3728"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49"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93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61"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63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9" w:hRule="exact"/>
                    </w:trPr>
                    <w:tc>
                      <w:tcPr>
                        <w:tcW w:w="3728" w:type="dxa"/>
                        <w:tcBorders>
                          <w:top w:val="single" w:sz="8"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249" w:type="dxa"/>
                        <w:tcBorders>
                          <w:top w:val="single" w:sz="8" w:space="0" w:color="000000"/>
                          <w:left w:val="nil" w:sz="6" w:space="0" w:color="auto"/>
                          <w:bottom w:val="nil" w:sz="6" w:space="0" w:color="auto"/>
                          <w:right w:val="nil" w:sz="6" w:space="0" w:color="auto"/>
                        </w:tcBorders>
                      </w:tcPr>
                      <w:p>
                        <w:pPr>
                          <w:pStyle w:val="TableParagraph"/>
                          <w:spacing w:line="227" w:lineRule="exact"/>
                          <w:ind w:left="1781" w:right="0"/>
                          <w:jc w:val="left"/>
                          <w:rPr>
                            <w:rFonts w:ascii="宋体" w:hAnsi="宋体" w:cs="宋体" w:eastAsia="宋体" w:hint="default"/>
                            <w:sz w:val="18"/>
                            <w:szCs w:val="18"/>
                          </w:rPr>
                        </w:pPr>
                        <w:r>
                          <w:rPr>
                            <w:rFonts w:ascii="宋体"/>
                            <w:sz w:val="18"/>
                          </w:rPr>
                          <w:t>8,590,000.00</w:t>
                        </w:r>
                      </w:p>
                    </w:tc>
                    <w:tc>
                      <w:tcPr>
                        <w:tcW w:w="1661" w:type="dxa"/>
                        <w:tcBorders>
                          <w:top w:val="single" w:sz="8" w:space="0" w:color="000000"/>
                          <w:left w:val="nil" w:sz="6" w:space="0" w:color="auto"/>
                          <w:bottom w:val="nil" w:sz="6" w:space="0" w:color="auto"/>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sz w:val="18"/>
                          </w:rPr>
                          <w:t>3,441,181.26</w:t>
                        </w:r>
                      </w:p>
                    </w:tc>
                  </w:tr>
                  <w:tr>
                    <w:trPr>
                      <w:trHeight w:val="284"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3249" w:type="dxa"/>
                        <w:tcBorders>
                          <w:top w:val="nil" w:sz="6" w:space="0" w:color="auto"/>
                          <w:left w:val="nil" w:sz="6" w:space="0" w:color="auto"/>
                          <w:bottom w:val="nil" w:sz="6" w:space="0" w:color="auto"/>
                          <w:right w:val="nil" w:sz="6" w:space="0" w:color="auto"/>
                        </w:tcBorders>
                      </w:tcPr>
                      <w:p>
                        <w:pPr>
                          <w:pStyle w:val="TableParagraph"/>
                          <w:spacing w:line="232" w:lineRule="exact"/>
                          <w:ind w:left="1691" w:right="0"/>
                          <w:jc w:val="left"/>
                          <w:rPr>
                            <w:rFonts w:ascii="宋体" w:hAnsi="宋体" w:cs="宋体" w:eastAsia="宋体" w:hint="default"/>
                            <w:sz w:val="18"/>
                            <w:szCs w:val="18"/>
                          </w:rPr>
                        </w:pPr>
                        <w:r>
                          <w:rPr>
                            <w:rFonts w:ascii="宋体"/>
                            <w:sz w:val="18"/>
                          </w:rPr>
                          <w:t>21,574,400.00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0.00</w:t>
                        </w:r>
                      </w:p>
                    </w:tc>
                  </w:tr>
                  <w:tr>
                    <w:trPr>
                      <w:trHeight w:val="284"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3249" w:type="dxa"/>
                        <w:tcBorders>
                          <w:top w:val="nil" w:sz="6" w:space="0" w:color="auto"/>
                          <w:left w:val="nil" w:sz="6" w:space="0" w:color="auto"/>
                          <w:bottom w:val="nil" w:sz="6" w:space="0" w:color="auto"/>
                          <w:right w:val="nil" w:sz="6" w:space="0" w:color="auto"/>
                        </w:tcBorders>
                      </w:tcPr>
                      <w:p>
                        <w:pPr>
                          <w:pStyle w:val="TableParagraph"/>
                          <w:spacing w:line="232" w:lineRule="exact"/>
                          <w:ind w:left="1691" w:right="0"/>
                          <w:jc w:val="left"/>
                          <w:rPr>
                            <w:rFonts w:ascii="宋体" w:hAnsi="宋体" w:cs="宋体" w:eastAsia="宋体" w:hint="default"/>
                            <w:sz w:val="18"/>
                            <w:szCs w:val="18"/>
                          </w:rPr>
                        </w:pPr>
                        <w:r>
                          <w:rPr>
                            <w:rFonts w:ascii="宋体"/>
                            <w:sz w:val="18"/>
                          </w:rPr>
                          <w:t>28,500,000.00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0.00</w:t>
                        </w:r>
                      </w:p>
                    </w:tc>
                  </w:tr>
                  <w:tr>
                    <w:trPr>
                      <w:trHeight w:val="298" w:hRule="exact"/>
                    </w:trPr>
                    <w:tc>
                      <w:tcPr>
                        <w:tcW w:w="3728" w:type="dxa"/>
                        <w:tcBorders>
                          <w:top w:val="nil" w:sz="6" w:space="0" w:color="auto"/>
                          <w:left w:val="nil" w:sz="6" w:space="0" w:color="auto"/>
                          <w:bottom w:val="single" w:sz="8"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北京首开亿信置地有限公司</w:t>
                        </w:r>
                      </w:p>
                    </w:tc>
                    <w:tc>
                      <w:tcPr>
                        <w:tcW w:w="3249" w:type="dxa"/>
                        <w:tcBorders>
                          <w:top w:val="nil" w:sz="6" w:space="0" w:color="auto"/>
                          <w:left w:val="nil" w:sz="6" w:space="0" w:color="auto"/>
                          <w:bottom w:val="single" w:sz="8" w:space="0" w:color="000000"/>
                          <w:right w:val="nil" w:sz="6" w:space="0" w:color="auto"/>
                        </w:tcBorders>
                      </w:tcPr>
                      <w:p>
                        <w:pPr>
                          <w:pStyle w:val="TableParagraph"/>
                          <w:spacing w:line="232" w:lineRule="exact"/>
                          <w:ind w:right="385"/>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single" w:sz="8" w:space="0" w:color="000000"/>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68,383.68</w:t>
                        </w:r>
                      </w:p>
                    </w:tc>
                  </w:tr>
                  <w:tr>
                    <w:trPr>
                      <w:trHeight w:val="310" w:hRule="exact"/>
                    </w:trPr>
                    <w:tc>
                      <w:tcPr>
                        <w:tcW w:w="3728" w:type="dxa"/>
                        <w:tcBorders>
                          <w:top w:val="single" w:sz="8"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49" w:type="dxa"/>
                        <w:tcBorders>
                          <w:top w:val="single" w:sz="8" w:space="0" w:color="000000"/>
                          <w:left w:val="nil" w:sz="6" w:space="0" w:color="auto"/>
                          <w:bottom w:val="single" w:sz="12" w:space="0" w:color="000000"/>
                          <w:right w:val="nil" w:sz="6" w:space="0" w:color="auto"/>
                        </w:tcBorders>
                      </w:tcPr>
                      <w:p>
                        <w:pPr>
                          <w:pStyle w:val="TableParagraph"/>
                          <w:spacing w:line="227" w:lineRule="exact"/>
                          <w:ind w:left="1681" w:right="0"/>
                          <w:jc w:val="left"/>
                          <w:rPr>
                            <w:rFonts w:ascii="宋体" w:hAnsi="宋体" w:cs="宋体" w:eastAsia="宋体" w:hint="default"/>
                            <w:sz w:val="18"/>
                            <w:szCs w:val="18"/>
                          </w:rPr>
                        </w:pPr>
                        <w:r>
                          <w:rPr>
                            <w:rFonts w:ascii="宋体"/>
                            <w:b/>
                            <w:sz w:val="18"/>
                          </w:rPr>
                          <w:t>58,664,400.00</w:t>
                        </w:r>
                        <w:r>
                          <w:rPr>
                            <w:rFonts w:ascii="宋体"/>
                            <w:sz w:val="18"/>
                          </w:rPr>
                        </w:r>
                      </w:p>
                    </w:tc>
                    <w:tc>
                      <w:tcPr>
                        <w:tcW w:w="1661"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96"/>
                          <w:jc w:val="right"/>
                          <w:rPr>
                            <w:rFonts w:ascii="宋体" w:hAnsi="宋体" w:cs="宋体" w:eastAsia="宋体" w:hint="default"/>
                            <w:sz w:val="18"/>
                            <w:szCs w:val="18"/>
                          </w:rPr>
                        </w:pPr>
                        <w:r>
                          <w:rPr>
                            <w:rFonts w:ascii="宋体"/>
                            <w:b/>
                            <w:w w:val="95"/>
                            <w:sz w:val="18"/>
                          </w:rPr>
                          <w:t>3,509,564.94</w:t>
                        </w:r>
                        <w:r>
                          <w:rPr>
                            <w:rFonts w:ascii="宋体"/>
                            <w:sz w:val="18"/>
                          </w:rPr>
                        </w:r>
                      </w:p>
                    </w:tc>
                  </w:tr>
                  <w:tr>
                    <w:trPr>
                      <w:trHeight w:val="576" w:hRule="exact"/>
                    </w:trPr>
                    <w:tc>
                      <w:tcPr>
                        <w:tcW w:w="37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权益法核算的长期股权投资收益</w:t>
                        </w:r>
                      </w:p>
                    </w:tc>
                    <w:tc>
                      <w:tcPr>
                        <w:tcW w:w="3249" w:type="dxa"/>
                        <w:tcBorders>
                          <w:top w:val="single" w:sz="12" w:space="0" w:color="000000"/>
                          <w:left w:val="nil" w:sz="6" w:space="0" w:color="auto"/>
                          <w:bottom w:val="single" w:sz="12" w:space="0" w:color="000000"/>
                          <w:right w:val="nil" w:sz="6" w:space="0" w:color="auto"/>
                        </w:tcBorders>
                      </w:tcPr>
                      <w:p>
                        <w:pPr/>
                      </w:p>
                    </w:tc>
                    <w:tc>
                      <w:tcPr>
                        <w:tcW w:w="166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72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4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16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6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3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4" w:hRule="exact"/>
                    </w:trPr>
                    <w:tc>
                      <w:tcPr>
                        <w:tcW w:w="3728" w:type="dxa"/>
                        <w:tcBorders>
                          <w:top w:val="single" w:sz="4"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249" w:type="dxa"/>
                        <w:tcBorders>
                          <w:top w:val="single" w:sz="4" w:space="0" w:color="000000"/>
                          <w:left w:val="nil" w:sz="6" w:space="0" w:color="auto"/>
                          <w:bottom w:val="nil" w:sz="6" w:space="0" w:color="auto"/>
                          <w:right w:val="nil" w:sz="6" w:space="0" w:color="auto"/>
                        </w:tcBorders>
                      </w:tcPr>
                      <w:p>
                        <w:pPr>
                          <w:pStyle w:val="TableParagraph"/>
                          <w:spacing w:line="227" w:lineRule="exact"/>
                          <w:ind w:right="158"/>
                          <w:jc w:val="right"/>
                          <w:rPr>
                            <w:rFonts w:ascii="宋体" w:hAnsi="宋体" w:cs="宋体" w:eastAsia="宋体" w:hint="default"/>
                            <w:sz w:val="18"/>
                            <w:szCs w:val="18"/>
                          </w:rPr>
                        </w:pPr>
                        <w:r>
                          <w:rPr>
                            <w:rFonts w:ascii="宋体"/>
                            <w:sz w:val="18"/>
                          </w:rPr>
                          <w:t>-16,196.89</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sz w:val="18"/>
                          </w:rPr>
                          <w:t>-73,121.57</w:t>
                        </w:r>
                      </w:p>
                    </w:tc>
                  </w:tr>
                  <w:tr>
                    <w:trPr>
                      <w:trHeight w:val="284"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3249"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-22,598.47</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-11,831.35</w:t>
                        </w:r>
                      </w:p>
                    </w:tc>
                  </w:tr>
                  <w:tr>
                    <w:trPr>
                      <w:trHeight w:val="284" w:hRule="exact"/>
                    </w:trPr>
                    <w:tc>
                      <w:tcPr>
                        <w:tcW w:w="372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3249"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7,906,268.73</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6,453,812.20</w:t>
                        </w:r>
                      </w:p>
                    </w:tc>
                  </w:tr>
                  <w:tr>
                    <w:trPr>
                      <w:trHeight w:val="303" w:hRule="exact"/>
                    </w:trPr>
                    <w:tc>
                      <w:tcPr>
                        <w:tcW w:w="3728" w:type="dxa"/>
                        <w:tcBorders>
                          <w:top w:val="nil" w:sz="6" w:space="0" w:color="auto"/>
                          <w:left w:val="nil" w:sz="6" w:space="0" w:color="auto"/>
                          <w:bottom w:val="single" w:sz="12"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3249" w:type="dxa"/>
                        <w:tcBorders>
                          <w:top w:val="nil" w:sz="6" w:space="0" w:color="auto"/>
                          <w:left w:val="nil" w:sz="6" w:space="0" w:color="auto"/>
                          <w:bottom w:val="single" w:sz="12" w:space="0" w:color="000000"/>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2,077,567.49</w:t>
                        </w:r>
                      </w:p>
                    </w:tc>
                    <w:tc>
                      <w:tcPr>
                        <w:tcW w:w="1661" w:type="dxa"/>
                        <w:tcBorders>
                          <w:top w:val="nil" w:sz="6" w:space="0" w:color="auto"/>
                          <w:left w:val="nil" w:sz="6" w:space="0" w:color="auto"/>
                          <w:bottom w:val="single" w:sz="12" w:space="0" w:color="000000"/>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4,053,225.84</w:t>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after="0" w:line="184" w:lineRule="exact"/>
        <w:jc w:val="lef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tbl>
      <w:tblPr>
        <w:tblW w:w="0" w:type="auto"/>
        <w:jc w:val="left"/>
        <w:tblInd w:w="415" w:type="dxa"/>
        <w:tblLayout w:type="fixed"/>
        <w:tblCellMar>
          <w:top w:w="0" w:type="dxa"/>
          <w:left w:w="0" w:type="dxa"/>
          <w:bottom w:w="0" w:type="dxa"/>
          <w:right w:w="0" w:type="dxa"/>
        </w:tblCellMar>
        <w:tblLook w:val="01E0"/>
      </w:tblPr>
      <w:tblGrid>
        <w:gridCol w:w="4357"/>
        <w:gridCol w:w="2685"/>
        <w:gridCol w:w="1597"/>
      </w:tblGrid>
      <w:tr>
        <w:trPr>
          <w:trHeight w:val="303" w:hRule="exact"/>
        </w:trPr>
        <w:tc>
          <w:tcPr>
            <w:tcW w:w="435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8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53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9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57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4" w:hRule="exact"/>
        </w:trPr>
        <w:tc>
          <w:tcPr>
            <w:tcW w:w="435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2685" w:type="dxa"/>
            <w:tcBorders>
              <w:top w:val="single" w:sz="4" w:space="0" w:color="000000"/>
              <w:left w:val="nil" w:sz="6" w:space="0" w:color="auto"/>
              <w:bottom w:val="nil" w:sz="6" w:space="0" w:color="auto"/>
              <w:right w:val="nil" w:sz="6" w:space="0" w:color="auto"/>
            </w:tcBorders>
          </w:tcPr>
          <w:p>
            <w:pPr>
              <w:pStyle w:val="TableParagraph"/>
              <w:spacing w:line="227" w:lineRule="exact"/>
              <w:ind w:right="223"/>
              <w:jc w:val="right"/>
              <w:rPr>
                <w:rFonts w:ascii="宋体" w:hAnsi="宋体" w:cs="宋体" w:eastAsia="宋体" w:hint="default"/>
                <w:sz w:val="18"/>
                <w:szCs w:val="18"/>
              </w:rPr>
            </w:pPr>
            <w:r>
              <w:rPr>
                <w:rFonts w:ascii="宋体"/>
                <w:sz w:val="18"/>
              </w:rPr>
              <w:t>3,842,435.53</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1,568,717.41</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29,674,153.83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33,402,636.49</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5,428,700.45</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6,432,714.97</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46,391,990.62</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113,418,425.64</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-8,684,512.33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-2,548,173.26</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8,863,035.53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-3,845,343.48</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-3,734,395.96</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上海百视通电视传媒有限公司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882,931.41</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1,028,616.49</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65,725,129.81</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118,708,094.58</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-389,935.14</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-164,457.69</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-2,287,069.13</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-43,045.76</w:t>
            </w:r>
          </w:p>
        </w:tc>
      </w:tr>
      <w:tr>
        <w:trPr>
          <w:trHeight w:val="28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685"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-738,330.36</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4357"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2685" w:type="dxa"/>
            <w:tcBorders>
              <w:top w:val="nil" w:sz="6" w:space="0" w:color="auto"/>
              <w:left w:val="nil" w:sz="6" w:space="0" w:color="auto"/>
              <w:bottom w:val="single" w:sz="4" w:space="0" w:color="000000"/>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z w:val="18"/>
              </w:rPr>
              <w:t>-121,714.89</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435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24"/>
              <w:jc w:val="right"/>
              <w:rPr>
                <w:rFonts w:ascii="宋体" w:hAnsi="宋体" w:cs="宋体" w:eastAsia="宋体" w:hint="default"/>
                <w:sz w:val="18"/>
                <w:szCs w:val="18"/>
              </w:rPr>
            </w:pPr>
            <w:r>
              <w:rPr>
                <w:rFonts w:ascii="宋体"/>
                <w:b/>
                <w:w w:val="95"/>
                <w:sz w:val="18"/>
              </w:rPr>
              <w:t>154,686,512.71</w:t>
            </w:r>
            <w:r>
              <w:rPr>
                <w:rFonts w:ascii="宋体"/>
                <w:sz w:val="18"/>
              </w:rPr>
            </w:r>
          </w:p>
        </w:tc>
        <w:tc>
          <w:tcPr>
            <w:tcW w:w="159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0"/>
              <w:jc w:val="right"/>
              <w:rPr>
                <w:rFonts w:ascii="宋体" w:hAnsi="宋体" w:cs="宋体" w:eastAsia="宋体" w:hint="default"/>
                <w:sz w:val="18"/>
                <w:szCs w:val="18"/>
              </w:rPr>
            </w:pPr>
            <w:r>
              <w:rPr>
                <w:rFonts w:ascii="宋体"/>
                <w:b/>
                <w:w w:val="95"/>
                <w:sz w:val="18"/>
              </w:rPr>
              <w:t>278,491,218.03</w:t>
            </w:r>
            <w:r>
              <w:rPr>
                <w:rFonts w:ascii="宋体"/>
                <w:sz w:val="18"/>
              </w:rPr>
            </w:r>
          </w:p>
        </w:tc>
      </w:tr>
    </w:tbl>
    <w:p>
      <w:pPr>
        <w:pStyle w:val="Heading3"/>
        <w:spacing w:line="240" w:lineRule="auto" w:before="63"/>
        <w:ind w:left="620" w:right="0"/>
        <w:jc w:val="left"/>
        <w:rPr>
          <w:b w:val="0"/>
          <w:bCs w:val="0"/>
        </w:rPr>
      </w:pPr>
      <w:bookmarkStart w:name="十六、 补充资料 " w:id="19"/>
      <w:bookmarkEnd w:id="19"/>
      <w:r>
        <w:rPr>
          <w:b w:val="0"/>
          <w:bCs w:val="0"/>
        </w:rPr>
      </w:r>
      <w:r>
        <w:rPr/>
        <w:t>十六、</w:t>
      </w:r>
      <w:r>
        <w:rPr>
          <w:spacing w:val="-68"/>
        </w:rPr>
        <w:t> </w:t>
      </w:r>
      <w:r>
        <w:rPr/>
        <w:t>补充资料</w:t>
      </w:r>
      <w:r>
        <w:rPr>
          <w:b w:val="0"/>
          <w:bCs w:val="0"/>
        </w:rPr>
      </w:r>
    </w:p>
    <w:p>
      <w:pPr>
        <w:tabs>
          <w:tab w:pos="1045" w:val="left" w:leader="none"/>
        </w:tabs>
        <w:spacing w:line="391" w:lineRule="auto" w:before="170"/>
        <w:ind w:left="578" w:right="101" w:firstLine="0"/>
        <w:jc w:val="left"/>
        <w:rPr>
          <w:rFonts w:ascii="宋体" w:hAnsi="宋体" w:cs="宋体" w:eastAsia="宋体" w:hint="default"/>
          <w:sz w:val="22"/>
          <w:szCs w:val="22"/>
        </w:rPr>
      </w:pPr>
      <w:r>
        <w:rPr>
          <w:rFonts w:ascii="宋体" w:hAnsi="宋体" w:cs="宋体" w:eastAsia="宋体" w:hint="default"/>
          <w:b/>
          <w:bCs/>
          <w:w w:val="95"/>
          <w:sz w:val="22"/>
          <w:szCs w:val="22"/>
        </w:rPr>
        <w:t>1.</w:t>
        <w:tab/>
      </w:r>
      <w:r>
        <w:rPr>
          <w:rFonts w:ascii="宋体" w:hAnsi="宋体" w:cs="宋体" w:eastAsia="宋体" w:hint="default"/>
          <w:sz w:val="22"/>
          <w:szCs w:val="22"/>
        </w:rPr>
        <w:t>非经营性损益表</w:t>
      </w:r>
      <w:r>
        <w:rPr>
          <w:rFonts w:ascii="宋体" w:hAnsi="宋体" w:cs="宋体" w:eastAsia="宋体" w:hint="default"/>
          <w:w w:val="99"/>
          <w:sz w:val="22"/>
          <w:szCs w:val="22"/>
        </w:rPr>
        <w:t> </w:t>
      </w:r>
      <w:r>
        <w:rPr>
          <w:rFonts w:ascii="宋体" w:hAnsi="宋体" w:cs="宋体" w:eastAsia="宋体" w:hint="default"/>
          <w:spacing w:val="-3"/>
          <w:w w:val="99"/>
          <w:sz w:val="22"/>
          <w:szCs w:val="22"/>
        </w:rPr>
        <w:t>按照中国证监会《公开发行证券的公司信息披露解释性公告第1号—非经常性损益（2008）》</w:t>
      </w:r>
      <w:r>
        <w:rPr>
          <w:rFonts w:ascii="宋体" w:hAnsi="宋体" w:cs="宋体" w:eastAsia="宋体" w:hint="default"/>
          <w:spacing w:val="-3"/>
          <w:sz w:val="22"/>
          <w:szCs w:val="22"/>
        </w:rPr>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的要求，本公司非经常性损益如下：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tabs>
          <w:tab w:pos="1395" w:val="left" w:leader="none"/>
        </w:tabs>
        <w:spacing w:before="44"/>
        <w:ind w:left="0" w:right="532" w:firstLine="0"/>
        <w:jc w:val="right"/>
        <w:rPr>
          <w:rFonts w:ascii="宋体" w:hAnsi="宋体" w:cs="宋体" w:eastAsia="宋体" w:hint="default"/>
          <w:sz w:val="18"/>
          <w:szCs w:val="18"/>
        </w:rPr>
      </w:pPr>
      <w:r>
        <w:rPr/>
        <w:pict>
          <v:shape style="position:absolute;margin-left:84.18pt;margin-top:-45.397976pt;width:432.75pt;height:249.95pt;mso-position-horizontal-relative:page;mso-position-vertical-relative:paragraph;z-index:7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3"/>
                    <w:gridCol w:w="1566"/>
                    <w:gridCol w:w="1486"/>
                  </w:tblGrid>
                  <w:tr>
                    <w:trPr>
                      <w:trHeight w:val="304" w:hRule="exact"/>
                    </w:trPr>
                    <w:tc>
                      <w:tcPr>
                        <w:tcW w:w="560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2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8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4" w:hRule="exact"/>
                    </w:trPr>
                    <w:tc>
                      <w:tcPr>
                        <w:tcW w:w="5603" w:type="dxa"/>
                        <w:tcBorders>
                          <w:top w:val="single" w:sz="4" w:space="0" w:color="000000"/>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313,188,008.91</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-13,048,268.82</w:t>
                        </w:r>
                      </w:p>
                    </w:tc>
                  </w:tr>
                  <w:tr>
                    <w:trPr>
                      <w:trHeight w:val="232"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55,558,828.29</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98,729,365.25</w:t>
                        </w:r>
                      </w:p>
                    </w:tc>
                  </w:tr>
                  <w:tr>
                    <w:trPr>
                      <w:trHeight w:val="278" w:hRule="exact"/>
                    </w:trPr>
                    <w:tc>
                      <w:tcPr>
                        <w:tcW w:w="865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w:t>
                        </w:r>
                      </w:p>
                    </w:tc>
                  </w:tr>
                  <w:tr>
                    <w:trPr>
                      <w:trHeight w:val="234"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享有被投资单位可辨认净资产公允价值产生的收益</w:t>
                        </w:r>
                      </w:p>
                    </w:tc>
                    <w:tc>
                      <w:tcPr>
                        <w:tcW w:w="156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326"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66" w:type="dxa"/>
                        <w:tcBorders>
                          <w:top w:val="nil" w:sz="6" w:space="0" w:color="auto"/>
                          <w:left w:val="nil" w:sz="6" w:space="0" w:color="auto"/>
                          <w:bottom w:val="nil" w:sz="6" w:space="0" w:color="auto"/>
                          <w:right w:val="nil" w:sz="6" w:space="0" w:color="auto"/>
                        </w:tcBorders>
                      </w:tcPr>
                      <w:p>
                        <w:pPr>
                          <w:pStyle w:val="TableParagraph"/>
                          <w:spacing w:line="224" w:lineRule="exact"/>
                          <w:ind w:right="105"/>
                          <w:jc w:val="right"/>
                          <w:rPr>
                            <w:rFonts w:ascii="宋体" w:hAnsi="宋体" w:cs="宋体" w:eastAsia="宋体" w:hint="default"/>
                            <w:sz w:val="18"/>
                            <w:szCs w:val="18"/>
                          </w:rPr>
                        </w:pPr>
                        <w:r>
                          <w:rPr>
                            <w:rFonts w:ascii="宋体"/>
                            <w:sz w:val="18"/>
                          </w:rPr>
                          <w:t>0.00</w:t>
                        </w:r>
                      </w:p>
                    </w:tc>
                    <w:tc>
                      <w:tcPr>
                        <w:tcW w:w="1486"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-10,063,153.93</w:t>
                        </w:r>
                      </w:p>
                    </w:tc>
                  </w:tr>
                  <w:tr>
                    <w:trPr>
                      <w:trHeight w:val="492"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00" w:lineRule="exact" w:before="97"/>
                          <w:ind w:left="122" w:right="107"/>
                          <w:jc w:val="left"/>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资产、交易性金融负债产生的公允价值变动损益，以及处置交易性金</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145,059,371.81</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49,333,609.36</w:t>
                        </w:r>
                      </w:p>
                    </w:tc>
                  </w:tr>
                  <w:tr>
                    <w:trPr>
                      <w:trHeight w:val="292"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z w:val="18"/>
                            <w:szCs w:val="18"/>
                          </w:rPr>
                          <w:t>融资产、交易性金融负债和可供出售金融资产取得的投资收益</w:t>
                        </w:r>
                      </w:p>
                    </w:tc>
                    <w:tc>
                      <w:tcPr>
                        <w:tcW w:w="156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334"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z w:val="18"/>
                          </w:rPr>
                          <w:t>1,304,490.00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18"/>
                            <w:szCs w:val="18"/>
                          </w:rPr>
                        </w:pPr>
                        <w:r>
                          <w:rPr>
                            <w:rFonts w:ascii="宋体"/>
                            <w:sz w:val="18"/>
                          </w:rPr>
                          <w:t>1,186,190.00</w:t>
                        </w:r>
                      </w:p>
                    </w:tc>
                  </w:tr>
                  <w:tr>
                    <w:trPr>
                      <w:trHeight w:val="284"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-22,902,302.85</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-4,929,161.28</w:t>
                        </w:r>
                      </w:p>
                    </w:tc>
                  </w:tr>
                  <w:tr>
                    <w:trPr>
                      <w:trHeight w:val="284"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-122,006,422.99</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376,039,615.88</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132,691,249.86</w:t>
                        </w:r>
                      </w:p>
                    </w:tc>
                  </w:tr>
                  <w:tr>
                    <w:trPr>
                      <w:trHeight w:val="284"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-89,574,858.60</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-18,948,353.83</w:t>
                        </w:r>
                      </w:p>
                    </w:tc>
                  </w:tr>
                  <w:tr>
                    <w:trPr>
                      <w:trHeight w:val="284" w:hRule="exact"/>
                    </w:trPr>
                    <w:tc>
                      <w:tcPr>
                        <w:tcW w:w="56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非经常性净损益合计</w:t>
                        </w:r>
                        <w:r>
                          <w:rPr>
                            <w:rFonts w:ascii="宋体" w:hAnsi="宋体" w:cs="宋体" w:eastAsia="宋体" w:hint="default"/>
                            <w:sz w:val="18"/>
                            <w:szCs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b/>
                            <w:w w:val="95"/>
                            <w:sz w:val="18"/>
                          </w:rPr>
                          <w:t>286,464,757.28</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113,742,896.03</w:t>
                        </w:r>
                        <w:r>
                          <w:rPr>
                            <w:rFonts w:ascii="宋体"/>
                            <w:sz w:val="18"/>
                          </w:rPr>
                        </w:r>
                      </w:p>
                    </w:tc>
                  </w:tr>
                  <w:tr>
                    <w:trPr>
                      <w:trHeight w:val="304" w:hRule="exact"/>
                    </w:trPr>
                    <w:tc>
                      <w:tcPr>
                        <w:tcW w:w="5603" w:type="dxa"/>
                        <w:tcBorders>
                          <w:top w:val="nil" w:sz="6" w:space="0" w:color="auto"/>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其中：归属于母公司股东</w:t>
                        </w:r>
                      </w:p>
                    </w:tc>
                    <w:tc>
                      <w:tcPr>
                        <w:tcW w:w="1566" w:type="dxa"/>
                        <w:tcBorders>
                          <w:top w:val="nil" w:sz="6" w:space="0" w:color="auto"/>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287,656,178.85</w:t>
                        </w:r>
                      </w:p>
                    </w:tc>
                    <w:tc>
                      <w:tcPr>
                        <w:tcW w:w="1486"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101,421,834.38</w:t>
                        </w:r>
                      </w:p>
                    </w:tc>
                  </w:tr>
                  <w:tr>
                    <w:trPr>
                      <w:trHeight w:val="497" w:hRule="exact"/>
                    </w:trPr>
                    <w:tc>
                      <w:tcPr>
                        <w:tcW w:w="5603" w:type="dxa"/>
                        <w:tcBorders>
                          <w:top w:val="single" w:sz="12" w:space="0" w:color="000000"/>
                          <w:left w:val="nil" w:sz="6" w:space="0" w:color="auto"/>
                          <w:bottom w:val="nil" w:sz="6" w:space="0" w:color="auto"/>
                          <w:right w:val="nil" w:sz="6" w:space="0" w:color="auto"/>
                        </w:tcBorders>
                      </w:tcPr>
                      <w:p>
                        <w:pPr>
                          <w:pStyle w:val="TableParagraph"/>
                          <w:tabs>
                            <w:tab w:pos="641" w:val="left" w:leader="none"/>
                          </w:tabs>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w w:val="95"/>
                            <w:sz w:val="22"/>
                            <w:szCs w:val="22"/>
                          </w:rPr>
                          <w:t>2.</w:t>
                          <w:tab/>
                        </w:r>
                        <w:r>
                          <w:rPr>
                            <w:rFonts w:ascii="宋体" w:hAnsi="宋体" w:cs="宋体" w:eastAsia="宋体" w:hint="default"/>
                            <w:sz w:val="22"/>
                            <w:szCs w:val="22"/>
                          </w:rPr>
                          <w:t>净资产收益率及每股收益</w:t>
                        </w:r>
                      </w:p>
                    </w:tc>
                    <w:tc>
                      <w:tcPr>
                        <w:tcW w:w="1566" w:type="dxa"/>
                        <w:tcBorders>
                          <w:top w:val="single" w:sz="12" w:space="0" w:color="000000"/>
                          <w:left w:val="nil" w:sz="6" w:space="0" w:color="auto"/>
                          <w:bottom w:val="nil" w:sz="6" w:space="0" w:color="auto"/>
                          <w:right w:val="nil" w:sz="6" w:space="0" w:color="auto"/>
                        </w:tcBorders>
                      </w:tcPr>
                      <w:p>
                        <w:pPr/>
                      </w:p>
                    </w:tc>
                    <w:tc>
                      <w:tcPr>
                        <w:tcW w:w="1486"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宋体"/>
          <w:sz w:val="18"/>
        </w:rPr>
        <w:t>5,837,642.71</w:t>
        <w:tab/>
        <w:t>11,482,669.28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324" w:lineRule="auto" w:before="31"/>
        <w:ind w:left="138" w:right="0" w:firstLine="440"/>
        <w:jc w:val="left"/>
        <w:rPr>
          <w:rFonts w:ascii="宋体" w:hAnsi="宋体" w:cs="宋体" w:eastAsia="宋体" w:hint="default"/>
          <w:sz w:val="22"/>
          <w:szCs w:val="22"/>
        </w:rPr>
      </w:pPr>
      <w:r>
        <w:rPr>
          <w:rFonts w:ascii="宋体" w:hAnsi="宋体" w:cs="宋体" w:eastAsia="宋体" w:hint="default"/>
          <w:sz w:val="22"/>
          <w:szCs w:val="22"/>
        </w:rPr>
        <w:t>按照中国证监会《公开发行证券的公司信息披露编报规则第9号―净资产收益率和每股收益</w:t>
      </w:r>
      <w:r>
        <w:rPr>
          <w:rFonts w:ascii="宋体" w:hAnsi="宋体" w:cs="宋体" w:eastAsia="宋体" w:hint="default"/>
          <w:w w:val="99"/>
          <w:sz w:val="22"/>
          <w:szCs w:val="22"/>
        </w:rPr>
        <w:t> </w:t>
      </w:r>
      <w:r>
        <w:rPr>
          <w:rFonts w:ascii="宋体" w:hAnsi="宋体" w:cs="宋体" w:eastAsia="宋体" w:hint="default"/>
          <w:sz w:val="22"/>
          <w:szCs w:val="22"/>
        </w:rPr>
        <w:t>的计算及披露》的要求，本公司全面摊薄和加权平均计算的净资产收益率及每股收益如下：</w:t>
      </w:r>
    </w:p>
    <w:p>
      <w:pPr>
        <w:spacing w:after="0" w:line="324" w:lineRule="auto"/>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本年金额</w:t>
      </w:r>
    </w:p>
    <w:p>
      <w:pPr>
        <w:spacing w:line="240" w:lineRule="auto" w:before="5"/>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tabs>
          <w:tab w:pos="3794" w:val="left" w:leader="none"/>
        </w:tabs>
        <w:spacing w:before="122"/>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t>加权平均净资产收益率</w:t>
      </w:r>
      <w:r>
        <w:rPr>
          <w:rFonts w:ascii="宋体" w:hAnsi="宋体" w:cs="宋体" w:eastAsia="宋体" w:hint="default"/>
          <w:sz w:val="18"/>
          <w:szCs w:val="18"/>
        </w:rPr>
      </w:r>
    </w:p>
    <w:p>
      <w:pPr>
        <w:tabs>
          <w:tab w:pos="2092" w:val="left" w:leader="none"/>
        </w:tabs>
        <w:spacing w:line="297" w:lineRule="auto" w:before="0"/>
        <w:ind w:left="512" w:right="665" w:firstLine="965"/>
        <w:jc w:val="left"/>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b/>
          <w:bCs/>
          <w:w w:val="99"/>
          <w:sz w:val="18"/>
          <w:szCs w:val="18"/>
        </w:rPr>
        <w:t> </w:t>
      </w: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line="297" w:lineRule="auto"/>
        <w:jc w:val="left"/>
        <w:rPr>
          <w:rFonts w:ascii="宋体" w:hAnsi="宋体" w:cs="宋体" w:eastAsia="宋体" w:hint="default"/>
          <w:sz w:val="18"/>
          <w:szCs w:val="18"/>
        </w:rPr>
        <w:sectPr>
          <w:type w:val="continuous"/>
          <w:pgSz w:w="11910" w:h="16840"/>
          <w:pgMar w:top="1600" w:bottom="280" w:left="1280" w:right="1140"/>
          <w:cols w:num="2" w:equalWidth="0">
            <w:col w:w="5601" w:space="40"/>
            <w:col w:w="3849"/>
          </w:cols>
        </w:sectPr>
      </w:pPr>
    </w:p>
    <w:p>
      <w:pPr>
        <w:tabs>
          <w:tab w:pos="4472" w:val="left" w:leader="none"/>
          <w:tab w:pos="6515" w:val="left" w:leader="none"/>
          <w:tab w:pos="8455" w:val="right" w:leader="none"/>
        </w:tabs>
        <w:spacing w:before="14"/>
        <w:ind w:left="524" w:right="0" w:firstLine="0"/>
        <w:jc w:val="left"/>
        <w:rPr>
          <w:rFonts w:ascii="宋体" w:hAnsi="宋体" w:cs="宋体" w:eastAsia="宋体" w:hint="default"/>
          <w:sz w:val="18"/>
          <w:szCs w:val="18"/>
        </w:rPr>
      </w:pPr>
      <w:r>
        <w:rPr/>
        <w:pict>
          <v:group style="position:absolute;margin-left:358.679993pt;margin-top:-13.688007pt;width:158.050pt;height:.1pt;mso-position-horizontal-relative:page;mso-position-vertical-relative:paragraph;z-index:-1043248" coordorigin="7174,-274" coordsize="3161,2">
            <v:shape style="position:absolute;left:7174;top:-274;width:3161;height:2" coordorigin="7174,-274" coordsize="3161,0" path="m7174,-274l10334,-274e" filled="false" stroked="true" strokeweight=".48pt" strokecolor="#000000">
              <v:path arrowok="t"/>
            </v:shape>
            <w10:wrap type="none"/>
          </v:group>
        </w:pict>
      </w:r>
      <w:r>
        <w:rPr/>
        <w:pict>
          <v:group style="position:absolute;margin-left:84.839996pt;margin-top:.951992pt;width:431.9pt;height:.1pt;mso-position-horizontal-relative:page;mso-position-vertical-relative:paragraph;z-index:-1043224" coordorigin="1697,19" coordsize="8638,2">
            <v:shape style="position:absolute;left:1697;top:19;width:8638;height:2" coordorigin="1697,19" coordsize="8638,0" path="m1697,19l10334,19e" filled="false" stroked="true" strokeweight=".48pt" strokecolor="#000000">
              <v:path arrowok="t"/>
            </v:shape>
            <w10:wrap type="none"/>
          </v:group>
        </w:pict>
      </w:r>
      <w:r>
        <w:rPr>
          <w:rFonts w:ascii="宋体" w:hAnsi="宋体" w:cs="宋体" w:eastAsia="宋体" w:hint="default"/>
          <w:sz w:val="18"/>
          <w:szCs w:val="18"/>
        </w:rPr>
        <w:t>归属于母公司股东的净利润</w:t>
        <w:tab/>
        <w:t>6.25%</w:t>
        <w:tab/>
        <w:t>0.49</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0.49</w:t>
      </w:r>
    </w:p>
    <w:p>
      <w:pPr>
        <w:spacing w:line="168" w:lineRule="exact" w:before="40"/>
        <w:ind w:left="524" w:right="0" w:firstLine="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w:t>
      </w:r>
    </w:p>
    <w:p>
      <w:pPr>
        <w:tabs>
          <w:tab w:pos="4472" w:val="left" w:leader="none"/>
          <w:tab w:pos="6515" w:val="left" w:leader="none"/>
          <w:tab w:pos="8455" w:val="right" w:leader="none"/>
        </w:tabs>
        <w:spacing w:line="268" w:lineRule="exact" w:before="0"/>
        <w:ind w:left="524" w:right="0" w:firstLine="0"/>
        <w:jc w:val="left"/>
        <w:rPr>
          <w:rFonts w:ascii="宋体" w:hAnsi="宋体" w:cs="宋体" w:eastAsia="宋体" w:hint="default"/>
          <w:sz w:val="18"/>
          <w:szCs w:val="18"/>
        </w:rPr>
      </w:pPr>
      <w:r>
        <w:rPr/>
        <w:pict>
          <v:group style="position:absolute;margin-left:83.370003pt;margin-top:15.750352pt;width:434.5pt;height:1.5pt;mso-position-horizontal-relative:page;mso-position-vertical-relative:paragraph;z-index:7840" coordorigin="1667,315" coordsize="8690,30">
            <v:group style="position:absolute;left:1682;top:330;width:3094;height:2" coordorigin="1682,330" coordsize="3094,2">
              <v:shape style="position:absolute;left:1682;top:330;width:3094;height:2" coordorigin="1682,330" coordsize="3094,0" path="m1682,330l4776,330e" filled="false" stroked="true" strokeweight="1.5pt" strokecolor="#000000">
                <v:path arrowok="t"/>
              </v:shape>
            </v:group>
            <v:group style="position:absolute;left:4762;top:330;width:2420;height:2" coordorigin="4762,330" coordsize="2420,2">
              <v:shape style="position:absolute;left:4762;top:330;width:2420;height:2" coordorigin="4762,330" coordsize="2420,0" path="m4762,330l7181,330e" filled="false" stroked="true" strokeweight="1.5pt" strokecolor="#000000">
                <v:path arrowok="t"/>
              </v:shape>
            </v:group>
            <v:group style="position:absolute;left:7166;top:330;width:1604;height:2" coordorigin="7166,330" coordsize="1604,2">
              <v:shape style="position:absolute;left:7166;top:330;width:1604;height:2" coordorigin="7166,330" coordsize="1604,0" path="m7166,330l8770,330e" filled="false" stroked="true" strokeweight="1.5pt" strokecolor="#000000">
                <v:path arrowok="t"/>
              </v:shape>
            </v:group>
            <v:group style="position:absolute;left:8755;top:330;width:1587;height:2" coordorigin="8755,330" coordsize="1587,2">
              <v:shape style="position:absolute;left:8755;top:330;width:1587;height:2" coordorigin="8755,330" coordsize="1587,0" path="m8755,330l10342,330e" filled="false" stroked="true" strokeweight="1.5pt" strokecolor="#000000">
                <v:path arrowok="t"/>
              </v:shape>
            </v:group>
            <w10:wrap type="none"/>
          </v:group>
        </w:pict>
      </w:r>
      <w:r>
        <w:rPr>
          <w:rFonts w:ascii="宋体" w:hAnsi="宋体" w:cs="宋体" w:eastAsia="宋体" w:hint="default"/>
          <w:position w:val="-9"/>
          <w:sz w:val="18"/>
          <w:szCs w:val="18"/>
        </w:rPr>
        <w:t>益后的净利润</w:t>
        <w:tab/>
      </w:r>
      <w:r>
        <w:rPr>
          <w:rFonts w:ascii="宋体" w:hAnsi="宋体" w:cs="宋体" w:eastAsia="宋体" w:hint="default"/>
          <w:sz w:val="18"/>
          <w:szCs w:val="18"/>
        </w:rPr>
        <w:t>2.50%</w:t>
        <w:tab/>
        <w:t>0.19</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0.19</w:t>
      </w:r>
    </w:p>
    <w:p>
      <w:pPr>
        <w:spacing w:before="172"/>
        <w:ind w:left="591" w:right="0" w:firstLine="0"/>
        <w:jc w:val="left"/>
        <w:rPr>
          <w:rFonts w:ascii="宋体" w:hAnsi="宋体" w:cs="宋体" w:eastAsia="宋体" w:hint="default"/>
          <w:sz w:val="22"/>
          <w:szCs w:val="22"/>
        </w:rPr>
      </w:pPr>
      <w:r>
        <w:rPr/>
        <w:pict>
          <v:group style="position:absolute;margin-left:85.199997pt;margin-top:31.917931pt;width:431.55pt;height:.1pt;mso-position-horizontal-relative:page;mso-position-vertical-relative:paragraph;z-index:7864" coordorigin="1704,638" coordsize="8631,2">
            <v:shape style="position:absolute;left:1704;top:638;width:8631;height:2" coordorigin="1704,638" coordsize="8631,0" path="m1704,638l10334,638e" filled="false" stroked="true" strokeweight="1.5pt" strokecolor="#000000">
              <v:path arrowok="t"/>
            </v:shape>
            <w10:wrap type="none"/>
          </v:group>
        </w:pict>
      </w: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上年金额</w:t>
      </w:r>
    </w:p>
    <w:p>
      <w:pPr>
        <w:spacing w:after="0"/>
        <w:jc w:val="left"/>
        <w:rPr>
          <w:rFonts w:ascii="宋体" w:hAnsi="宋体" w:cs="宋体" w:eastAsia="宋体" w:hint="default"/>
          <w:sz w:val="22"/>
          <w:szCs w:val="22"/>
        </w:rPr>
        <w:sectPr>
          <w:type w:val="continuous"/>
          <w:pgSz w:w="11910" w:h="16840"/>
          <w:pgMar w:top="1600" w:bottom="280" w:left="1280" w:right="1140"/>
        </w:sectPr>
      </w:pPr>
    </w:p>
    <w:p>
      <w:pPr>
        <w:tabs>
          <w:tab w:pos="3731" w:val="left" w:leader="none"/>
        </w:tabs>
        <w:spacing w:before="315"/>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t>加权平均净资产收益率</w:t>
      </w:r>
      <w:r>
        <w:rPr>
          <w:rFonts w:ascii="宋体" w:hAnsi="宋体" w:cs="宋体" w:eastAsia="宋体" w:hint="default"/>
          <w:sz w:val="18"/>
          <w:szCs w:val="18"/>
        </w:rPr>
      </w:r>
    </w:p>
    <w:p>
      <w:pPr>
        <w:tabs>
          <w:tab w:pos="2118" w:val="left" w:leader="none"/>
        </w:tabs>
        <w:spacing w:line="297" w:lineRule="auto" w:before="183"/>
        <w:ind w:left="524" w:right="680" w:firstLine="980"/>
        <w:jc w:val="left"/>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b/>
          <w:bCs/>
          <w:w w:val="99"/>
          <w:sz w:val="18"/>
          <w:szCs w:val="18"/>
        </w:rPr>
        <w:t> </w:t>
      </w: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line="297" w:lineRule="auto"/>
        <w:jc w:val="left"/>
        <w:rPr>
          <w:rFonts w:ascii="宋体" w:hAnsi="宋体" w:cs="宋体" w:eastAsia="宋体" w:hint="default"/>
          <w:sz w:val="18"/>
          <w:szCs w:val="18"/>
        </w:rPr>
        <w:sectPr>
          <w:type w:val="continuous"/>
          <w:pgSz w:w="11910" w:h="16840"/>
          <w:pgMar w:top="1600" w:bottom="280" w:left="1280" w:right="1140"/>
          <w:cols w:num="2" w:equalWidth="0">
            <w:col w:w="5537" w:space="63"/>
            <w:col w:w="3890"/>
          </w:cols>
        </w:sectPr>
      </w:pPr>
    </w:p>
    <w:p>
      <w:pPr>
        <w:tabs>
          <w:tab w:pos="4409" w:val="left" w:leader="none"/>
          <w:tab w:pos="6487" w:val="left" w:leader="none"/>
          <w:tab w:pos="8441" w:val="right" w:leader="none"/>
        </w:tabs>
        <w:spacing w:before="14"/>
        <w:ind w:left="524" w:right="0" w:firstLine="0"/>
        <w:jc w:val="left"/>
        <w:rPr>
          <w:rFonts w:ascii="宋体" w:hAnsi="宋体" w:cs="宋体" w:eastAsia="宋体" w:hint="default"/>
          <w:sz w:val="18"/>
          <w:szCs w:val="18"/>
        </w:rPr>
      </w:pPr>
      <w:r>
        <w:rPr/>
        <w:pict>
          <v:group style="position:absolute;margin-left:357.359985pt;margin-top:-13.687966pt;width:159.4pt;height:.1pt;mso-position-horizontal-relative:page;mso-position-vertical-relative:paragraph;z-index:-1043152" coordorigin="7147,-274" coordsize="3188,2">
            <v:shape style="position:absolute;left:7147;top:-274;width:3188;height:2" coordorigin="7147,-274" coordsize="3188,0" path="m7147,-274l10334,-274e" filled="false" stroked="true" strokeweight=".48pt" strokecolor="#000000">
              <v:path arrowok="t"/>
            </v:shape>
            <w10:wrap type="none"/>
          </v:group>
        </w:pict>
      </w:r>
      <w:r>
        <w:rPr/>
        <w:pict>
          <v:group style="position:absolute;margin-left:84.599998pt;margin-top:.712034pt;width:432.4pt;height:.5pt;mso-position-horizontal-relative:page;mso-position-vertical-relative:paragraph;z-index:-1043128" coordorigin="1692,14" coordsize="8648,10">
            <v:group style="position:absolute;left:1697;top:19;width:5460;height:2" coordorigin="1697,19" coordsize="5460,2">
              <v:shape style="position:absolute;left:1697;top:19;width:5460;height:2" coordorigin="1697,19" coordsize="5460,0" path="m1697,19l7157,19e" filled="false" stroked="true" strokeweight=".48pt" strokecolor="#000000">
                <v:path arrowok="t"/>
              </v:shape>
            </v:group>
            <v:group style="position:absolute;left:7157;top:19;width:1577;height:2" coordorigin="7157,19" coordsize="1577,2">
              <v:shape style="position:absolute;left:7157;top:19;width:1577;height:2" coordorigin="7157,19" coordsize="1577,0" path="m7157,19l8734,19e" filled="false" stroked="true" strokeweight=".48pt" strokecolor="#000000">
                <v:path arrowok="t"/>
              </v:shape>
            </v:group>
            <v:group style="position:absolute;left:8734;top:19;width:1601;height:2" coordorigin="8734,19" coordsize="1601,2">
              <v:shape style="position:absolute;left:8734;top:19;width:1601;height:2" coordorigin="8734,19" coordsize="1601,0" path="m8734,19l10334,19e" filled="false" stroked="true" strokeweight=".48pt" strokecolor="#000000">
                <v:path arrowok="t"/>
              </v:shape>
            </v:group>
            <w10:wrap type="none"/>
          </v:group>
        </w:pict>
      </w:r>
      <w:r>
        <w:rPr>
          <w:rFonts w:ascii="宋体" w:hAnsi="宋体" w:cs="宋体" w:eastAsia="宋体" w:hint="default"/>
          <w:sz w:val="18"/>
          <w:szCs w:val="18"/>
        </w:rPr>
        <w:t>归属于母公司股东的净利润</w:t>
        <w:tab/>
        <w:t>4.90%</w:t>
        <w:tab/>
        <w:t>0.36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0.36</w:t>
      </w:r>
    </w:p>
    <w:p>
      <w:pPr>
        <w:spacing w:line="168" w:lineRule="exact" w:before="33"/>
        <w:ind w:left="524" w:right="0" w:firstLine="0"/>
        <w:jc w:val="left"/>
        <w:rPr>
          <w:rFonts w:ascii="宋体" w:hAnsi="宋体" w:cs="宋体" w:eastAsia="宋体" w:hint="default"/>
          <w:sz w:val="18"/>
          <w:szCs w:val="18"/>
        </w:rPr>
      </w:pPr>
      <w:r>
        <w:rPr>
          <w:rFonts w:ascii="宋体" w:hAnsi="宋体" w:cs="宋体" w:eastAsia="宋体" w:hint="default"/>
          <w:spacing w:val="3"/>
          <w:sz w:val="18"/>
          <w:szCs w:val="18"/>
        </w:rPr>
        <w:t>归属于母公司股东、扣除非经常性</w:t>
      </w:r>
      <w:r>
        <w:rPr>
          <w:rFonts w:ascii="宋体" w:hAnsi="宋体" w:cs="宋体" w:eastAsia="宋体" w:hint="default"/>
          <w:sz w:val="18"/>
          <w:szCs w:val="18"/>
        </w:rPr>
      </w:r>
    </w:p>
    <w:p>
      <w:pPr>
        <w:tabs>
          <w:tab w:pos="4409" w:val="left" w:leader="none"/>
          <w:tab w:pos="6487" w:val="left" w:leader="none"/>
          <w:tab w:pos="8081" w:val="left" w:leader="none"/>
        </w:tabs>
        <w:spacing w:line="268" w:lineRule="exact" w:before="0"/>
        <w:ind w:left="524" w:right="0" w:firstLine="0"/>
        <w:jc w:val="left"/>
        <w:rPr>
          <w:rFonts w:ascii="宋体" w:hAnsi="宋体" w:cs="宋体" w:eastAsia="宋体" w:hint="default"/>
          <w:sz w:val="18"/>
          <w:szCs w:val="18"/>
        </w:rPr>
      </w:pPr>
      <w:r>
        <w:rPr>
          <w:rFonts w:ascii="宋体" w:hAnsi="宋体" w:cs="宋体" w:eastAsia="宋体" w:hint="default"/>
          <w:position w:val="-9"/>
          <w:sz w:val="18"/>
          <w:szCs w:val="18"/>
        </w:rPr>
        <w:t>损益后的净利润</w:t>
        <w:tab/>
      </w:r>
      <w:r>
        <w:rPr>
          <w:rFonts w:ascii="宋体" w:hAnsi="宋体" w:cs="宋体" w:eastAsia="宋体" w:hint="default"/>
          <w:sz w:val="18"/>
          <w:szCs w:val="18"/>
        </w:rPr>
        <w:t>3.48%</w:t>
        <w:tab/>
        <w:t>0.26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0.26</w:t>
      </w:r>
    </w:p>
    <w:p>
      <w:pPr>
        <w:spacing w:line="240" w:lineRule="auto" w:before="2"/>
        <w:rPr>
          <w:rFonts w:ascii="宋体" w:hAnsi="宋体" w:cs="宋体" w:eastAsia="宋体" w:hint="default"/>
          <w:sz w:val="3"/>
          <w:szCs w:val="3"/>
        </w:r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993;height:2" coordorigin="15,15" coordsize="2993,2">
              <v:shape style="position:absolute;left:15;top:15;width:2993;height:2" coordorigin="15,15" coordsize="2993,0" path="m15,15l3008,15e" filled="false" stroked="true" strokeweight="1.5pt" strokecolor="#000000">
                <v:path arrowok="t"/>
              </v:shape>
            </v:group>
            <v:group style="position:absolute;left:2993;top:15;width:2494;height:2" coordorigin="2993,15" coordsize="2494,2">
              <v:shape style="position:absolute;left:2993;top:15;width:2494;height:2" coordorigin="2993,15" coordsize="2494,0" path="m2993,15l5487,15e" filled="false" stroked="true" strokeweight="1.5pt" strokecolor="#000000">
                <v:path arrowok="t"/>
              </v:shape>
            </v:group>
            <v:group style="position:absolute;left:5473;top:15;width:30;height:2" coordorigin="5473,15" coordsize="30,2">
              <v:shape style="position:absolute;left:5473;top:15;width:30;height:2" coordorigin="5473,15" coordsize="30,0" path="m5473,15l5503,15e" filled="false" stroked="true" strokeweight="1.5pt" strokecolor="#000000">
                <v:path arrowok="t"/>
              </v:shape>
            </v:group>
            <v:group style="position:absolute;left:5503;top:15;width:1571;height:2" coordorigin="5503,15" coordsize="1571,2">
              <v:shape style="position:absolute;left:5503;top:15;width:1571;height:2" coordorigin="5503,15" coordsize="1571,0" path="m5503,15l7073,15e" filled="false" stroked="true" strokeweight="1.5pt" strokecolor="#000000">
                <v:path arrowok="t"/>
              </v:shape>
            </v:group>
            <v:group style="position:absolute;left:7059;top:15;width:1616;height:2" coordorigin="7059,15" coordsize="1616,2">
              <v:shape style="position:absolute;left:7059;top:15;width:1616;height:2" coordorigin="7059,15" coordsize="1616,0" path="m7059,15l8674,15e" filled="false" stroked="true" strokeweight="1.5pt" strokecolor="#000000">
                <v:path arrowok="t"/>
              </v:shape>
            </v:group>
          </v:group>
        </w:pict>
      </w:r>
      <w:r>
        <w:rPr>
          <w:rFonts w:ascii="宋体" w:hAnsi="宋体" w:cs="宋体" w:eastAsia="宋体" w:hint="default"/>
          <w:position w:val="0"/>
          <w:sz w:val="3"/>
          <w:szCs w:val="3"/>
        </w:rPr>
      </w:r>
    </w:p>
    <w:p>
      <w:pPr>
        <w:pStyle w:val="Heading3"/>
        <w:spacing w:line="240" w:lineRule="auto" w:before="78"/>
        <w:ind w:left="620" w:right="0"/>
        <w:jc w:val="left"/>
        <w:rPr>
          <w:b w:val="0"/>
          <w:bCs w:val="0"/>
        </w:rPr>
      </w:pPr>
      <w:bookmarkStart w:name="十七、 财务报告批准 " w:id="20"/>
      <w:bookmarkEnd w:id="20"/>
      <w:r>
        <w:rPr>
          <w:b w:val="0"/>
          <w:bCs w:val="0"/>
        </w:rPr>
      </w:r>
      <w:r>
        <w:rPr/>
        <w:t>十七、</w:t>
      </w:r>
      <w:r>
        <w:rPr>
          <w:spacing w:val="-68"/>
        </w:rPr>
        <w:t> </w:t>
      </w:r>
      <w:r>
        <w:rPr/>
        <w:t>财务报告批准</w:t>
      </w:r>
      <w:r>
        <w:rPr>
          <w:b w:val="0"/>
          <w:bCs w:val="0"/>
        </w:rPr>
      </w:r>
    </w:p>
    <w:p>
      <w:pPr>
        <w:spacing w:before="170"/>
        <w:ind w:left="578" w:right="0" w:firstLine="0"/>
        <w:jc w:val="left"/>
        <w:rPr>
          <w:rFonts w:ascii="宋体" w:hAnsi="宋体" w:cs="宋体" w:eastAsia="宋体" w:hint="default"/>
          <w:sz w:val="22"/>
          <w:szCs w:val="22"/>
        </w:rPr>
      </w:pPr>
      <w:r>
        <w:rPr>
          <w:rFonts w:ascii="宋体" w:hAnsi="宋体" w:cs="宋体" w:eastAsia="宋体" w:hint="default"/>
          <w:sz w:val="22"/>
          <w:szCs w:val="22"/>
        </w:rPr>
        <w:t>本财务报告于2011年4月6日由本公司董事会批准报出。</w:t>
      </w:r>
    </w:p>
    <w:p>
      <w:pPr>
        <w:spacing w:after="0"/>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900" w:lineRule="exact"/>
        <w:ind w:left="110"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39.8pt;height:45pt;mso-position-horizontal-relative:char;mso-position-vertical-relative:line" coordorigin="0,0" coordsize="2796,900">
            <v:shape style="position:absolute;left:0;top:0;width:2796;height:900" type="#_x0000_t75" stroked="false">
              <v:imagedata r:id="rId46" o:title=""/>
            </v:shape>
            <v:group style="position:absolute;left:298;top:738;width:2332;height:2" coordorigin="298,738" coordsize="2332,2">
              <v:shape style="position:absolute;left:298;top:738;width:2332;height:2" coordorigin="298,738" coordsize="2332,0" path="m298,738l2629,738e" filled="false" stroked="true" strokeweight=".25pt" strokecolor="#000000">
                <v:path arrowok="t"/>
              </v:shape>
            </v:group>
            <v:group style="position:absolute;left:2668;top:181;width:2;height:557" coordorigin="2668,181" coordsize="2,557">
              <v:shape style="position:absolute;left:2668;top:181;width:2;height:557" coordorigin="2668,181" coordsize="2,557" path="m2668,181l2669,738e" filled="false" stroked="true" strokeweight=".25pt" strokecolor="#000000">
                <v:path arrowok="t"/>
              </v:shape>
              <v:shape style="position:absolute;left:0;top:0;width:2796;height:900" type="#_x0000_t202" filled="false" stroked="false">
                <v:textbox inset="0,0,0,0">
                  <w:txbxContent>
                    <w:p>
                      <w:pPr>
                        <w:spacing w:before="156"/>
                        <w:ind w:left="287" w:right="0" w:firstLine="0"/>
                        <w:jc w:val="left"/>
                        <w:rPr>
                          <w:rFonts w:ascii="宋体" w:hAnsi="宋体" w:cs="宋体" w:eastAsia="宋体" w:hint="default"/>
                          <w:sz w:val="32"/>
                          <w:szCs w:val="32"/>
                        </w:rPr>
                      </w:pPr>
                      <w:r>
                        <w:rPr>
                          <w:rFonts w:ascii="宋体" w:hAnsi="宋体" w:cs="宋体" w:eastAsia="宋体" w:hint="default"/>
                          <w:b/>
                          <w:bCs/>
                          <w:sz w:val="32"/>
                          <w:szCs w:val="32"/>
                        </w:rPr>
                        <w:t>十一、备查文件</w:t>
                      </w:r>
                      <w:r>
                        <w:rPr>
                          <w:rFonts w:ascii="宋体" w:hAnsi="宋体" w:cs="宋体" w:eastAsia="宋体" w:hint="default"/>
                          <w:sz w:val="32"/>
                          <w:szCs w:val="32"/>
                        </w:rPr>
                      </w:r>
                    </w:p>
                  </w:txbxContent>
                </v:textbox>
                <w10:wrap type="none"/>
              </v:shape>
            </v:group>
          </v:group>
        </w:pict>
      </w:r>
      <w:r>
        <w:rPr>
          <w:rFonts w:ascii="宋体" w:hAnsi="宋体" w:cs="宋体" w:eastAsia="宋体" w:hint="default"/>
          <w:position w:val="-17"/>
          <w:sz w:val="20"/>
          <w:szCs w:val="20"/>
        </w:rPr>
      </w:r>
    </w:p>
    <w:p>
      <w:pPr>
        <w:spacing w:line="240" w:lineRule="auto" w:before="8"/>
        <w:rPr>
          <w:rFonts w:ascii="宋体" w:hAnsi="宋体" w:cs="宋体" w:eastAsia="宋体" w:hint="default"/>
          <w:sz w:val="21"/>
          <w:szCs w:val="21"/>
        </w:rPr>
      </w:pPr>
    </w:p>
    <w:p>
      <w:pPr>
        <w:pStyle w:val="BodyText"/>
        <w:spacing w:line="240" w:lineRule="auto" w:before="26"/>
        <w:ind w:left="398" w:right="0"/>
        <w:jc w:val="left"/>
      </w:pPr>
      <w:r>
        <w:rPr/>
        <w:t>1、载有董事长亲笔签署的年度报告正本；</w:t>
      </w:r>
    </w:p>
    <w:p>
      <w:pPr>
        <w:spacing w:line="240" w:lineRule="auto" w:before="8"/>
        <w:rPr>
          <w:rFonts w:ascii="宋体" w:hAnsi="宋体" w:cs="宋体" w:eastAsia="宋体" w:hint="default"/>
          <w:sz w:val="23"/>
          <w:szCs w:val="23"/>
        </w:rPr>
      </w:pPr>
    </w:p>
    <w:p>
      <w:pPr>
        <w:pStyle w:val="BodyText"/>
        <w:spacing w:line="240" w:lineRule="auto"/>
        <w:ind w:left="398" w:right="0"/>
        <w:jc w:val="left"/>
      </w:pPr>
      <w:r>
        <w:rPr/>
        <w:t>2、载有法定代表人、主管财务副总裁、会计主管亲笔签字并盖章的财务报表；</w:t>
      </w:r>
    </w:p>
    <w:p>
      <w:pPr>
        <w:spacing w:line="240" w:lineRule="auto" w:before="8"/>
        <w:rPr>
          <w:rFonts w:ascii="宋体" w:hAnsi="宋体" w:cs="宋体" w:eastAsia="宋体" w:hint="default"/>
          <w:sz w:val="23"/>
          <w:szCs w:val="23"/>
        </w:rPr>
      </w:pPr>
    </w:p>
    <w:p>
      <w:pPr>
        <w:pStyle w:val="BodyText"/>
        <w:spacing w:line="240" w:lineRule="auto"/>
        <w:ind w:left="398" w:right="0"/>
        <w:jc w:val="left"/>
      </w:pPr>
      <w:r>
        <w:rPr/>
        <w:t>3、载有会计师事务所盖章、注册会计师亲笔签字并盖章的审计报告正本；</w:t>
      </w:r>
    </w:p>
    <w:p>
      <w:pPr>
        <w:spacing w:line="240" w:lineRule="auto" w:before="7"/>
        <w:rPr>
          <w:rFonts w:ascii="宋体" w:hAnsi="宋体" w:cs="宋体" w:eastAsia="宋体" w:hint="default"/>
          <w:sz w:val="23"/>
          <w:szCs w:val="23"/>
        </w:rPr>
      </w:pPr>
    </w:p>
    <w:p>
      <w:pPr>
        <w:pStyle w:val="BodyText"/>
        <w:spacing w:line="240" w:lineRule="auto"/>
        <w:ind w:left="398" w:right="0"/>
        <w:jc w:val="left"/>
      </w:pPr>
      <w:r>
        <w:rPr/>
        <w:t>4、报告期内在中国证券报和上海证券报刊登的定期报告、公告的正本及原件。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12" w:lineRule="exact"/>
        <w:ind w:left="7430" w:right="142" w:firstLine="241"/>
        <w:jc w:val="right"/>
        <w:rPr>
          <w:b w:val="0"/>
          <w:bCs w:val="0"/>
        </w:rPr>
      </w:pPr>
      <w:r>
        <w:rPr/>
        <w:t>同方股份有限公司</w:t>
      </w:r>
      <w:r>
        <w:rPr>
          <w:spacing w:val="1"/>
          <w:w w:val="99"/>
        </w:rPr>
        <w:t> </w:t>
      </w:r>
      <w:r>
        <w:rPr/>
        <w:t>二○一一年四月八日</w:t>
      </w:r>
      <w:r>
        <w:rPr>
          <w:b w:val="0"/>
          <w:bCs w:val="0"/>
        </w:rPr>
      </w:r>
    </w:p>
    <w:p>
      <w:pPr>
        <w:spacing w:after="0" w:line="312" w:lineRule="exact"/>
        <w:jc w:val="right"/>
        <w:sectPr>
          <w:pgSz w:w="11910" w:h="16840"/>
          <w:pgMar w:header="610" w:footer="784" w:top="1080" w:bottom="980" w:left="1020" w:right="1140"/>
        </w:sectPr>
      </w:pPr>
    </w:p>
    <w:p>
      <w:pPr>
        <w:pStyle w:val="Heading1"/>
        <w:spacing w:line="391" w:lineRule="exact" w:before="52"/>
        <w:ind w:left="3548" w:right="3446"/>
        <w:jc w:val="center"/>
        <w:rPr>
          <w:b w:val="0"/>
          <w:bCs w:val="0"/>
        </w:rPr>
      </w:pPr>
      <w:bookmarkStart w:name="600100_2010_n1.pdf" w:id="21"/>
      <w:bookmarkEnd w:id="21"/>
      <w:r>
        <w:rPr>
          <w:b w:val="0"/>
          <w:bCs w:val="0"/>
        </w:rPr>
      </w:r>
      <w:r>
        <w:rPr/>
        <w:t>同方股份有限公司</w:t>
      </w:r>
      <w:r>
        <w:rPr>
          <w:b w:val="0"/>
          <w:bCs w:val="0"/>
        </w:rPr>
      </w:r>
    </w:p>
    <w:p>
      <w:pPr>
        <w:spacing w:line="391" w:lineRule="exact" w:before="0"/>
        <w:ind w:left="1721" w:right="121" w:firstLine="0"/>
        <w:jc w:val="left"/>
        <w:rPr>
          <w:rFonts w:ascii="宋体" w:hAnsi="宋体" w:cs="宋体" w:eastAsia="宋体" w:hint="default"/>
          <w:sz w:val="30"/>
          <w:szCs w:val="30"/>
        </w:rPr>
      </w:pPr>
      <w:r>
        <w:rPr>
          <w:rFonts w:ascii="宋体" w:hAnsi="宋体" w:cs="宋体" w:eastAsia="宋体" w:hint="default"/>
          <w:b/>
          <w:bCs/>
          <w:sz w:val="30"/>
          <w:szCs w:val="30"/>
        </w:rPr>
        <w:t>2010</w:t>
      </w:r>
      <w:r>
        <w:rPr>
          <w:rFonts w:ascii="宋体" w:hAnsi="宋体" w:cs="宋体" w:eastAsia="宋体" w:hint="default"/>
          <w:b/>
          <w:bCs/>
          <w:spacing w:val="-80"/>
          <w:sz w:val="30"/>
          <w:szCs w:val="30"/>
        </w:rPr>
        <w:t> </w:t>
      </w:r>
      <w:r>
        <w:rPr>
          <w:rFonts w:ascii="宋体" w:hAnsi="宋体" w:cs="宋体" w:eastAsia="宋体" w:hint="default"/>
          <w:b/>
          <w:bCs/>
          <w:sz w:val="30"/>
          <w:szCs w:val="30"/>
        </w:rPr>
        <w:t>年度募集资金存放与使用情况的专项报告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pStyle w:val="Heading3"/>
        <w:spacing w:line="310" w:lineRule="exact" w:before="269"/>
        <w:ind w:left="238" w:right="121" w:firstLine="471"/>
        <w:jc w:val="left"/>
        <w:rPr>
          <w:rFonts w:ascii="宋体" w:hAnsi="宋体" w:cs="宋体" w:eastAsia="宋体" w:hint="default"/>
          <w:b w:val="0"/>
          <w:bCs w:val="0"/>
        </w:rPr>
      </w:pPr>
      <w:r>
        <w:rPr>
          <w:rFonts w:ascii="宋体" w:hAnsi="宋体" w:cs="宋体" w:eastAsia="宋体" w:hint="default"/>
          <w:spacing w:val="-2"/>
        </w:rPr>
        <w:t>本公司及董事会全体成员、监事会全体成员、高级管理人员保证公告内容真实、准</w:t>
      </w:r>
      <w:r>
        <w:rPr>
          <w:rFonts w:ascii="宋体" w:hAnsi="宋体" w:cs="宋体" w:eastAsia="宋体" w:hint="default"/>
          <w:w w:val="99"/>
        </w:rPr>
        <w:t> </w:t>
      </w:r>
      <w:r>
        <w:rPr>
          <w:rFonts w:ascii="宋体" w:hAnsi="宋体" w:cs="宋体" w:eastAsia="宋体" w:hint="default"/>
        </w:rPr>
        <w:t>确和完整，并对公告中的虚假记载、误导性陈述或者重大遗漏承担责任。</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1"/>
          <w:szCs w:val="21"/>
        </w:rPr>
      </w:pPr>
    </w:p>
    <w:p>
      <w:pPr>
        <w:spacing w:line="475" w:lineRule="auto" w:before="0"/>
        <w:ind w:left="238" w:right="4064" w:firstLine="0"/>
        <w:jc w:val="left"/>
        <w:rPr>
          <w:rFonts w:ascii="宋体" w:hAnsi="宋体" w:cs="宋体" w:eastAsia="宋体" w:hint="default"/>
          <w:sz w:val="24"/>
          <w:szCs w:val="24"/>
        </w:rPr>
      </w:pPr>
      <w:r>
        <w:rPr>
          <w:rFonts w:ascii="宋体" w:hAnsi="宋体" w:cs="宋体" w:eastAsia="宋体" w:hint="default"/>
          <w:b/>
          <w:bCs/>
          <w:sz w:val="24"/>
          <w:szCs w:val="24"/>
        </w:rPr>
        <w:t>一、2007</w:t>
      </w:r>
      <w:r>
        <w:rPr>
          <w:rFonts w:ascii="宋体" w:hAnsi="宋体" w:cs="宋体" w:eastAsia="宋体" w:hint="default"/>
          <w:b/>
          <w:bCs/>
          <w:spacing w:val="-61"/>
          <w:sz w:val="24"/>
          <w:szCs w:val="24"/>
        </w:rPr>
        <w:t> </w:t>
      </w:r>
      <w:r>
        <w:rPr>
          <w:rFonts w:ascii="宋体" w:hAnsi="宋体" w:cs="宋体" w:eastAsia="宋体" w:hint="default"/>
          <w:b/>
          <w:bCs/>
          <w:sz w:val="24"/>
          <w:szCs w:val="24"/>
        </w:rPr>
        <w:t>年度非公开发行股票募集资金使用情况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(一)募集资金的基本情况</w:t>
      </w:r>
      <w:r>
        <w:rPr>
          <w:rFonts w:ascii="宋体" w:hAnsi="宋体" w:cs="宋体" w:eastAsia="宋体" w:hint="default"/>
          <w:sz w:val="24"/>
          <w:szCs w:val="24"/>
        </w:rPr>
      </w:r>
    </w:p>
    <w:p>
      <w:pPr>
        <w:pStyle w:val="BodyText"/>
        <w:spacing w:line="310" w:lineRule="exact" w:before="106"/>
        <w:ind w:left="238" w:right="121"/>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5"/>
        </w:rPr>
        <w:t> </w:t>
      </w:r>
      <w:r>
        <w:rPr>
          <w:rFonts w:ascii="宋体" w:hAnsi="宋体" w:cs="宋体" w:eastAsia="宋体" w:hint="default"/>
          <w:spacing w:val="-5"/>
        </w:rPr>
        <w:t>年，公司通过非公开发行股票方式募集资金净额</w:t>
      </w:r>
      <w:r>
        <w:rPr>
          <w:rFonts w:ascii="宋体" w:hAnsi="宋体" w:cs="宋体" w:eastAsia="宋体" w:hint="default"/>
          <w:spacing w:val="-55"/>
        </w:rPr>
        <w:t> </w:t>
      </w:r>
      <w:r>
        <w:rPr>
          <w:rFonts w:ascii="宋体" w:hAnsi="宋体" w:cs="宋体" w:eastAsia="宋体" w:hint="default"/>
        </w:rPr>
        <w:t>122,880</w:t>
      </w:r>
      <w:r>
        <w:rPr>
          <w:rFonts w:ascii="宋体" w:hAnsi="宋体" w:cs="宋体" w:eastAsia="宋体" w:hint="default"/>
          <w:spacing w:val="-55"/>
        </w:rPr>
        <w:t> </w:t>
      </w:r>
      <w:r>
        <w:rPr>
          <w:rFonts w:ascii="宋体" w:hAnsi="宋体" w:cs="宋体" w:eastAsia="宋体" w:hint="default"/>
          <w:spacing w:val="-10"/>
        </w:rPr>
        <w:t>万元，该笔资金已于</w:t>
      </w:r>
      <w:r>
        <w:rPr>
          <w:rFonts w:ascii="宋体" w:hAnsi="宋体" w:cs="宋体" w:eastAsia="宋体" w:hint="default"/>
          <w:spacing w:val="-55"/>
        </w:rPr>
        <w:t> </w:t>
      </w:r>
      <w:r>
        <w:rPr>
          <w:rFonts w:ascii="宋体" w:hAnsi="宋体" w:cs="宋体" w:eastAsia="宋体" w:hint="default"/>
        </w:rPr>
        <w:t>2007</w:t>
      </w:r>
      <w:r>
        <w:rPr>
          <w:rFonts w:ascii="宋体" w:hAnsi="宋体" w:cs="宋体" w:eastAsia="宋体" w:hint="default"/>
        </w:rPr>
        <w:t> </w:t>
      </w:r>
      <w:r>
        <w:rPr>
          <w:rFonts w:ascii="宋体" w:hAnsi="宋体" w:cs="宋体" w:eastAsia="宋体" w:hint="default"/>
          <w:spacing w:val="40"/>
        </w:rPr>
        <w:t>年7月</w:t>
      </w:r>
      <w:r>
        <w:rPr>
          <w:rFonts w:ascii="宋体" w:hAnsi="宋体" w:cs="宋体" w:eastAsia="宋体" w:hint="default"/>
          <w:spacing w:val="-60"/>
        </w:rPr>
        <w:t> </w:t>
      </w:r>
      <w:r>
        <w:rPr>
          <w:rFonts w:ascii="宋体" w:hAnsi="宋体" w:cs="宋体" w:eastAsia="宋体" w:hint="default"/>
        </w:rPr>
        <w:t>27</w:t>
      </w:r>
      <w:r>
        <w:rPr>
          <w:rFonts w:ascii="宋体" w:hAnsi="宋体" w:cs="宋体" w:eastAsia="宋体" w:hint="default"/>
          <w:spacing w:val="-60"/>
        </w:rPr>
        <w:t> </w:t>
      </w:r>
      <w:r>
        <w:rPr>
          <w:rFonts w:ascii="宋体" w:hAnsi="宋体" w:cs="宋体" w:eastAsia="宋体" w:hint="default"/>
        </w:rPr>
        <w:t>日到帐。截至本报告期末，公司完成非公开发行股票募集资金的使用。</w:t>
      </w:r>
    </w:p>
    <w:p>
      <w:pPr>
        <w:spacing w:line="240" w:lineRule="auto" w:before="6"/>
        <w:rPr>
          <w:rFonts w:ascii="宋体" w:hAnsi="宋体" w:cs="宋体" w:eastAsia="宋体" w:hint="default"/>
          <w:sz w:val="21"/>
          <w:szCs w:val="21"/>
        </w:rPr>
      </w:pPr>
    </w:p>
    <w:p>
      <w:pPr>
        <w:pStyle w:val="Heading3"/>
        <w:spacing w:line="240" w:lineRule="auto"/>
        <w:ind w:left="238" w:right="0"/>
        <w:jc w:val="both"/>
        <w:rPr>
          <w:rFonts w:ascii="宋体" w:hAnsi="宋体" w:cs="宋体" w:eastAsia="宋体" w:hint="default"/>
          <w:b w:val="0"/>
          <w:bCs w:val="0"/>
        </w:rPr>
      </w:pPr>
      <w:r>
        <w:rPr>
          <w:rFonts w:ascii="宋体" w:hAnsi="宋体" w:cs="宋体" w:eastAsia="宋体" w:hint="default"/>
        </w:rPr>
        <w:t>(二)募集资金管理情况</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129"/>
        <w:jc w:val="both"/>
        <w:rPr>
          <w:rFonts w:ascii="宋体" w:hAnsi="宋体" w:cs="宋体" w:eastAsia="宋体" w:hint="default"/>
        </w:rPr>
      </w:pPr>
      <w:r>
        <w:rPr>
          <w:rFonts w:ascii="宋体" w:hAnsi="宋体" w:cs="宋体" w:eastAsia="宋体" w:hint="default"/>
        </w:rPr>
        <w:t>经</w:t>
      </w:r>
      <w:r>
        <w:rPr>
          <w:rFonts w:ascii="宋体" w:hAnsi="宋体" w:cs="宋体" w:eastAsia="宋体" w:hint="default"/>
          <w:spacing w:val="-75"/>
        </w:rPr>
        <w:t> </w:t>
      </w:r>
      <w:r>
        <w:rPr>
          <w:rFonts w:ascii="宋体" w:hAnsi="宋体" w:cs="宋体" w:eastAsia="宋体" w:hint="default"/>
          <w:spacing w:val="25"/>
        </w:rPr>
        <w:t>2007年2月</w:t>
      </w:r>
      <w:r>
        <w:rPr>
          <w:rFonts w:ascii="宋体" w:hAnsi="宋体" w:cs="宋体" w:eastAsia="宋体" w:hint="default"/>
          <w:spacing w:val="-75"/>
        </w:rPr>
        <w:t> </w:t>
      </w:r>
      <w:r>
        <w:rPr>
          <w:rFonts w:ascii="宋体" w:hAnsi="宋体" w:cs="宋体" w:eastAsia="宋体" w:hint="default"/>
        </w:rPr>
        <w:t>26</w:t>
      </w:r>
      <w:r>
        <w:rPr>
          <w:rFonts w:ascii="宋体" w:hAnsi="宋体" w:cs="宋体" w:eastAsia="宋体" w:hint="default"/>
          <w:spacing w:val="-75"/>
        </w:rPr>
        <w:t> </w:t>
      </w:r>
      <w:r>
        <w:rPr>
          <w:rFonts w:ascii="宋体" w:hAnsi="宋体" w:cs="宋体" w:eastAsia="宋体" w:hint="default"/>
        </w:rPr>
        <w:t>日召开的第三届董事会第三十三次会议审议同意，公司修改了《募集</w:t>
      </w:r>
      <w:r>
        <w:rPr>
          <w:rFonts w:ascii="宋体" w:hAnsi="宋体" w:cs="宋体" w:eastAsia="宋体" w:hint="default"/>
        </w:rPr>
        <w:t> </w:t>
      </w:r>
      <w:r>
        <w:rPr>
          <w:rFonts w:ascii="宋体" w:hAnsi="宋体" w:cs="宋体" w:eastAsia="宋体" w:hint="default"/>
          <w:spacing w:val="-13"/>
        </w:rPr>
        <w:t>资金管理办法》，并于</w:t>
      </w:r>
      <w:r>
        <w:rPr>
          <w:rFonts w:ascii="宋体" w:hAnsi="宋体" w:cs="宋体" w:eastAsia="宋体" w:hint="default"/>
          <w:spacing w:val="-48"/>
        </w:rPr>
        <w:t> </w:t>
      </w:r>
      <w:r>
        <w:rPr>
          <w:rFonts w:ascii="宋体" w:hAnsi="宋体" w:cs="宋体" w:eastAsia="宋体" w:hint="default"/>
          <w:spacing w:val="-1"/>
        </w:rPr>
        <w:t>2007</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7</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spacing w:val="-1"/>
        </w:rPr>
        <w:t>27</w:t>
      </w:r>
      <w:r>
        <w:rPr>
          <w:rFonts w:ascii="宋体" w:hAnsi="宋体" w:cs="宋体" w:eastAsia="宋体" w:hint="default"/>
          <w:spacing w:val="-48"/>
        </w:rPr>
        <w:t> </w:t>
      </w:r>
      <w:r>
        <w:rPr>
          <w:rFonts w:ascii="宋体" w:hAnsi="宋体" w:cs="宋体" w:eastAsia="宋体" w:hint="default"/>
          <w:spacing w:val="-1"/>
        </w:rPr>
        <w:t>日与中国银行股份有限公司海淀支行中关村科技</w:t>
      </w:r>
      <w:r>
        <w:rPr>
          <w:rFonts w:ascii="宋体" w:hAnsi="宋体" w:cs="宋体" w:eastAsia="宋体" w:hint="default"/>
          <w:spacing w:val="-1"/>
        </w:rPr>
        <w:t> </w:t>
      </w:r>
      <w:r>
        <w:rPr>
          <w:rFonts w:ascii="宋体" w:hAnsi="宋体" w:cs="宋体" w:eastAsia="宋体" w:hint="default"/>
          <w:spacing w:val="-2"/>
        </w:rPr>
        <w:t>园区支行、平安证券有限责任公司签署了《募集资金专户存储三方监管协议》，实施本</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2"/>
        </w:rPr>
        <w:t>次非公开发行股票募集资金项目的公司下属子公司沈阳同方多媒体科技有限公司、同方</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4"/>
        </w:rPr>
        <w:t>工业有限公司也制定了专户存储制度，并签署了《募集资金专户存储三方监管协议》。</w:t>
      </w:r>
    </w:p>
    <w:p>
      <w:pPr>
        <w:spacing w:line="240" w:lineRule="auto" w:before="8"/>
        <w:rPr>
          <w:rFonts w:ascii="宋体" w:hAnsi="宋体" w:cs="宋体" w:eastAsia="宋体" w:hint="default"/>
          <w:sz w:val="23"/>
          <w:szCs w:val="23"/>
        </w:rPr>
      </w:pPr>
    </w:p>
    <w:p>
      <w:pPr>
        <w:spacing w:line="475" w:lineRule="auto" w:before="0"/>
        <w:ind w:left="238" w:right="5330" w:firstLine="0"/>
        <w:jc w:val="left"/>
        <w:rPr>
          <w:rFonts w:ascii="宋体" w:hAnsi="宋体" w:cs="宋体" w:eastAsia="宋体" w:hint="default"/>
          <w:sz w:val="24"/>
          <w:szCs w:val="24"/>
        </w:rPr>
      </w:pPr>
      <w:r>
        <w:rPr>
          <w:rFonts w:ascii="宋体" w:hAnsi="宋体" w:cs="宋体" w:eastAsia="宋体" w:hint="default"/>
          <w:b/>
          <w:bCs/>
          <w:sz w:val="24"/>
          <w:szCs w:val="24"/>
        </w:rPr>
        <w:t>(三)本年度募集资金的实际使用情况</w:t>
      </w:r>
      <w:r>
        <w:rPr>
          <w:rFonts w:ascii="宋体" w:hAnsi="宋体" w:cs="宋体" w:eastAsia="宋体" w:hint="default"/>
          <w:b/>
          <w:bCs/>
          <w:spacing w:val="1"/>
          <w:w w:val="99"/>
          <w:sz w:val="24"/>
          <w:szCs w:val="24"/>
        </w:rPr>
        <w:t> </w:t>
      </w:r>
      <w:r>
        <w:rPr>
          <w:rFonts w:ascii="宋体" w:hAnsi="宋体" w:cs="宋体" w:eastAsia="宋体" w:hint="default"/>
          <w:sz w:val="24"/>
          <w:szCs w:val="24"/>
        </w:rPr>
        <w:t>募集资金投资具体投资项目如下：</w:t>
      </w:r>
    </w:p>
    <w:p>
      <w:pPr>
        <w:spacing w:line="240" w:lineRule="auto" w:before="7"/>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917"/>
        <w:gridCol w:w="1931"/>
        <w:gridCol w:w="2299"/>
        <w:gridCol w:w="1402"/>
        <w:gridCol w:w="1343"/>
        <w:gridCol w:w="1280"/>
      </w:tblGrid>
      <w:tr>
        <w:trPr>
          <w:trHeight w:val="567" w:hRule="exact"/>
        </w:trPr>
        <w:tc>
          <w:tcPr>
            <w:tcW w:w="91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2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项目内容</w:t>
            </w:r>
            <w:r>
              <w:rPr>
                <w:rFonts w:ascii="宋体" w:hAnsi="宋体" w:cs="宋体" w:eastAsia="宋体" w:hint="default"/>
                <w:sz w:val="21"/>
                <w:szCs w:val="21"/>
              </w:rPr>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投资总额(万</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sz w:val="21"/>
                <w:szCs w:val="21"/>
              </w:rPr>
            </w:r>
          </w:p>
        </w:tc>
        <w:tc>
          <w:tcPr>
            <w:tcW w:w="134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累计投资额</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280"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尚未投入金</w:t>
            </w:r>
            <w:r>
              <w:rPr>
                <w:rFonts w:ascii="宋体" w:hAnsi="宋体" w:cs="宋体" w:eastAsia="宋体" w:hint="default"/>
                <w:sz w:val="21"/>
                <w:szCs w:val="21"/>
              </w:rPr>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额(万元)</w:t>
            </w:r>
            <w:r>
              <w:rPr>
                <w:rFonts w:ascii="宋体" w:hAnsi="宋体" w:cs="宋体" w:eastAsia="宋体" w:hint="default"/>
                <w:sz w:val="21"/>
                <w:szCs w:val="21"/>
              </w:rPr>
            </w:r>
          </w:p>
        </w:tc>
      </w:tr>
      <w:tr>
        <w:trPr>
          <w:trHeight w:val="560"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sz w:val="21"/>
              </w:rPr>
              <w:t>1</w:t>
            </w:r>
          </w:p>
        </w:tc>
        <w:tc>
          <w:tcPr>
            <w:tcW w:w="4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 ezONE</w:t>
            </w:r>
            <w:r>
              <w:rPr>
                <w:rFonts w:ascii="宋体" w:hAnsi="宋体" w:cs="宋体" w:eastAsia="宋体" w:hint="default"/>
                <w:spacing w:val="-82"/>
                <w:sz w:val="21"/>
                <w:szCs w:val="21"/>
              </w:rPr>
              <w:t> </w:t>
            </w:r>
            <w:r>
              <w:rPr>
                <w:rFonts w:ascii="宋体" w:hAnsi="宋体" w:cs="宋体" w:eastAsia="宋体" w:hint="default"/>
                <w:sz w:val="21"/>
                <w:szCs w:val="21"/>
              </w:rPr>
              <w:t>业务基础平台的数字城市应用技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术与信息系统开发与产业化</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50,000.00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50,394.63</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832"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2</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5"/>
              <w:jc w:val="left"/>
              <w:rPr>
                <w:rFonts w:ascii="宋体" w:hAnsi="宋体" w:cs="宋体" w:eastAsia="宋体" w:hint="default"/>
                <w:sz w:val="21"/>
                <w:szCs w:val="21"/>
              </w:rPr>
            </w:pPr>
            <w:r>
              <w:rPr>
                <w:rFonts w:ascii="宋体" w:hAnsi="宋体" w:cs="宋体" w:eastAsia="宋体" w:hint="default"/>
                <w:spacing w:val="4"/>
                <w:sz w:val="21"/>
                <w:szCs w:val="21"/>
              </w:rPr>
              <w:t>增资沈阳同方多媒 </w:t>
            </w:r>
            <w:r>
              <w:rPr>
                <w:rFonts w:ascii="宋体" w:hAnsi="宋体" w:cs="宋体" w:eastAsia="宋体" w:hint="default"/>
                <w:sz w:val="21"/>
                <w:szCs w:val="21"/>
              </w:rPr>
              <w:t>体科技有限公司</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用于数字电视终端系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0" w:right="74"/>
              <w:jc w:val="left"/>
              <w:rPr>
                <w:rFonts w:ascii="宋体" w:hAnsi="宋体" w:cs="宋体" w:eastAsia="宋体" w:hint="default"/>
                <w:sz w:val="21"/>
                <w:szCs w:val="21"/>
              </w:rPr>
            </w:pPr>
            <w:r>
              <w:rPr>
                <w:rFonts w:ascii="宋体" w:hAnsi="宋体" w:cs="宋体" w:eastAsia="宋体" w:hint="default"/>
                <w:spacing w:val="21"/>
                <w:sz w:val="21"/>
                <w:szCs w:val="21"/>
              </w:rPr>
              <w:t>统产品产业化生产基</w:t>
            </w:r>
            <w:r>
              <w:rPr>
                <w:rFonts w:ascii="宋体" w:hAnsi="宋体" w:cs="宋体" w:eastAsia="宋体" w:hint="default"/>
                <w:spacing w:val="-102"/>
                <w:sz w:val="21"/>
                <w:szCs w:val="21"/>
              </w:rPr>
              <w:t> </w:t>
            </w:r>
            <w:r>
              <w:rPr>
                <w:rFonts w:ascii="宋体" w:hAnsi="宋体" w:cs="宋体" w:eastAsia="宋体" w:hint="default"/>
                <w:sz w:val="21"/>
                <w:szCs w:val="21"/>
              </w:rPr>
              <w:t>地项目</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22,880.00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22,880.00</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0</w:t>
            </w:r>
          </w:p>
        </w:tc>
      </w:tr>
      <w:tr>
        <w:trPr>
          <w:trHeight w:val="832"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3</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5"/>
              <w:jc w:val="left"/>
              <w:rPr>
                <w:rFonts w:ascii="宋体" w:hAnsi="宋体" w:cs="宋体" w:eastAsia="宋体" w:hint="default"/>
                <w:sz w:val="21"/>
                <w:szCs w:val="21"/>
              </w:rPr>
            </w:pPr>
            <w:r>
              <w:rPr>
                <w:rFonts w:ascii="宋体" w:hAnsi="宋体" w:cs="宋体" w:eastAsia="宋体" w:hint="default"/>
                <w:spacing w:val="4"/>
                <w:sz w:val="21"/>
                <w:szCs w:val="21"/>
              </w:rPr>
              <w:t>增资同方工业有限 </w:t>
            </w:r>
            <w:r>
              <w:rPr>
                <w:rFonts w:ascii="宋体" w:hAnsi="宋体" w:cs="宋体" w:eastAsia="宋体" w:hint="default"/>
                <w:sz w:val="21"/>
                <w:szCs w:val="21"/>
              </w:rPr>
              <w:t>公司</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用于军民用数字化综</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0" w:right="74"/>
              <w:jc w:val="left"/>
              <w:rPr>
                <w:rFonts w:ascii="宋体" w:hAnsi="宋体" w:cs="宋体" w:eastAsia="宋体" w:hint="default"/>
                <w:sz w:val="21"/>
                <w:szCs w:val="21"/>
              </w:rPr>
            </w:pPr>
            <w:r>
              <w:rPr>
                <w:rFonts w:ascii="宋体" w:hAnsi="宋体" w:cs="宋体" w:eastAsia="宋体" w:hint="default"/>
                <w:spacing w:val="21"/>
                <w:sz w:val="21"/>
                <w:szCs w:val="21"/>
              </w:rPr>
              <w:t>合通信系统研发产业</w:t>
            </w:r>
            <w:r>
              <w:rPr>
                <w:rFonts w:ascii="宋体" w:hAnsi="宋体" w:cs="宋体" w:eastAsia="宋体" w:hint="default"/>
                <w:spacing w:val="-102"/>
                <w:sz w:val="21"/>
                <w:szCs w:val="21"/>
              </w:rPr>
              <w:t> </w:t>
            </w:r>
            <w:r>
              <w:rPr>
                <w:rFonts w:ascii="宋体" w:hAnsi="宋体" w:cs="宋体" w:eastAsia="宋体" w:hint="default"/>
                <w:sz w:val="21"/>
                <w:szCs w:val="21"/>
              </w:rPr>
              <w:t>化项目</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0</w:t>
            </w:r>
          </w:p>
        </w:tc>
      </w:tr>
      <w:tr>
        <w:trPr>
          <w:trHeight w:val="288"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4</w:t>
            </w:r>
          </w:p>
        </w:tc>
        <w:tc>
          <w:tcPr>
            <w:tcW w:w="4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30,000.00</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0</w:t>
            </w:r>
          </w:p>
        </w:tc>
      </w:tr>
      <w:tr>
        <w:trPr>
          <w:trHeight w:val="357" w:hRule="exact"/>
        </w:trPr>
        <w:tc>
          <w:tcPr>
            <w:tcW w:w="5147"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6"/>
              <w:jc w:val="right"/>
              <w:rPr>
                <w:rFonts w:ascii="宋体" w:hAnsi="宋体" w:cs="宋体" w:eastAsia="宋体" w:hint="default"/>
                <w:sz w:val="21"/>
                <w:szCs w:val="21"/>
              </w:rPr>
            </w:pPr>
            <w:r>
              <w:rPr>
                <w:rFonts w:ascii="宋体"/>
                <w:spacing w:val="-1"/>
                <w:sz w:val="21"/>
              </w:rPr>
              <w:t>122,880.00</w:t>
            </w:r>
          </w:p>
        </w:tc>
        <w:tc>
          <w:tcPr>
            <w:tcW w:w="134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7"/>
              <w:jc w:val="right"/>
              <w:rPr>
                <w:rFonts w:ascii="宋体" w:hAnsi="宋体" w:cs="宋体" w:eastAsia="宋体" w:hint="default"/>
                <w:sz w:val="21"/>
                <w:szCs w:val="21"/>
              </w:rPr>
            </w:pPr>
            <w:r>
              <w:rPr>
                <w:rFonts w:ascii="宋体"/>
                <w:spacing w:val="-1"/>
                <w:sz w:val="21"/>
              </w:rPr>
              <w:t>123,274.63</w:t>
            </w:r>
          </w:p>
        </w:tc>
        <w:tc>
          <w:tcPr>
            <w:tcW w:w="1280"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right="90"/>
              <w:jc w:val="right"/>
              <w:rPr>
                <w:rFonts w:ascii="宋体" w:hAnsi="宋体" w:cs="宋体" w:eastAsia="宋体" w:hint="default"/>
                <w:sz w:val="21"/>
                <w:szCs w:val="21"/>
              </w:rPr>
            </w:pPr>
            <w:r>
              <w:rPr>
                <w:rFonts w:ascii="宋体"/>
                <w:sz w:val="21"/>
              </w:rPr>
              <w:t>0</w:t>
            </w:r>
          </w:p>
        </w:tc>
      </w:tr>
    </w:tbl>
    <w:p>
      <w:pPr>
        <w:spacing w:line="240" w:lineRule="exact" w:before="0"/>
        <w:ind w:left="238" w:right="121" w:firstLine="0"/>
        <w:jc w:val="left"/>
        <w:rPr>
          <w:rFonts w:ascii="宋体" w:hAnsi="宋体" w:cs="宋体" w:eastAsia="宋体" w:hint="default"/>
          <w:sz w:val="21"/>
          <w:szCs w:val="21"/>
        </w:rPr>
      </w:pPr>
      <w:r>
        <w:rPr>
          <w:rFonts w:ascii="宋体" w:hAnsi="宋体" w:cs="宋体" w:eastAsia="宋体" w:hint="default"/>
          <w:sz w:val="21"/>
          <w:szCs w:val="21"/>
        </w:rPr>
        <w:t>注：累计投资额超出募集资金部分系募集资金产生的利息收入投入到项目中所致。</w:t>
      </w:r>
    </w:p>
    <w:p>
      <w:pPr>
        <w:spacing w:after="0" w:line="240" w:lineRule="exact"/>
        <w:jc w:val="left"/>
        <w:rPr>
          <w:rFonts w:ascii="宋体" w:hAnsi="宋体" w:cs="宋体" w:eastAsia="宋体" w:hint="default"/>
          <w:sz w:val="21"/>
          <w:szCs w:val="21"/>
        </w:rPr>
        <w:sectPr>
          <w:headerReference w:type="default" r:id="rId47"/>
          <w:footerReference w:type="default" r:id="rId48"/>
          <w:pgSz w:w="11910" w:h="16840"/>
          <w:pgMar w:header="0" w:footer="1124" w:top="1600" w:bottom="1320" w:left="1180" w:right="1280"/>
          <w:pgNumType w:start="1"/>
        </w:sectPr>
      </w:pPr>
    </w:p>
    <w:p>
      <w:pPr>
        <w:pStyle w:val="BodyText"/>
        <w:spacing w:line="240" w:lineRule="auto" w:before="62"/>
        <w:ind w:left="238" w:right="690"/>
        <w:jc w:val="left"/>
        <w:rPr>
          <w:rFonts w:ascii="宋体" w:hAnsi="宋体" w:cs="宋体" w:eastAsia="宋体" w:hint="default"/>
        </w:rPr>
      </w:pPr>
      <w:r>
        <w:rPr>
          <w:rFonts w:ascii="宋体" w:hAnsi="宋体" w:cs="宋体" w:eastAsia="宋体" w:hint="default"/>
        </w:rPr>
        <w:t>本年度，募集资金承诺项目投资以及收益情况如下：</w:t>
      </w:r>
    </w:p>
    <w:p>
      <w:pPr>
        <w:spacing w:line="240" w:lineRule="auto" w:before="1"/>
        <w:rPr>
          <w:rFonts w:ascii="宋体" w:hAnsi="宋体" w:cs="宋体" w:eastAsia="宋体" w:hint="default"/>
          <w:sz w:val="21"/>
          <w:szCs w:val="21"/>
        </w:rPr>
      </w:pPr>
    </w:p>
    <w:p>
      <w:pPr>
        <w:spacing w:before="35"/>
        <w:ind w:left="0" w:right="954"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36"/>
        <w:gridCol w:w="1190"/>
        <w:gridCol w:w="886"/>
        <w:gridCol w:w="1242"/>
        <w:gridCol w:w="1027"/>
        <w:gridCol w:w="1294"/>
        <w:gridCol w:w="1061"/>
        <w:gridCol w:w="1058"/>
      </w:tblGrid>
      <w:tr>
        <w:trPr>
          <w:trHeight w:val="502" w:hRule="exact"/>
        </w:trPr>
        <w:tc>
          <w:tcPr>
            <w:tcW w:w="223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561"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25" w:right="109" w:hanging="11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年度拟</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88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3" w:right="161" w:firstLine="1"/>
              <w:jc w:val="left"/>
              <w:rPr>
                <w:rFonts w:ascii="宋体" w:hAnsi="宋体" w:cs="宋体" w:eastAsia="宋体" w:hint="default"/>
                <w:sz w:val="18"/>
                <w:szCs w:val="18"/>
              </w:rPr>
            </w:pPr>
            <w:r>
              <w:rPr>
                <w:rFonts w:ascii="宋体" w:hAnsi="宋体" w:cs="宋体" w:eastAsia="宋体" w:hint="default"/>
                <w:b/>
                <w:bCs/>
                <w:sz w:val="18"/>
                <w:szCs w:val="18"/>
              </w:rPr>
              <w:t>是否变</w:t>
            </w:r>
            <w:r>
              <w:rPr>
                <w:rFonts w:ascii="宋体" w:hAnsi="宋体" w:cs="宋体" w:eastAsia="宋体" w:hint="default"/>
                <w:b/>
                <w:bCs/>
                <w:spacing w:val="1"/>
                <w:w w:val="99"/>
                <w:sz w:val="18"/>
                <w:szCs w:val="18"/>
              </w:rPr>
              <w:t> </w:t>
            </w:r>
            <w:r>
              <w:rPr>
                <w:rFonts w:ascii="宋体" w:hAnsi="宋体" w:cs="宋体" w:eastAsia="宋体" w:hint="default"/>
                <w:b/>
                <w:bCs/>
                <w:sz w:val="18"/>
                <w:szCs w:val="18"/>
              </w:rPr>
              <w:t>更项目</w:t>
            </w:r>
            <w:r>
              <w:rPr>
                <w:rFonts w:ascii="宋体" w:hAnsi="宋体" w:cs="宋体" w:eastAsia="宋体" w:hint="default"/>
                <w:sz w:val="18"/>
                <w:szCs w:val="18"/>
              </w:rPr>
            </w:r>
          </w:p>
        </w:tc>
        <w:tc>
          <w:tcPr>
            <w:tcW w:w="124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0" w:right="136" w:hanging="2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年度实</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际投入金额</w:t>
            </w:r>
            <w:r>
              <w:rPr>
                <w:rFonts w:ascii="宋体" w:hAnsi="宋体" w:cs="宋体" w:eastAsia="宋体" w:hint="default"/>
                <w:sz w:val="18"/>
                <w:szCs w:val="18"/>
              </w:rPr>
            </w:r>
          </w:p>
        </w:tc>
        <w:tc>
          <w:tcPr>
            <w:tcW w:w="10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44"/>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29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87" w:right="161" w:hanging="2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年度产</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生收益情况</w:t>
            </w:r>
            <w:r>
              <w:rPr>
                <w:rFonts w:ascii="宋体" w:hAnsi="宋体" w:cs="宋体" w:eastAsia="宋体" w:hint="default"/>
                <w:sz w:val="18"/>
                <w:szCs w:val="18"/>
              </w:rPr>
            </w:r>
          </w:p>
        </w:tc>
        <w:tc>
          <w:tcPr>
            <w:tcW w:w="106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0" w:right="160" w:firstLine="1"/>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计划进度</w:t>
            </w:r>
            <w:r>
              <w:rPr>
                <w:rFonts w:ascii="宋体" w:hAnsi="宋体" w:cs="宋体" w:eastAsia="宋体" w:hint="default"/>
                <w:sz w:val="18"/>
                <w:szCs w:val="18"/>
              </w:rPr>
            </w:r>
          </w:p>
        </w:tc>
        <w:tc>
          <w:tcPr>
            <w:tcW w:w="1058"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59" w:right="150" w:firstLine="1"/>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预计收益</w:t>
            </w:r>
            <w:r>
              <w:rPr>
                <w:rFonts w:ascii="宋体" w:hAnsi="宋体" w:cs="宋体" w:eastAsia="宋体" w:hint="default"/>
                <w:sz w:val="18"/>
                <w:szCs w:val="18"/>
              </w:rPr>
            </w:r>
          </w:p>
        </w:tc>
      </w:tr>
      <w:tr>
        <w:trPr>
          <w:trHeight w:val="736" w:hRule="exact"/>
        </w:trPr>
        <w:tc>
          <w:tcPr>
            <w:tcW w:w="223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6"/>
              <w:jc w:val="both"/>
              <w:rPr>
                <w:rFonts w:ascii="宋体" w:hAnsi="宋体" w:cs="宋体" w:eastAsia="宋体" w:hint="default"/>
                <w:sz w:val="18"/>
                <w:szCs w:val="18"/>
              </w:rPr>
            </w:pPr>
            <w:r>
              <w:rPr>
                <w:rFonts w:ascii="宋体" w:hAnsi="宋体" w:cs="宋体" w:eastAsia="宋体" w:hint="default"/>
                <w:sz w:val="18"/>
                <w:szCs w:val="18"/>
              </w:rPr>
              <w:t>基于 ezONE</w:t>
            </w:r>
            <w:r>
              <w:rPr>
                <w:rFonts w:ascii="宋体" w:hAnsi="宋体" w:cs="宋体" w:eastAsia="宋体" w:hint="default"/>
                <w:spacing w:val="-52"/>
                <w:sz w:val="18"/>
                <w:szCs w:val="18"/>
              </w:rPr>
              <w:t> </w:t>
            </w:r>
            <w:r>
              <w:rPr>
                <w:rFonts w:ascii="宋体" w:hAnsi="宋体" w:cs="宋体" w:eastAsia="宋体" w:hint="default"/>
                <w:sz w:val="18"/>
                <w:szCs w:val="18"/>
              </w:rPr>
              <w:t>业务基础平台</w:t>
            </w:r>
            <w:r>
              <w:rPr>
                <w:rFonts w:ascii="宋体" w:hAnsi="宋体" w:cs="宋体" w:eastAsia="宋体" w:hint="default"/>
                <w:sz w:val="18"/>
                <w:szCs w:val="18"/>
              </w:rPr>
              <w:t> </w:t>
            </w:r>
            <w:r>
              <w:rPr>
                <w:rFonts w:ascii="宋体" w:hAnsi="宋体" w:cs="宋体" w:eastAsia="宋体" w:hint="default"/>
                <w:spacing w:val="3"/>
                <w:sz w:val="18"/>
                <w:szCs w:val="18"/>
              </w:rPr>
              <w:t>的数字城市应用技术与信</w:t>
            </w:r>
            <w:r>
              <w:rPr>
                <w:rFonts w:ascii="宋体" w:hAnsi="宋体" w:cs="宋体" w:eastAsia="宋体" w:hint="default"/>
                <w:spacing w:val="3"/>
                <w:sz w:val="18"/>
                <w:szCs w:val="18"/>
              </w:rPr>
              <w:t> </w:t>
            </w:r>
            <w:r>
              <w:rPr>
                <w:rFonts w:ascii="宋体" w:hAnsi="宋体" w:cs="宋体" w:eastAsia="宋体" w:hint="default"/>
                <w:sz w:val="18"/>
                <w:szCs w:val="18"/>
              </w:rPr>
              <w:t>息系统开发与产业化</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12,529.76</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6,960.00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6,946.79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4" w:hRule="exact"/>
        </w:trPr>
        <w:tc>
          <w:tcPr>
            <w:tcW w:w="223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6"/>
              <w:jc w:val="both"/>
              <w:rPr>
                <w:rFonts w:ascii="宋体" w:hAnsi="宋体" w:cs="宋体" w:eastAsia="宋体" w:hint="default"/>
                <w:sz w:val="18"/>
                <w:szCs w:val="18"/>
              </w:rPr>
            </w:pPr>
            <w:r>
              <w:rPr>
                <w:rFonts w:ascii="宋体" w:hAnsi="宋体" w:cs="宋体" w:eastAsia="宋体" w:hint="default"/>
                <w:spacing w:val="3"/>
                <w:sz w:val="18"/>
                <w:szCs w:val="18"/>
              </w:rPr>
              <w:t>增资沈阳同方多媒体科技 </w:t>
            </w:r>
            <w:r>
              <w:rPr>
                <w:rFonts w:ascii="宋体" w:hAnsi="宋体" w:cs="宋体" w:eastAsia="宋体" w:hint="default"/>
                <w:sz w:val="18"/>
                <w:szCs w:val="18"/>
              </w:rPr>
              <w:t>有限公司 2.288</w:t>
            </w:r>
            <w:r>
              <w:rPr>
                <w:rFonts w:ascii="宋体" w:hAnsi="宋体" w:cs="宋体" w:eastAsia="宋体" w:hint="default"/>
                <w:spacing w:val="-52"/>
                <w:sz w:val="18"/>
                <w:szCs w:val="18"/>
              </w:rPr>
              <w:t> </w:t>
            </w:r>
            <w:r>
              <w:rPr>
                <w:rFonts w:ascii="宋体" w:hAnsi="宋体" w:cs="宋体" w:eastAsia="宋体" w:hint="default"/>
                <w:sz w:val="18"/>
                <w:szCs w:val="18"/>
              </w:rPr>
              <w:t>亿元用于</w:t>
            </w:r>
            <w:r>
              <w:rPr>
                <w:rFonts w:ascii="宋体" w:hAnsi="宋体" w:cs="宋体" w:eastAsia="宋体" w:hint="default"/>
                <w:sz w:val="18"/>
                <w:szCs w:val="18"/>
              </w:rPr>
              <w:t> </w:t>
            </w:r>
            <w:r>
              <w:rPr>
                <w:rFonts w:ascii="宋体" w:hAnsi="宋体" w:cs="宋体" w:eastAsia="宋体" w:hint="default"/>
                <w:spacing w:val="3"/>
                <w:sz w:val="18"/>
                <w:szCs w:val="18"/>
              </w:rPr>
              <w:t>数字电视终端系统产品产</w:t>
            </w:r>
            <w:r>
              <w:rPr>
                <w:rFonts w:ascii="宋体" w:hAnsi="宋体" w:cs="宋体" w:eastAsia="宋体" w:hint="default"/>
                <w:spacing w:val="3"/>
                <w:sz w:val="18"/>
                <w:szCs w:val="18"/>
              </w:rPr>
              <w:t> </w:t>
            </w:r>
            <w:r>
              <w:rPr>
                <w:rFonts w:ascii="宋体" w:hAnsi="宋体" w:cs="宋体" w:eastAsia="宋体" w:hint="default"/>
                <w:sz w:val="18"/>
                <w:szCs w:val="18"/>
              </w:rPr>
              <w:t>业化生产基地项目</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8,225.00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202.33</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6" w:hRule="exact"/>
        </w:trPr>
        <w:tc>
          <w:tcPr>
            <w:tcW w:w="223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20"/>
              <w:jc w:val="both"/>
              <w:rPr>
                <w:rFonts w:ascii="宋体" w:hAnsi="宋体" w:cs="宋体" w:eastAsia="宋体" w:hint="default"/>
                <w:sz w:val="18"/>
                <w:szCs w:val="18"/>
              </w:rPr>
            </w:pPr>
            <w:r>
              <w:rPr>
                <w:rFonts w:ascii="宋体" w:hAnsi="宋体" w:cs="宋体" w:eastAsia="宋体" w:hint="default"/>
                <w:sz w:val="18"/>
                <w:szCs w:val="18"/>
              </w:rPr>
              <w:t>增资同方工业有限公司</w:t>
            </w:r>
            <w:r>
              <w:rPr>
                <w:rFonts w:ascii="宋体" w:hAnsi="宋体" w:cs="宋体" w:eastAsia="宋体" w:hint="default"/>
                <w:spacing w:val="-63"/>
                <w:sz w:val="18"/>
                <w:szCs w:val="18"/>
              </w:rPr>
              <w:t> </w:t>
            </w: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亿</w:t>
            </w:r>
            <w:r>
              <w:rPr>
                <w:rFonts w:ascii="宋体" w:hAnsi="宋体" w:cs="宋体" w:eastAsia="宋体" w:hint="default"/>
                <w:sz w:val="18"/>
                <w:szCs w:val="18"/>
              </w:rPr>
              <w:t> </w:t>
            </w:r>
            <w:r>
              <w:rPr>
                <w:rFonts w:ascii="宋体" w:hAnsi="宋体" w:cs="宋体" w:eastAsia="宋体" w:hint="default"/>
                <w:spacing w:val="14"/>
                <w:sz w:val="18"/>
                <w:szCs w:val="18"/>
              </w:rPr>
              <w:t>元用于军民用数字化综合</w:t>
            </w:r>
            <w:r>
              <w:rPr>
                <w:rFonts w:ascii="宋体" w:hAnsi="宋体" w:cs="宋体" w:eastAsia="宋体" w:hint="default"/>
                <w:spacing w:val="14"/>
                <w:sz w:val="18"/>
                <w:szCs w:val="18"/>
              </w:rPr>
              <w:t> </w:t>
            </w:r>
            <w:r>
              <w:rPr>
                <w:rFonts w:ascii="宋体" w:hAnsi="宋体" w:cs="宋体" w:eastAsia="宋体" w:hint="default"/>
                <w:sz w:val="18"/>
                <w:szCs w:val="18"/>
              </w:rPr>
              <w:t>通信系统研发产业化项目</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3,549.30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3,571.79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2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12,529.76</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18,734.30</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10,720.91</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5"/>
          <w:szCs w:val="15"/>
        </w:rPr>
      </w:pPr>
    </w:p>
    <w:p>
      <w:pPr>
        <w:pStyle w:val="Heading3"/>
        <w:spacing w:line="312" w:lineRule="exact" w:before="56"/>
        <w:ind w:left="238" w:right="690"/>
        <w:jc w:val="left"/>
        <w:rPr>
          <w:rFonts w:ascii="宋体" w:hAnsi="宋体" w:cs="宋体" w:eastAsia="宋体" w:hint="default"/>
          <w:b w:val="0"/>
          <w:bCs w:val="0"/>
        </w:rPr>
      </w:pPr>
      <w:r>
        <w:rPr>
          <w:rFonts w:ascii="宋体" w:hAnsi="宋体" w:cs="宋体" w:eastAsia="宋体" w:hint="default"/>
        </w:rPr>
        <w:t>(1)投资</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2"/>
        </w:rPr>
        <w:t> </w:t>
      </w:r>
      <w:r>
        <w:rPr>
          <w:rFonts w:ascii="宋体" w:hAnsi="宋体" w:cs="宋体" w:eastAsia="宋体" w:hint="default"/>
        </w:rPr>
        <w:t>亿元用于基于</w:t>
      </w:r>
      <w:r>
        <w:rPr>
          <w:rFonts w:ascii="宋体" w:hAnsi="宋体" w:cs="宋体" w:eastAsia="宋体" w:hint="default"/>
          <w:spacing w:val="-61"/>
        </w:rPr>
        <w:t> </w:t>
      </w:r>
      <w:r>
        <w:rPr>
          <w:rFonts w:ascii="宋体" w:hAnsi="宋体" w:cs="宋体" w:eastAsia="宋体" w:hint="default"/>
        </w:rPr>
        <w:t>ezONE</w:t>
      </w:r>
      <w:r>
        <w:rPr>
          <w:rFonts w:ascii="宋体" w:hAnsi="宋体" w:cs="宋体" w:eastAsia="宋体" w:hint="default"/>
          <w:spacing w:val="-61"/>
        </w:rPr>
        <w:t> </w:t>
      </w:r>
      <w:r>
        <w:rPr>
          <w:rFonts w:ascii="宋体" w:hAnsi="宋体" w:cs="宋体" w:eastAsia="宋体" w:hint="default"/>
        </w:rPr>
        <w:t>业务基础平台的数字城市应用技术与信息系统开发与产</w:t>
      </w:r>
      <w:r>
        <w:rPr>
          <w:rFonts w:ascii="宋体" w:hAnsi="宋体" w:cs="宋体" w:eastAsia="宋体" w:hint="default"/>
          <w:w w:val="99"/>
        </w:rPr>
        <w:t> </w:t>
      </w:r>
      <w:r>
        <w:rPr>
          <w:rFonts w:ascii="宋体" w:hAnsi="宋体" w:cs="宋体" w:eastAsia="宋体" w:hint="default"/>
        </w:rPr>
        <w:t>业化项目</w:t>
      </w:r>
      <w:r>
        <w:rPr>
          <w:rFonts w:ascii="宋体" w:hAnsi="宋体" w:cs="宋体" w:eastAsia="宋体" w:hint="default"/>
          <w:b w:val="0"/>
          <w:bCs w:val="0"/>
        </w:rPr>
      </w:r>
    </w:p>
    <w:p>
      <w:pPr>
        <w:spacing w:line="240" w:lineRule="auto" w:before="9"/>
        <w:rPr>
          <w:rFonts w:ascii="宋体" w:hAnsi="宋体" w:cs="宋体" w:eastAsia="宋体" w:hint="default"/>
          <w:b/>
          <w:bCs/>
          <w:sz w:val="21"/>
          <w:szCs w:val="21"/>
        </w:rPr>
      </w:pPr>
    </w:p>
    <w:p>
      <w:pPr>
        <w:pStyle w:val="BodyText"/>
        <w:spacing w:line="237" w:lineRule="auto"/>
        <w:ind w:left="238" w:right="690"/>
        <w:jc w:val="left"/>
        <w:rPr>
          <w:rFonts w:ascii="宋体" w:hAnsi="宋体" w:cs="宋体" w:eastAsia="宋体" w:hint="default"/>
        </w:rPr>
      </w:pPr>
      <w:r>
        <w:rPr>
          <w:rFonts w:ascii="宋体" w:hAnsi="宋体" w:cs="宋体" w:eastAsia="宋体" w:hint="default"/>
        </w:rPr>
        <w:t>本公司拟投资</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spacing w:val="-8"/>
        </w:rPr>
        <w:t>亿元，用于基于</w:t>
      </w:r>
      <w:r>
        <w:rPr>
          <w:rFonts w:ascii="宋体" w:hAnsi="宋体" w:cs="宋体" w:eastAsia="宋体" w:hint="default"/>
          <w:spacing w:val="-60"/>
        </w:rPr>
        <w:t> </w:t>
      </w:r>
      <w:r>
        <w:rPr>
          <w:rFonts w:ascii="宋体" w:hAnsi="宋体" w:cs="宋体" w:eastAsia="宋体" w:hint="default"/>
        </w:rPr>
        <w:t>ezONE</w:t>
      </w:r>
      <w:r>
        <w:rPr>
          <w:rFonts w:ascii="宋体" w:hAnsi="宋体" w:cs="宋体" w:eastAsia="宋体" w:hint="default"/>
          <w:spacing w:val="-60"/>
        </w:rPr>
        <w:t> </w:t>
      </w:r>
      <w:r>
        <w:rPr>
          <w:rFonts w:ascii="宋体" w:hAnsi="宋体" w:cs="宋体" w:eastAsia="宋体" w:hint="default"/>
        </w:rPr>
        <w:t>业务基础平台的数字城市应用技术与信息系统开</w:t>
      </w:r>
      <w:r>
        <w:rPr>
          <w:rFonts w:ascii="宋体" w:hAnsi="宋体" w:cs="宋体" w:eastAsia="宋体" w:hint="default"/>
        </w:rPr>
        <w:t> </w:t>
      </w:r>
      <w:r>
        <w:rPr>
          <w:rFonts w:ascii="宋体" w:hAnsi="宋体" w:cs="宋体" w:eastAsia="宋体" w:hint="default"/>
          <w:spacing w:val="-3"/>
        </w:rPr>
        <w:t>发与产业化项目。项目基于“大集成管控营</w:t>
      </w:r>
      <w:r>
        <w:rPr>
          <w:rFonts w:ascii="宋体" w:hAnsi="宋体" w:cs="宋体" w:eastAsia="宋体" w:hint="default"/>
          <w:spacing w:val="-57"/>
        </w:rPr>
        <w:t> </w:t>
      </w:r>
      <w:r>
        <w:rPr>
          <w:rFonts w:ascii="宋体" w:hAnsi="宋体" w:cs="宋体" w:eastAsia="宋体" w:hint="default"/>
        </w:rPr>
        <w:t>DCM</w:t>
      </w:r>
      <w:r>
        <w:rPr>
          <w:rFonts w:ascii="宋体" w:hAnsi="宋体" w:cs="宋体" w:eastAsia="宋体" w:hint="default"/>
          <w:spacing w:val="-57"/>
        </w:rPr>
        <w:t> </w:t>
      </w:r>
      <w:r>
        <w:rPr>
          <w:rFonts w:ascii="宋体" w:hAnsi="宋体" w:cs="宋体" w:eastAsia="宋体" w:hint="default"/>
          <w:spacing w:val="-3"/>
        </w:rPr>
        <w:t>一体化”核心技术，通过各种通讯技术</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把各种末端设备、用户、应用软件和数据源连接到集成系统，实现对人和机器(M2M)的</w:t>
      </w:r>
      <w:r>
        <w:rPr>
          <w:rFonts w:ascii="宋体" w:hAnsi="宋体" w:cs="宋体" w:eastAsia="宋体" w:hint="default"/>
          <w:spacing w:val="-53"/>
        </w:rPr>
        <w:t> </w:t>
      </w:r>
      <w:r>
        <w:rPr>
          <w:rFonts w:ascii="宋体" w:hAnsi="宋体" w:cs="宋体" w:eastAsia="宋体" w:hint="default"/>
          <w:spacing w:val="-53"/>
        </w:rPr>
      </w:r>
      <w:r>
        <w:rPr>
          <w:rFonts w:ascii="宋体" w:hAnsi="宋体" w:cs="宋体" w:eastAsia="宋体" w:hint="default"/>
          <w:spacing w:val="-5"/>
        </w:rPr>
        <w:t>管理和服务，为数字城市复杂系统的开发提供了一个基本框架和实现方法。在此基础上，</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6"/>
        </w:rPr>
        <w:t>项目面向数字城市的智能楼宇、智能社区、电子政务、电子商务、城市安防、城市消防、</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5"/>
        </w:rPr>
        <w:t>智能交通、智能市政、城市应急、RFID</w:t>
      </w:r>
      <w:r>
        <w:rPr>
          <w:rFonts w:ascii="宋体" w:hAnsi="宋体" w:cs="宋体" w:eastAsia="宋体" w:hint="default"/>
          <w:spacing w:val="-66"/>
        </w:rPr>
        <w:t> </w:t>
      </w:r>
      <w:r>
        <w:rPr>
          <w:rFonts w:ascii="宋体" w:hAnsi="宋体" w:cs="宋体" w:eastAsia="宋体" w:hint="default"/>
        </w:rPr>
        <w:t>应用等各应用领域，开发与之相应的应用管理系</w:t>
      </w:r>
      <w:r>
        <w:rPr>
          <w:rFonts w:ascii="宋体" w:hAnsi="宋体" w:cs="宋体" w:eastAsia="宋体" w:hint="default"/>
        </w:rPr>
        <w:t> 统软件及其设备，支持数字城市不同层次的远程监视、控制、诊断；资产跟踪/供应链</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管理；集中数据处理和管理决策等业务模式，满足社会大众、企业、政府在任何时间、</w:t>
      </w:r>
      <w:r>
        <w:rPr>
          <w:rFonts w:ascii="宋体" w:hAnsi="宋体" w:cs="宋体" w:eastAsia="宋体" w:hint="default"/>
        </w:rPr>
        <w:t> 任何地点都能够通过最简便的方法得到其所需要的个性化服务。</w:t>
      </w:r>
    </w:p>
    <w:p>
      <w:pPr>
        <w:spacing w:line="240" w:lineRule="auto" w:before="7"/>
        <w:rPr>
          <w:rFonts w:ascii="宋体" w:hAnsi="宋体" w:cs="宋体" w:eastAsia="宋体" w:hint="default"/>
          <w:sz w:val="23"/>
          <w:szCs w:val="23"/>
        </w:rPr>
      </w:pPr>
    </w:p>
    <w:p>
      <w:pPr>
        <w:pStyle w:val="BodyText"/>
        <w:spacing w:line="313" w:lineRule="exact"/>
        <w:ind w:left="238" w:right="690"/>
        <w:jc w:val="left"/>
        <w:rPr>
          <w:rFonts w:ascii="宋体" w:hAnsi="宋体" w:cs="宋体" w:eastAsia="宋体" w:hint="default"/>
        </w:rPr>
      </w:pPr>
      <w:r>
        <w:rPr>
          <w:rFonts w:ascii="宋体" w:hAnsi="宋体" w:cs="宋体" w:eastAsia="宋体" w:hint="default"/>
        </w:rPr>
        <w:t>本报告期内，该项目已经全部完成投入,本年度对该项目共投资 12,529.76</w:t>
      </w:r>
      <w:r>
        <w:rPr>
          <w:rFonts w:ascii="宋体" w:hAnsi="宋体" w:cs="宋体" w:eastAsia="宋体" w:hint="default"/>
          <w:spacing w:val="-52"/>
        </w:rPr>
        <w:t> </w:t>
      </w:r>
      <w:r>
        <w:rPr>
          <w:rFonts w:ascii="宋体" w:hAnsi="宋体" w:cs="宋体" w:eastAsia="宋体" w:hint="default"/>
        </w:rPr>
        <w:t>万元。本年</w:t>
      </w:r>
    </w:p>
    <w:p>
      <w:pPr>
        <w:pStyle w:val="BodyText"/>
        <w:spacing w:line="313" w:lineRule="exact"/>
        <w:ind w:left="238" w:right="690"/>
        <w:jc w:val="left"/>
        <w:rPr>
          <w:rFonts w:ascii="宋体" w:hAnsi="宋体" w:cs="宋体" w:eastAsia="宋体" w:hint="default"/>
        </w:rPr>
      </w:pPr>
      <w:r>
        <w:rPr>
          <w:rFonts w:ascii="宋体" w:hAnsi="宋体" w:cs="宋体" w:eastAsia="宋体" w:hint="default"/>
        </w:rPr>
        <w:t>度，该项目承接的大量项目效益凸现，实现项目收益</w:t>
      </w:r>
      <w:r>
        <w:rPr>
          <w:rFonts w:ascii="宋体" w:hAnsi="宋体" w:cs="宋体" w:eastAsia="宋体" w:hint="default"/>
          <w:spacing w:val="-60"/>
        </w:rPr>
        <w:t> </w:t>
      </w:r>
      <w:r>
        <w:rPr>
          <w:rFonts w:ascii="宋体" w:hAnsi="宋体" w:cs="宋体" w:eastAsia="宋体" w:hint="default"/>
        </w:rPr>
        <w:t>6,946.79</w:t>
      </w:r>
      <w:r>
        <w:rPr>
          <w:rFonts w:ascii="宋体" w:hAnsi="宋体" w:cs="宋体" w:eastAsia="宋体" w:hint="default"/>
          <w:spacing w:val="-60"/>
        </w:rPr>
        <w:t> </w:t>
      </w:r>
      <w:r>
        <w:rPr>
          <w:rFonts w:ascii="宋体" w:hAnsi="宋体" w:cs="宋体" w:eastAsia="宋体" w:hint="default"/>
        </w:rPr>
        <w:t>万元。</w:t>
      </w:r>
    </w:p>
    <w:p>
      <w:pPr>
        <w:spacing w:line="240" w:lineRule="auto" w:before="11"/>
        <w:rPr>
          <w:rFonts w:ascii="宋体" w:hAnsi="宋体" w:cs="宋体" w:eastAsia="宋体" w:hint="default"/>
          <w:sz w:val="25"/>
          <w:szCs w:val="25"/>
        </w:rPr>
      </w:pPr>
    </w:p>
    <w:p>
      <w:pPr>
        <w:pStyle w:val="Heading3"/>
        <w:spacing w:line="312" w:lineRule="exact"/>
        <w:ind w:left="238" w:right="938"/>
        <w:jc w:val="left"/>
        <w:rPr>
          <w:rFonts w:ascii="宋体" w:hAnsi="宋体" w:cs="宋体" w:eastAsia="宋体" w:hint="default"/>
          <w:b w:val="0"/>
          <w:bCs w:val="0"/>
        </w:rPr>
      </w:pPr>
      <w:r>
        <w:rPr>
          <w:rFonts w:ascii="宋体" w:hAnsi="宋体" w:cs="宋体" w:eastAsia="宋体" w:hint="default"/>
        </w:rPr>
        <w:t>(2)增资沈阳同方多媒体科技有限公司 2.288</w:t>
      </w:r>
      <w:r>
        <w:rPr>
          <w:rFonts w:ascii="宋体" w:hAnsi="宋体" w:cs="宋体" w:eastAsia="宋体" w:hint="default"/>
          <w:spacing w:val="-92"/>
        </w:rPr>
        <w:t> </w:t>
      </w:r>
      <w:r>
        <w:rPr>
          <w:rFonts w:ascii="宋体" w:hAnsi="宋体" w:cs="宋体" w:eastAsia="宋体" w:hint="default"/>
        </w:rPr>
        <w:t>亿元用于数字电视终端系统产品产业化生</w:t>
      </w:r>
      <w:r>
        <w:rPr>
          <w:rFonts w:ascii="宋体" w:hAnsi="宋体" w:cs="宋体" w:eastAsia="宋体" w:hint="default"/>
          <w:spacing w:val="1"/>
          <w:w w:val="99"/>
        </w:rPr>
        <w:t> </w:t>
      </w:r>
      <w:r>
        <w:rPr>
          <w:rFonts w:ascii="宋体" w:hAnsi="宋体" w:cs="宋体" w:eastAsia="宋体" w:hint="default"/>
        </w:rPr>
        <w:t>产基地项目</w:t>
      </w:r>
      <w:r>
        <w:rPr>
          <w:rFonts w:ascii="宋体" w:hAnsi="宋体" w:cs="宋体" w:eastAsia="宋体" w:hint="default"/>
          <w:b w:val="0"/>
          <w:bCs w:val="0"/>
        </w:rPr>
      </w:r>
    </w:p>
    <w:p>
      <w:pPr>
        <w:spacing w:line="240" w:lineRule="auto" w:before="8"/>
        <w:rPr>
          <w:rFonts w:ascii="宋体" w:hAnsi="宋体" w:cs="宋体" w:eastAsia="宋体" w:hint="default"/>
          <w:b/>
          <w:bCs/>
          <w:sz w:val="21"/>
          <w:szCs w:val="21"/>
        </w:rPr>
      </w:pPr>
    </w:p>
    <w:p>
      <w:pPr>
        <w:pStyle w:val="BodyText"/>
        <w:spacing w:line="237" w:lineRule="auto"/>
        <w:ind w:left="238" w:right="954"/>
        <w:jc w:val="both"/>
        <w:rPr>
          <w:rFonts w:ascii="宋体" w:hAnsi="宋体" w:cs="宋体" w:eastAsia="宋体" w:hint="default"/>
        </w:rPr>
      </w:pPr>
      <w:r>
        <w:rPr>
          <w:rFonts w:ascii="宋体" w:hAnsi="宋体" w:cs="宋体" w:eastAsia="宋体" w:hint="default"/>
        </w:rPr>
        <w:t>公司拟投资</w:t>
      </w:r>
      <w:r>
        <w:rPr>
          <w:rFonts w:ascii="宋体" w:hAnsi="宋体" w:cs="宋体" w:eastAsia="宋体" w:hint="default"/>
          <w:spacing w:val="-86"/>
        </w:rPr>
        <w:t> </w:t>
      </w:r>
      <w:r>
        <w:rPr>
          <w:rFonts w:ascii="宋体" w:hAnsi="宋体" w:cs="宋体" w:eastAsia="宋体" w:hint="default"/>
        </w:rPr>
        <w:t>2.288</w:t>
      </w:r>
      <w:r>
        <w:rPr>
          <w:rFonts w:ascii="宋体" w:hAnsi="宋体" w:cs="宋体" w:eastAsia="宋体" w:hint="default"/>
          <w:spacing w:val="-86"/>
        </w:rPr>
        <w:t> </w:t>
      </w:r>
      <w:r>
        <w:rPr>
          <w:rFonts w:ascii="宋体" w:hAnsi="宋体" w:cs="宋体" w:eastAsia="宋体" w:hint="default"/>
        </w:rPr>
        <w:t>亿元增资沈阳同方多媒体科技有限公司用于数字电视终端系统产品产</w:t>
      </w:r>
      <w:r>
        <w:rPr>
          <w:rFonts w:ascii="宋体" w:hAnsi="宋体" w:cs="宋体" w:eastAsia="宋体" w:hint="default"/>
        </w:rPr>
        <w:t> </w:t>
      </w:r>
      <w:r>
        <w:rPr>
          <w:rFonts w:ascii="宋体" w:hAnsi="宋体" w:cs="宋体" w:eastAsia="宋体" w:hint="default"/>
          <w:spacing w:val="-2"/>
        </w:rPr>
        <w:t>业化生产基地项目，本次增资资金将用于数字电视一期扩产项目，包括厂房建设、购买</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生产线和专用检测设备等，建成后达到生产各类数字电视终端设备(产品)100</w:t>
      </w:r>
      <w:r>
        <w:rPr>
          <w:rFonts w:ascii="宋体" w:hAnsi="宋体" w:cs="宋体" w:eastAsia="宋体" w:hint="default"/>
          <w:spacing w:val="-51"/>
        </w:rPr>
        <w:t> </w:t>
      </w:r>
      <w:r>
        <w:rPr>
          <w:rFonts w:ascii="宋体" w:hAnsi="宋体" w:cs="宋体" w:eastAsia="宋体" w:hint="default"/>
        </w:rPr>
        <w:t>万台的生</w:t>
      </w:r>
      <w:r>
        <w:rPr>
          <w:rFonts w:ascii="宋体" w:hAnsi="宋体" w:cs="宋体" w:eastAsia="宋体" w:hint="default"/>
        </w:rPr>
        <w:t> 产能力。</w:t>
      </w:r>
    </w:p>
    <w:p>
      <w:pPr>
        <w:spacing w:line="240" w:lineRule="auto" w:before="7"/>
        <w:rPr>
          <w:rFonts w:ascii="宋体" w:hAnsi="宋体" w:cs="宋体" w:eastAsia="宋体" w:hint="default"/>
          <w:sz w:val="23"/>
          <w:szCs w:val="23"/>
        </w:rPr>
      </w:pPr>
    </w:p>
    <w:p>
      <w:pPr>
        <w:pStyle w:val="BodyText"/>
        <w:spacing w:line="313" w:lineRule="exact"/>
        <w:ind w:left="238" w:right="69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3"/>
        </w:rPr>
        <w:t> </w:t>
      </w:r>
      <w:r>
        <w:rPr>
          <w:rFonts w:ascii="宋体" w:hAnsi="宋体" w:cs="宋体" w:eastAsia="宋体" w:hint="default"/>
          <w:spacing w:val="-3"/>
        </w:rPr>
        <w:t>年，公司已完成对沈阳同方多媒体科技有限公司的增资</w:t>
      </w:r>
      <w:r>
        <w:rPr>
          <w:rFonts w:ascii="宋体" w:hAnsi="宋体" w:cs="宋体" w:eastAsia="宋体" w:hint="default"/>
          <w:spacing w:val="-53"/>
        </w:rPr>
        <w:t> </w:t>
      </w:r>
      <w:r>
        <w:rPr>
          <w:rFonts w:ascii="宋体" w:hAnsi="宋体" w:cs="宋体" w:eastAsia="宋体" w:hint="default"/>
        </w:rPr>
        <w:t>22,880</w:t>
      </w:r>
      <w:r>
        <w:rPr>
          <w:rFonts w:ascii="宋体" w:hAnsi="宋体" w:cs="宋体" w:eastAsia="宋体" w:hint="default"/>
          <w:spacing w:val="-53"/>
        </w:rPr>
        <w:t> </w:t>
      </w:r>
      <w:r>
        <w:rPr>
          <w:rFonts w:ascii="宋体" w:hAnsi="宋体" w:cs="宋体" w:eastAsia="宋体" w:hint="default"/>
          <w:spacing w:val="-7"/>
        </w:rPr>
        <w:t>万元，本报告期内，</w:t>
      </w:r>
    </w:p>
    <w:p>
      <w:pPr>
        <w:pStyle w:val="BodyText"/>
        <w:spacing w:line="313" w:lineRule="exact"/>
        <w:ind w:left="238" w:right="690"/>
        <w:jc w:val="left"/>
        <w:rPr>
          <w:rFonts w:ascii="宋体" w:hAnsi="宋体" w:cs="宋体" w:eastAsia="宋体" w:hint="default"/>
        </w:rPr>
      </w:pPr>
      <w:r>
        <w:rPr>
          <w:rFonts w:ascii="宋体" w:hAnsi="宋体" w:cs="宋体" w:eastAsia="宋体" w:hint="default"/>
        </w:rPr>
        <w:t>该项目实现收益</w:t>
      </w:r>
      <w:r>
        <w:rPr>
          <w:rFonts w:ascii="宋体" w:hAnsi="宋体" w:cs="宋体" w:eastAsia="宋体" w:hint="default"/>
          <w:spacing w:val="-60"/>
        </w:rPr>
        <w:t> </w:t>
      </w:r>
      <w:r>
        <w:rPr>
          <w:rFonts w:ascii="宋体" w:hAnsi="宋体" w:cs="宋体" w:eastAsia="宋体" w:hint="default"/>
        </w:rPr>
        <w:t>202.33</w:t>
      </w:r>
      <w:r>
        <w:rPr>
          <w:rFonts w:ascii="宋体" w:hAnsi="宋体" w:cs="宋体" w:eastAsia="宋体" w:hint="default"/>
          <w:spacing w:val="-60"/>
        </w:rPr>
        <w:t> </w:t>
      </w:r>
      <w:r>
        <w:rPr>
          <w:rFonts w:ascii="宋体" w:hAnsi="宋体" w:cs="宋体" w:eastAsia="宋体" w:hint="default"/>
        </w:rPr>
        <w:t>万元。由于产品受到市场价格下降的影响，收益低于预期。</w:t>
      </w:r>
    </w:p>
    <w:p>
      <w:pPr>
        <w:spacing w:line="240" w:lineRule="auto" w:before="8"/>
        <w:rPr>
          <w:rFonts w:ascii="宋体" w:hAnsi="宋体" w:cs="宋体" w:eastAsia="宋体" w:hint="default"/>
          <w:sz w:val="23"/>
          <w:szCs w:val="23"/>
        </w:rPr>
      </w:pPr>
    </w:p>
    <w:p>
      <w:pPr>
        <w:pStyle w:val="Heading3"/>
        <w:spacing w:line="240" w:lineRule="auto"/>
        <w:ind w:left="238" w:right="690"/>
        <w:jc w:val="left"/>
        <w:rPr>
          <w:rFonts w:ascii="宋体" w:hAnsi="宋体" w:cs="宋体" w:eastAsia="宋体" w:hint="default"/>
          <w:b w:val="0"/>
          <w:bCs w:val="0"/>
        </w:rPr>
      </w:pPr>
      <w:r>
        <w:rPr>
          <w:rFonts w:ascii="宋体" w:hAnsi="宋体" w:cs="宋体" w:eastAsia="宋体" w:hint="default"/>
        </w:rPr>
        <w:t>(3)增资同方工业有限公司</w:t>
      </w:r>
      <w:r>
        <w:rPr>
          <w:rFonts w:ascii="宋体" w:hAnsi="宋体" w:cs="宋体" w:eastAsia="宋体" w:hint="default"/>
          <w:spacing w:val="-66"/>
        </w:rPr>
        <w:t> </w:t>
      </w:r>
      <w:r>
        <w:rPr>
          <w:rFonts w:ascii="宋体" w:hAnsi="宋体" w:cs="宋体" w:eastAsia="宋体" w:hint="default"/>
        </w:rPr>
        <w:t>2</w:t>
      </w:r>
      <w:r>
        <w:rPr>
          <w:rFonts w:ascii="宋体" w:hAnsi="宋体" w:cs="宋体" w:eastAsia="宋体" w:hint="default"/>
          <w:spacing w:val="-66"/>
        </w:rPr>
        <w:t> </w:t>
      </w:r>
      <w:r>
        <w:rPr>
          <w:rFonts w:ascii="宋体" w:hAnsi="宋体" w:cs="宋体" w:eastAsia="宋体" w:hint="default"/>
        </w:rPr>
        <w:t>亿元用于军民用数字化综合通信系统研发产业化项目</w:t>
      </w:r>
      <w:r>
        <w:rPr>
          <w:rFonts w:ascii="宋体" w:hAnsi="宋体" w:cs="宋体" w:eastAsia="宋体" w:hint="default"/>
          <w:b w:val="0"/>
          <w:bCs w:val="0"/>
        </w:rPr>
      </w:r>
    </w:p>
    <w:p>
      <w:pPr>
        <w:spacing w:after="0" w:line="240" w:lineRule="auto"/>
        <w:jc w:val="left"/>
        <w:rPr>
          <w:rFonts w:ascii="宋体" w:hAnsi="宋体" w:cs="宋体" w:eastAsia="宋体" w:hint="default"/>
        </w:rPr>
        <w:sectPr>
          <w:headerReference w:type="default" r:id="rId49"/>
          <w:footerReference w:type="default" r:id="rId50"/>
          <w:pgSz w:w="11910" w:h="16840"/>
          <w:pgMar w:header="0" w:footer="1124" w:top="1600" w:bottom="1320" w:left="1180" w:right="460"/>
          <w:pgNumType w:start="2"/>
        </w:sectPr>
      </w:pPr>
    </w:p>
    <w:p>
      <w:pPr>
        <w:pStyle w:val="BodyText"/>
        <w:spacing w:line="310" w:lineRule="exact" w:before="94"/>
        <w:ind w:left="238" w:right="254"/>
        <w:jc w:val="both"/>
        <w:rPr>
          <w:rFonts w:ascii="宋体" w:hAnsi="宋体" w:cs="宋体" w:eastAsia="宋体" w:hint="default"/>
        </w:rPr>
      </w:pPr>
      <w:r>
        <w:rPr>
          <w:rFonts w:ascii="宋体" w:hAnsi="宋体" w:cs="宋体" w:eastAsia="宋体" w:hint="default"/>
        </w:rPr>
        <w:t>同方工业有限公司成立于</w:t>
      </w:r>
      <w:r>
        <w:rPr>
          <w:rFonts w:ascii="宋体" w:hAnsi="宋体" w:cs="宋体" w:eastAsia="宋体" w:hint="default"/>
          <w:spacing w:val="-49"/>
        </w:rPr>
        <w:t> </w:t>
      </w:r>
      <w:r>
        <w:rPr>
          <w:rFonts w:ascii="宋体" w:hAnsi="宋体" w:cs="宋体" w:eastAsia="宋体" w:hint="default"/>
        </w:rPr>
        <w:t>2006</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9</w:t>
      </w:r>
      <w:r>
        <w:rPr>
          <w:rFonts w:ascii="宋体" w:hAnsi="宋体" w:cs="宋体" w:eastAsia="宋体" w:hint="default"/>
          <w:spacing w:val="-49"/>
        </w:rPr>
        <w:t> </w:t>
      </w:r>
      <w:r>
        <w:rPr>
          <w:rFonts w:ascii="宋体" w:hAnsi="宋体" w:cs="宋体" w:eastAsia="宋体" w:hint="default"/>
        </w:rPr>
        <w:t>月，注册资本为</w:t>
      </w:r>
      <w:r>
        <w:rPr>
          <w:rFonts w:ascii="宋体" w:hAnsi="宋体" w:cs="宋体" w:eastAsia="宋体" w:hint="default"/>
          <w:spacing w:val="-49"/>
        </w:rPr>
        <w:t> </w:t>
      </w:r>
      <w:r>
        <w:rPr>
          <w:rFonts w:ascii="宋体" w:hAnsi="宋体" w:cs="宋体" w:eastAsia="宋体" w:hint="default"/>
        </w:rPr>
        <w:t>2</w:t>
      </w:r>
      <w:r>
        <w:rPr>
          <w:rFonts w:ascii="宋体" w:hAnsi="宋体" w:cs="宋体" w:eastAsia="宋体" w:hint="default"/>
          <w:spacing w:val="-49"/>
        </w:rPr>
        <w:t> </w:t>
      </w:r>
      <w:r>
        <w:rPr>
          <w:rFonts w:ascii="宋体" w:hAnsi="宋体" w:cs="宋体" w:eastAsia="宋体" w:hint="default"/>
        </w:rPr>
        <w:t>亿元，是按照国家军工体系要求</w:t>
      </w:r>
      <w:r>
        <w:rPr>
          <w:rFonts w:ascii="宋体" w:hAnsi="宋体" w:cs="宋体" w:eastAsia="宋体" w:hint="default"/>
        </w:rPr>
        <w:t> 单独组建的</w:t>
      </w:r>
      <w:r>
        <w:rPr>
          <w:rFonts w:ascii="宋体" w:hAnsi="宋体" w:cs="宋体" w:eastAsia="宋体" w:hint="default"/>
          <w:spacing w:val="-39"/>
        </w:rPr>
        <w:t> </w:t>
      </w:r>
      <w:r>
        <w:rPr>
          <w:rFonts w:ascii="宋体" w:hAnsi="宋体" w:cs="宋体" w:eastAsia="宋体" w:hint="default"/>
          <w:spacing w:val="-4"/>
        </w:rPr>
        <w:t>100%全资子公司，主要从事军用产品的研制、生产与销售工作。本次增资同</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方工业有限公司的</w:t>
      </w:r>
      <w:r>
        <w:rPr>
          <w:rFonts w:ascii="宋体" w:hAnsi="宋体" w:cs="宋体" w:eastAsia="宋体" w:hint="default"/>
          <w:spacing w:val="-86"/>
        </w:rPr>
        <w:t> </w:t>
      </w:r>
      <w:r>
        <w:rPr>
          <w:rFonts w:ascii="宋体" w:hAnsi="宋体" w:cs="宋体" w:eastAsia="宋体" w:hint="default"/>
        </w:rPr>
        <w:t>2</w:t>
      </w:r>
      <w:r>
        <w:rPr>
          <w:rFonts w:ascii="宋体" w:hAnsi="宋体" w:cs="宋体" w:eastAsia="宋体" w:hint="default"/>
          <w:spacing w:val="-86"/>
        </w:rPr>
        <w:t> </w:t>
      </w:r>
      <w:r>
        <w:rPr>
          <w:rFonts w:ascii="宋体" w:hAnsi="宋体" w:cs="宋体" w:eastAsia="宋体" w:hint="default"/>
        </w:rPr>
        <w:t>亿元资金，将用于增加研制、开发与生产等方面的资金，包括完成</w:t>
      </w:r>
    </w:p>
    <w:p>
      <w:pPr>
        <w:pStyle w:val="BodyText"/>
        <w:spacing w:line="284" w:lineRule="exact"/>
        <w:ind w:left="238" w:right="0"/>
        <w:jc w:val="both"/>
        <w:rPr>
          <w:rFonts w:ascii="宋体" w:hAnsi="宋体" w:cs="宋体" w:eastAsia="宋体" w:hint="default"/>
        </w:rPr>
      </w:pPr>
      <w:r>
        <w:rPr>
          <w:rFonts w:ascii="宋体" w:hAnsi="宋体" w:cs="宋体" w:eastAsia="宋体" w:hint="default"/>
        </w:rPr>
        <w:t>已经获得的军方订单。增资后，同方工业有限公司注册资本金为</w:t>
      </w:r>
      <w:r>
        <w:rPr>
          <w:rFonts w:ascii="宋体" w:hAnsi="宋体" w:cs="宋体" w:eastAsia="宋体" w:hint="default"/>
          <w:spacing w:val="-60"/>
        </w:rPr>
        <w:t> </w:t>
      </w:r>
      <w:r>
        <w:rPr>
          <w:rFonts w:ascii="宋体" w:hAnsi="宋体" w:cs="宋体" w:eastAsia="宋体" w:hint="default"/>
        </w:rPr>
        <w:t>4</w:t>
      </w:r>
      <w:r>
        <w:rPr>
          <w:rFonts w:ascii="宋体" w:hAnsi="宋体" w:cs="宋体" w:eastAsia="宋体" w:hint="default"/>
          <w:spacing w:val="-60"/>
        </w:rPr>
        <w:t> </w:t>
      </w:r>
      <w:r>
        <w:rPr>
          <w:rFonts w:ascii="宋体" w:hAnsi="宋体" w:cs="宋体" w:eastAsia="宋体" w:hint="default"/>
        </w:rPr>
        <w:t>亿元。</w:t>
      </w:r>
    </w:p>
    <w:p>
      <w:pPr>
        <w:spacing w:line="240" w:lineRule="auto" w:before="7"/>
        <w:rPr>
          <w:rFonts w:ascii="宋体" w:hAnsi="宋体" w:cs="宋体" w:eastAsia="宋体" w:hint="default"/>
          <w:sz w:val="23"/>
          <w:szCs w:val="23"/>
        </w:rPr>
      </w:pPr>
    </w:p>
    <w:p>
      <w:pPr>
        <w:pStyle w:val="BodyText"/>
        <w:spacing w:line="313" w:lineRule="exact"/>
        <w:ind w:left="238" w:right="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7"/>
        </w:rPr>
        <w:t> </w:t>
      </w:r>
      <w:r>
        <w:rPr>
          <w:rFonts w:ascii="宋体" w:hAnsi="宋体" w:cs="宋体" w:eastAsia="宋体" w:hint="default"/>
        </w:rPr>
        <w:t>年，公司已完成对同方工业有限公司的增资</w:t>
      </w:r>
      <w:r>
        <w:rPr>
          <w:rFonts w:ascii="宋体" w:hAnsi="宋体" w:cs="宋体" w:eastAsia="宋体" w:hint="default"/>
          <w:spacing w:val="-57"/>
        </w:rPr>
        <w:t> </w:t>
      </w:r>
      <w:r>
        <w:rPr>
          <w:rFonts w:ascii="宋体" w:hAnsi="宋体" w:cs="宋体" w:eastAsia="宋体" w:hint="default"/>
        </w:rPr>
        <w:t>20,000</w:t>
      </w:r>
      <w:r>
        <w:rPr>
          <w:rFonts w:ascii="宋体" w:hAnsi="宋体" w:cs="宋体" w:eastAsia="宋体" w:hint="default"/>
          <w:spacing w:val="-57"/>
        </w:rPr>
        <w:t> </w:t>
      </w:r>
      <w:r>
        <w:rPr>
          <w:rFonts w:ascii="宋体" w:hAnsi="宋体" w:cs="宋体" w:eastAsia="宋体" w:hint="default"/>
        </w:rPr>
        <w:t>万元，本报告期内，该项目实</w:t>
      </w:r>
    </w:p>
    <w:p>
      <w:pPr>
        <w:spacing w:line="475" w:lineRule="auto" w:before="0"/>
        <w:ind w:left="238" w:right="5691" w:firstLine="0"/>
        <w:jc w:val="left"/>
        <w:rPr>
          <w:rFonts w:ascii="宋体" w:hAnsi="宋体" w:cs="宋体" w:eastAsia="宋体" w:hint="default"/>
          <w:sz w:val="24"/>
          <w:szCs w:val="24"/>
        </w:rPr>
      </w:pPr>
      <w:r>
        <w:rPr>
          <w:rFonts w:ascii="宋体" w:hAnsi="宋体" w:cs="宋体" w:eastAsia="宋体" w:hint="default"/>
          <w:sz w:val="24"/>
          <w:szCs w:val="24"/>
        </w:rPr>
        <w:t>现收益</w:t>
      </w:r>
      <w:r>
        <w:rPr>
          <w:rFonts w:ascii="宋体" w:hAnsi="宋体" w:cs="宋体" w:eastAsia="宋体" w:hint="default"/>
          <w:spacing w:val="-60"/>
          <w:sz w:val="24"/>
          <w:szCs w:val="24"/>
        </w:rPr>
        <w:t> </w:t>
      </w:r>
      <w:r>
        <w:rPr>
          <w:rFonts w:ascii="宋体" w:hAnsi="宋体" w:cs="宋体" w:eastAsia="宋体" w:hint="default"/>
          <w:sz w:val="24"/>
          <w:szCs w:val="24"/>
        </w:rPr>
        <w:t>3,571.79</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r>
        <w:rPr>
          <w:rFonts w:ascii="宋体" w:hAnsi="宋体" w:cs="宋体" w:eastAsia="宋体" w:hint="default"/>
          <w:b/>
          <w:bCs/>
          <w:sz w:val="24"/>
          <w:szCs w:val="24"/>
        </w:rPr>
        <w:t>(四)变更募投项目的资金使用情况</w:t>
      </w:r>
      <w:r>
        <w:rPr>
          <w:rFonts w:ascii="宋体" w:hAnsi="宋体" w:cs="宋体" w:eastAsia="宋体" w:hint="default"/>
          <w:sz w:val="24"/>
          <w:szCs w:val="24"/>
        </w:rPr>
      </w:r>
    </w:p>
    <w:p>
      <w:pPr>
        <w:pStyle w:val="BodyText"/>
        <w:spacing w:line="240" w:lineRule="auto" w:before="72"/>
        <w:ind w:left="238" w:right="0"/>
        <w:jc w:val="both"/>
        <w:rPr>
          <w:rFonts w:ascii="宋体" w:hAnsi="宋体" w:cs="宋体" w:eastAsia="宋体" w:hint="default"/>
        </w:rPr>
      </w:pPr>
      <w:r>
        <w:rPr>
          <w:rFonts w:ascii="宋体" w:hAnsi="宋体" w:cs="宋体" w:eastAsia="宋体" w:hint="default"/>
        </w:rPr>
        <w:t>本次非公开发行股票募集资金不存在变更募投项目的情况。</w:t>
      </w:r>
    </w:p>
    <w:p>
      <w:pPr>
        <w:spacing w:line="240" w:lineRule="auto" w:before="8"/>
        <w:rPr>
          <w:rFonts w:ascii="宋体" w:hAnsi="宋体" w:cs="宋体" w:eastAsia="宋体" w:hint="default"/>
          <w:sz w:val="23"/>
          <w:szCs w:val="23"/>
        </w:rPr>
      </w:pPr>
    </w:p>
    <w:p>
      <w:pPr>
        <w:pStyle w:val="Heading3"/>
        <w:spacing w:line="240" w:lineRule="auto"/>
        <w:ind w:left="238" w:right="0"/>
        <w:jc w:val="both"/>
        <w:rPr>
          <w:rFonts w:ascii="宋体" w:hAnsi="宋体" w:cs="宋体" w:eastAsia="宋体" w:hint="default"/>
          <w:b w:val="0"/>
          <w:bCs w:val="0"/>
        </w:rPr>
      </w:pPr>
      <w:r>
        <w:rPr>
          <w:rFonts w:ascii="宋体" w:hAnsi="宋体" w:cs="宋体" w:eastAsia="宋体" w:hint="default"/>
        </w:rPr>
        <w:t>(五)募集资金使用及披露中存在的问题</w:t>
      </w:r>
      <w:r>
        <w:rPr>
          <w:rFonts w:ascii="宋体" w:hAnsi="宋体" w:cs="宋体" w:eastAsia="宋体" w:hint="default"/>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249"/>
        <w:jc w:val="both"/>
        <w:rPr>
          <w:rFonts w:ascii="宋体" w:hAnsi="宋体" w:cs="宋体" w:eastAsia="宋体" w:hint="default"/>
        </w:rPr>
      </w:pPr>
      <w:r>
        <w:rPr>
          <w:rFonts w:ascii="宋体" w:hAnsi="宋体" w:cs="宋体" w:eastAsia="宋体" w:hint="default"/>
          <w:spacing w:val="5"/>
        </w:rPr>
        <w:t>公司已按照募集资金使用的实际情况及相关规定对募集资金的存放及使用情况进行了 </w:t>
      </w:r>
      <w:r>
        <w:rPr>
          <w:rFonts w:ascii="宋体" w:hAnsi="宋体" w:cs="宋体" w:eastAsia="宋体" w:hint="default"/>
        </w:rPr>
        <w:t>及时、真实、准确、完整披露，不存在募集资金管理违规情形。</w:t>
      </w:r>
    </w:p>
    <w:p>
      <w:pPr>
        <w:spacing w:line="240" w:lineRule="auto" w:before="6"/>
        <w:rPr>
          <w:rFonts w:ascii="宋体" w:hAnsi="宋体" w:cs="宋体" w:eastAsia="宋体" w:hint="default"/>
          <w:sz w:val="21"/>
          <w:szCs w:val="21"/>
        </w:rPr>
      </w:pPr>
    </w:p>
    <w:p>
      <w:pPr>
        <w:pStyle w:val="Heading3"/>
        <w:spacing w:line="475" w:lineRule="auto"/>
        <w:ind w:left="238" w:right="5390"/>
        <w:jc w:val="left"/>
        <w:rPr>
          <w:rFonts w:ascii="宋体" w:hAnsi="宋体" w:cs="宋体" w:eastAsia="宋体" w:hint="default"/>
          <w:b w:val="0"/>
          <w:bCs w:val="0"/>
        </w:rPr>
      </w:pPr>
      <w:r>
        <w:rPr>
          <w:rFonts w:ascii="宋体" w:hAnsi="宋体" w:cs="宋体" w:eastAsia="宋体" w:hint="default"/>
        </w:rPr>
        <w:t>二、2008</w:t>
      </w:r>
      <w:r>
        <w:rPr>
          <w:rFonts w:ascii="宋体" w:hAnsi="宋体" w:cs="宋体" w:eastAsia="宋体" w:hint="default"/>
          <w:spacing w:val="-62"/>
        </w:rPr>
        <w:t> </w:t>
      </w:r>
      <w:r>
        <w:rPr>
          <w:rFonts w:ascii="宋体" w:hAnsi="宋体" w:cs="宋体" w:eastAsia="宋体" w:hint="default"/>
        </w:rPr>
        <w:t>年度配股募集资金使用情况</w:t>
      </w:r>
      <w:r>
        <w:rPr>
          <w:rFonts w:ascii="宋体" w:hAnsi="宋体" w:cs="宋体" w:eastAsia="宋体" w:hint="default"/>
          <w:spacing w:val="1"/>
          <w:w w:val="99"/>
        </w:rPr>
        <w:t> </w:t>
      </w:r>
      <w:r>
        <w:rPr>
          <w:rFonts w:ascii="宋体" w:hAnsi="宋体" w:cs="宋体" w:eastAsia="宋体" w:hint="default"/>
        </w:rPr>
        <w:t>(一)募集资金的基本情况</w:t>
      </w:r>
      <w:r>
        <w:rPr>
          <w:rFonts w:ascii="宋体" w:hAnsi="宋体" w:cs="宋体" w:eastAsia="宋体" w:hint="default"/>
          <w:b w:val="0"/>
          <w:bCs w:val="0"/>
        </w:rPr>
      </w:r>
    </w:p>
    <w:p>
      <w:pPr>
        <w:pStyle w:val="BodyText"/>
        <w:spacing w:line="313" w:lineRule="exact" w:before="72"/>
        <w:ind w:left="238" w:right="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9"/>
        </w:rPr>
        <w:t> </w:t>
      </w:r>
      <w:r>
        <w:rPr>
          <w:rFonts w:ascii="宋体" w:hAnsi="宋体" w:cs="宋体" w:eastAsia="宋体" w:hint="default"/>
        </w:rPr>
        <w:t>年，公司通过配股方式募集资金净额</w:t>
      </w:r>
      <w:r>
        <w:rPr>
          <w:rFonts w:ascii="宋体" w:hAnsi="宋体" w:cs="宋体" w:eastAsia="宋体" w:hint="default"/>
          <w:spacing w:val="-29"/>
        </w:rPr>
        <w:t> </w:t>
      </w:r>
      <w:r>
        <w:rPr>
          <w:rFonts w:ascii="宋体" w:hAnsi="宋体" w:cs="宋体" w:eastAsia="宋体" w:hint="default"/>
        </w:rPr>
        <w:t>191,942.97</w:t>
      </w:r>
      <w:r>
        <w:rPr>
          <w:rFonts w:ascii="宋体" w:hAnsi="宋体" w:cs="宋体" w:eastAsia="宋体" w:hint="default"/>
          <w:spacing w:val="-29"/>
        </w:rPr>
        <w:t> </w:t>
      </w:r>
      <w:r>
        <w:rPr>
          <w:rFonts w:ascii="宋体" w:hAnsi="宋体" w:cs="宋体" w:eastAsia="宋体" w:hint="default"/>
        </w:rPr>
        <w:t>万元，该笔资金已于</w:t>
      </w:r>
      <w:r>
        <w:rPr>
          <w:rFonts w:ascii="宋体" w:hAnsi="宋体" w:cs="宋体" w:eastAsia="宋体" w:hint="default"/>
          <w:spacing w:val="-29"/>
        </w:rPr>
        <w:t> </w:t>
      </w:r>
      <w:r>
        <w:rPr>
          <w:rFonts w:ascii="宋体" w:hAnsi="宋体" w:cs="宋体" w:eastAsia="宋体" w:hint="default"/>
        </w:rPr>
        <w:t>2008</w:t>
      </w:r>
      <w:r>
        <w:rPr>
          <w:rFonts w:ascii="宋体" w:hAnsi="宋体" w:cs="宋体" w:eastAsia="宋体" w:hint="default"/>
          <w:spacing w:val="-29"/>
        </w:rPr>
        <w:t> </w:t>
      </w:r>
      <w:r>
        <w:rPr>
          <w:rFonts w:ascii="宋体" w:hAnsi="宋体" w:cs="宋体" w:eastAsia="宋体" w:hint="default"/>
        </w:rPr>
        <w:t>年</w:t>
      </w:r>
      <w:r>
        <w:rPr>
          <w:rFonts w:ascii="宋体" w:hAnsi="宋体" w:cs="宋体" w:eastAsia="宋体" w:hint="default"/>
          <w:spacing w:val="-29"/>
        </w:rPr>
        <w:t> </w:t>
      </w:r>
      <w:r>
        <w:rPr>
          <w:rFonts w:ascii="宋体" w:hAnsi="宋体" w:cs="宋体" w:eastAsia="宋体" w:hint="default"/>
        </w:rPr>
        <w:t>5</w:t>
      </w:r>
    </w:p>
    <w:p>
      <w:pPr>
        <w:pStyle w:val="BodyText"/>
        <w:spacing w:line="311" w:lineRule="exact"/>
        <w:ind w:left="238" w:right="0"/>
        <w:jc w:val="both"/>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68"/>
        </w:rPr>
        <w:t> </w:t>
      </w:r>
      <w:r>
        <w:rPr>
          <w:rFonts w:ascii="宋体" w:hAnsi="宋体" w:cs="宋体" w:eastAsia="宋体" w:hint="default"/>
        </w:rPr>
        <w:t>26</w:t>
      </w:r>
      <w:r>
        <w:rPr>
          <w:rFonts w:ascii="宋体" w:hAnsi="宋体" w:cs="宋体" w:eastAsia="宋体" w:hint="default"/>
          <w:spacing w:val="-68"/>
        </w:rPr>
        <w:t> </w:t>
      </w:r>
      <w:r>
        <w:rPr>
          <w:rFonts w:ascii="宋体" w:hAnsi="宋体" w:cs="宋体" w:eastAsia="宋体" w:hint="default"/>
        </w:rPr>
        <w:t>日到帐。截至本报告期末，公司已累计使用募集资金总额为</w:t>
      </w:r>
      <w:r>
        <w:rPr>
          <w:rFonts w:ascii="宋体" w:hAnsi="宋体" w:cs="宋体" w:eastAsia="宋体" w:hint="default"/>
          <w:spacing w:val="-68"/>
        </w:rPr>
        <w:t> </w:t>
      </w:r>
      <w:r>
        <w:rPr>
          <w:rFonts w:ascii="宋体" w:hAnsi="宋体" w:cs="宋体" w:eastAsia="宋体" w:hint="default"/>
        </w:rPr>
        <w:t>156,208.15</w:t>
      </w:r>
      <w:r>
        <w:rPr>
          <w:rFonts w:ascii="宋体" w:hAnsi="宋体" w:cs="宋体" w:eastAsia="宋体" w:hint="default"/>
          <w:spacing w:val="-68"/>
        </w:rPr>
        <w:t> </w:t>
      </w:r>
      <w:r>
        <w:rPr>
          <w:rFonts w:ascii="宋体" w:hAnsi="宋体" w:cs="宋体" w:eastAsia="宋体" w:hint="default"/>
          <w:spacing w:val="-5"/>
        </w:rPr>
        <w:t>万元，尚</w:t>
      </w:r>
    </w:p>
    <w:p>
      <w:pPr>
        <w:pStyle w:val="BodyText"/>
        <w:spacing w:line="237" w:lineRule="auto" w:before="1"/>
        <w:ind w:left="238" w:right="254"/>
        <w:jc w:val="both"/>
        <w:rPr>
          <w:rFonts w:ascii="宋体" w:hAnsi="宋体" w:cs="宋体" w:eastAsia="宋体" w:hint="default"/>
        </w:rPr>
      </w:pPr>
      <w:r>
        <w:rPr>
          <w:rFonts w:ascii="宋体" w:hAnsi="宋体" w:cs="宋体" w:eastAsia="宋体" w:hint="default"/>
        </w:rPr>
        <w:t>未使用的募集资金金额为</w:t>
      </w:r>
      <w:r>
        <w:rPr>
          <w:rFonts w:ascii="宋体" w:hAnsi="宋体" w:cs="宋体" w:eastAsia="宋体" w:hint="default"/>
          <w:spacing w:val="-54"/>
        </w:rPr>
        <w:t> </w:t>
      </w:r>
      <w:r>
        <w:rPr>
          <w:rFonts w:ascii="宋体" w:hAnsi="宋体" w:cs="宋体" w:eastAsia="宋体" w:hint="default"/>
        </w:rPr>
        <w:t>35,734.82</w:t>
      </w:r>
      <w:r>
        <w:rPr>
          <w:rFonts w:ascii="宋体" w:hAnsi="宋体" w:cs="宋体" w:eastAsia="宋体" w:hint="default"/>
          <w:spacing w:val="-54"/>
        </w:rPr>
        <w:t> </w:t>
      </w:r>
      <w:r>
        <w:rPr>
          <w:rFonts w:ascii="宋体" w:hAnsi="宋体" w:cs="宋体" w:eastAsia="宋体" w:hint="default"/>
          <w:spacing w:val="-3"/>
        </w:rPr>
        <w:t>万元，尚未使用的募集资金将根据公司配股说明书</w:t>
      </w:r>
      <w:r>
        <w:rPr>
          <w:rFonts w:ascii="宋体" w:hAnsi="宋体" w:cs="宋体" w:eastAsia="宋体" w:hint="default"/>
        </w:rPr>
        <w:t> 刊载的使用计划和实际使用进度，未来投入到高亮度发光二极管(LED)芯片制造及其应</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用产业化项目和基于国家标准的数字电视网络系统的技术开发、应用产业化项目中。</w:t>
      </w:r>
    </w:p>
    <w:p>
      <w:pPr>
        <w:spacing w:line="240" w:lineRule="auto" w:before="8"/>
        <w:rPr>
          <w:rFonts w:ascii="宋体" w:hAnsi="宋体" w:cs="宋体" w:eastAsia="宋体" w:hint="default"/>
          <w:sz w:val="23"/>
          <w:szCs w:val="23"/>
        </w:rPr>
      </w:pPr>
    </w:p>
    <w:p>
      <w:pPr>
        <w:pStyle w:val="Heading3"/>
        <w:spacing w:line="240" w:lineRule="auto"/>
        <w:ind w:left="238" w:right="0"/>
        <w:jc w:val="both"/>
        <w:rPr>
          <w:rFonts w:ascii="宋体" w:hAnsi="宋体" w:cs="宋体" w:eastAsia="宋体" w:hint="default"/>
          <w:b w:val="0"/>
          <w:bCs w:val="0"/>
        </w:rPr>
      </w:pPr>
      <w:r>
        <w:rPr>
          <w:rFonts w:ascii="宋体" w:hAnsi="宋体" w:cs="宋体" w:eastAsia="宋体" w:hint="default"/>
        </w:rPr>
        <w:t>(二)募集资金管理情况</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254"/>
        <w:jc w:val="both"/>
        <w:rPr>
          <w:rFonts w:ascii="宋体" w:hAnsi="宋体" w:cs="宋体" w:eastAsia="宋体" w:hint="default"/>
        </w:rPr>
      </w:pPr>
      <w:r>
        <w:rPr>
          <w:rFonts w:ascii="宋体" w:hAnsi="宋体" w:cs="宋体" w:eastAsia="宋体" w:hint="default"/>
        </w:rPr>
        <w:t>经</w:t>
      </w:r>
      <w:r>
        <w:rPr>
          <w:rFonts w:ascii="宋体" w:hAnsi="宋体" w:cs="宋体" w:eastAsia="宋体" w:hint="default"/>
          <w:spacing w:val="-75"/>
        </w:rPr>
        <w:t> </w:t>
      </w:r>
      <w:r>
        <w:rPr>
          <w:rFonts w:ascii="宋体" w:hAnsi="宋体" w:cs="宋体" w:eastAsia="宋体" w:hint="default"/>
          <w:spacing w:val="25"/>
        </w:rPr>
        <w:t>2007年2月</w:t>
      </w:r>
      <w:r>
        <w:rPr>
          <w:rFonts w:ascii="宋体" w:hAnsi="宋体" w:cs="宋体" w:eastAsia="宋体" w:hint="default"/>
          <w:spacing w:val="-75"/>
        </w:rPr>
        <w:t> </w:t>
      </w:r>
      <w:r>
        <w:rPr>
          <w:rFonts w:ascii="宋体" w:hAnsi="宋体" w:cs="宋体" w:eastAsia="宋体" w:hint="default"/>
        </w:rPr>
        <w:t>26</w:t>
      </w:r>
      <w:r>
        <w:rPr>
          <w:rFonts w:ascii="宋体" w:hAnsi="宋体" w:cs="宋体" w:eastAsia="宋体" w:hint="default"/>
          <w:spacing w:val="-75"/>
        </w:rPr>
        <w:t> </w:t>
      </w:r>
      <w:r>
        <w:rPr>
          <w:rFonts w:ascii="宋体" w:hAnsi="宋体" w:cs="宋体" w:eastAsia="宋体" w:hint="default"/>
        </w:rPr>
        <w:t>日召开的第三届董事会第三十三次会议审议同意，公司修改了《募集</w:t>
      </w:r>
      <w:r>
        <w:rPr>
          <w:rFonts w:ascii="宋体" w:hAnsi="宋体" w:cs="宋体" w:eastAsia="宋体" w:hint="default"/>
        </w:rPr>
        <w:t> </w:t>
      </w:r>
      <w:r>
        <w:rPr>
          <w:rFonts w:ascii="宋体" w:hAnsi="宋体" w:cs="宋体" w:eastAsia="宋体" w:hint="default"/>
          <w:spacing w:val="-13"/>
        </w:rPr>
        <w:t>资金管理办法》，并于</w:t>
      </w:r>
      <w:r>
        <w:rPr>
          <w:rFonts w:ascii="宋体" w:hAnsi="宋体" w:cs="宋体" w:eastAsia="宋体" w:hint="default"/>
          <w:spacing w:val="-48"/>
        </w:rPr>
        <w:t> </w:t>
      </w:r>
      <w:r>
        <w:rPr>
          <w:rFonts w:ascii="宋体" w:hAnsi="宋体" w:cs="宋体" w:eastAsia="宋体" w:hint="default"/>
          <w:spacing w:val="-1"/>
        </w:rPr>
        <w:t>2008</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5</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spacing w:val="-1"/>
        </w:rPr>
        <w:t>27</w:t>
      </w:r>
      <w:r>
        <w:rPr>
          <w:rFonts w:ascii="宋体" w:hAnsi="宋体" w:cs="宋体" w:eastAsia="宋体" w:hint="default"/>
          <w:spacing w:val="-48"/>
        </w:rPr>
        <w:t> </w:t>
      </w:r>
      <w:r>
        <w:rPr>
          <w:rFonts w:ascii="宋体" w:hAnsi="宋体" w:cs="宋体" w:eastAsia="宋体" w:hint="default"/>
          <w:spacing w:val="-1"/>
        </w:rPr>
        <w:t>日与中国银行股份有限公司海淀支行中关村科技</w:t>
      </w:r>
      <w:r>
        <w:rPr>
          <w:rFonts w:ascii="宋体" w:hAnsi="宋体" w:cs="宋体" w:eastAsia="宋体" w:hint="default"/>
          <w:spacing w:val="-1"/>
        </w:rPr>
        <w:t> </w:t>
      </w:r>
      <w:r>
        <w:rPr>
          <w:rFonts w:ascii="宋体" w:hAnsi="宋体" w:cs="宋体" w:eastAsia="宋体" w:hint="default"/>
          <w:spacing w:val="-4"/>
        </w:rPr>
        <w:t>园区支行、平安证券有限责任公司签署了《募集资金专户存储三方监管协议》。</w:t>
      </w:r>
    </w:p>
    <w:p>
      <w:pPr>
        <w:spacing w:line="240" w:lineRule="auto" w:before="8"/>
        <w:rPr>
          <w:rFonts w:ascii="宋体" w:hAnsi="宋体" w:cs="宋体" w:eastAsia="宋体" w:hint="default"/>
          <w:sz w:val="23"/>
          <w:szCs w:val="23"/>
        </w:rPr>
      </w:pPr>
    </w:p>
    <w:p>
      <w:pPr>
        <w:spacing w:line="475" w:lineRule="auto" w:before="0"/>
        <w:ind w:left="238" w:right="5450" w:firstLine="0"/>
        <w:jc w:val="left"/>
        <w:rPr>
          <w:rFonts w:ascii="宋体" w:hAnsi="宋体" w:cs="宋体" w:eastAsia="宋体" w:hint="default"/>
          <w:sz w:val="24"/>
          <w:szCs w:val="24"/>
        </w:rPr>
      </w:pPr>
      <w:r>
        <w:rPr>
          <w:rFonts w:ascii="宋体" w:hAnsi="宋体" w:cs="宋体" w:eastAsia="宋体" w:hint="default"/>
          <w:b/>
          <w:bCs/>
          <w:sz w:val="24"/>
          <w:szCs w:val="24"/>
        </w:rPr>
        <w:t>(三)本年度募集资金的实际使用情况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1、本年度募集资金使用情况</w:t>
      </w:r>
      <w:r>
        <w:rPr>
          <w:rFonts w:ascii="宋体" w:hAnsi="宋体" w:cs="宋体" w:eastAsia="宋体" w:hint="default"/>
          <w:b/>
          <w:bCs/>
          <w:spacing w:val="1"/>
          <w:w w:val="99"/>
          <w:sz w:val="24"/>
          <w:szCs w:val="24"/>
        </w:rPr>
        <w:t> </w:t>
      </w:r>
      <w:r>
        <w:rPr>
          <w:rFonts w:ascii="宋体" w:hAnsi="宋体" w:cs="宋体" w:eastAsia="宋体" w:hint="default"/>
          <w:sz w:val="24"/>
          <w:szCs w:val="24"/>
        </w:rPr>
        <w:t>募集资金投资具体投资项目如下：</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909"/>
        <w:gridCol w:w="4205"/>
        <w:gridCol w:w="1391"/>
        <w:gridCol w:w="1391"/>
        <w:gridCol w:w="1390"/>
      </w:tblGrid>
      <w:tr>
        <w:trPr>
          <w:trHeight w:val="567" w:hRule="exact"/>
        </w:trPr>
        <w:tc>
          <w:tcPr>
            <w:tcW w:w="90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2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项目内容</w:t>
            </w:r>
            <w:r>
              <w:rPr>
                <w:rFonts w:ascii="宋体" w:hAnsi="宋体" w:cs="宋体" w:eastAsia="宋体" w:hint="default"/>
                <w:sz w:val="21"/>
                <w:szCs w:val="21"/>
              </w:rPr>
            </w:r>
          </w:p>
        </w:tc>
        <w:tc>
          <w:tcPr>
            <w:tcW w:w="1391"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投资总额</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391"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累计投资额</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390"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尚未投入金</w:t>
            </w:r>
            <w:r>
              <w:rPr>
                <w:rFonts w:ascii="宋体" w:hAnsi="宋体" w:cs="宋体" w:eastAsia="宋体" w:hint="default"/>
                <w:sz w:val="21"/>
                <w:szCs w:val="21"/>
              </w:rPr>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额(万元)</w:t>
            </w:r>
            <w:r>
              <w:rPr>
                <w:rFonts w:ascii="宋体" w:hAnsi="宋体" w:cs="宋体" w:eastAsia="宋体" w:hint="default"/>
                <w:sz w:val="21"/>
                <w:szCs w:val="21"/>
              </w:rPr>
            </w:r>
          </w:p>
        </w:tc>
      </w:tr>
      <w:tr>
        <w:trPr>
          <w:trHeight w:val="559" w:hRule="exact"/>
        </w:trPr>
        <w:tc>
          <w:tcPr>
            <w:tcW w:w="9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sz w:val="21"/>
              </w:rPr>
              <w:t>1</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高亮度发光二极管（LED）芯片制造及其应</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用产业化项目</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80,000.00</w:t>
            </w:r>
            <w:r>
              <w:rPr>
                <w:rFonts w:ascii="宋体"/>
                <w:sz w:val="21"/>
              </w:rPr>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54,912.09</w:t>
            </w:r>
            <w:r>
              <w:rPr>
                <w:rFonts w:ascii="宋体"/>
                <w:sz w:val="21"/>
              </w:rPr>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25,087.91</w:t>
            </w:r>
            <w:r>
              <w:rPr>
                <w:rFonts w:ascii="宋体"/>
                <w:sz w:val="21"/>
              </w:rPr>
            </w:r>
          </w:p>
        </w:tc>
      </w:tr>
      <w:tr>
        <w:trPr>
          <w:trHeight w:val="296" w:hRule="exact"/>
        </w:trPr>
        <w:tc>
          <w:tcPr>
            <w:tcW w:w="9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2</w:t>
            </w:r>
          </w:p>
        </w:tc>
        <w:tc>
          <w:tcPr>
            <w:tcW w:w="420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pacing w:val="12"/>
                <w:sz w:val="21"/>
                <w:szCs w:val="21"/>
              </w:rPr>
              <w:t>基于国家标准的数字电视网络系统的技术</w:t>
            </w:r>
            <w:r>
              <w:rPr>
                <w:rFonts w:ascii="宋体" w:hAnsi="宋体" w:cs="宋体" w:eastAsia="宋体" w:hint="default"/>
                <w:sz w:val="21"/>
                <w:szCs w:val="21"/>
              </w:rPr>
            </w:r>
          </w:p>
        </w:tc>
        <w:tc>
          <w:tcPr>
            <w:tcW w:w="139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w:t>
            </w:r>
          </w:p>
        </w:tc>
        <w:tc>
          <w:tcPr>
            <w:tcW w:w="139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49,353.09</w:t>
            </w:r>
          </w:p>
        </w:tc>
        <w:tc>
          <w:tcPr>
            <w:tcW w:w="139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pacing w:val="-1"/>
                <w:sz w:val="21"/>
              </w:rPr>
              <w:t>10,646.91</w:t>
            </w:r>
          </w:p>
        </w:tc>
      </w:tr>
    </w:tbl>
    <w:p>
      <w:pPr>
        <w:spacing w:after="0" w:line="241" w:lineRule="exact"/>
        <w:jc w:val="right"/>
        <w:rPr>
          <w:rFonts w:ascii="宋体" w:hAnsi="宋体" w:cs="宋体" w:eastAsia="宋体" w:hint="default"/>
          <w:sz w:val="21"/>
          <w:szCs w:val="21"/>
        </w:rPr>
        <w:sectPr>
          <w:headerReference w:type="default" r:id="rId51"/>
          <w:footerReference w:type="default" r:id="rId52"/>
          <w:pgSz w:w="11910" w:h="16840"/>
          <w:pgMar w:header="0" w:footer="1124" w:top="1600" w:bottom="1320" w:left="1180" w:right="1160"/>
          <w:pgNumType w:start="3"/>
        </w:sectPr>
      </w:pP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909"/>
        <w:gridCol w:w="4205"/>
        <w:gridCol w:w="1391"/>
        <w:gridCol w:w="1391"/>
        <w:gridCol w:w="1390"/>
      </w:tblGrid>
      <w:tr>
        <w:trPr>
          <w:trHeight w:val="293" w:hRule="exact"/>
        </w:trPr>
        <w:tc>
          <w:tcPr>
            <w:tcW w:w="909" w:type="dxa"/>
            <w:tcBorders>
              <w:top w:val="single" w:sz="12" w:space="0" w:color="000000"/>
              <w:left w:val="single" w:sz="12" w:space="0" w:color="000000"/>
              <w:bottom w:val="single" w:sz="6" w:space="0" w:color="000000"/>
              <w:right w:val="single" w:sz="6" w:space="0" w:color="000000"/>
            </w:tcBorders>
          </w:tcPr>
          <w:p>
            <w:pPr/>
          </w:p>
        </w:tc>
        <w:tc>
          <w:tcPr>
            <w:tcW w:w="420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开发、应用产业化项目</w:t>
            </w:r>
          </w:p>
        </w:tc>
        <w:tc>
          <w:tcPr>
            <w:tcW w:w="1391" w:type="dxa"/>
            <w:tcBorders>
              <w:top w:val="single" w:sz="12" w:space="0" w:color="000000"/>
              <w:left w:val="single" w:sz="6" w:space="0" w:color="000000"/>
              <w:bottom w:val="single" w:sz="6" w:space="0" w:color="000000"/>
              <w:right w:val="single" w:sz="6" w:space="0" w:color="000000"/>
            </w:tcBorders>
          </w:tcPr>
          <w:p>
            <w:pPr/>
          </w:p>
        </w:tc>
        <w:tc>
          <w:tcPr>
            <w:tcW w:w="1391" w:type="dxa"/>
            <w:tcBorders>
              <w:top w:val="single" w:sz="12" w:space="0" w:color="000000"/>
              <w:left w:val="single" w:sz="6" w:space="0" w:color="000000"/>
              <w:bottom w:val="single" w:sz="6" w:space="0" w:color="000000"/>
              <w:right w:val="single" w:sz="6" w:space="0" w:color="000000"/>
            </w:tcBorders>
          </w:tcPr>
          <w:p>
            <w:pPr/>
          </w:p>
        </w:tc>
        <w:tc>
          <w:tcPr>
            <w:tcW w:w="1390" w:type="dxa"/>
            <w:tcBorders>
              <w:top w:val="single" w:sz="12" w:space="0" w:color="000000"/>
              <w:left w:val="single" w:sz="6" w:space="0" w:color="000000"/>
              <w:bottom w:val="single" w:sz="6" w:space="0" w:color="000000"/>
              <w:right w:val="single" w:sz="12" w:space="0" w:color="000000"/>
            </w:tcBorders>
          </w:tcPr>
          <w:p>
            <w:pPr/>
          </w:p>
        </w:tc>
      </w:tr>
      <w:tr>
        <w:trPr>
          <w:trHeight w:val="288" w:hRule="exact"/>
        </w:trPr>
        <w:tc>
          <w:tcPr>
            <w:tcW w:w="9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3</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51,942.97</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51,942.97</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0</w:t>
            </w:r>
          </w:p>
        </w:tc>
      </w:tr>
      <w:tr>
        <w:trPr>
          <w:trHeight w:val="357" w:hRule="exact"/>
        </w:trPr>
        <w:tc>
          <w:tcPr>
            <w:tcW w:w="5114"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39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7"/>
              <w:jc w:val="right"/>
              <w:rPr>
                <w:rFonts w:ascii="宋体" w:hAnsi="宋体" w:cs="宋体" w:eastAsia="宋体" w:hint="default"/>
                <w:sz w:val="21"/>
                <w:szCs w:val="21"/>
              </w:rPr>
            </w:pPr>
            <w:r>
              <w:rPr>
                <w:rFonts w:ascii="宋体"/>
                <w:spacing w:val="-1"/>
                <w:sz w:val="21"/>
              </w:rPr>
              <w:t>191,942.97</w:t>
            </w:r>
          </w:p>
        </w:tc>
        <w:tc>
          <w:tcPr>
            <w:tcW w:w="139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156,208.15</w:t>
            </w:r>
          </w:p>
        </w:tc>
        <w:tc>
          <w:tcPr>
            <w:tcW w:w="139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35,734.82</w:t>
            </w:r>
          </w:p>
        </w:tc>
      </w:tr>
    </w:tbl>
    <w:p>
      <w:pPr>
        <w:spacing w:line="240" w:lineRule="auto" w:before="10"/>
        <w:rPr>
          <w:rFonts w:ascii="宋体" w:hAnsi="宋体" w:cs="宋体" w:eastAsia="宋体" w:hint="default"/>
          <w:sz w:val="18"/>
          <w:szCs w:val="18"/>
        </w:rPr>
      </w:pPr>
    </w:p>
    <w:p>
      <w:pPr>
        <w:pStyle w:val="BodyText"/>
        <w:spacing w:line="240" w:lineRule="auto" w:before="26"/>
        <w:ind w:left="238" w:right="0"/>
        <w:jc w:val="left"/>
        <w:rPr>
          <w:rFonts w:ascii="宋体" w:hAnsi="宋体" w:cs="宋体" w:eastAsia="宋体" w:hint="default"/>
        </w:rPr>
      </w:pPr>
      <w:r>
        <w:rPr>
          <w:rFonts w:ascii="宋体" w:hAnsi="宋体" w:cs="宋体" w:eastAsia="宋体" w:hint="default"/>
        </w:rPr>
        <w:t>本年度，募集资金承诺项目投资以及收益情况如下：</w:t>
      </w:r>
    </w:p>
    <w:p>
      <w:pPr>
        <w:spacing w:line="240" w:lineRule="auto" w:before="2"/>
        <w:rPr>
          <w:rFonts w:ascii="宋体" w:hAnsi="宋体" w:cs="宋体" w:eastAsia="宋体" w:hint="default"/>
          <w:sz w:val="18"/>
          <w:szCs w:val="18"/>
        </w:rPr>
      </w:pPr>
    </w:p>
    <w:p>
      <w:pPr>
        <w:spacing w:before="35"/>
        <w:ind w:left="0" w:right="854"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4"/>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2056"/>
        <w:gridCol w:w="1007"/>
        <w:gridCol w:w="689"/>
        <w:gridCol w:w="1026"/>
        <w:gridCol w:w="1026"/>
        <w:gridCol w:w="1079"/>
        <w:gridCol w:w="2106"/>
        <w:gridCol w:w="909"/>
      </w:tblGrid>
      <w:tr>
        <w:trPr>
          <w:trHeight w:val="742" w:hRule="exact"/>
        </w:trPr>
        <w:tc>
          <w:tcPr>
            <w:tcW w:w="205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00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10" w:right="11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拟投入金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68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55" w:right="154"/>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21" w:right="119"/>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47" w:right="145"/>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b/>
                <w:bCs/>
                <w:sz w:val="18"/>
                <w:szCs w:val="18"/>
              </w:rPr>
              <w:t>是否符合计划进度</w:t>
            </w:r>
            <w:r>
              <w:rPr>
                <w:rFonts w:ascii="宋体" w:hAnsi="宋体" w:cs="宋体" w:eastAsia="宋体" w:hint="default"/>
                <w:sz w:val="18"/>
                <w:szCs w:val="18"/>
              </w:rPr>
            </w:r>
          </w:p>
        </w:tc>
        <w:tc>
          <w:tcPr>
            <w:tcW w:w="909"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75" w:right="167"/>
              <w:jc w:val="both"/>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736" w:hRule="exact"/>
        </w:trPr>
        <w:tc>
          <w:tcPr>
            <w:tcW w:w="205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40"/>
              <w:jc w:val="both"/>
              <w:rPr>
                <w:rFonts w:ascii="宋体" w:hAnsi="宋体" w:cs="宋体" w:eastAsia="宋体" w:hint="default"/>
                <w:sz w:val="18"/>
                <w:szCs w:val="18"/>
              </w:rPr>
            </w:pPr>
            <w:r>
              <w:rPr>
                <w:rFonts w:ascii="宋体" w:hAnsi="宋体" w:cs="宋体" w:eastAsia="宋体" w:hint="default"/>
                <w:spacing w:val="38"/>
                <w:sz w:val="18"/>
                <w:szCs w:val="18"/>
              </w:rPr>
              <w:t>高亮度</w:t>
            </w:r>
            <w:r>
              <w:rPr>
                <w:rFonts w:ascii="宋体" w:hAnsi="宋体" w:cs="宋体" w:eastAsia="宋体" w:hint="default"/>
                <w:spacing w:val="-34"/>
                <w:sz w:val="18"/>
                <w:szCs w:val="18"/>
              </w:rPr>
              <w:t> </w:t>
            </w:r>
            <w:r>
              <w:rPr>
                <w:rFonts w:ascii="宋体" w:hAnsi="宋体" w:cs="宋体" w:eastAsia="宋体" w:hint="default"/>
                <w:spacing w:val="28"/>
                <w:sz w:val="18"/>
                <w:szCs w:val="18"/>
              </w:rPr>
              <w:t>发光</w:t>
            </w:r>
            <w:r>
              <w:rPr>
                <w:rFonts w:ascii="宋体" w:hAnsi="宋体" w:cs="宋体" w:eastAsia="宋体" w:hint="default"/>
                <w:spacing w:val="-34"/>
                <w:sz w:val="18"/>
                <w:szCs w:val="18"/>
              </w:rPr>
              <w:t> </w:t>
            </w:r>
            <w:r>
              <w:rPr>
                <w:rFonts w:ascii="宋体" w:hAnsi="宋体" w:cs="宋体" w:eastAsia="宋体" w:hint="default"/>
                <w:spacing w:val="38"/>
                <w:sz w:val="18"/>
                <w:szCs w:val="18"/>
              </w:rPr>
              <w:t>二极管</w:t>
            </w:r>
            <w:r>
              <w:rPr>
                <w:rFonts w:ascii="宋体" w:hAnsi="宋体" w:cs="宋体" w:eastAsia="宋体" w:hint="default"/>
                <w:spacing w:val="-33"/>
                <w:sz w:val="18"/>
                <w:szCs w:val="18"/>
              </w:rPr>
              <w:t> </w:t>
            </w:r>
            <w:r>
              <w:rPr>
                <w:rFonts w:ascii="宋体" w:hAnsi="宋体" w:cs="宋体" w:eastAsia="宋体" w:hint="default"/>
                <w:sz w:val="18"/>
                <w:szCs w:val="18"/>
              </w:rPr>
              <w:t>(LED)</w:t>
            </w:r>
            <w:r>
              <w:rPr>
                <w:rFonts w:ascii="宋体" w:hAnsi="宋体" w:cs="宋体" w:eastAsia="宋体" w:hint="default"/>
                <w:spacing w:val="-72"/>
                <w:sz w:val="18"/>
                <w:szCs w:val="18"/>
              </w:rPr>
              <w:t> </w:t>
            </w:r>
            <w:r>
              <w:rPr>
                <w:rFonts w:ascii="宋体" w:hAnsi="宋体" w:cs="宋体" w:eastAsia="宋体" w:hint="default"/>
                <w:spacing w:val="15"/>
                <w:sz w:val="18"/>
                <w:szCs w:val="18"/>
              </w:rPr>
              <w:t>芯片制造及其应</w:t>
            </w:r>
            <w:r>
              <w:rPr>
                <w:rFonts w:ascii="宋体" w:hAnsi="宋体" w:cs="宋体" w:eastAsia="宋体" w:hint="default"/>
                <w:spacing w:val="-86"/>
                <w:sz w:val="18"/>
                <w:szCs w:val="18"/>
              </w:rPr>
              <w:t> </w:t>
            </w:r>
            <w:r>
              <w:rPr>
                <w:rFonts w:ascii="宋体" w:hAnsi="宋体" w:cs="宋体" w:eastAsia="宋体" w:hint="default"/>
                <w:sz w:val="18"/>
                <w:szCs w:val="18"/>
              </w:rPr>
              <w:t>用产业化项目</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17,938.04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28,265.00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-1,163.46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0"/>
              <w:jc w:val="both"/>
              <w:rPr>
                <w:rFonts w:ascii="宋体" w:hAnsi="宋体" w:cs="宋体" w:eastAsia="宋体" w:hint="default"/>
                <w:sz w:val="18"/>
                <w:szCs w:val="18"/>
              </w:rPr>
            </w:pPr>
            <w:r>
              <w:rPr>
                <w:rFonts w:ascii="宋体" w:hAnsi="宋体" w:cs="宋体" w:eastAsia="宋体" w:hint="default"/>
                <w:spacing w:val="9"/>
                <w:sz w:val="18"/>
                <w:szCs w:val="18"/>
              </w:rPr>
              <w:t>因受到北京奥运会期间 </w:t>
            </w:r>
            <w:r>
              <w:rPr>
                <w:rFonts w:ascii="宋体" w:hAnsi="宋体" w:cs="宋体" w:eastAsia="宋体" w:hint="default"/>
                <w:spacing w:val="-9"/>
                <w:sz w:val="18"/>
                <w:szCs w:val="18"/>
              </w:rPr>
              <w:t>施工限制的影响，该项目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投入进度整体推迟。</w:t>
            </w:r>
          </w:p>
        </w:tc>
        <w:tc>
          <w:tcPr>
            <w:tcW w:w="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2056" w:type="dxa"/>
            <w:tcBorders>
              <w:top w:val="single" w:sz="6" w:space="0" w:color="000000"/>
              <w:left w:val="single" w:sz="12" w:space="0" w:color="000000"/>
              <w:bottom w:val="nil" w:sz="6" w:space="0" w:color="auto"/>
              <w:right w:val="single" w:sz="6" w:space="0" w:color="000000"/>
            </w:tcBorders>
          </w:tcPr>
          <w:p>
            <w:pPr/>
          </w:p>
        </w:tc>
        <w:tc>
          <w:tcPr>
            <w:tcW w:w="1007"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2106"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该项目固定资产投资部</w:t>
            </w:r>
            <w:r>
              <w:rPr>
                <w:rFonts w:ascii="宋体" w:hAnsi="宋体" w:cs="宋体" w:eastAsia="宋体" w:hint="default"/>
                <w:sz w:val="18"/>
                <w:szCs w:val="18"/>
              </w:rPr>
            </w:r>
          </w:p>
        </w:tc>
        <w:tc>
          <w:tcPr>
            <w:tcW w:w="909"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056"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3"/>
                <w:sz w:val="18"/>
                <w:szCs w:val="18"/>
              </w:rPr>
              <w:t>基于国家标准的数字电</w:t>
            </w:r>
            <w:r>
              <w:rPr>
                <w:rFonts w:ascii="宋体" w:hAnsi="宋体" w:cs="宋体" w:eastAsia="宋体" w:hint="default"/>
                <w:sz w:val="18"/>
                <w:szCs w:val="18"/>
              </w:rPr>
            </w:r>
          </w:p>
        </w:tc>
        <w:tc>
          <w:tcPr>
            <w:tcW w:w="1007"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210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分主体部分施工完成</w:t>
            </w:r>
            <w:r>
              <w:rPr>
                <w:rFonts w:ascii="宋体" w:hAnsi="宋体" w:cs="宋体" w:eastAsia="宋体" w:hint="default"/>
                <w:spacing w:val="-90"/>
                <w:sz w:val="18"/>
                <w:szCs w:val="18"/>
              </w:rPr>
              <w:t>，</w:t>
            </w:r>
            <w:r>
              <w:rPr>
                <w:rFonts w:ascii="宋体" w:hAnsi="宋体" w:cs="宋体" w:eastAsia="宋体" w:hint="default"/>
                <w:sz w:val="18"/>
                <w:szCs w:val="18"/>
              </w:rPr>
              <w:t>开</w:t>
            </w:r>
          </w:p>
        </w:tc>
        <w:tc>
          <w:tcPr>
            <w:tcW w:w="909" w:type="dxa"/>
            <w:tcBorders>
              <w:top w:val="nil" w:sz="6" w:space="0" w:color="auto"/>
              <w:left w:val="single" w:sz="6" w:space="0" w:color="000000"/>
              <w:bottom w:val="nil" w:sz="6" w:space="0" w:color="auto"/>
              <w:right w:val="single" w:sz="12" w:space="0" w:color="000000"/>
            </w:tcBorders>
          </w:tcPr>
          <w:p>
            <w:pPr/>
          </w:p>
        </w:tc>
      </w:tr>
      <w:tr>
        <w:trPr>
          <w:trHeight w:val="240" w:hRule="exact"/>
        </w:trPr>
        <w:tc>
          <w:tcPr>
            <w:tcW w:w="2056"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24"/>
                <w:sz w:val="18"/>
                <w:szCs w:val="18"/>
              </w:rPr>
              <w:t>视网络系统的技术开</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07"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0</w:t>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11,465.43</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2,442.00</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31,286.16</w:t>
            </w:r>
          </w:p>
        </w:tc>
        <w:tc>
          <w:tcPr>
            <w:tcW w:w="210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始内部装修</w:t>
            </w:r>
            <w:r>
              <w:rPr>
                <w:rFonts w:ascii="宋体" w:hAnsi="宋体" w:cs="宋体" w:eastAsia="宋体" w:hint="default"/>
                <w:spacing w:val="-90"/>
                <w:sz w:val="18"/>
                <w:szCs w:val="18"/>
              </w:rPr>
              <w:t>，</w:t>
            </w:r>
            <w:r>
              <w:rPr>
                <w:rFonts w:ascii="宋体" w:hAnsi="宋体" w:cs="宋体" w:eastAsia="宋体" w:hint="default"/>
                <w:sz w:val="18"/>
                <w:szCs w:val="18"/>
              </w:rPr>
              <w:t>但因工程结</w:t>
            </w:r>
          </w:p>
        </w:tc>
        <w:tc>
          <w:tcPr>
            <w:tcW w:w="909"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6"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2056"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发、应用产业化项目</w:t>
            </w:r>
          </w:p>
        </w:tc>
        <w:tc>
          <w:tcPr>
            <w:tcW w:w="1007"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210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算支付方式问题</w:t>
            </w:r>
            <w:r>
              <w:rPr>
                <w:rFonts w:ascii="宋体" w:hAnsi="宋体" w:cs="宋体" w:eastAsia="宋体" w:hint="default"/>
                <w:spacing w:val="-90"/>
                <w:sz w:val="18"/>
                <w:szCs w:val="18"/>
              </w:rPr>
              <w:t>，</w:t>
            </w:r>
            <w:r>
              <w:rPr>
                <w:rFonts w:ascii="宋体" w:hAnsi="宋体" w:cs="宋体" w:eastAsia="宋体" w:hint="default"/>
                <w:sz w:val="18"/>
                <w:szCs w:val="18"/>
              </w:rPr>
              <w:t>尚未实</w:t>
            </w:r>
          </w:p>
        </w:tc>
        <w:tc>
          <w:tcPr>
            <w:tcW w:w="909" w:type="dxa"/>
            <w:tcBorders>
              <w:top w:val="nil" w:sz="6" w:space="0" w:color="auto"/>
              <w:left w:val="single" w:sz="6" w:space="0" w:color="000000"/>
              <w:bottom w:val="nil" w:sz="6" w:space="0" w:color="auto"/>
              <w:right w:val="single" w:sz="12" w:space="0" w:color="000000"/>
            </w:tcBorders>
          </w:tcPr>
          <w:p>
            <w:pPr/>
          </w:p>
        </w:tc>
      </w:tr>
      <w:tr>
        <w:trPr>
          <w:trHeight w:val="239" w:hRule="exact"/>
        </w:trPr>
        <w:tc>
          <w:tcPr>
            <w:tcW w:w="2056" w:type="dxa"/>
            <w:tcBorders>
              <w:top w:val="nil" w:sz="6" w:space="0" w:color="auto"/>
              <w:left w:val="single" w:sz="12" w:space="0" w:color="000000"/>
              <w:bottom w:val="single" w:sz="6" w:space="0" w:color="000000"/>
              <w:right w:val="single" w:sz="6" w:space="0" w:color="000000"/>
            </w:tcBorders>
          </w:tcPr>
          <w:p>
            <w:pPr/>
          </w:p>
        </w:tc>
        <w:tc>
          <w:tcPr>
            <w:tcW w:w="1007"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2106"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际支付。</w:t>
            </w:r>
          </w:p>
        </w:tc>
        <w:tc>
          <w:tcPr>
            <w:tcW w:w="909" w:type="dxa"/>
            <w:tcBorders>
              <w:top w:val="nil" w:sz="6" w:space="0" w:color="auto"/>
              <w:left w:val="single" w:sz="6" w:space="0" w:color="000000"/>
              <w:bottom w:val="single" w:sz="6" w:space="0" w:color="000000"/>
              <w:right w:val="single" w:sz="12" w:space="0" w:color="000000"/>
            </w:tcBorders>
          </w:tcPr>
          <w:p>
            <w:pPr/>
          </w:p>
        </w:tc>
      </w:tr>
      <w:tr>
        <w:trPr>
          <w:trHeight w:val="323" w:hRule="exact"/>
        </w:trPr>
        <w:tc>
          <w:tcPr>
            <w:tcW w:w="20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29,403.47</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30,707.00</w:t>
            </w:r>
          </w:p>
        </w:tc>
        <w:tc>
          <w:tcPr>
            <w:tcW w:w="10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30,122.70</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w:t>
            </w:r>
          </w:p>
        </w:tc>
        <w:tc>
          <w:tcPr>
            <w:tcW w:w="9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5"/>
          <w:szCs w:val="15"/>
        </w:rPr>
      </w:pPr>
    </w:p>
    <w:p>
      <w:pPr>
        <w:pStyle w:val="Heading3"/>
        <w:spacing w:line="240" w:lineRule="auto" w:before="26"/>
        <w:ind w:left="238" w:right="0"/>
        <w:jc w:val="both"/>
        <w:rPr>
          <w:rFonts w:ascii="宋体" w:hAnsi="宋体" w:cs="宋体" w:eastAsia="宋体" w:hint="default"/>
          <w:b w:val="0"/>
          <w:bCs w:val="0"/>
        </w:rPr>
      </w:pPr>
      <w:r>
        <w:rPr>
          <w:rFonts w:ascii="宋体" w:hAnsi="宋体" w:cs="宋体" w:eastAsia="宋体" w:hint="default"/>
        </w:rPr>
        <w:t>(1)投资</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2"/>
        </w:rPr>
        <w:t> </w:t>
      </w:r>
      <w:r>
        <w:rPr>
          <w:rFonts w:ascii="宋体" w:hAnsi="宋体" w:cs="宋体" w:eastAsia="宋体" w:hint="default"/>
        </w:rPr>
        <w:t>亿元用于高亮度发光二极管（LED）芯片制造及其应用产业化项目</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853"/>
        <w:jc w:val="both"/>
        <w:rPr>
          <w:rFonts w:ascii="宋体" w:hAnsi="宋体" w:cs="宋体" w:eastAsia="宋体" w:hint="default"/>
        </w:rPr>
      </w:pPr>
      <w:r>
        <w:rPr>
          <w:rFonts w:ascii="宋体" w:hAnsi="宋体" w:cs="宋体" w:eastAsia="宋体" w:hint="default"/>
        </w:rPr>
        <w:t>本项目拟投资 8.0</w:t>
      </w:r>
      <w:r>
        <w:rPr>
          <w:rFonts w:ascii="宋体" w:hAnsi="宋体" w:cs="宋体" w:eastAsia="宋体" w:hint="default"/>
          <w:spacing w:val="-52"/>
        </w:rPr>
        <w:t> </w:t>
      </w:r>
      <w:r>
        <w:rPr>
          <w:rFonts w:ascii="宋体" w:hAnsi="宋体" w:cs="宋体" w:eastAsia="宋体" w:hint="default"/>
        </w:rPr>
        <w:t>亿元，用于高亮度半导体发光二极管（LED）芯片的扩大生产以及高</w:t>
      </w:r>
      <w:r>
        <w:rPr>
          <w:rFonts w:ascii="宋体" w:hAnsi="宋体" w:cs="宋体" w:eastAsia="宋体" w:hint="default"/>
        </w:rPr>
        <w:t> 亮度</w:t>
      </w:r>
      <w:r>
        <w:rPr>
          <w:rFonts w:ascii="宋体" w:hAnsi="宋体" w:cs="宋体" w:eastAsia="宋体" w:hint="default"/>
          <w:spacing w:val="-84"/>
        </w:rPr>
        <w:t> </w:t>
      </w:r>
      <w:r>
        <w:rPr>
          <w:rFonts w:ascii="宋体" w:hAnsi="宋体" w:cs="宋体" w:eastAsia="宋体" w:hint="default"/>
        </w:rPr>
        <w:t>LED</w:t>
      </w:r>
      <w:r>
        <w:rPr>
          <w:rFonts w:ascii="宋体" w:hAnsi="宋体" w:cs="宋体" w:eastAsia="宋体" w:hint="default"/>
          <w:spacing w:val="-84"/>
        </w:rPr>
        <w:t> </w:t>
      </w:r>
      <w:r>
        <w:rPr>
          <w:rFonts w:ascii="宋体" w:hAnsi="宋体" w:cs="宋体" w:eastAsia="宋体" w:hint="default"/>
        </w:rPr>
        <w:t>照明产品在特种景观照明的规模化应用。项目依托公司已经开发、研究和掌握</w:t>
      </w:r>
      <w:r>
        <w:rPr>
          <w:rFonts w:ascii="宋体" w:hAnsi="宋体" w:cs="宋体" w:eastAsia="宋体" w:hint="default"/>
        </w:rPr>
        <w:t> </w:t>
      </w:r>
      <w:r>
        <w:rPr>
          <w:rFonts w:ascii="宋体" w:hAnsi="宋体" w:cs="宋体" w:eastAsia="宋体" w:hint="default"/>
          <w:spacing w:val="-1"/>
        </w:rPr>
        <w:t>的高亮度半导体</w:t>
      </w:r>
      <w:r>
        <w:rPr>
          <w:rFonts w:ascii="宋体" w:hAnsi="宋体" w:cs="宋体" w:eastAsia="宋体" w:hint="default"/>
          <w:spacing w:val="-69"/>
        </w:rPr>
        <w:t> </w:t>
      </w:r>
      <w:r>
        <w:rPr>
          <w:rFonts w:ascii="宋体" w:hAnsi="宋体" w:cs="宋体" w:eastAsia="宋体" w:hint="default"/>
          <w:spacing w:val="-1"/>
        </w:rPr>
        <w:t>LED</w:t>
      </w:r>
      <w:r>
        <w:rPr>
          <w:rFonts w:ascii="宋体" w:hAnsi="宋体" w:cs="宋体" w:eastAsia="宋体" w:hint="default"/>
          <w:spacing w:val="-69"/>
        </w:rPr>
        <w:t> </w:t>
      </w:r>
      <w:r>
        <w:rPr>
          <w:rFonts w:ascii="宋体" w:hAnsi="宋体" w:cs="宋体" w:eastAsia="宋体" w:hint="default"/>
          <w:spacing w:val="-7"/>
        </w:rPr>
        <w:t>芯片产业化关键技术，投资建设发光效率超过</w:t>
      </w:r>
      <w:r>
        <w:rPr>
          <w:rFonts w:ascii="宋体" w:hAnsi="宋体" w:cs="宋体" w:eastAsia="宋体" w:hint="default"/>
          <w:spacing w:val="-69"/>
        </w:rPr>
        <w:t> </w:t>
      </w:r>
      <w:r>
        <w:rPr>
          <w:rFonts w:ascii="宋体" w:hAnsi="宋体" w:cs="宋体" w:eastAsia="宋体" w:hint="default"/>
        </w:rPr>
        <w:t>60</w:t>
      </w:r>
      <w:r>
        <w:rPr>
          <w:rFonts w:ascii="宋体" w:hAnsi="宋体" w:cs="宋体" w:eastAsia="宋体" w:hint="default"/>
          <w:spacing w:val="-58"/>
        </w:rPr>
        <w:t> </w:t>
      </w:r>
      <w:r>
        <w:rPr>
          <w:rFonts w:ascii="宋体" w:hAnsi="宋体" w:cs="宋体" w:eastAsia="宋体" w:hint="default"/>
        </w:rPr>
        <w:t>lm/w</w:t>
      </w:r>
      <w:r>
        <w:rPr>
          <w:rFonts w:ascii="宋体" w:hAnsi="宋体" w:cs="宋体" w:eastAsia="宋体" w:hint="default"/>
          <w:spacing w:val="-69"/>
        </w:rPr>
        <w:t> </w:t>
      </w:r>
      <w:r>
        <w:rPr>
          <w:rFonts w:ascii="宋体" w:hAnsi="宋体" w:cs="宋体" w:eastAsia="宋体" w:hint="default"/>
        </w:rPr>
        <w:t>的半导体</w:t>
      </w:r>
      <w:r>
        <w:rPr>
          <w:rFonts w:ascii="宋体" w:hAnsi="宋体" w:cs="宋体" w:eastAsia="宋体" w:hint="default"/>
          <w:spacing w:val="-69"/>
        </w:rPr>
        <w:t> </w:t>
      </w:r>
      <w:r>
        <w:rPr>
          <w:rFonts w:ascii="宋体" w:hAnsi="宋体" w:cs="宋体" w:eastAsia="宋体" w:hint="default"/>
        </w:rPr>
        <w:t>LED</w:t>
      </w:r>
      <w:r>
        <w:rPr>
          <w:rFonts w:ascii="宋体" w:hAnsi="宋体" w:cs="宋体" w:eastAsia="宋体" w:hint="default"/>
        </w:rPr>
        <w:t> 芯片生产线，规模化生产高亮度蓝、绿光</w:t>
      </w:r>
      <w:r>
        <w:rPr>
          <w:rFonts w:ascii="宋体" w:hAnsi="宋体" w:cs="宋体" w:eastAsia="宋体" w:hint="default"/>
          <w:spacing w:val="-55"/>
        </w:rPr>
        <w:t> </w:t>
      </w:r>
      <w:r>
        <w:rPr>
          <w:rFonts w:ascii="宋体" w:hAnsi="宋体" w:cs="宋体" w:eastAsia="宋体" w:hint="default"/>
        </w:rPr>
        <w:t>LED</w:t>
      </w:r>
      <w:r>
        <w:rPr>
          <w:rFonts w:ascii="宋体" w:hAnsi="宋体" w:cs="宋体" w:eastAsia="宋体" w:hint="default"/>
          <w:spacing w:val="-55"/>
        </w:rPr>
        <w:t> </w:t>
      </w:r>
      <w:r>
        <w:rPr>
          <w:rFonts w:ascii="宋体" w:hAnsi="宋体" w:cs="宋体" w:eastAsia="宋体" w:hint="default"/>
        </w:rPr>
        <w:t>芯片，形成年产</w:t>
      </w:r>
      <w:r>
        <w:rPr>
          <w:rFonts w:ascii="宋体" w:hAnsi="宋体" w:cs="宋体" w:eastAsia="宋体" w:hint="default"/>
          <w:spacing w:val="-55"/>
        </w:rPr>
        <w:t> </w:t>
      </w:r>
      <w:r>
        <w:rPr>
          <w:rFonts w:ascii="宋体" w:hAnsi="宋体" w:cs="宋体" w:eastAsia="宋体" w:hint="default"/>
        </w:rPr>
        <w:t>36</w:t>
      </w:r>
      <w:r>
        <w:rPr>
          <w:rFonts w:ascii="宋体" w:hAnsi="宋体" w:cs="宋体" w:eastAsia="宋体" w:hint="default"/>
          <w:spacing w:val="-55"/>
        </w:rPr>
        <w:t> </w:t>
      </w:r>
      <w:r>
        <w:rPr>
          <w:rFonts w:ascii="宋体" w:hAnsi="宋体" w:cs="宋体" w:eastAsia="宋体" w:hint="default"/>
        </w:rPr>
        <w:t>亿粒高亮度</w:t>
      </w:r>
      <w:r>
        <w:rPr>
          <w:rFonts w:ascii="宋体" w:hAnsi="宋体" w:cs="宋体" w:eastAsia="宋体" w:hint="default"/>
          <w:spacing w:val="-55"/>
        </w:rPr>
        <w:t> </w:t>
      </w:r>
      <w:r>
        <w:rPr>
          <w:rFonts w:ascii="宋体" w:hAnsi="宋体" w:cs="宋体" w:eastAsia="宋体" w:hint="default"/>
        </w:rPr>
        <w:t>LED</w:t>
      </w:r>
      <w:r>
        <w:rPr>
          <w:rFonts w:ascii="宋体" w:hAnsi="宋体" w:cs="宋体" w:eastAsia="宋体" w:hint="default"/>
          <w:spacing w:val="-55"/>
        </w:rPr>
        <w:t> </w:t>
      </w:r>
      <w:r>
        <w:rPr>
          <w:rFonts w:ascii="宋体" w:hAnsi="宋体" w:cs="宋体" w:eastAsia="宋体" w:hint="default"/>
        </w:rPr>
        <w:t>芯片</w:t>
      </w:r>
      <w:r>
        <w:rPr>
          <w:rFonts w:ascii="宋体" w:hAnsi="宋体" w:cs="宋体" w:eastAsia="宋体" w:hint="default"/>
          <w:spacing w:val="-1"/>
        </w:rPr>
        <w:t> </w:t>
      </w:r>
      <w:r>
        <w:rPr>
          <w:rFonts w:ascii="宋体" w:hAnsi="宋体" w:cs="宋体" w:eastAsia="宋体" w:hint="default"/>
        </w:rPr>
        <w:t>的生产能力；公司并以此为基础，研制与开发高亮度</w:t>
      </w:r>
      <w:r>
        <w:rPr>
          <w:rFonts w:ascii="宋体" w:hAnsi="宋体" w:cs="宋体" w:eastAsia="宋体" w:hint="default"/>
          <w:spacing w:val="-84"/>
        </w:rPr>
        <w:t> </w:t>
      </w:r>
      <w:r>
        <w:rPr>
          <w:rFonts w:ascii="宋体" w:hAnsi="宋体" w:cs="宋体" w:eastAsia="宋体" w:hint="default"/>
        </w:rPr>
        <w:t>LED</w:t>
      </w:r>
      <w:r>
        <w:rPr>
          <w:rFonts w:ascii="宋体" w:hAnsi="宋体" w:cs="宋体" w:eastAsia="宋体" w:hint="default"/>
          <w:spacing w:val="-84"/>
        </w:rPr>
        <w:t> </w:t>
      </w:r>
      <w:r>
        <w:rPr>
          <w:rFonts w:ascii="宋体" w:hAnsi="宋体" w:cs="宋体" w:eastAsia="宋体" w:hint="default"/>
        </w:rPr>
        <w:t>照明产品在园林景观、建筑景</w:t>
      </w:r>
      <w:r>
        <w:rPr>
          <w:rFonts w:ascii="宋体" w:hAnsi="宋体" w:cs="宋体" w:eastAsia="宋体" w:hint="default"/>
        </w:rPr>
        <w:t> 观等特种景观照明工程中的规模化应用。</w:t>
      </w:r>
    </w:p>
    <w:p>
      <w:pPr>
        <w:spacing w:line="240" w:lineRule="auto" w:before="11"/>
        <w:rPr>
          <w:rFonts w:ascii="宋体" w:hAnsi="宋体" w:cs="宋体" w:eastAsia="宋体" w:hint="default"/>
          <w:sz w:val="23"/>
          <w:szCs w:val="23"/>
        </w:rPr>
      </w:pPr>
    </w:p>
    <w:p>
      <w:pPr>
        <w:pStyle w:val="BodyText"/>
        <w:spacing w:line="237" w:lineRule="auto"/>
        <w:ind w:left="238" w:right="854"/>
        <w:jc w:val="both"/>
        <w:rPr>
          <w:rFonts w:ascii="宋体" w:hAnsi="宋体" w:cs="宋体" w:eastAsia="宋体" w:hint="default"/>
        </w:rPr>
      </w:pPr>
      <w:r>
        <w:rPr>
          <w:rFonts w:ascii="宋体" w:hAnsi="宋体" w:cs="宋体" w:eastAsia="宋体" w:hint="default"/>
          <w:spacing w:val="-2"/>
        </w:rPr>
        <w:t>因受到北京奥运会期间施工限制的影响，该项目整体投入进度推迟。本报告期内，公司</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在北京的一期生产基地已经完成建设，达到六条</w:t>
      </w:r>
      <w:r>
        <w:rPr>
          <w:rFonts w:ascii="宋体" w:hAnsi="宋体" w:cs="宋体" w:eastAsia="宋体" w:hint="default"/>
          <w:spacing w:val="-51"/>
        </w:rPr>
        <w:t> </w:t>
      </w:r>
      <w:r>
        <w:rPr>
          <w:rFonts w:ascii="宋体" w:hAnsi="宋体" w:cs="宋体" w:eastAsia="宋体" w:hint="default"/>
        </w:rPr>
        <w:t>MOCVD</w:t>
      </w:r>
      <w:r>
        <w:rPr>
          <w:rFonts w:ascii="宋体" w:hAnsi="宋体" w:cs="宋体" w:eastAsia="宋体" w:hint="default"/>
          <w:spacing w:val="-52"/>
        </w:rPr>
        <w:t> </w:t>
      </w:r>
      <w:r>
        <w:rPr>
          <w:rFonts w:ascii="宋体" w:hAnsi="宋体" w:cs="宋体" w:eastAsia="宋体" w:hint="default"/>
        </w:rPr>
        <w:t>生产线、年产</w:t>
      </w:r>
      <w:r>
        <w:rPr>
          <w:rFonts w:ascii="宋体" w:hAnsi="宋体" w:cs="宋体" w:eastAsia="宋体" w:hint="default"/>
          <w:spacing w:val="-51"/>
        </w:rPr>
        <w:t> </w:t>
      </w:r>
      <w:r>
        <w:rPr>
          <w:rFonts w:ascii="宋体" w:hAnsi="宋体" w:cs="宋体" w:eastAsia="宋体" w:hint="default"/>
        </w:rPr>
        <w:t>20</w:t>
      </w:r>
      <w:r>
        <w:rPr>
          <w:rFonts w:ascii="宋体" w:hAnsi="宋体" w:cs="宋体" w:eastAsia="宋体" w:hint="default"/>
          <w:spacing w:val="-51"/>
        </w:rPr>
        <w:t> </w:t>
      </w:r>
      <w:r>
        <w:rPr>
          <w:rFonts w:ascii="宋体" w:hAnsi="宋体" w:cs="宋体" w:eastAsia="宋体" w:hint="default"/>
        </w:rPr>
        <w:t>万片外延片的</w:t>
      </w:r>
      <w:r>
        <w:rPr>
          <w:rFonts w:ascii="宋体" w:hAnsi="宋体" w:cs="宋体" w:eastAsia="宋体" w:hint="default"/>
          <w:spacing w:val="-1"/>
        </w:rPr>
        <w:t> </w:t>
      </w:r>
      <w:r>
        <w:rPr>
          <w:rFonts w:ascii="宋体" w:hAnsi="宋体" w:cs="宋体" w:eastAsia="宋体" w:hint="default"/>
          <w:spacing w:val="-2"/>
        </w:rPr>
        <w:t>生产能力，实现了产品的批量供货。在南通的生产基地已经完成二栋半导体厂房、一栋</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电子厂房的主体建设，正在实施内部洁净车间的装修，LED</w:t>
      </w:r>
      <w:r>
        <w:rPr>
          <w:rFonts w:ascii="宋体" w:hAnsi="宋体" w:cs="宋体" w:eastAsia="宋体" w:hint="default"/>
          <w:spacing w:val="15"/>
        </w:rPr>
        <w:t> </w:t>
      </w:r>
      <w:r>
        <w:rPr>
          <w:rFonts w:ascii="宋体" w:hAnsi="宋体" w:cs="宋体" w:eastAsia="宋体" w:hint="default"/>
        </w:rPr>
        <w:t>外延生产线的核心设备</w:t>
      </w:r>
      <w:r>
        <w:rPr>
          <w:rFonts w:ascii="宋体" w:hAnsi="宋体" w:cs="宋体" w:eastAsia="宋体" w:hint="default"/>
          <w:spacing w:val="15"/>
        </w:rPr>
        <w:t> </w:t>
      </w:r>
      <w:r>
        <w:rPr>
          <w:rFonts w:ascii="宋体" w:hAnsi="宋体" w:cs="宋体" w:eastAsia="宋体" w:hint="default"/>
        </w:rPr>
        <w:t>48</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台 MOCVD</w:t>
      </w:r>
      <w:r>
        <w:rPr>
          <w:rFonts w:ascii="宋体" w:hAnsi="宋体" w:cs="宋体" w:eastAsia="宋体" w:hint="default"/>
          <w:spacing w:val="-52"/>
        </w:rPr>
        <w:t> </w:t>
      </w:r>
      <w:r>
        <w:rPr>
          <w:rFonts w:ascii="宋体" w:hAnsi="宋体" w:cs="宋体" w:eastAsia="宋体" w:hint="default"/>
        </w:rPr>
        <w:t>已经开始采购；高亮度发光二极管(LED)芯片应用部分涉及的固定资产投资部</w:t>
      </w:r>
      <w:r>
        <w:rPr>
          <w:rFonts w:ascii="宋体" w:hAnsi="宋体" w:cs="宋体" w:eastAsia="宋体" w:hint="default"/>
        </w:rPr>
        <w:t> 分主体部分施工完成，开始内部装修。本报告期对该项目共投资</w:t>
      </w:r>
      <w:r>
        <w:rPr>
          <w:rFonts w:ascii="宋体" w:hAnsi="宋体" w:cs="宋体" w:eastAsia="宋体" w:hint="default"/>
          <w:spacing w:val="-75"/>
        </w:rPr>
        <w:t> </w:t>
      </w:r>
      <w:r>
        <w:rPr>
          <w:rFonts w:ascii="宋体" w:hAnsi="宋体" w:cs="宋体" w:eastAsia="宋体" w:hint="default"/>
        </w:rPr>
        <w:t>17,938.04</w:t>
      </w:r>
      <w:r>
        <w:rPr>
          <w:rFonts w:ascii="宋体" w:hAnsi="宋体" w:cs="宋体" w:eastAsia="宋体" w:hint="default"/>
          <w:spacing w:val="-75"/>
        </w:rPr>
        <w:t> </w:t>
      </w:r>
      <w:r>
        <w:rPr>
          <w:rFonts w:ascii="宋体" w:hAnsi="宋体" w:cs="宋体" w:eastAsia="宋体" w:hint="default"/>
          <w:spacing w:val="-4"/>
        </w:rPr>
        <w:t>万元，实现</w:t>
      </w:r>
      <w:r>
        <w:rPr>
          <w:rFonts w:ascii="宋体" w:hAnsi="宋体" w:cs="宋体" w:eastAsia="宋体" w:hint="default"/>
        </w:rPr>
        <w:t> 项目收益-1,163.46</w:t>
      </w:r>
      <w:r>
        <w:rPr>
          <w:rFonts w:ascii="宋体" w:hAnsi="宋体" w:cs="宋体" w:eastAsia="宋体" w:hint="default"/>
          <w:spacing w:val="-60"/>
        </w:rPr>
        <w:t> </w:t>
      </w:r>
      <w:r>
        <w:rPr>
          <w:rFonts w:ascii="宋体" w:hAnsi="宋体" w:cs="宋体" w:eastAsia="宋体" w:hint="default"/>
        </w:rPr>
        <w:t>万元，项目收益低于预期系投资进度延后导致。</w:t>
      </w:r>
    </w:p>
    <w:p>
      <w:pPr>
        <w:spacing w:line="240" w:lineRule="auto" w:before="11"/>
        <w:rPr>
          <w:rFonts w:ascii="宋体" w:hAnsi="宋体" w:cs="宋体" w:eastAsia="宋体" w:hint="default"/>
          <w:sz w:val="23"/>
          <w:szCs w:val="23"/>
        </w:rPr>
      </w:pPr>
    </w:p>
    <w:p>
      <w:pPr>
        <w:pStyle w:val="BodyText"/>
        <w:spacing w:line="237" w:lineRule="auto"/>
        <w:ind w:left="238"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11</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7</w:t>
      </w:r>
      <w:r>
        <w:rPr>
          <w:rFonts w:ascii="宋体" w:hAnsi="宋体" w:cs="宋体" w:eastAsia="宋体" w:hint="default"/>
          <w:spacing w:val="-63"/>
        </w:rPr>
        <w:t> </w:t>
      </w:r>
      <w:r>
        <w:rPr>
          <w:rFonts w:ascii="宋体" w:hAnsi="宋体" w:cs="宋体" w:eastAsia="宋体" w:hint="default"/>
        </w:rPr>
        <w:t>日，经公司第五届董事会第九次会议审议批准，为进一步加快高亮度发</w:t>
      </w:r>
      <w:r>
        <w:rPr>
          <w:rFonts w:ascii="宋体" w:hAnsi="宋体" w:cs="宋体" w:eastAsia="宋体" w:hint="default"/>
          <w:spacing w:val="-1"/>
        </w:rPr>
        <w:t> </w:t>
      </w:r>
      <w:r>
        <w:rPr>
          <w:rFonts w:ascii="宋体" w:hAnsi="宋体" w:cs="宋体" w:eastAsia="宋体" w:hint="default"/>
        </w:rPr>
        <w:t>光二极管(LED)芯片制造及其应用产业化项目募集资金的使用，全面推动公司在 LED</w:t>
      </w:r>
      <w:r>
        <w:rPr>
          <w:rFonts w:ascii="宋体" w:hAnsi="宋体" w:cs="宋体" w:eastAsia="宋体" w:hint="default"/>
          <w:spacing w:val="-52"/>
        </w:rPr>
        <w:t> </w:t>
      </w:r>
      <w:r>
        <w:rPr>
          <w:rFonts w:ascii="宋体" w:hAnsi="宋体" w:cs="宋体" w:eastAsia="宋体" w:hint="default"/>
        </w:rPr>
        <w:t>产</w:t>
      </w:r>
      <w:r>
        <w:rPr>
          <w:rFonts w:ascii="宋体" w:hAnsi="宋体" w:cs="宋体" w:eastAsia="宋体" w:hint="default"/>
        </w:rPr>
        <w:t> </w:t>
      </w:r>
      <w:r>
        <w:rPr>
          <w:rFonts w:ascii="宋体" w:hAnsi="宋体" w:cs="宋体" w:eastAsia="宋体" w:hint="default"/>
          <w:spacing w:val="-2"/>
        </w:rPr>
        <w:t>业的发展，公司增加江苏南通作为“高亮度发光二极管(LED)芯片制造及其应用产业化”</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配股项目的实施地点，因江苏南通为异地实施，故将设备采购尚余 17,200</w:t>
      </w:r>
      <w:r>
        <w:rPr>
          <w:rFonts w:ascii="宋体" w:hAnsi="宋体" w:cs="宋体" w:eastAsia="宋体" w:hint="default"/>
          <w:spacing w:val="-52"/>
        </w:rPr>
        <w:t> </w:t>
      </w:r>
      <w:r>
        <w:rPr>
          <w:rFonts w:ascii="宋体" w:hAnsi="宋体" w:cs="宋体" w:eastAsia="宋体" w:hint="default"/>
        </w:rPr>
        <w:t>万元以资本</w:t>
      </w:r>
      <w:r>
        <w:rPr>
          <w:rFonts w:ascii="宋体" w:hAnsi="宋体" w:cs="宋体" w:eastAsia="宋体" w:hint="default"/>
        </w:rPr>
        <w:t> 金投入到全资子公司－南通同方半导体有限公司的方式进行使用，只用于采购设备。实 施主体增加南通同方半导体有限公司。上述事项已经于</w:t>
      </w:r>
      <w:r>
        <w:rPr>
          <w:rFonts w:ascii="宋体" w:hAnsi="宋体" w:cs="宋体" w:eastAsia="宋体" w:hint="default"/>
          <w:spacing w:val="-29"/>
        </w:rPr>
        <w:t> </w:t>
      </w:r>
      <w:r>
        <w:rPr>
          <w:rFonts w:ascii="宋体" w:hAnsi="宋体" w:cs="宋体" w:eastAsia="宋体" w:hint="default"/>
        </w:rPr>
        <w:t>2011</w:t>
      </w:r>
      <w:r>
        <w:rPr>
          <w:rFonts w:ascii="宋体" w:hAnsi="宋体" w:cs="宋体" w:eastAsia="宋体" w:hint="default"/>
          <w:spacing w:val="-29"/>
        </w:rPr>
        <w:t> </w:t>
      </w:r>
      <w:r>
        <w:rPr>
          <w:rFonts w:ascii="宋体" w:hAnsi="宋体" w:cs="宋体" w:eastAsia="宋体" w:hint="default"/>
        </w:rPr>
        <w:t>年</w:t>
      </w:r>
      <w:r>
        <w:rPr>
          <w:rFonts w:ascii="宋体" w:hAnsi="宋体" w:cs="宋体" w:eastAsia="宋体" w:hint="default"/>
          <w:spacing w:val="-29"/>
        </w:rPr>
        <w:t> </w:t>
      </w:r>
      <w:r>
        <w:rPr>
          <w:rFonts w:ascii="宋体" w:hAnsi="宋体" w:cs="宋体" w:eastAsia="宋体" w:hint="default"/>
        </w:rPr>
        <w:t>1</w:t>
      </w:r>
      <w:r>
        <w:rPr>
          <w:rFonts w:ascii="宋体" w:hAnsi="宋体" w:cs="宋体" w:eastAsia="宋体" w:hint="default"/>
          <w:spacing w:val="-28"/>
        </w:rPr>
        <w:t> </w:t>
      </w:r>
      <w:r>
        <w:rPr>
          <w:rFonts w:ascii="宋体" w:hAnsi="宋体" w:cs="宋体" w:eastAsia="宋体" w:hint="default"/>
        </w:rPr>
        <w:t>月</w:t>
      </w:r>
      <w:r>
        <w:rPr>
          <w:rFonts w:ascii="宋体" w:hAnsi="宋体" w:cs="宋体" w:eastAsia="宋体" w:hint="default"/>
          <w:spacing w:val="-29"/>
        </w:rPr>
        <w:t> </w:t>
      </w:r>
      <w:r>
        <w:rPr>
          <w:rFonts w:ascii="宋体" w:hAnsi="宋体" w:cs="宋体" w:eastAsia="宋体" w:hint="default"/>
        </w:rPr>
        <w:t>24</w:t>
      </w:r>
      <w:r>
        <w:rPr>
          <w:rFonts w:ascii="宋体" w:hAnsi="宋体" w:cs="宋体" w:eastAsia="宋体" w:hint="default"/>
          <w:spacing w:val="-29"/>
        </w:rPr>
        <w:t> </w:t>
      </w:r>
      <w:r>
        <w:rPr>
          <w:rFonts w:ascii="宋体" w:hAnsi="宋体" w:cs="宋体" w:eastAsia="宋体" w:hint="default"/>
        </w:rPr>
        <w:t>日召开的公司</w:t>
      </w:r>
    </w:p>
    <w:p>
      <w:pPr>
        <w:pStyle w:val="BodyText"/>
        <w:spacing w:line="310" w:lineRule="exact" w:before="29"/>
        <w:ind w:left="238" w:right="854"/>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33"/>
        </w:rPr>
        <w:t> </w:t>
      </w:r>
      <w:r>
        <w:rPr>
          <w:rFonts w:ascii="宋体" w:hAnsi="宋体" w:cs="宋体" w:eastAsia="宋体" w:hint="default"/>
          <w:spacing w:val="-4"/>
        </w:rPr>
        <w:t>年第一次临时股东大会审议批准。截至本报告披露日，上述增资南通同方半导体有</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限公司事项已经完成。</w:t>
      </w:r>
    </w:p>
    <w:p>
      <w:pPr>
        <w:spacing w:after="0" w:line="310" w:lineRule="exact"/>
        <w:jc w:val="both"/>
        <w:rPr>
          <w:rFonts w:ascii="宋体" w:hAnsi="宋体" w:cs="宋体" w:eastAsia="宋体" w:hint="default"/>
        </w:rPr>
        <w:sectPr>
          <w:headerReference w:type="default" r:id="rId53"/>
          <w:footerReference w:type="default" r:id="rId54"/>
          <w:pgSz w:w="11910" w:h="16840"/>
          <w:pgMar w:header="0" w:footer="1124" w:top="1600" w:bottom="1320" w:left="1180" w:right="560"/>
          <w:pgNumType w:start="4"/>
        </w:sectPr>
      </w:pPr>
    </w:p>
    <w:p>
      <w:pPr>
        <w:spacing w:line="240" w:lineRule="auto" w:before="7"/>
        <w:rPr>
          <w:rFonts w:ascii="宋体" w:hAnsi="宋体" w:cs="宋体" w:eastAsia="宋体" w:hint="default"/>
          <w:sz w:val="26"/>
          <w:szCs w:val="26"/>
        </w:rPr>
      </w:pPr>
    </w:p>
    <w:p>
      <w:pPr>
        <w:pStyle w:val="Heading3"/>
        <w:spacing w:line="240" w:lineRule="auto" w:before="26"/>
        <w:ind w:left="118" w:right="0"/>
        <w:jc w:val="both"/>
        <w:rPr>
          <w:rFonts w:ascii="宋体" w:hAnsi="宋体" w:cs="宋体" w:eastAsia="宋体" w:hint="default"/>
          <w:b w:val="0"/>
          <w:bCs w:val="0"/>
        </w:rPr>
      </w:pPr>
      <w:r>
        <w:rPr>
          <w:rFonts w:ascii="宋体" w:hAnsi="宋体" w:cs="宋体" w:eastAsia="宋体" w:hint="default"/>
        </w:rPr>
        <w:t>(2)投资</w:t>
      </w:r>
      <w:r>
        <w:rPr>
          <w:rFonts w:ascii="宋体" w:hAnsi="宋体" w:cs="宋体" w:eastAsia="宋体" w:hint="default"/>
          <w:spacing w:val="-61"/>
        </w:rPr>
        <w:t> </w:t>
      </w:r>
      <w:r>
        <w:rPr>
          <w:rFonts w:ascii="宋体" w:hAnsi="宋体" w:cs="宋体" w:eastAsia="宋体" w:hint="default"/>
        </w:rPr>
        <w:t>6</w:t>
      </w:r>
      <w:r>
        <w:rPr>
          <w:rFonts w:ascii="宋体" w:hAnsi="宋体" w:cs="宋体" w:eastAsia="宋体" w:hint="default"/>
          <w:spacing w:val="-63"/>
        </w:rPr>
        <w:t> </w:t>
      </w:r>
      <w:r>
        <w:rPr>
          <w:rFonts w:ascii="宋体" w:hAnsi="宋体" w:cs="宋体" w:eastAsia="宋体" w:hint="default"/>
        </w:rPr>
        <w:t>亿元用于基于国家标准的数字电视网络系统的技术开发、应用产业化项目</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left="118" w:right="172"/>
        <w:jc w:val="both"/>
        <w:rPr>
          <w:rFonts w:ascii="宋体" w:hAnsi="宋体" w:cs="宋体" w:eastAsia="宋体" w:hint="default"/>
        </w:rPr>
      </w:pPr>
      <w:r>
        <w:rPr>
          <w:rFonts w:ascii="宋体" w:hAnsi="宋体" w:cs="宋体" w:eastAsia="宋体" w:hint="default"/>
        </w:rPr>
        <w:t>本项目计划投资</w:t>
      </w:r>
      <w:r>
        <w:rPr>
          <w:rFonts w:ascii="宋体" w:hAnsi="宋体" w:cs="宋体" w:eastAsia="宋体" w:hint="default"/>
          <w:spacing w:val="-84"/>
        </w:rPr>
        <w:t> </w:t>
      </w:r>
      <w:r>
        <w:rPr>
          <w:rFonts w:ascii="宋体" w:hAnsi="宋体" w:cs="宋体" w:eastAsia="宋体" w:hint="default"/>
        </w:rPr>
        <w:t>6</w:t>
      </w:r>
      <w:r>
        <w:rPr>
          <w:rFonts w:ascii="宋体" w:hAnsi="宋体" w:cs="宋体" w:eastAsia="宋体" w:hint="default"/>
          <w:spacing w:val="-84"/>
        </w:rPr>
        <w:t> </w:t>
      </w:r>
      <w:r>
        <w:rPr>
          <w:rFonts w:ascii="宋体" w:hAnsi="宋体" w:cs="宋体" w:eastAsia="宋体" w:hint="default"/>
        </w:rPr>
        <w:t>亿元，用于开发基于国家标准的、以数字电视网建设、应用为核心的</w:t>
      </w:r>
      <w:r>
        <w:rPr>
          <w:rFonts w:ascii="宋体" w:hAnsi="宋体" w:cs="宋体" w:eastAsia="宋体" w:hint="default"/>
        </w:rPr>
        <w:t> </w:t>
      </w:r>
      <w:r>
        <w:rPr>
          <w:rFonts w:ascii="宋体" w:hAnsi="宋体" w:cs="宋体" w:eastAsia="宋体" w:hint="default"/>
          <w:spacing w:val="-2"/>
        </w:rPr>
        <w:t>数字电视网络系统及其软硬件产品。项目通过研制广播电视数字化技术，开发生产具有</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用户认证、授权、计费、组网、视频媒体资产管理和分发、组播等功能的数字电视网络</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系统和硬件设备，以适应基于国标的有线数字电视、地面数字电视、卫星和 IPTV</w:t>
      </w:r>
      <w:r>
        <w:rPr>
          <w:rFonts w:ascii="宋体" w:hAnsi="宋体" w:cs="宋体" w:eastAsia="宋体" w:hint="default"/>
          <w:spacing w:val="-52"/>
        </w:rPr>
        <w:t> </w:t>
      </w:r>
      <w:r>
        <w:rPr>
          <w:rFonts w:ascii="宋体" w:hAnsi="宋体" w:cs="宋体" w:eastAsia="宋体" w:hint="default"/>
        </w:rPr>
        <w:t>等网</w:t>
      </w:r>
      <w:r>
        <w:rPr>
          <w:rFonts w:ascii="宋体" w:hAnsi="宋体" w:cs="宋体" w:eastAsia="宋体" w:hint="default"/>
        </w:rPr>
        <w:t> </w:t>
      </w:r>
      <w:r>
        <w:rPr>
          <w:rFonts w:ascii="宋体" w:hAnsi="宋体" w:cs="宋体" w:eastAsia="宋体" w:hint="default"/>
          <w:spacing w:val="-2"/>
        </w:rPr>
        <w:t>络环境，支持电视、广播、数据、视频点播、数字电影、电子商务等数字媒体综合业务</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的增值服务，提供成本低、高可靠性、便于运营管理的数字电视全面解决方案。</w:t>
      </w:r>
    </w:p>
    <w:p>
      <w:pPr>
        <w:spacing w:line="240" w:lineRule="auto" w:before="11"/>
        <w:rPr>
          <w:rFonts w:ascii="宋体" w:hAnsi="宋体" w:cs="宋体" w:eastAsia="宋体" w:hint="default"/>
          <w:sz w:val="25"/>
          <w:szCs w:val="25"/>
        </w:rPr>
      </w:pPr>
    </w:p>
    <w:p>
      <w:pPr>
        <w:pStyle w:val="BodyText"/>
        <w:spacing w:line="312" w:lineRule="exact"/>
        <w:ind w:left="118" w:right="173"/>
        <w:jc w:val="both"/>
        <w:rPr>
          <w:rFonts w:ascii="宋体" w:hAnsi="宋体" w:cs="宋体" w:eastAsia="宋体" w:hint="default"/>
        </w:rPr>
      </w:pPr>
      <w:r>
        <w:rPr>
          <w:rFonts w:ascii="宋体" w:hAnsi="宋体" w:cs="宋体" w:eastAsia="宋体" w:hint="default"/>
          <w:spacing w:val="-2"/>
        </w:rPr>
        <w:t>本报告期内，该项目固定资产投资部分主体部分施工完成，开始内部装修，但因工程结</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算支付方式问题，尚未实际支付，因此实际投入落后于计划投入进度。本报告期内，该</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项目共投资</w:t>
      </w:r>
      <w:r>
        <w:rPr>
          <w:rFonts w:ascii="宋体" w:hAnsi="宋体" w:cs="宋体" w:eastAsia="宋体" w:hint="default"/>
          <w:spacing w:val="-60"/>
        </w:rPr>
        <w:t> </w:t>
      </w:r>
      <w:r>
        <w:rPr>
          <w:rFonts w:ascii="宋体" w:hAnsi="宋体" w:cs="宋体" w:eastAsia="宋体" w:hint="default"/>
        </w:rPr>
        <w:t>11,465.43</w:t>
      </w:r>
      <w:r>
        <w:rPr>
          <w:rFonts w:ascii="宋体" w:hAnsi="宋体" w:cs="宋体" w:eastAsia="宋体" w:hint="default"/>
          <w:spacing w:val="-60"/>
        </w:rPr>
        <w:t> </w:t>
      </w:r>
      <w:r>
        <w:rPr>
          <w:rFonts w:ascii="宋体" w:hAnsi="宋体" w:cs="宋体" w:eastAsia="宋体" w:hint="default"/>
        </w:rPr>
        <w:t>万元，实现项目收益</w:t>
      </w:r>
      <w:r>
        <w:rPr>
          <w:rFonts w:ascii="宋体" w:hAnsi="宋体" w:cs="宋体" w:eastAsia="宋体" w:hint="default"/>
          <w:spacing w:val="-60"/>
        </w:rPr>
        <w:t> </w:t>
      </w:r>
      <w:r>
        <w:rPr>
          <w:rFonts w:ascii="宋体" w:hAnsi="宋体" w:cs="宋体" w:eastAsia="宋体" w:hint="default"/>
        </w:rPr>
        <w:t>31,286.16</w:t>
      </w:r>
      <w:r>
        <w:rPr>
          <w:rFonts w:ascii="宋体" w:hAnsi="宋体" w:cs="宋体" w:eastAsia="宋体" w:hint="default"/>
          <w:spacing w:val="-60"/>
        </w:rPr>
        <w:t> </w:t>
      </w:r>
      <w:r>
        <w:rPr>
          <w:rFonts w:ascii="宋体" w:hAnsi="宋体" w:cs="宋体" w:eastAsia="宋体" w:hint="default"/>
        </w:rPr>
        <w:t>万元。</w:t>
      </w:r>
    </w:p>
    <w:p>
      <w:pPr>
        <w:spacing w:line="240" w:lineRule="auto" w:before="6"/>
        <w:rPr>
          <w:rFonts w:ascii="宋体" w:hAnsi="宋体" w:cs="宋体" w:eastAsia="宋体" w:hint="default"/>
          <w:sz w:val="21"/>
          <w:szCs w:val="21"/>
        </w:rPr>
      </w:pPr>
    </w:p>
    <w:p>
      <w:pPr>
        <w:pStyle w:val="Heading3"/>
        <w:spacing w:line="240" w:lineRule="auto"/>
        <w:ind w:left="118" w:right="0"/>
        <w:jc w:val="both"/>
        <w:rPr>
          <w:rFonts w:ascii="宋体" w:hAnsi="宋体" w:cs="宋体" w:eastAsia="宋体" w:hint="default"/>
          <w:b w:val="0"/>
          <w:bCs w:val="0"/>
        </w:rPr>
      </w:pPr>
      <w:r>
        <w:rPr>
          <w:rFonts w:ascii="宋体" w:hAnsi="宋体" w:cs="宋体" w:eastAsia="宋体" w:hint="default"/>
        </w:rPr>
        <w:t>2、本年度闲置募集资金暂时补充流动资金情况</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pStyle w:val="BodyText"/>
        <w:spacing w:line="313" w:lineRule="exact"/>
        <w:ind w:left="118"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50"/>
        </w:rPr>
        <w:t> </w:t>
      </w:r>
      <w:r>
        <w:rPr>
          <w:rFonts w:ascii="宋体" w:hAnsi="宋体" w:cs="宋体" w:eastAsia="宋体" w:hint="default"/>
          <w:spacing w:val="25"/>
        </w:rPr>
        <w:t>2009年9月</w:t>
      </w:r>
      <w:r>
        <w:rPr>
          <w:rFonts w:ascii="宋体" w:hAnsi="宋体" w:cs="宋体" w:eastAsia="宋体" w:hint="default"/>
          <w:spacing w:val="-59"/>
        </w:rPr>
        <w:t> </w:t>
      </w:r>
      <w:r>
        <w:rPr>
          <w:rFonts w:ascii="宋体" w:hAnsi="宋体" w:cs="宋体" w:eastAsia="宋体" w:hint="default"/>
        </w:rPr>
        <w:t>22</w:t>
      </w:r>
      <w:r>
        <w:rPr>
          <w:rFonts w:ascii="宋体" w:hAnsi="宋体" w:cs="宋体" w:eastAsia="宋体" w:hint="default"/>
          <w:spacing w:val="-59"/>
        </w:rPr>
        <w:t> </w:t>
      </w:r>
      <w:r>
        <w:rPr>
          <w:rFonts w:ascii="宋体" w:hAnsi="宋体" w:cs="宋体" w:eastAsia="宋体" w:hint="default"/>
        </w:rPr>
        <w:t>日经公司第四届董事会第三十一次会议审议通过，公司曾经将</w:t>
      </w:r>
      <w:r>
        <w:rPr>
          <w:rFonts w:ascii="宋体" w:hAnsi="宋体" w:cs="宋体" w:eastAsia="宋体" w:hint="default"/>
          <w:spacing w:val="-59"/>
        </w:rPr>
        <w:t> </w:t>
      </w:r>
      <w:r>
        <w:rPr>
          <w:rFonts w:ascii="宋体" w:hAnsi="宋体" w:cs="宋体" w:eastAsia="宋体" w:hint="default"/>
        </w:rPr>
        <w:t>2008</w:t>
      </w:r>
    </w:p>
    <w:p>
      <w:pPr>
        <w:pStyle w:val="BodyText"/>
        <w:spacing w:line="312" w:lineRule="exact" w:before="29"/>
        <w:ind w:left="118" w:right="174"/>
        <w:jc w:val="both"/>
        <w:rPr>
          <w:rFonts w:ascii="宋体" w:hAnsi="宋体" w:cs="宋体" w:eastAsia="宋体" w:hint="default"/>
        </w:rPr>
      </w:pPr>
      <w:r>
        <w:rPr>
          <w:rFonts w:ascii="宋体" w:hAnsi="宋体" w:cs="宋体" w:eastAsia="宋体" w:hint="default"/>
        </w:rPr>
        <w:t>年度配股部分闲置募集资金</w:t>
      </w:r>
      <w:r>
        <w:rPr>
          <w:rFonts w:ascii="宋体" w:hAnsi="宋体" w:cs="宋体" w:eastAsia="宋体" w:hint="default"/>
          <w:spacing w:val="-66"/>
        </w:rPr>
        <w:t> </w:t>
      </w:r>
      <w:r>
        <w:rPr>
          <w:rFonts w:ascii="宋体" w:hAnsi="宋体" w:cs="宋体" w:eastAsia="宋体" w:hint="default"/>
        </w:rPr>
        <w:t>19000</w:t>
      </w:r>
      <w:r>
        <w:rPr>
          <w:rFonts w:ascii="宋体" w:hAnsi="宋体" w:cs="宋体" w:eastAsia="宋体" w:hint="default"/>
          <w:spacing w:val="-66"/>
        </w:rPr>
        <w:t> </w:t>
      </w:r>
      <w:r>
        <w:rPr>
          <w:rFonts w:ascii="宋体" w:hAnsi="宋体" w:cs="宋体" w:eastAsia="宋体" w:hint="default"/>
        </w:rPr>
        <w:t>万元暂时补充流动资金，期限为不超过</w:t>
      </w:r>
      <w:r>
        <w:rPr>
          <w:rFonts w:ascii="宋体" w:hAnsi="宋体" w:cs="宋体" w:eastAsia="宋体" w:hint="default"/>
          <w:spacing w:val="-66"/>
        </w:rPr>
        <w:t> </w:t>
      </w:r>
      <w:r>
        <w:rPr>
          <w:rFonts w:ascii="宋体" w:hAnsi="宋体" w:cs="宋体" w:eastAsia="宋体" w:hint="default"/>
        </w:rPr>
        <w:t>6</w:t>
      </w:r>
      <w:r>
        <w:rPr>
          <w:rFonts w:ascii="宋体" w:hAnsi="宋体" w:cs="宋体" w:eastAsia="宋体" w:hint="default"/>
          <w:spacing w:val="-66"/>
        </w:rPr>
        <w:t> </w:t>
      </w:r>
      <w:r>
        <w:rPr>
          <w:rFonts w:ascii="宋体" w:hAnsi="宋体" w:cs="宋体" w:eastAsia="宋体" w:hint="default"/>
          <w:spacing w:val="-6"/>
        </w:rPr>
        <w:t>个月，具体</w:t>
      </w:r>
      <w:r>
        <w:rPr>
          <w:rFonts w:ascii="宋体" w:hAnsi="宋体" w:cs="宋体" w:eastAsia="宋体" w:hint="default"/>
        </w:rPr>
        <w:t> 时间从董事会通过之日起计算。</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公司已于</w:t>
      </w:r>
      <w:r>
        <w:rPr>
          <w:rFonts w:ascii="宋体" w:hAnsi="宋体" w:cs="宋体" w:eastAsia="宋体" w:hint="default"/>
          <w:spacing w:val="-60"/>
        </w:rPr>
        <w:t> </w:t>
      </w:r>
      <w:r>
        <w:rPr>
          <w:rFonts w:ascii="宋体" w:hAnsi="宋体" w:cs="宋体" w:eastAsia="宋体" w:hint="default"/>
          <w:spacing w:val="30"/>
        </w:rPr>
        <w:t>2010年3月3</w:t>
      </w:r>
      <w:r>
        <w:rPr>
          <w:rFonts w:ascii="宋体" w:hAnsi="宋体" w:cs="宋体" w:eastAsia="宋体" w:hint="default"/>
          <w:spacing w:val="-60"/>
        </w:rPr>
        <w:t> </w:t>
      </w:r>
      <w:r>
        <w:rPr>
          <w:rFonts w:ascii="宋体" w:hAnsi="宋体" w:cs="宋体" w:eastAsia="宋体" w:hint="default"/>
        </w:rPr>
        <w:t>日将上述资金归还至公司配股募集资金专用账户。</w:t>
      </w:r>
    </w:p>
    <w:p>
      <w:pPr>
        <w:spacing w:line="240" w:lineRule="auto" w:before="9"/>
        <w:rPr>
          <w:rFonts w:ascii="宋体" w:hAnsi="宋体" w:cs="宋体" w:eastAsia="宋体" w:hint="default"/>
          <w:sz w:val="23"/>
          <w:szCs w:val="23"/>
        </w:rPr>
      </w:pPr>
    </w:p>
    <w:p>
      <w:pPr>
        <w:pStyle w:val="BodyText"/>
        <w:spacing w:line="313" w:lineRule="exact"/>
        <w:ind w:left="118" w:right="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公司于</w:t>
      </w:r>
      <w:r>
        <w:rPr>
          <w:rFonts w:ascii="宋体" w:hAnsi="宋体" w:cs="宋体" w:eastAsia="宋体" w:hint="default"/>
          <w:spacing w:val="-49"/>
        </w:rPr>
        <w:t> </w:t>
      </w:r>
      <w:r>
        <w:rPr>
          <w:rFonts w:ascii="宋体" w:hAnsi="宋体" w:cs="宋体" w:eastAsia="宋体" w:hint="default"/>
        </w:rPr>
        <w:t>2010</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spacing w:val="48"/>
        </w:rPr>
        <w:t>3月5</w:t>
      </w:r>
      <w:r>
        <w:rPr>
          <w:rFonts w:ascii="宋体" w:hAnsi="宋体" w:cs="宋体" w:eastAsia="宋体" w:hint="default"/>
          <w:spacing w:val="-49"/>
        </w:rPr>
        <w:t> </w:t>
      </w:r>
      <w:r>
        <w:rPr>
          <w:rFonts w:ascii="宋体" w:hAnsi="宋体" w:cs="宋体" w:eastAsia="宋体" w:hint="default"/>
        </w:rPr>
        <w:t>日经第四届董事会第三十六次会议审议通过了，同意公司将</w:t>
      </w:r>
    </w:p>
    <w:p>
      <w:pPr>
        <w:pStyle w:val="BodyText"/>
        <w:spacing w:line="312" w:lineRule="exact" w:before="29"/>
        <w:ind w:left="118" w:right="174"/>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8"/>
        </w:rPr>
        <w:t> </w:t>
      </w:r>
      <w:r>
        <w:rPr>
          <w:rFonts w:ascii="宋体" w:hAnsi="宋体" w:cs="宋体" w:eastAsia="宋体" w:hint="default"/>
        </w:rPr>
        <w:t>年度配股部分闲置募集资金</w:t>
      </w:r>
      <w:r>
        <w:rPr>
          <w:rFonts w:ascii="宋体" w:hAnsi="宋体" w:cs="宋体" w:eastAsia="宋体" w:hint="default"/>
          <w:spacing w:val="-58"/>
        </w:rPr>
        <w:t> </w:t>
      </w:r>
      <w:r>
        <w:rPr>
          <w:rFonts w:ascii="宋体" w:hAnsi="宋体" w:cs="宋体" w:eastAsia="宋体" w:hint="default"/>
        </w:rPr>
        <w:t>19000</w:t>
      </w:r>
      <w:r>
        <w:rPr>
          <w:rFonts w:ascii="宋体" w:hAnsi="宋体" w:cs="宋体" w:eastAsia="宋体" w:hint="default"/>
          <w:spacing w:val="-58"/>
        </w:rPr>
        <w:t> </w:t>
      </w:r>
      <w:r>
        <w:rPr>
          <w:rFonts w:ascii="宋体" w:hAnsi="宋体" w:cs="宋体" w:eastAsia="宋体" w:hint="default"/>
          <w:spacing w:val="-3"/>
        </w:rPr>
        <w:t>万元暂时用以补充流动资金，使用期限不超过</w:t>
      </w:r>
      <w:r>
        <w:rPr>
          <w:rFonts w:ascii="宋体" w:hAnsi="宋体" w:cs="宋体" w:eastAsia="宋体" w:hint="default"/>
          <w:spacing w:val="-58"/>
        </w:rPr>
        <w:t> </w:t>
      </w:r>
      <w:r>
        <w:rPr>
          <w:rFonts w:ascii="宋体" w:hAnsi="宋体" w:cs="宋体" w:eastAsia="宋体" w:hint="default"/>
        </w:rPr>
        <w:t>6</w:t>
      </w:r>
      <w:r>
        <w:rPr>
          <w:rFonts w:ascii="宋体" w:hAnsi="宋体" w:cs="宋体" w:eastAsia="宋体" w:hint="default"/>
        </w:rPr>
        <w:t> 个月。</w:t>
      </w:r>
    </w:p>
    <w:p>
      <w:pPr>
        <w:spacing w:line="240" w:lineRule="auto" w:before="6"/>
        <w:rPr>
          <w:rFonts w:ascii="宋体" w:hAnsi="宋体" w:cs="宋体" w:eastAsia="宋体" w:hint="default"/>
          <w:sz w:val="21"/>
          <w:szCs w:val="21"/>
        </w:rPr>
      </w:pPr>
    </w:p>
    <w:p>
      <w:pPr>
        <w:spacing w:line="475" w:lineRule="auto" w:before="0"/>
        <w:ind w:left="118" w:right="591" w:firstLine="0"/>
        <w:jc w:val="left"/>
        <w:rPr>
          <w:rFonts w:ascii="宋体" w:hAnsi="宋体" w:cs="宋体" w:eastAsia="宋体" w:hint="default"/>
          <w:sz w:val="24"/>
          <w:szCs w:val="24"/>
        </w:rPr>
      </w:pPr>
      <w:r>
        <w:rPr>
          <w:rFonts w:ascii="宋体" w:hAnsi="宋体" w:cs="宋体" w:eastAsia="宋体" w:hint="default"/>
          <w:sz w:val="24"/>
          <w:szCs w:val="24"/>
        </w:rPr>
        <w:t>公司已于已于</w:t>
      </w:r>
      <w:r>
        <w:rPr>
          <w:rFonts w:ascii="宋体" w:hAnsi="宋体" w:cs="宋体" w:eastAsia="宋体" w:hint="default"/>
          <w:spacing w:val="-59"/>
          <w:sz w:val="24"/>
          <w:szCs w:val="24"/>
        </w:rPr>
        <w:t> </w:t>
      </w:r>
      <w:r>
        <w:rPr>
          <w:rFonts w:ascii="宋体" w:hAnsi="宋体" w:cs="宋体" w:eastAsia="宋体" w:hint="default"/>
          <w:spacing w:val="25"/>
          <w:sz w:val="24"/>
          <w:szCs w:val="24"/>
        </w:rPr>
        <w:t>2010年9月</w:t>
      </w:r>
      <w:r>
        <w:rPr>
          <w:rFonts w:ascii="宋体" w:hAnsi="宋体" w:cs="宋体" w:eastAsia="宋体" w:hint="default"/>
          <w:spacing w:val="-59"/>
          <w:sz w:val="24"/>
          <w:szCs w:val="24"/>
        </w:rPr>
        <w:t> </w:t>
      </w:r>
      <w:r>
        <w:rPr>
          <w:rFonts w:ascii="宋体" w:hAnsi="宋体" w:cs="宋体" w:eastAsia="宋体" w:hint="default"/>
          <w:sz w:val="24"/>
          <w:szCs w:val="24"/>
        </w:rPr>
        <w:t>19</w:t>
      </w:r>
      <w:r>
        <w:rPr>
          <w:rFonts w:ascii="宋体" w:hAnsi="宋体" w:cs="宋体" w:eastAsia="宋体" w:hint="default"/>
          <w:spacing w:val="-59"/>
          <w:sz w:val="24"/>
          <w:szCs w:val="24"/>
        </w:rPr>
        <w:t> </w:t>
      </w:r>
      <w:r>
        <w:rPr>
          <w:rFonts w:ascii="宋体" w:hAnsi="宋体" w:cs="宋体" w:eastAsia="宋体" w:hint="default"/>
          <w:sz w:val="24"/>
          <w:szCs w:val="24"/>
        </w:rPr>
        <w:t>日公司将此资金归还至公司配股募集资金专用账户。</w:t>
      </w:r>
      <w:r>
        <w:rPr>
          <w:rFonts w:ascii="宋体" w:hAnsi="宋体" w:cs="宋体" w:eastAsia="宋体" w:hint="default"/>
          <w:sz w:val="24"/>
          <w:szCs w:val="24"/>
        </w:rPr>
        <w:t> </w:t>
      </w:r>
      <w:r>
        <w:rPr>
          <w:rFonts w:ascii="宋体" w:hAnsi="宋体" w:cs="宋体" w:eastAsia="宋体" w:hint="default"/>
          <w:b/>
          <w:bCs/>
          <w:sz w:val="24"/>
          <w:szCs w:val="24"/>
        </w:rPr>
        <w:t>(四)变更募投项目的资金使用情况</w:t>
      </w:r>
      <w:r>
        <w:rPr>
          <w:rFonts w:ascii="宋体" w:hAnsi="宋体" w:cs="宋体" w:eastAsia="宋体" w:hint="default"/>
          <w:b/>
          <w:bCs/>
          <w:spacing w:val="1"/>
          <w:w w:val="99"/>
          <w:sz w:val="24"/>
          <w:szCs w:val="24"/>
        </w:rPr>
        <w:t> </w:t>
      </w:r>
      <w:r>
        <w:rPr>
          <w:rFonts w:ascii="宋体" w:hAnsi="宋体" w:cs="宋体" w:eastAsia="宋体" w:hint="default"/>
          <w:sz w:val="24"/>
          <w:szCs w:val="24"/>
        </w:rPr>
        <w:t>本次配股募集资金不存在变更募投项目的情况。 </w:t>
      </w:r>
      <w:r>
        <w:rPr>
          <w:rFonts w:ascii="宋体" w:hAnsi="宋体" w:cs="宋体" w:eastAsia="宋体" w:hint="default"/>
          <w:b/>
          <w:bCs/>
          <w:sz w:val="24"/>
          <w:szCs w:val="24"/>
        </w:rPr>
        <w:t>(五)募集资金使用及披露中存在的问题</w:t>
      </w:r>
      <w:r>
        <w:rPr>
          <w:rFonts w:ascii="宋体" w:hAnsi="宋体" w:cs="宋体" w:eastAsia="宋体" w:hint="default"/>
          <w:sz w:val="24"/>
          <w:szCs w:val="24"/>
        </w:rPr>
      </w:r>
    </w:p>
    <w:p>
      <w:pPr>
        <w:pStyle w:val="BodyText"/>
        <w:spacing w:line="312" w:lineRule="exact" w:before="103"/>
        <w:ind w:left="118" w:right="169"/>
        <w:jc w:val="both"/>
        <w:rPr>
          <w:rFonts w:ascii="宋体" w:hAnsi="宋体" w:cs="宋体" w:eastAsia="宋体" w:hint="default"/>
        </w:rPr>
      </w:pPr>
      <w:r>
        <w:rPr>
          <w:rFonts w:ascii="宋体" w:hAnsi="宋体" w:cs="宋体" w:eastAsia="宋体" w:hint="default"/>
          <w:spacing w:val="5"/>
        </w:rPr>
        <w:t>公司已按照募集资金使用的实际情况及相关规定对募集资金的存放及使用情况进行了 </w:t>
      </w:r>
      <w:r>
        <w:rPr>
          <w:rFonts w:ascii="宋体" w:hAnsi="宋体" w:cs="宋体" w:eastAsia="宋体" w:hint="default"/>
        </w:rPr>
        <w:t>及时、真实、准确、完整披露，不存在募集资金管理违规情形。</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3"/>
        <w:spacing w:line="312" w:lineRule="exact"/>
        <w:ind w:left="0" w:right="174"/>
        <w:jc w:val="right"/>
        <w:rPr>
          <w:rFonts w:ascii="宋体" w:hAnsi="宋体" w:cs="宋体" w:eastAsia="宋体" w:hint="default"/>
          <w:b w:val="0"/>
          <w:bCs w:val="0"/>
        </w:rPr>
      </w:pPr>
      <w:r>
        <w:rPr>
          <w:rFonts w:ascii="宋体" w:hAnsi="宋体" w:cs="宋体" w:eastAsia="宋体" w:hint="default"/>
        </w:rPr>
        <w:t>同方股份有限公司董事会</w:t>
      </w:r>
      <w:r>
        <w:rPr>
          <w:rFonts w:ascii="宋体" w:hAnsi="宋体" w:cs="宋体" w:eastAsia="宋体" w:hint="default"/>
          <w:b w:val="0"/>
          <w:bCs w:val="0"/>
        </w:rPr>
      </w:r>
    </w:p>
    <w:p>
      <w:pPr>
        <w:spacing w:line="312" w:lineRule="exact" w:before="0"/>
        <w:ind w:left="0" w:right="114" w:firstLine="0"/>
        <w:jc w:val="right"/>
        <w:rPr>
          <w:rFonts w:ascii="宋体" w:hAnsi="宋体" w:cs="宋体" w:eastAsia="宋体" w:hint="default"/>
          <w:sz w:val="24"/>
          <w:szCs w:val="24"/>
        </w:rPr>
      </w:pPr>
      <w:r>
        <w:rPr>
          <w:rFonts w:ascii="宋体" w:hAnsi="宋体" w:cs="宋体" w:eastAsia="宋体" w:hint="default"/>
          <w:b/>
          <w:bCs/>
          <w:spacing w:val="34"/>
          <w:w w:val="95"/>
          <w:sz w:val="24"/>
          <w:szCs w:val="24"/>
        </w:rPr>
        <w:t>2011年4月8日</w:t>
      </w:r>
      <w:r>
        <w:rPr>
          <w:rFonts w:ascii="宋体" w:hAnsi="宋体" w:cs="宋体" w:eastAsia="宋体" w:hint="default"/>
          <w:b/>
          <w:bCs/>
          <w:spacing w:val="-60"/>
          <w:sz w:val="24"/>
          <w:szCs w:val="24"/>
        </w:rPr>
        <w:t> </w:t>
      </w:r>
      <w:r>
        <w:rPr>
          <w:rFonts w:ascii="宋体" w:hAnsi="宋体" w:cs="宋体" w:eastAsia="宋体" w:hint="default"/>
          <w:sz w:val="24"/>
          <w:szCs w:val="24"/>
        </w:rPr>
      </w:r>
    </w:p>
    <w:sectPr>
      <w:headerReference w:type="default" r:id="rId55"/>
      <w:footerReference w:type="default" r:id="rId56"/>
      <w:pgSz w:w="11910" w:h="16840"/>
      <w:pgMar w:header="0" w:footer="1124" w:top="1600" w:bottom="1320" w:left="1300" w:right="1240"/>
      <w:pgNumType w:start="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4.459991pt;margin-top:791.797607pt;width:13pt;height:11pt;mso-position-horizontal-relative:page;mso-position-vertical-relative:page;z-index:-1049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4.820618pt;width:8.5pt;height:11pt;mso-position-horizontal-relative:page;mso-position-vertical-relative:page;z-index:-1048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70514pt;margin-top:545.197815pt;width:13pt;height:11pt;mso-position-horizontal-relative:page;mso-position-vertical-relative:page;z-index:-1049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59991pt;margin-top:791.797607pt;width:13pt;height:11pt;mso-position-horizontal-relative:page;mso-position-vertical-relative:page;z-index:-1049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179993pt;margin-top:791.797607pt;width:15.5pt;height:11pt;mso-position-horizontal-relative:page;mso-position-vertical-relative:page;z-index:-1049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79993pt;margin-top:791.797607pt;width:17.5pt;height:11pt;mso-position-horizontal-relative:page;mso-position-vertical-relative:page;z-index:-104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4.820618pt;width:8.5pt;height:11pt;mso-position-horizontal-relative:page;mso-position-vertical-relative:page;z-index:-1048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4.820618pt;width:8.5pt;height:11pt;mso-position-horizontal-relative:page;mso-position-vertical-relative:page;z-index:-1048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4.820618pt;width:8.5pt;height:11pt;mso-position-horizontal-relative:page;mso-position-vertical-relative:page;z-index:-1048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4.820618pt;width:8.5pt;height:11pt;mso-position-horizontal-relative:page;mso-position-vertical-relative:page;z-index:-1048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50016" type="#_x0000_t75" stroked="false">
          <v:imagedata r:id="rId1" o:title=""/>
        </v:shape>
      </w:pict>
    </w:r>
    <w:r>
      <w:rPr/>
      <w:pict>
        <v:group style="position:absolute;margin-left:69.419998pt;margin-top:54.299999pt;width:463.1pt;height:.1pt;mso-position-horizontal-relative:page;mso-position-vertical-relative:page;z-index:-1049992"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1049488" type="#_x0000_t75" stroked="false">
          <v:imagedata r:id="rId1" o:title=""/>
        </v:shape>
      </w:pict>
    </w:r>
    <w:r>
      <w:rPr/>
      <w:pict>
        <v:group style="position:absolute;margin-left:69.411003pt;margin-top:54.299999pt;width:689pt;height:.1pt;mso-position-horizontal-relative:page;mso-position-vertical-relative:page;z-index:-1049464"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5pt;height:29.55pt;mso-position-horizontal-relative:page;mso-position-vertical-relative:page;z-index:-1049440"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2009</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1049416" type="#_x0000_t75" stroked="false">
          <v:imagedata r:id="rId1" o:title=""/>
        </v:shape>
      </w:pict>
    </w:r>
    <w:r>
      <w:rPr/>
      <w:pict>
        <v:group style="position:absolute;margin-left:69.411003pt;margin-top:54.299999pt;width:689pt;height:.1pt;mso-position-horizontal-relative:page;mso-position-vertical-relative:page;z-index:-1049392"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1049368"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104934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3088pt;margin-top:118.069061pt;width:72.350pt;height:12.05pt;mso-position-horizontal-relative:page;mso-position-vertical-relative:page;z-index:-104932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1049296" type="#_x0000_t75" stroked="false">
          <v:imagedata r:id="rId1" o:title=""/>
        </v:shape>
      </w:pict>
    </w:r>
    <w:r>
      <w:rPr/>
      <w:pict>
        <v:group style="position:absolute;margin-left:69.411003pt;margin-top:54.299999pt;width:689pt;height:.1pt;mso-position-horizontal-relative:page;mso-position-vertical-relative:page;z-index:-1049272"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1049248"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2009</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104922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3088pt;margin-top:118.069061pt;width:72.350pt;height:12.05pt;mso-position-horizontal-relative:page;mso-position-vertical-relative:page;z-index:-104920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176" type="#_x0000_t75" stroked="false">
          <v:imagedata r:id="rId1" o:title=""/>
        </v:shape>
      </w:pict>
    </w:r>
    <w:r>
      <w:rPr/>
      <w:pict>
        <v:group style="position:absolute;margin-left:69.419998pt;margin-top:54.299999pt;width:463.1pt;height:.1pt;mso-position-horizontal-relative:page;mso-position-vertical-relative:page;z-index:-1049152"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056" type="#_x0000_t75" stroked="false">
          <v:imagedata r:id="rId1" o:title=""/>
        </v:shape>
      </w:pict>
    </w:r>
    <w:r>
      <w:rPr/>
      <w:pict>
        <v:group style="position:absolute;margin-left:69.419998pt;margin-top:54.299999pt;width:463.1pt;height:.1pt;mso-position-horizontal-relative:page;mso-position-vertical-relative:page;z-index:-1049032"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23.700001pt;margin-top:85.830002pt;width:554.050pt;height:.1pt;mso-position-horizontal-relative:page;mso-position-vertical-relative:page;z-index:-1049008" coordorigin="474,1717" coordsize="11081,2">
          <v:shape style="position:absolute;left:474;top:1717;width:11081;height:2" coordorigin="474,1717" coordsize="11081,0" path="m474,1717l11555,1717e" filled="false" stroked="true" strokeweight="1.5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984" type="#_x0000_t75" stroked="false">
          <v:imagedata r:id="rId1" o:title=""/>
        </v:shape>
      </w:pict>
    </w:r>
    <w:r>
      <w:rPr/>
      <w:pict>
        <v:group style="position:absolute;margin-left:69.419998pt;margin-top:54.299999pt;width:463.1pt;height:.1pt;mso-position-horizontal-relative:page;mso-position-vertical-relative:page;z-index:-104896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936" type="#_x0000_t75" stroked="false">
          <v:imagedata r:id="rId1" o:title=""/>
        </v:shape>
      </w:pict>
    </w:r>
    <w:r>
      <w:rPr/>
      <w:pict>
        <v:group style="position:absolute;margin-left:69.419998pt;margin-top:54.299999pt;width:463.1pt;height:.1pt;mso-position-horizontal-relative:page;mso-position-vertical-relative:page;z-index:-1048912"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18.360001pt;margin-top:85.830002pt;width:564.8pt;height:.1pt;mso-position-horizontal-relative:page;mso-position-vertical-relative:page;z-index:-1048888" coordorigin="367,1717" coordsize="11296,2">
          <v:shape style="position:absolute;left:367;top:1717;width:11296;height:2" coordorigin="367,1717" coordsize="11296,0" path="m367,1717l11663,1717e" filled="false" stroked="true" strokeweight="1.5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864" type="#_x0000_t75" stroked="false">
          <v:imagedata r:id="rId1" o:title=""/>
        </v:shape>
      </w:pict>
    </w:r>
    <w:r>
      <w:rPr/>
      <w:pict>
        <v:group style="position:absolute;margin-left:69.419998pt;margin-top:54.299999pt;width:463.1pt;height:.1pt;mso-position-horizontal-relative:page;mso-position-vertical-relative:page;z-index:-104884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816" type="#_x0000_t75" stroked="false">
          <v:imagedata r:id="rId1" o:title=""/>
        </v:shape>
      </w:pict>
    </w:r>
    <w:r>
      <w:rPr/>
      <w:pict>
        <v:group style="position:absolute;margin-left:69.419998pt;margin-top:54.299999pt;width:463.1pt;height:.1pt;mso-position-horizontal-relative:page;mso-position-vertical-relative:page;z-index:-1048792"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768" type="#_x0000_t75" stroked="false">
          <v:imagedata r:id="rId1" o:title=""/>
        </v:shape>
      </w:pict>
    </w:r>
    <w:r>
      <w:rPr/>
      <w:pict>
        <v:group style="position:absolute;margin-left:69.419998pt;margin-top:54.299999pt;width:463.1pt;height:.1pt;mso-position-horizontal-relative:page;mso-position-vertical-relative:page;z-index:-1048744"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84.779999pt;margin-top:85.830002pt;width:432pt;height:.1pt;mso-position-horizontal-relative:page;mso-position-vertical-relative:page;z-index:-1048720" coordorigin="1696,1717" coordsize="8640,2">
          <v:shape style="position:absolute;left:1696;top:1717;width:8640;height:2" coordorigin="1696,1717" coordsize="8640,0" path="m1696,1717l10336,1717e" filled="false" stroked="true" strokeweight="1.5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944" type="#_x0000_t75" stroked="false">
          <v:imagedata r:id="rId1" o:title=""/>
        </v:shape>
      </w:pict>
    </w:r>
    <w:r>
      <w:rPr/>
      <w:pict>
        <v:group style="position:absolute;margin-left:69.419998pt;margin-top:54.299999pt;width:463.1pt;height:.1pt;mso-position-horizontal-relative:page;mso-position-vertical-relative:page;z-index:-104992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696" type="#_x0000_t75" stroked="false">
          <v:imagedata r:id="rId1" o:title=""/>
        </v:shape>
      </w:pict>
    </w:r>
    <w:r>
      <w:rPr/>
      <w:pict>
        <v:group style="position:absolute;margin-left:69.419998pt;margin-top:54.299999pt;width:463.1pt;height:.1pt;mso-position-horizontal-relative:page;mso-position-vertical-relative:page;z-index:-1048672"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648" type="#_x0000_t75" stroked="false">
          <v:imagedata r:id="rId1" o:title=""/>
        </v:shape>
      </w:pict>
    </w:r>
    <w:r>
      <w:rPr/>
      <w:pict>
        <v:group style="position:absolute;margin-left:69.419998pt;margin-top:54.299999pt;width:463.1pt;height:.1pt;mso-position-horizontal-relative:page;mso-position-vertical-relative:page;z-index:-1048624"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84.779999pt;margin-top:85.830002pt;width:432pt;height:.1pt;mso-position-horizontal-relative:page;mso-position-vertical-relative:page;z-index:-1048600" coordorigin="1696,1717" coordsize="8640,2">
          <v:shape style="position:absolute;left:1696;top:1717;width:8640;height:2" coordorigin="1696,1717" coordsize="8640,0" path="m1696,1717l10336,1717e" filled="false" stroked="true" strokeweight="1.5pt" strokecolor="#000000">
            <v:path arrowok="t"/>
          </v:shape>
          <w10:wrap type="none"/>
        </v:group>
      </w:pict>
    </w:r>
    <w:r>
      <w:rPr/>
      <w:pict>
        <v:shape style="position:absolute;margin-left:89.18pt;margin-top:87.865326pt;width:65.2pt;height:11pt;mso-position-horizontal-relative:page;mso-position-vertical-relative:page;z-index:-1048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xbxContent>
          </v:textbox>
          <w10:wrap type="none"/>
        </v:shape>
      </w:pict>
    </w:r>
    <w:r>
      <w:rPr/>
      <w:pict>
        <v:shape style="position:absolute;margin-left:376.393402pt;margin-top:87.865326pt;width:38.15pt;height:11pt;mso-position-horizontal-relative:page;mso-position-vertical-relative:page;z-index:-1048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xbxContent>
          </v:textbox>
          <w10:wrap type="none"/>
        </v:shape>
      </w:pict>
    </w:r>
    <w:r>
      <w:rPr/>
      <w:pict>
        <v:shape style="position:absolute;margin-left:462.78891pt;margin-top:87.865326pt;width:38.15pt;height:11pt;mso-position-horizontal-relative:page;mso-position-vertical-relative:page;z-index:-1048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8504" type="#_x0000_t75" stroked="false">
          <v:imagedata r:id="rId1" o:title=""/>
        </v:shape>
      </w:pict>
    </w:r>
    <w:r>
      <w:rPr/>
      <w:pict>
        <v:group style="position:absolute;margin-left:69.419998pt;margin-top:54.299999pt;width:463.1pt;height:.1pt;mso-position-horizontal-relative:page;mso-position-vertical-relative:page;z-index:-104848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896" type="#_x0000_t75" stroked="false">
          <v:imagedata r:id="rId1" o:title=""/>
        </v:shape>
      </w:pict>
    </w:r>
    <w:r>
      <w:rPr/>
      <w:pict>
        <v:group style="position:absolute;margin-left:69.419998pt;margin-top:54.299999pt;width:463.1pt;height:.1pt;mso-position-horizontal-relative:page;mso-position-vertical-relative:page;z-index:-1049872"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848" type="#_x0000_t75" stroked="false">
          <v:imagedata r:id="rId1" o:title=""/>
        </v:shape>
      </w:pict>
    </w:r>
    <w:r>
      <w:rPr/>
      <w:pict>
        <v:group style="position:absolute;margin-left:69.419998pt;margin-top:54.299999pt;width:463.1pt;height:.1pt;mso-position-horizontal-relative:page;mso-position-vertical-relative:page;z-index:-1049824"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800" type="#_x0000_t75" stroked="false">
          <v:imagedata r:id="rId1" o:title=""/>
        </v:shape>
      </w:pict>
    </w:r>
    <w:r>
      <w:rPr/>
      <w:pict>
        <v:group style="position:absolute;margin-left:69.419998pt;margin-top:54.299999pt;width:463.1pt;height:.1pt;mso-position-horizontal-relative:page;mso-position-vertical-relative:page;z-index:-1049776"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752" type="#_x0000_t75" stroked="false">
          <v:imagedata r:id="rId1" o:title=""/>
        </v:shape>
      </w:pict>
    </w:r>
    <w:r>
      <w:rPr/>
      <w:pict>
        <v:group style="position:absolute;margin-left:69.419998pt;margin-top:54.299999pt;width:463.1pt;height:.1pt;mso-position-horizontal-relative:page;mso-position-vertical-relative:page;z-index:-1049728"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704" type="#_x0000_t75" stroked="false">
          <v:imagedata r:id="rId1" o:title=""/>
        </v:shape>
      </w:pict>
    </w:r>
    <w:r>
      <w:rPr/>
      <w:pict>
        <v:group style="position:absolute;margin-left:69.419998pt;margin-top:54.299999pt;width:463.1pt;height:.1pt;mso-position-horizontal-relative:page;mso-position-vertical-relative:page;z-index:-104968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49656" type="#_x0000_t75" stroked="false">
          <v:imagedata r:id="rId1" o:title=""/>
        </v:shape>
      </w:pict>
    </w:r>
    <w:r>
      <w:rPr/>
      <w:pict>
        <v:group style="position:absolute;margin-left:69.419998pt;margin-top:54.299999pt;width:463.1pt;height:.1pt;mso-position-horizontal-relative:page;mso-position-vertical-relative:page;z-index:-1049632"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shape style="position:absolute;margin-left:251.720001pt;margin-top:85.827103pt;width:98.45pt;height:14pt;mso-position-horizontal-relative:page;mso-position-vertical-relative:page;z-index:-104960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1049584" type="#_x0000_t75" stroked="false">
          <v:imagedata r:id="rId1" o:title=""/>
        </v:shape>
      </w:pict>
    </w:r>
    <w:r>
      <w:rPr/>
      <w:pict>
        <v:group style="position:absolute;margin-left:69.411003pt;margin-top:54.299999pt;width:689pt;height:.1pt;mso-position-horizontal-relative:page;mso-position-vertical-relative:page;z-index:-1049560"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5pt;height:29.55pt;mso-position-horizontal-relative:page;mso-position-vertical-relative:page;z-index:-1049536"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ind w:left="158"/>
      <w:outlineLvl w:val="1"/>
    </w:pPr>
    <w:rPr>
      <w:rFonts w:ascii="宋体" w:hAnsi="宋体" w:eastAsia="宋体"/>
      <w:b/>
      <w:bCs/>
      <w:sz w:val="30"/>
      <w:szCs w:val="30"/>
    </w:rPr>
  </w:style>
  <w:style w:styleId="Heading2" w:type="paragraph">
    <w:name w:val="Heading 2"/>
    <w:basedOn w:val="Normal"/>
    <w:uiPriority w:val="1"/>
    <w:qFormat/>
    <w:pPr>
      <w:ind w:left="138"/>
      <w:outlineLvl w:val="2"/>
    </w:pPr>
    <w:rPr>
      <w:rFonts w:ascii="宋体" w:hAnsi="宋体" w:eastAsia="宋体"/>
      <w:b/>
      <w:bCs/>
      <w:sz w:val="28"/>
      <w:szCs w:val="28"/>
    </w:rPr>
  </w:style>
  <w:style w:styleId="Heading3" w:type="paragraph">
    <w:name w:val="Heading 3"/>
    <w:basedOn w:val="Normal"/>
    <w:uiPriority w:val="1"/>
    <w:qFormat/>
    <w:pPr>
      <w:ind w:left="138"/>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yperlink" Target="mailto:600100@thtf.com.cn" TargetMode="External"/><Relationship Id="rId10" Type="http://schemas.openxmlformats.org/officeDocument/2006/relationships/hyperlink" Target="http://www.thtf.com.cn/" TargetMode="External"/><Relationship Id="rId11" Type="http://schemas.openxmlformats.org/officeDocument/2006/relationships/hyperlink" Target="http://www.sse.com.cn/"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2.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image" Target="media/image12.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2.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image" Target="media/image14.png"/><Relationship Id="rId47" Type="http://schemas.openxmlformats.org/officeDocument/2006/relationships/header" Target="header23.xml"/><Relationship Id="rId48" Type="http://schemas.openxmlformats.org/officeDocument/2006/relationships/footer" Target="footer6.xml"/><Relationship Id="rId49" Type="http://schemas.openxmlformats.org/officeDocument/2006/relationships/header" Target="header24.xml"/><Relationship Id="rId50" Type="http://schemas.openxmlformats.org/officeDocument/2006/relationships/footer" Target="footer7.xml"/><Relationship Id="rId51" Type="http://schemas.openxmlformats.org/officeDocument/2006/relationships/header" Target="header25.xml"/><Relationship Id="rId52" Type="http://schemas.openxmlformats.org/officeDocument/2006/relationships/footer" Target="footer8.xml"/><Relationship Id="rId53" Type="http://schemas.openxmlformats.org/officeDocument/2006/relationships/header" Target="header26.xml"/><Relationship Id="rId54" Type="http://schemas.openxmlformats.org/officeDocument/2006/relationships/footer" Target="footer9.xml"/><Relationship Id="rId55" Type="http://schemas.openxmlformats.org/officeDocument/2006/relationships/header" Target="header27.xml"/><Relationship Id="rId56"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13.jpeg"/></Relationships>

</file>

<file path=word/_rels/header11.xml.rels><?xml version="1.0" encoding="UTF-8" standalone="yes"?>
<Relationships xmlns="http://schemas.openxmlformats.org/package/2006/relationships"><Relationship Id="rId1" Type="http://schemas.openxmlformats.org/officeDocument/2006/relationships/image" Target="media/image13.jpeg"/></Relationships>

</file>

<file path=word/_rels/header12.xml.rels><?xml version="1.0" encoding="UTF-8" standalone="yes"?>
<Relationships xmlns="http://schemas.openxmlformats.org/package/2006/relationships"><Relationship Id="rId1" Type="http://schemas.openxmlformats.org/officeDocument/2006/relationships/image" Target="media/image13.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清华同方股份有限公司</dc:title>
  <dcterms:created xsi:type="dcterms:W3CDTF">2020-04-29T04:42:08Z</dcterms:created>
  <dcterms:modified xsi:type="dcterms:W3CDTF">2020-04-29T04:42:08Z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2011-04-07T00:00:00Z</vt:filetime>
  </property>
  <property fmtid="{D5CDD505-2E9C-101B-9397-08002B2CF9AE}" pid="3" name="Creator">
    <vt:lpwstr>Acrobat PDFMaker 7.0 for Word</vt:lpwstr>
  </property>
  <property fmtid="{D5CDD505-2E9C-101B-9397-08002B2CF9AE}" pid="4" name="LastSaved">
    <vt:filetime>2020-04-28T00:00:00Z</vt:filetime>
  </property>
</Properties>
</file>