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1852" w:right="1793" w:firstLine="0"/>
        <w:jc w:val="center"/>
        <w:rPr>
          <w:rFonts w:ascii="黑体" w:hAnsi="黑体" w:cs="黑体" w:eastAsia="黑体" w:hint="default"/>
          <w:sz w:val="44"/>
          <w:szCs w:val="44"/>
        </w:rPr>
      </w:pPr>
      <w:r>
        <w:rPr>
          <w:rFonts w:ascii="黑体" w:hAnsi="黑体" w:cs="黑体" w:eastAsia="黑体" w:hint="default"/>
          <w:b/>
          <w:bCs/>
          <w:color w:val="FF0000"/>
          <w:sz w:val="44"/>
          <w:szCs w:val="44"/>
        </w:rPr>
        <w:t>黑龙江黑化股份有限公司</w:t>
      </w:r>
      <w:r>
        <w:rPr>
          <w:rFonts w:ascii="黑体" w:hAnsi="黑体" w:cs="黑体" w:eastAsia="黑体" w:hint="default"/>
          <w:sz w:val="44"/>
          <w:szCs w:val="44"/>
        </w:rPr>
      </w:r>
    </w:p>
    <w:p>
      <w:pPr>
        <w:spacing w:before="133"/>
        <w:ind w:left="1850" w:right="1793" w:firstLine="0"/>
        <w:jc w:val="center"/>
        <w:rPr>
          <w:rFonts w:ascii="黑体" w:hAnsi="黑体" w:cs="黑体" w:eastAsia="黑体" w:hint="default"/>
          <w:sz w:val="32"/>
          <w:szCs w:val="32"/>
        </w:rPr>
      </w:pPr>
      <w:r>
        <w:rPr>
          <w:rFonts w:ascii="黑体"/>
          <w:b/>
          <w:color w:val="FF0000"/>
          <w:sz w:val="32"/>
        </w:rPr>
        <w:t>600179</w:t>
      </w:r>
      <w:r>
        <w:rPr>
          <w:rFonts w:ascii="黑体"/>
          <w:sz w:val="32"/>
        </w:rPr>
      </w:r>
    </w:p>
    <w:p>
      <w:pPr>
        <w:spacing w:line="240" w:lineRule="auto" w:before="12"/>
        <w:rPr>
          <w:rFonts w:ascii="黑体" w:hAnsi="黑体" w:cs="黑体" w:eastAsia="黑体" w:hint="default"/>
          <w:b/>
          <w:bCs/>
          <w:sz w:val="41"/>
          <w:szCs w:val="41"/>
        </w:rPr>
      </w:pPr>
    </w:p>
    <w:p>
      <w:pPr>
        <w:spacing w:before="0"/>
        <w:ind w:left="1852" w:right="179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2008</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8"/>
          <w:szCs w:val="18"/>
        </w:rPr>
      </w:pPr>
    </w:p>
    <w:p>
      <w:pPr>
        <w:spacing w:line="540" w:lineRule="exact" w:before="0"/>
        <w:ind w:left="4300" w:right="430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40" w:lineRule="auto" w:before="493"/>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40" w:lineRule="auto" w:before="524"/>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40" w:lineRule="auto"/>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40" w:lineRule="auto"/>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4</w:t>
            </w:r>
          </w:hyperlink>
        </w:p>
        <w:p>
          <w:pPr>
            <w:pStyle w:val="TOC1"/>
            <w:tabs>
              <w:tab w:pos="9371" w:val="right" w:leader="dot"/>
            </w:tabs>
            <w:spacing w:line="240" w:lineRule="auto" w:before="524"/>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9</w:t>
            </w:r>
          </w:hyperlink>
        </w:p>
        <w:p>
          <w:pPr>
            <w:pStyle w:val="TOC1"/>
            <w:tabs>
              <w:tab w:pos="9372" w:val="right" w:leader="dot"/>
            </w:tabs>
            <w:spacing w:line="240" w:lineRule="auto"/>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11</w:t>
            </w:r>
          </w:hyperlink>
        </w:p>
        <w:p>
          <w:pPr>
            <w:pStyle w:val="TOC1"/>
            <w:tabs>
              <w:tab w:pos="9372" w:val="right" w:leader="dot"/>
            </w:tabs>
            <w:spacing w:line="240" w:lineRule="auto"/>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13</w:t>
            </w:r>
          </w:hyperlink>
        </w:p>
        <w:p>
          <w:pPr>
            <w:pStyle w:val="TOC1"/>
            <w:tabs>
              <w:tab w:pos="9372" w:val="right" w:leader="dot"/>
            </w:tabs>
            <w:spacing w:line="240" w:lineRule="auto" w:before="524"/>
            <w:ind w:right="0"/>
            <w:jc w:val="left"/>
          </w:pPr>
          <w:hyperlink w:history="true" w:anchor="_bookmark5">
            <w:r>
              <w:rPr/>
              <w:t>八、董事会报告</w:t>
            </w:r>
          </w:hyperlink>
          <w:r>
            <w:rPr>
              <w:rFonts w:ascii="Times New Roman" w:hAnsi="Times New Roman" w:cs="Times New Roman" w:eastAsia="Times New Roman" w:hint="default"/>
            </w:rPr>
            <w:tab/>
          </w:r>
          <w:hyperlink w:history="true" w:anchor="_bookmark5">
            <w:r>
              <w:rPr/>
              <w:t>13</w:t>
            </w:r>
          </w:hyperlink>
        </w:p>
        <w:p>
          <w:pPr>
            <w:pStyle w:val="TOC1"/>
            <w:tabs>
              <w:tab w:pos="9372" w:val="right" w:leader="dot"/>
            </w:tabs>
            <w:spacing w:line="240" w:lineRule="auto"/>
            <w:ind w:right="0"/>
            <w:jc w:val="left"/>
          </w:pPr>
          <w:hyperlink w:history="true" w:anchor="_bookmark6">
            <w:r>
              <w:rPr/>
              <w:t>九、监事会报告</w:t>
            </w:r>
          </w:hyperlink>
          <w:r>
            <w:rPr>
              <w:rFonts w:ascii="Times New Roman" w:hAnsi="Times New Roman" w:cs="Times New Roman" w:eastAsia="Times New Roman" w:hint="default"/>
            </w:rPr>
            <w:tab/>
          </w:r>
          <w:hyperlink w:history="true" w:anchor="_bookmark6">
            <w:r>
              <w:rPr/>
              <w:t>20</w:t>
            </w:r>
          </w:hyperlink>
        </w:p>
        <w:p>
          <w:pPr>
            <w:pStyle w:val="TOC1"/>
            <w:tabs>
              <w:tab w:pos="9372" w:val="right" w:leader="dot"/>
            </w:tabs>
            <w:spacing w:line="240" w:lineRule="auto"/>
            <w:ind w:right="0"/>
            <w:jc w:val="left"/>
          </w:pPr>
          <w:hyperlink w:history="true" w:anchor="_bookmark6">
            <w:r>
              <w:rPr/>
              <w:t>十、重要事项</w:t>
            </w:r>
          </w:hyperlink>
          <w:r>
            <w:rPr>
              <w:rFonts w:ascii="Times New Roman" w:hAnsi="Times New Roman" w:cs="Times New Roman" w:eastAsia="Times New Roman" w:hint="default"/>
            </w:rPr>
            <w:tab/>
          </w:r>
          <w:hyperlink w:history="true" w:anchor="_bookmark6">
            <w:r>
              <w:rPr/>
              <w:t>20</w:t>
            </w:r>
          </w:hyperlink>
        </w:p>
        <w:p>
          <w:pPr>
            <w:pStyle w:val="TOC1"/>
            <w:tabs>
              <w:tab w:pos="9372" w:val="right" w:leader="dot"/>
            </w:tabs>
            <w:spacing w:line="240" w:lineRule="auto" w:before="524"/>
            <w:ind w:right="0"/>
            <w:jc w:val="left"/>
          </w:pPr>
          <w:hyperlink w:history="true" w:anchor="_bookmark7">
            <w:r>
              <w:rPr/>
              <w:t>十一、财务会计报告</w:t>
            </w:r>
          </w:hyperlink>
          <w:r>
            <w:rPr>
              <w:rFonts w:ascii="Times New Roman" w:hAnsi="Times New Roman" w:cs="Times New Roman" w:eastAsia="Times New Roman" w:hint="default"/>
            </w:rPr>
            <w:tab/>
          </w:r>
          <w:hyperlink w:history="true" w:anchor="_bookmark7">
            <w:r>
              <w:rPr/>
              <w:t>25</w:t>
            </w:r>
          </w:hyperlink>
        </w:p>
        <w:p>
          <w:pPr>
            <w:pStyle w:val="TOC1"/>
            <w:tabs>
              <w:tab w:pos="9371" w:val="right" w:leader="dot"/>
            </w:tabs>
            <w:spacing w:line="240" w:lineRule="auto"/>
            <w:ind w:right="0"/>
            <w:jc w:val="left"/>
          </w:pPr>
          <w:hyperlink w:history="true" w:anchor="_bookmark8">
            <w:r>
              <w:rPr/>
              <w:t>十二、备查文件目录</w:t>
            </w:r>
          </w:hyperlink>
          <w:r>
            <w:rPr>
              <w:rFonts w:ascii="Times New Roman" w:hAnsi="Times New Roman" w:cs="Times New Roman" w:eastAsia="Times New Roman" w:hint="default"/>
            </w:rPr>
            <w:tab/>
          </w:r>
          <w:hyperlink w:history="true" w:anchor="_bookmark8">
            <w:r>
              <w:rPr/>
              <w:t>67</w:t>
            </w:r>
          </w:hyperlink>
          <w:r>
            <w:rPr/>
            <w:t>5</w:t>
          </w:r>
        </w:p>
      </w:sdtContent>
    </w:sdt>
    <w:p>
      <w:pPr>
        <w:spacing w:after="0" w:line="240" w:lineRule="auto"/>
        <w:jc w:val="left"/>
        <w:sectPr>
          <w:headerReference w:type="default" r:id="rId5"/>
          <w:footerReference w:type="default" r:id="rId6"/>
          <w:pgSz w:w="11910" w:h="16840"/>
          <w:pgMar w:header="747" w:footer="727" w:top="980" w:bottom="920" w:left="1220" w:right="1160"/>
          <w:pgNumType w:start="1"/>
        </w:sectPr>
      </w:pPr>
    </w:p>
    <w:p>
      <w:pPr>
        <w:spacing w:line="240" w:lineRule="auto" w:before="0"/>
        <w:rPr>
          <w:rFonts w:ascii="宋体" w:hAnsi="宋体" w:cs="宋体" w:eastAsia="宋体" w:hint="default"/>
          <w:sz w:val="20"/>
          <w:szCs w:val="20"/>
        </w:rPr>
      </w:pPr>
    </w:p>
    <w:p>
      <w:pPr>
        <w:pStyle w:val="Heading1"/>
        <w:spacing w:line="274" w:lineRule="exact" w:before="154"/>
        <w:ind w:right="0"/>
        <w:jc w:val="both"/>
        <w:rPr>
          <w:b w:val="0"/>
          <w:bCs w:val="0"/>
        </w:rPr>
      </w:pPr>
      <w:bookmarkStart w:name="_bookmark0" w:id="1"/>
      <w:bookmarkEnd w:id="1"/>
      <w:r>
        <w:rPr>
          <w:b w:val="0"/>
          <w:bCs w:val="0"/>
        </w:rPr>
      </w:r>
      <w:r>
        <w:rPr/>
        <w:t>一、重要提示</w:t>
      </w:r>
      <w:r>
        <w:rPr>
          <w:b w:val="0"/>
          <w:bCs w:val="0"/>
        </w:rPr>
      </w:r>
    </w:p>
    <w:p>
      <w:pPr>
        <w:pStyle w:val="BodyText"/>
        <w:spacing w:line="272" w:lineRule="exact" w:before="26"/>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11"/>
        <w:rPr>
          <w:rFonts w:ascii="宋体" w:hAnsi="宋体" w:cs="宋体" w:eastAsia="宋体" w:hint="default"/>
          <w:sz w:val="20"/>
          <w:szCs w:val="20"/>
        </w:rPr>
      </w:pPr>
    </w:p>
    <w:p>
      <w:pPr>
        <w:pStyle w:val="BodyText"/>
        <w:spacing w:line="272" w:lineRule="exact"/>
        <w:ind w:right="217"/>
        <w:jc w:val="both"/>
      </w:pPr>
      <w:r>
        <w:rPr/>
        <w:t>(二)</w:t>
      </w:r>
      <w:r>
        <w:rPr>
          <w:spacing w:val="-30"/>
        </w:rPr>
        <w:t> </w:t>
      </w:r>
      <w:r>
        <w:rPr>
          <w:spacing w:val="-2"/>
        </w:rPr>
        <w:t>董事张肃泉，徐维欣，吴德生因公出差未能参加本次会议，特授权董事王宏伟、许文祥、朱勋绩</w:t>
      </w:r>
      <w:r>
        <w:rPr>
          <w:spacing w:val="-99"/>
        </w:rPr>
        <w:t> </w:t>
      </w:r>
      <w:r>
        <w:rPr>
          <w:spacing w:val="-99"/>
        </w:rPr>
      </w:r>
      <w:r>
        <w:rPr/>
        <w:t>对会议审议事项进行表决；独立董事许兆林因公出差未能参加本次会议，特授权独立董事王玉伟对会 议审议事项进行表决。</w:t>
      </w:r>
    </w:p>
    <w:p>
      <w:pPr>
        <w:spacing w:line="240" w:lineRule="auto" w:before="10"/>
        <w:rPr>
          <w:rFonts w:ascii="宋体" w:hAnsi="宋体" w:cs="宋体" w:eastAsia="宋体" w:hint="default"/>
          <w:sz w:val="18"/>
          <w:szCs w:val="18"/>
        </w:rPr>
      </w:pPr>
    </w:p>
    <w:p>
      <w:pPr>
        <w:pStyle w:val="BodyText"/>
        <w:spacing w:line="240" w:lineRule="auto"/>
        <w:ind w:right="0"/>
        <w:jc w:val="both"/>
      </w:pPr>
      <w:r>
        <w:rPr/>
        <w:t>(三)</w:t>
      </w:r>
      <w:r>
        <w:rPr>
          <w:spacing w:val="-2"/>
        </w:rPr>
        <w:t> </w:t>
      </w:r>
      <w:r>
        <w:rPr/>
        <w:t>天职国际会计师事务所有限公司为本公司出具了标准无保留意见的审计报告。</w:t>
      </w:r>
    </w:p>
    <w:p>
      <w:pPr>
        <w:spacing w:line="240" w:lineRule="auto" w:before="10"/>
        <w:rPr>
          <w:rFonts w:ascii="宋体" w:hAnsi="宋体" w:cs="宋体" w:eastAsia="宋体" w:hint="default"/>
          <w:sz w:val="22"/>
          <w:szCs w:val="22"/>
        </w:rPr>
      </w:pPr>
    </w:p>
    <w:p>
      <w:pPr>
        <w:pStyle w:val="BodyText"/>
        <w:spacing w:line="272" w:lineRule="exact"/>
        <w:ind w:right="103"/>
        <w:jc w:val="left"/>
      </w:pPr>
      <w:r>
        <w:rPr/>
        <w:t>(四)</w:t>
      </w:r>
      <w:r>
        <w:rPr>
          <w:spacing w:val="-42"/>
        </w:rPr>
        <w:t> </w:t>
      </w:r>
      <w:r>
        <w:rPr>
          <w:spacing w:val="-4"/>
        </w:rPr>
        <w:t>公司负责人王宏伟、主管会计工作负责人刘亚芳及会计机构负责人（会计主管人员）刘亚芳声明：</w:t>
      </w:r>
      <w:r>
        <w:rPr>
          <w:spacing w:val="-103"/>
        </w:rPr>
        <w:t> </w:t>
      </w:r>
      <w:r>
        <w:rPr>
          <w:spacing w:val="-103"/>
        </w:rPr>
      </w:r>
      <w:r>
        <w:rPr/>
        <w:t>保证年度报告中财务报告的真实、完整。</w:t>
      </w:r>
    </w:p>
    <w:p>
      <w:pPr>
        <w:spacing w:line="240" w:lineRule="auto" w:before="10"/>
        <w:rPr>
          <w:rFonts w:ascii="宋体" w:hAnsi="宋体" w:cs="宋体" w:eastAsia="宋体" w:hint="default"/>
          <w:sz w:val="18"/>
          <w:szCs w:val="18"/>
        </w:rPr>
      </w:pPr>
    </w:p>
    <w:p>
      <w:pPr>
        <w:pStyle w:val="Heading1"/>
        <w:spacing w:line="240" w:lineRule="auto"/>
        <w:ind w:right="0"/>
        <w:jc w:val="both"/>
        <w:rPr>
          <w:b w:val="0"/>
          <w:bCs w:val="0"/>
        </w:rPr>
      </w:pPr>
      <w:r>
        <w:rPr/>
        <w:t>二、公司基本情况</w:t>
      </w:r>
      <w:r>
        <w:rPr>
          <w:b w:val="0"/>
          <w:bCs w:val="0"/>
        </w:rPr>
      </w:r>
    </w:p>
    <w:p>
      <w:pPr>
        <w:spacing w:line="240" w:lineRule="auto" w:before="5"/>
        <w:rPr>
          <w:rFonts w:ascii="宋体" w:hAnsi="宋体" w:cs="宋体" w:eastAsia="宋体" w:hint="default"/>
          <w:b/>
          <w:bCs/>
          <w:sz w:val="23"/>
          <w:szCs w:val="23"/>
        </w:rPr>
      </w:pPr>
    </w:p>
    <w:tbl>
      <w:tblPr>
        <w:tblW w:w="0" w:type="auto"/>
        <w:jc w:val="left"/>
        <w:tblInd w:w="125" w:type="dxa"/>
        <w:tblLayout w:type="fixed"/>
        <w:tblCellMar>
          <w:top w:w="0" w:type="dxa"/>
          <w:left w:w="0" w:type="dxa"/>
          <w:bottom w:w="0" w:type="dxa"/>
          <w:right w:w="0" w:type="dxa"/>
        </w:tblCellMar>
        <w:tblLook w:val="01E0"/>
      </w:tblPr>
      <w:tblGrid>
        <w:gridCol w:w="1396"/>
        <w:gridCol w:w="1488"/>
        <w:gridCol w:w="1766"/>
        <w:gridCol w:w="280"/>
        <w:gridCol w:w="1674"/>
        <w:gridCol w:w="2696"/>
      </w:tblGrid>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黑化股份</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HeiLongJiang HeiHua</w:t>
            </w:r>
            <w:r>
              <w:rPr>
                <w:rFonts w:ascii="宋体"/>
                <w:spacing w:val="-23"/>
                <w:sz w:val="21"/>
              </w:rPr>
              <w:t> </w:t>
            </w:r>
            <w:r>
              <w:rPr>
                <w:rFonts w:ascii="宋体"/>
                <w:sz w:val="21"/>
              </w:rPr>
              <w:t>Co.,Ltd</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公司法定英文名称缩写</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HH</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张连增</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0452-8927129</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0452-6884895</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hhgf@tom.com</w:t>
              </w:r>
            </w:hyperlink>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公司证券事务代表情况</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证券事务代表姓名</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刘喜涛</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证券事务代表联系地址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证券事务代表电话</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0452-8927290</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证券事务代表传真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0452-6884895</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zlz600179@sohu.com</w:t>
              </w:r>
            </w:hyperlink>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161041</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hhgf@tom.com</w:t>
              </w:r>
            </w:hyperlink>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559"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所</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5"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9"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560"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1" w:right="0"/>
              <w:jc w:val="center"/>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黑化股份</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600179</w:t>
            </w:r>
          </w:p>
        </w:tc>
        <w:tc>
          <w:tcPr>
            <w:tcW w:w="26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2300001100459</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230206702847417</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1" w:id="2"/>
            <w:bookmarkEnd w:id="2"/>
            <w:r>
              <w:rPr/>
            </w:r>
            <w:r>
              <w:rPr>
                <w:rFonts w:ascii="宋体" w:hAnsi="宋体" w:cs="宋体" w:eastAsia="宋体" w:hint="default"/>
                <w:sz w:val="21"/>
                <w:szCs w:val="21"/>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70284741-7</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公司聘请的会计师事务所情况</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天职国际会计师事务所有限公司</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中国北京海淀区车公庄西路乙</w:t>
            </w:r>
            <w:r>
              <w:rPr>
                <w:rFonts w:ascii="宋体" w:hAnsi="宋体" w:cs="宋体" w:eastAsia="宋体" w:hint="default"/>
                <w:spacing w:val="-59"/>
                <w:sz w:val="21"/>
                <w:szCs w:val="21"/>
              </w:rPr>
              <w:t> </w:t>
            </w:r>
            <w:r>
              <w:rPr>
                <w:rFonts w:ascii="宋体" w:hAnsi="宋体" w:cs="宋体" w:eastAsia="宋体" w:hint="default"/>
                <w:sz w:val="21"/>
                <w:szCs w:val="21"/>
              </w:rPr>
              <w:t>19</w:t>
            </w:r>
            <w:r>
              <w:rPr>
                <w:rFonts w:ascii="宋体" w:hAnsi="宋体" w:cs="宋体" w:eastAsia="宋体" w:hint="default"/>
                <w:spacing w:val="-59"/>
                <w:sz w:val="21"/>
                <w:szCs w:val="21"/>
              </w:rPr>
              <w:t> </w:t>
            </w:r>
            <w:r>
              <w:rPr>
                <w:rFonts w:ascii="宋体" w:hAnsi="宋体" w:cs="宋体" w:eastAsia="宋体" w:hint="default"/>
                <w:sz w:val="21"/>
                <w:szCs w:val="21"/>
              </w:rPr>
              <w:t>号华通大厦</w:t>
            </w:r>
            <w:r>
              <w:rPr>
                <w:rFonts w:ascii="宋体" w:hAnsi="宋体" w:cs="宋体" w:eastAsia="宋体" w:hint="default"/>
                <w:spacing w:val="-59"/>
                <w:sz w:val="21"/>
                <w:szCs w:val="21"/>
              </w:rPr>
              <w:t> </w:t>
            </w:r>
            <w:r>
              <w:rPr>
                <w:rFonts w:ascii="宋体" w:hAnsi="宋体" w:cs="宋体" w:eastAsia="宋体" w:hint="default"/>
                <w:sz w:val="21"/>
                <w:szCs w:val="21"/>
              </w:rPr>
              <w:t>B</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宋体" w:hAnsi="宋体" w:cs="宋体" w:eastAsia="宋体" w:hint="default"/>
                <w:sz w:val="21"/>
                <w:szCs w:val="21"/>
              </w:rPr>
              <w:t>208</w:t>
            </w:r>
          </w:p>
        </w:tc>
      </w:tr>
    </w:tbl>
    <w:p>
      <w:pPr>
        <w:spacing w:line="240" w:lineRule="auto" w:before="6"/>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spacing w:line="272" w:lineRule="exact" w:before="63"/>
        <w:ind w:left="140" w:right="-18" w:firstLine="0"/>
        <w:jc w:val="left"/>
        <w:rPr>
          <w:rFonts w:ascii="宋体" w:hAnsi="宋体" w:cs="宋体" w:eastAsia="宋体" w:hint="default"/>
          <w:sz w:val="21"/>
          <w:szCs w:val="21"/>
        </w:rPr>
      </w:pP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094" w:space="394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544"/>
        <w:gridCol w:w="3756"/>
      </w:tblGrid>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-49,031,268.96</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-48,439,930.65</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-51,892,692.94</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-52,479,232.61</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75,506,711.10</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(二)</w:t>
      </w:r>
      <w:r>
        <w:rPr>
          <w:spacing w:val="-2"/>
        </w:rPr>
        <w:t> </w:t>
      </w:r>
      <w:r>
        <w:rPr/>
        <w:t>非经常性损益项目和金额：</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998"/>
        <w:gridCol w:w="4302"/>
      </w:tblGrid>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591,338.31</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-4,798.64</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586,539.67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171"/>
        <w:jc w:val="left"/>
      </w:pPr>
      <w:r>
        <w:rPr/>
        <w:t>(三)</w:t>
      </w:r>
      <w:r>
        <w:rPr>
          <w:spacing w:val="-2"/>
        </w:rPr>
        <w:t> </w:t>
      </w:r>
      <w:r>
        <w:rPr/>
        <w:t>报告期末公司前三年主要会计数据和财务指标</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00"/>
        <w:gridCol w:w="1896"/>
        <w:gridCol w:w="1896"/>
        <w:gridCol w:w="1412"/>
        <w:gridCol w:w="1896"/>
      </w:tblGrid>
      <w:tr>
        <w:trPr>
          <w:trHeight w:val="560" w:hRule="exact"/>
        </w:trPr>
        <w:tc>
          <w:tcPr>
            <w:tcW w:w="22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8"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1,780,641,423.11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1,328,022,343.46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34.08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1,115,119,935.69</w:t>
            </w:r>
          </w:p>
        </w:tc>
      </w:tr>
      <w:tr>
        <w:trPr>
          <w:trHeight w:val="288"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-48,439,930.65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21,058,567.59</w:t>
            </w:r>
            <w:r>
              <w:rPr>
                <w:rFonts w:ascii="宋体"/>
                <w:sz w:val="21"/>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-330.02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16,543,980.31</w:t>
            </w:r>
            <w:r>
              <w:rPr>
                <w:rFonts w:ascii="宋体"/>
                <w:sz w:val="21"/>
              </w:rPr>
            </w:r>
          </w:p>
        </w:tc>
      </w:tr>
      <w:tr>
        <w:trPr>
          <w:trHeight w:val="559"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-51,892,692.94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12,920,597.42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-501.63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10,546,985.21</w:t>
            </w:r>
          </w:p>
        </w:tc>
      </w:tr>
      <w:tr>
        <w:trPr>
          <w:trHeight w:val="832"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6"/>
              <w:ind w:left="100" w:right="192"/>
              <w:jc w:val="left"/>
              <w:rPr>
                <w:rFonts w:ascii="宋体" w:hAnsi="宋体" w:cs="宋体" w:eastAsia="宋体" w:hint="default"/>
                <w:sz w:val="21"/>
                <w:szCs w:val="21"/>
              </w:rPr>
            </w:pPr>
            <w:r>
              <w:rPr>
                <w:rFonts w:ascii="宋体" w:hAnsi="宋体" w:cs="宋体" w:eastAsia="宋体" w:hint="default"/>
                <w:sz w:val="21"/>
                <w:szCs w:val="21"/>
              </w:rPr>
              <w:t>的扣除非经常性损益 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-52,479,232.61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12,599,774.48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-516.51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4,236,821.70</w:t>
            </w:r>
            <w:r>
              <w:rPr>
                <w:rFonts w:ascii="宋体"/>
                <w:sz w:val="21"/>
              </w:rPr>
            </w:r>
          </w:p>
        </w:tc>
      </w:tr>
      <w:tr>
        <w:trPr>
          <w:trHeight w:val="560"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-0.13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-533.33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0.03</w:t>
            </w:r>
          </w:p>
        </w:tc>
      </w:tr>
      <w:tr>
        <w:trPr>
          <w:trHeight w:val="559"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-0.13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-533.33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0.03</w:t>
            </w:r>
          </w:p>
        </w:tc>
      </w:tr>
      <w:tr>
        <w:trPr>
          <w:trHeight w:val="833"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的基本每股收益（元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-0.13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-533.33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0.01</w:t>
            </w:r>
          </w:p>
        </w:tc>
      </w:tr>
      <w:tr>
        <w:trPr>
          <w:trHeight w:val="559"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全面摊薄净资产收益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-6.11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7.54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68"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1.19</w:t>
            </w:r>
          </w:p>
        </w:tc>
      </w:tr>
      <w:tr>
        <w:trPr>
          <w:trHeight w:val="559"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7.37</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68"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1.19</w:t>
            </w:r>
          </w:p>
        </w:tc>
      </w:tr>
      <w:tr>
        <w:trPr>
          <w:trHeight w:val="833"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100" w:right="192"/>
              <w:jc w:val="left"/>
              <w:rPr>
                <w:rFonts w:ascii="宋体" w:hAnsi="宋体" w:cs="宋体" w:eastAsia="宋体" w:hint="default"/>
                <w:sz w:val="21"/>
                <w:szCs w:val="21"/>
              </w:rPr>
            </w:pPr>
            <w:r>
              <w:rPr>
                <w:rFonts w:ascii="宋体" w:hAnsi="宋体" w:cs="宋体" w:eastAsia="宋体" w:hint="default"/>
                <w:sz w:val="21"/>
                <w:szCs w:val="21"/>
              </w:rPr>
              <w:t>全面摊薄净资产收益 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-6.16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4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7.56</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68"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0.48</w:t>
            </w:r>
          </w:p>
        </w:tc>
      </w:tr>
      <w:tr>
        <w:trPr>
          <w:trHeight w:val="288"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-5.98</w:t>
            </w:r>
            <w:r>
              <w:rPr>
                <w:rFonts w:ascii="宋体"/>
                <w:w w:val="95"/>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w:t>
            </w:r>
            <w:r>
              <w:rPr>
                <w:rFonts w:ascii="宋体"/>
                <w:sz w:val="21"/>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7.39</w:t>
            </w:r>
            <w:r>
              <w:rPr>
                <w:rFonts w:ascii="宋体" w:hAnsi="宋体" w:cs="宋体" w:eastAsia="宋体" w:hint="default"/>
                <w:spacing w:val="-54"/>
                <w:sz w:val="21"/>
                <w:szCs w:val="21"/>
              </w:rPr>
              <w:t> </w:t>
            </w:r>
            <w:r>
              <w:rPr>
                <w:rFonts w:ascii="宋体" w:hAnsi="宋体" w:cs="宋体" w:eastAsia="宋体" w:hint="default"/>
                <w:sz w:val="21"/>
                <w:szCs w:val="21"/>
              </w:rPr>
              <w:t>个</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0.48</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200"/>
        <w:gridCol w:w="1896"/>
        <w:gridCol w:w="1896"/>
        <w:gridCol w:w="1412"/>
        <w:gridCol w:w="1896"/>
      </w:tblGrid>
      <w:tr>
        <w:trPr>
          <w:trHeight w:val="559"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bookmarkStart w:name="_bookmark2" w:id="3"/>
            <w:bookmarkEnd w:id="3"/>
            <w:r>
              <w:rPr/>
            </w:r>
            <w:r>
              <w:rPr>
                <w:rFonts w:ascii="宋体" w:hAnsi="宋体" w:cs="宋体" w:eastAsia="宋体" w:hint="default"/>
                <w:sz w:val="21"/>
                <w:szCs w:val="21"/>
              </w:rPr>
              <w:t>的加权平均净资产收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百分点</w:t>
            </w: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75,506,711.10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79,134,720.85</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-4.58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163,569,645.84</w:t>
            </w:r>
            <w:r>
              <w:rPr>
                <w:rFonts w:ascii="宋体"/>
                <w:sz w:val="21"/>
              </w:rPr>
            </w:r>
          </w:p>
        </w:tc>
      </w:tr>
      <w:tr>
        <w:trPr>
          <w:trHeight w:val="832"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w:t>
            </w:r>
          </w:p>
          <w:p>
            <w:pPr>
              <w:pStyle w:val="TableParagraph"/>
              <w:spacing w:line="272" w:lineRule="exact" w:before="26"/>
              <w:ind w:left="100" w:right="192"/>
              <w:jc w:val="left"/>
              <w:rPr>
                <w:rFonts w:ascii="宋体" w:hAnsi="宋体" w:cs="宋体" w:eastAsia="宋体" w:hint="default"/>
                <w:sz w:val="21"/>
                <w:szCs w:val="21"/>
              </w:rPr>
            </w:pPr>
            <w:r>
              <w:rPr>
                <w:rFonts w:ascii="宋体" w:hAnsi="宋体" w:cs="宋体" w:eastAsia="宋体" w:hint="default"/>
                <w:sz w:val="21"/>
                <w:szCs w:val="21"/>
              </w:rPr>
              <w:t>现金流量净额（元／ 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0.19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0.20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0.42</w:t>
            </w:r>
          </w:p>
        </w:tc>
      </w:tr>
      <w:tr>
        <w:trPr>
          <w:trHeight w:val="560" w:hRule="exact"/>
        </w:trPr>
        <w:tc>
          <w:tcPr>
            <w:tcW w:w="22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firstLine="51"/>
              <w:jc w:val="left"/>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年末增减(%)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7"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1,973,760,013.41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1,750,147,357.11</w:t>
            </w:r>
            <w:r>
              <w:rPr>
                <w:rFonts w:ascii="宋体"/>
                <w:sz w:val="21"/>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1,783,394,812.92</w:t>
            </w:r>
            <w:r>
              <w:rPr>
                <w:rFonts w:ascii="宋体"/>
                <w:sz w:val="21"/>
              </w:rPr>
            </w:r>
          </w:p>
        </w:tc>
      </w:tr>
      <w:tr>
        <w:trPr>
          <w:trHeight w:val="559"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848,944,828.18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900,837,521.12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-5.76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887,936,923.70</w:t>
            </w:r>
          </w:p>
        </w:tc>
      </w:tr>
      <w:tr>
        <w:trPr>
          <w:trHeight w:val="833" w:hRule="exact"/>
        </w:trPr>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6"/>
              <w:ind w:left="100" w:right="192"/>
              <w:jc w:val="left"/>
              <w:rPr>
                <w:rFonts w:ascii="宋体" w:hAnsi="宋体" w:cs="宋体" w:eastAsia="宋体" w:hint="default"/>
                <w:sz w:val="21"/>
                <w:szCs w:val="21"/>
              </w:rPr>
            </w:pPr>
            <w:r>
              <w:rPr>
                <w:rFonts w:ascii="宋体" w:hAnsi="宋体" w:cs="宋体" w:eastAsia="宋体" w:hint="default"/>
                <w:sz w:val="21"/>
                <w:szCs w:val="21"/>
              </w:rPr>
              <w:t>的每股净资产（元／ 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2.31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-5.63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2.28</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pStyle w:val="Heading1"/>
        <w:spacing w:line="238" w:lineRule="exact"/>
        <w:ind w:right="0"/>
        <w:jc w:val="left"/>
        <w:rPr>
          <w:b w:val="0"/>
          <w:bCs w:val="0"/>
        </w:rPr>
      </w:pPr>
      <w:r>
        <w:rPr>
          <w:w w:val="95"/>
        </w:rPr>
        <w:t>四、股本变动及股东情况</w:t>
      </w:r>
      <w:r>
        <w:rPr>
          <w:b w:val="0"/>
          <w:bCs w:val="0"/>
        </w:rPr>
      </w:r>
    </w:p>
    <w:p>
      <w:pPr>
        <w:pStyle w:val="BodyText"/>
        <w:spacing w:line="272" w:lineRule="exact" w:before="26"/>
        <w:ind w:right="514"/>
        <w:jc w:val="left"/>
      </w:pPr>
      <w:r>
        <w:rPr/>
        <w:t>(一)</w:t>
      </w:r>
      <w:r>
        <w:rPr>
          <w:spacing w:val="-2"/>
        </w:rPr>
        <w:t> </w:t>
      </w:r>
      <w:r>
        <w:rPr/>
        <w:t>股本变动情况</w:t>
      </w:r>
      <w:r>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2460" w:space="5943"/>
            <w:col w:w="11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56"/>
        <w:gridCol w:w="1372"/>
        <w:gridCol w:w="846"/>
        <w:gridCol w:w="426"/>
        <w:gridCol w:w="426"/>
        <w:gridCol w:w="426"/>
        <w:gridCol w:w="1266"/>
        <w:gridCol w:w="1266"/>
        <w:gridCol w:w="1370"/>
        <w:gridCol w:w="846"/>
      </w:tblGrid>
      <w:tr>
        <w:trPr>
          <w:trHeight w:val="288" w:hRule="exact"/>
        </w:trPr>
        <w:tc>
          <w:tcPr>
            <w:tcW w:w="1056" w:type="dxa"/>
            <w:vMerge w:val="restart"/>
            <w:tcBorders>
              <w:top w:val="single" w:sz="6" w:space="0" w:color="000000"/>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056" w:type="dxa"/>
            <w:vMerge/>
            <w:tcBorders>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7"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98"/>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left"/>
              <w:rPr>
                <w:rFonts w:ascii="宋体" w:hAnsi="宋体" w:cs="宋体" w:eastAsia="宋体" w:hint="default"/>
                <w:sz w:val="21"/>
                <w:szCs w:val="21"/>
              </w:rPr>
            </w:pPr>
            <w:r>
              <w:rPr>
                <w:rFonts w:ascii="宋体" w:hAnsi="宋体" w:cs="宋体" w:eastAsia="宋体" w:hint="default"/>
                <w:sz w:val="21"/>
                <w:szCs w:val="21"/>
              </w:rPr>
              <w:t>送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58"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售条件股 份</w:t>
            </w:r>
          </w:p>
        </w:tc>
        <w:tc>
          <w:tcPr>
            <w:tcW w:w="8244" w:type="dxa"/>
            <w:gridSpan w:val="9"/>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国家持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199,141,133</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51.06</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-4,360,000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-4,360,000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194,781,133</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49.94</w:t>
            </w:r>
            <w:r>
              <w:rPr>
                <w:rFonts w:ascii="宋体"/>
                <w:sz w:val="21"/>
              </w:rPr>
            </w: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8,750,597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2.25</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2,556,980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2,556,980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11,307,577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2.90</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内非国有 法人持股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2,530,597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0.65</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-474,740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8" w:right="0"/>
              <w:jc w:val="center"/>
              <w:rPr>
                <w:rFonts w:ascii="宋体" w:hAnsi="宋体" w:cs="宋体" w:eastAsia="宋体" w:hint="default"/>
                <w:sz w:val="21"/>
                <w:szCs w:val="21"/>
              </w:rPr>
            </w:pPr>
            <w:r>
              <w:rPr>
                <w:rFonts w:ascii="宋体"/>
                <w:sz w:val="21"/>
              </w:rPr>
              <w:t>-474,740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2,055,857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0.53</w:t>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内自然人 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6,220,000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3,031,720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3,031,720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9,251,720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2.37</w:t>
            </w: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外法人持 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外自然人 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有限售条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件股份合 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207,891,730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53.31</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-1,803,020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-1,803,020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206,088,710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52.84</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056"/>
        <w:gridCol w:w="1372"/>
        <w:gridCol w:w="846"/>
        <w:gridCol w:w="426"/>
        <w:gridCol w:w="426"/>
        <w:gridCol w:w="426"/>
        <w:gridCol w:w="1266"/>
        <w:gridCol w:w="1266"/>
        <w:gridCol w:w="1370"/>
        <w:gridCol w:w="846"/>
      </w:tblGrid>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售条件流 通股份</w:t>
            </w:r>
          </w:p>
        </w:tc>
        <w:tc>
          <w:tcPr>
            <w:tcW w:w="8244" w:type="dxa"/>
            <w:gridSpan w:val="9"/>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人民币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182,108,270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46.69</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1,803,020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1,803,020</w:t>
            </w:r>
            <w:r>
              <w:rPr>
                <w:rFonts w:ascii="宋体"/>
                <w:sz w:val="21"/>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183,911,290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47.16</w:t>
            </w:r>
            <w:r>
              <w:rPr>
                <w:rFonts w:ascii="宋体"/>
                <w:sz w:val="21"/>
              </w:rPr>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境内上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境外上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件流通股 份合计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182,108,270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46.69</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1,803,020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1,803,020</w:t>
            </w:r>
            <w:r>
              <w:rPr>
                <w:rFonts w:ascii="宋体"/>
                <w:sz w:val="21"/>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sz w:val="21"/>
              </w:rPr>
              <w:t>183,911,290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47.16</w:t>
            </w:r>
            <w:r>
              <w:rPr>
                <w:rFonts w:ascii="宋体"/>
                <w:sz w:val="21"/>
              </w:rPr>
            </w: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390,000,000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390,000,000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74" w:lineRule="exact" w:before="35"/>
        <w:ind w:right="171"/>
        <w:jc w:val="left"/>
      </w:pPr>
      <w:r>
        <w:rPr/>
        <w:t>2、限售股份变动情况</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8"/>
        <w:gridCol w:w="1402"/>
        <w:gridCol w:w="1400"/>
        <w:gridCol w:w="1301"/>
        <w:gridCol w:w="2098"/>
      </w:tblGrid>
      <w:tr>
        <w:trPr>
          <w:trHeight w:val="559"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09"/>
              <w:jc w:val="righ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199,141,133</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194,781,133</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耿国华</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5,050,000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4,102,620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杨成社</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上海锦彬投资管理有限公司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1,530,597</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1,243,457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王素萍</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950,500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上海灵犀房地产经纪有限公司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812,400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w:t>
              <w:tab/>
              <w:t>帅</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650,000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w:t>
              <w:tab/>
              <w:t>骏</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373,700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于广谦</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季</w:t>
              <w:tab/>
              <w:t>平</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186,800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徐红胜</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138,100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207,891,730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206,088,710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2" w:lineRule="exact" w:before="63"/>
        <w:ind w:right="6779"/>
        <w:jc w:val="left"/>
      </w:pPr>
      <w:r>
        <w:rPr/>
        <w:t>(二)</w:t>
      </w:r>
      <w:r>
        <w:rPr>
          <w:spacing w:val="-1"/>
        </w:rPr>
        <w:t> </w:t>
      </w:r>
      <w:r>
        <w:rPr/>
        <w:t>证券发行与上市情况</w:t>
      </w:r>
      <w:r>
        <w:rPr/>
        <w:t> 1、前三年历次证券发行情况</w:t>
      </w:r>
    </w:p>
    <w:p>
      <w:pPr>
        <w:pStyle w:val="BodyText"/>
        <w:spacing w:line="248" w:lineRule="exact"/>
        <w:ind w:left="560" w:right="171"/>
        <w:jc w:val="left"/>
      </w:pPr>
      <w:r>
        <w:rPr/>
        <w:t>截止本报告期末至前三年，公司未有证券发行与上市情况。</w:t>
      </w:r>
    </w:p>
    <w:p>
      <w:pPr>
        <w:spacing w:line="240" w:lineRule="auto" w:before="8"/>
        <w:rPr>
          <w:rFonts w:ascii="宋体" w:hAnsi="宋体" w:cs="宋体" w:eastAsia="宋体" w:hint="default"/>
          <w:sz w:val="20"/>
          <w:szCs w:val="20"/>
        </w:rPr>
      </w:pPr>
    </w:p>
    <w:p>
      <w:pPr>
        <w:pStyle w:val="BodyText"/>
        <w:spacing w:line="274" w:lineRule="exact"/>
        <w:ind w:right="171"/>
        <w:jc w:val="left"/>
      </w:pPr>
      <w:r>
        <w:rPr/>
        <w:t>2、公司股份总数及结构的变动情况</w:t>
      </w:r>
    </w:p>
    <w:p>
      <w:pPr>
        <w:pStyle w:val="BodyText"/>
        <w:spacing w:line="272" w:lineRule="exact" w:before="26"/>
        <w:ind w:right="171" w:firstLine="420"/>
        <w:jc w:val="left"/>
      </w:pPr>
      <w:r>
        <w:rPr/>
        <w:t>①2008</w:t>
      </w:r>
      <w:r>
        <w:rPr>
          <w:spacing w:val="-46"/>
        </w:rPr>
        <w:t> </w:t>
      </w:r>
      <w:r>
        <w:rPr/>
        <w:t>年国有法人股减少</w:t>
      </w:r>
      <w:r>
        <w:rPr>
          <w:spacing w:val="-47"/>
        </w:rPr>
        <w:t> </w:t>
      </w:r>
      <w:r>
        <w:rPr/>
        <w:t>4,360,000</w:t>
      </w:r>
      <w:r>
        <w:rPr>
          <w:spacing w:val="-46"/>
        </w:rPr>
        <w:t> </w:t>
      </w:r>
      <w:r>
        <w:rPr>
          <w:spacing w:val="-3"/>
        </w:rPr>
        <w:t>万股，原因是持股股东黑化集团与债权人发生债务纠纷，法</w:t>
      </w:r>
      <w:r>
        <w:rPr/>
        <w:t> 院强制拍卖黑化集团持有的本公司股权进行还债。</w:t>
      </w:r>
    </w:p>
    <w:p>
      <w:pPr>
        <w:pStyle w:val="BodyText"/>
        <w:spacing w:line="272" w:lineRule="exact"/>
        <w:ind w:right="328" w:firstLine="420"/>
        <w:jc w:val="left"/>
      </w:pPr>
      <w:r>
        <w:rPr/>
        <w:t>②本期境内法人股减少</w:t>
      </w:r>
      <w:r>
        <w:rPr>
          <w:spacing w:val="-55"/>
        </w:rPr>
        <w:t> </w:t>
      </w:r>
      <w:r>
        <w:rPr/>
        <w:t>474,740</w:t>
      </w:r>
      <w:r>
        <w:rPr>
          <w:spacing w:val="-54"/>
        </w:rPr>
        <w:t> </w:t>
      </w:r>
      <w:r>
        <w:rPr/>
        <w:t>股，原因是根据股权分置改革的规定该部分股份流通权于</w:t>
      </w:r>
      <w:r>
        <w:rPr>
          <w:spacing w:val="-55"/>
        </w:rPr>
        <w:t> </w:t>
      </w:r>
      <w:r>
        <w:rPr/>
        <w:t>2008</w:t>
      </w:r>
      <w:r>
        <w:rPr/>
        <w:t> 年解禁可以上市流通。</w:t>
      </w:r>
    </w:p>
    <w:p>
      <w:pPr>
        <w:spacing w:line="240" w:lineRule="auto" w:before="11"/>
        <w:rPr>
          <w:rFonts w:ascii="宋体" w:hAnsi="宋体" w:cs="宋体" w:eastAsia="宋体" w:hint="default"/>
          <w:sz w:val="20"/>
          <w:szCs w:val="20"/>
        </w:rPr>
      </w:pPr>
    </w:p>
    <w:p>
      <w:pPr>
        <w:pStyle w:val="BodyText"/>
        <w:spacing w:line="272" w:lineRule="exact"/>
        <w:ind w:left="561" w:right="6043" w:hanging="421"/>
        <w:jc w:val="left"/>
      </w:pPr>
      <w:r>
        <w:rPr/>
        <w:t>3、现存的内部职工股情况 本报告期末公司无内部职工股。</w:t>
      </w:r>
    </w:p>
    <w:p>
      <w:pPr>
        <w:pStyle w:val="BodyText"/>
        <w:spacing w:line="248" w:lineRule="exact"/>
        <w:ind w:right="171"/>
        <w:jc w:val="left"/>
      </w:pPr>
      <w:r>
        <w:rPr/>
        <w:t>(三)</w:t>
      </w:r>
      <w:r>
        <w:rPr>
          <w:spacing w:val="-2"/>
        </w:rPr>
        <w:t> </w:t>
      </w:r>
      <w:r>
        <w:rPr/>
        <w:t>股东和实际控制人情况</w:t>
      </w:r>
    </w:p>
    <w:p>
      <w:pPr>
        <w:spacing w:after="0" w:line="248"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71"/>
        <w:jc w:val="left"/>
      </w:pPr>
      <w:r>
        <w:rPr/>
        <w:t>1、股东数量和持股情况</w:t>
      </w:r>
    </w:p>
    <w:p>
      <w:pPr>
        <w:pStyle w:val="BodyText"/>
        <w:spacing w:line="274" w:lineRule="exact"/>
        <w:ind w:left="0" w:right="179"/>
        <w:jc w:val="right"/>
      </w:pPr>
      <w:r>
        <w:rPr/>
        <w:t>单位：股</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08"/>
        <w:gridCol w:w="300"/>
        <w:gridCol w:w="1000"/>
        <w:gridCol w:w="827"/>
        <w:gridCol w:w="874"/>
        <w:gridCol w:w="600"/>
        <w:gridCol w:w="1400"/>
        <w:gridCol w:w="1500"/>
        <w:gridCol w:w="1291"/>
      </w:tblGrid>
      <w:tr>
        <w:trPr>
          <w:trHeight w:val="287" w:hRule="exact"/>
        </w:trPr>
        <w:tc>
          <w:tcPr>
            <w:tcW w:w="36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566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64,568</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9"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1"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61"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7"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3"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113"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1105"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31"/>
              <w:jc w:val="left"/>
              <w:rPr>
                <w:rFonts w:ascii="宋体" w:hAnsi="宋体" w:cs="宋体" w:eastAsia="宋体" w:hint="default"/>
                <w:sz w:val="21"/>
                <w:szCs w:val="21"/>
              </w:rPr>
            </w:pPr>
            <w:r>
              <w:rPr>
                <w:rFonts w:ascii="宋体" w:hAnsi="宋体" w:cs="宋体" w:eastAsia="宋体" w:hint="default"/>
                <w:sz w:val="21"/>
                <w:szCs w:val="21"/>
              </w:rPr>
              <w:t>黑龙江黑化集 团有限公司</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8" w:right="0"/>
              <w:jc w:val="center"/>
              <w:rPr>
                <w:rFonts w:ascii="宋体" w:hAnsi="宋体" w:cs="宋体" w:eastAsia="宋体" w:hint="default"/>
                <w:sz w:val="21"/>
                <w:szCs w:val="21"/>
              </w:rPr>
            </w:pPr>
            <w:r>
              <w:rPr>
                <w:rFonts w:ascii="宋体"/>
                <w:sz w:val="21"/>
              </w:rPr>
              <w:t>49.94</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04" w:right="0"/>
              <w:jc w:val="left"/>
              <w:rPr>
                <w:rFonts w:ascii="宋体" w:hAnsi="宋体" w:cs="宋体" w:eastAsia="宋体" w:hint="default"/>
                <w:sz w:val="21"/>
                <w:szCs w:val="21"/>
              </w:rPr>
            </w:pPr>
            <w:r>
              <w:rPr>
                <w:rFonts w:ascii="宋体"/>
                <w:sz w:val="21"/>
              </w:rPr>
              <w:t>194,781,133</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-4,360,000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194,781,133</w:t>
            </w:r>
            <w:r>
              <w:rPr>
                <w:rFonts w:ascii="宋体"/>
                <w:sz w:val="21"/>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72" w:lineRule="exact"/>
              <w:ind w:right="0"/>
              <w:jc w:val="center"/>
              <w:rPr>
                <w:rFonts w:ascii="宋体" w:hAnsi="宋体" w:cs="宋体" w:eastAsia="宋体" w:hint="default"/>
                <w:sz w:val="21"/>
                <w:szCs w:val="21"/>
              </w:rPr>
            </w:pPr>
            <w:r>
              <w:rPr>
                <w:rFonts w:ascii="宋体"/>
                <w:sz w:val="21"/>
              </w:rPr>
              <w:t>61,590,000</w:t>
            </w:r>
          </w:p>
          <w:p>
            <w:pPr>
              <w:pStyle w:val="TableParagraph"/>
              <w:spacing w:line="272" w:lineRule="exact" w:before="26"/>
              <w:ind w:left="61" w:right="58" w:hanging="1"/>
              <w:jc w:val="center"/>
              <w:rPr>
                <w:rFonts w:ascii="宋体" w:hAnsi="宋体" w:cs="宋体" w:eastAsia="宋体" w:hint="default"/>
                <w:sz w:val="21"/>
                <w:szCs w:val="21"/>
              </w:rPr>
            </w:pPr>
            <w:r>
              <w:rPr>
                <w:rFonts w:ascii="宋体" w:hAnsi="宋体" w:cs="宋体" w:eastAsia="宋体" w:hint="default"/>
                <w:sz w:val="21"/>
                <w:szCs w:val="21"/>
              </w:rPr>
              <w:t>冻结 133,191,133</w:t>
            </w:r>
          </w:p>
        </w:tc>
      </w:tr>
      <w:tr>
        <w:trPr>
          <w:trHeight w:val="287"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耿国华</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1.05</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4,102,620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-947,380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4,102,620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杨成社</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0.64</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2,500,000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刘栩</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0.54</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2,100,921</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周汀财</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0.39</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1,536,080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玄京花</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0.33</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1,286,000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上海锦彬投资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非国有法人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 w:right="0"/>
              <w:jc w:val="center"/>
              <w:rPr>
                <w:rFonts w:ascii="宋体" w:hAnsi="宋体" w:cs="宋体" w:eastAsia="宋体" w:hint="default"/>
                <w:sz w:val="21"/>
                <w:szCs w:val="21"/>
              </w:rPr>
            </w:pPr>
            <w:r>
              <w:rPr>
                <w:rFonts w:ascii="宋体"/>
                <w:sz w:val="21"/>
              </w:rPr>
              <w:t>0.32</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2" w:right="0"/>
              <w:jc w:val="left"/>
              <w:rPr>
                <w:rFonts w:ascii="宋体" w:hAnsi="宋体" w:cs="宋体" w:eastAsia="宋体" w:hint="default"/>
                <w:sz w:val="21"/>
                <w:szCs w:val="21"/>
              </w:rPr>
            </w:pPr>
            <w:r>
              <w:rPr>
                <w:rFonts w:ascii="宋体"/>
                <w:sz w:val="21"/>
              </w:rPr>
              <w:t>1,243,457</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-287,140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1,243,457</w:t>
            </w:r>
            <w:r>
              <w:rPr>
                <w:rFonts w:ascii="宋体"/>
                <w:sz w:val="21"/>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王素萍</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0.30</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1,170,000</w:t>
            </w:r>
          </w:p>
        </w:tc>
        <w:tc>
          <w:tcPr>
            <w:tcW w:w="1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950,500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普恩吉贸易</w:t>
            </w:r>
          </w:p>
          <w:p>
            <w:pPr>
              <w:pStyle w:val="TableParagraph"/>
              <w:spacing w:line="272" w:lineRule="exact" w:before="26"/>
              <w:ind w:left="100" w:right="131"/>
              <w:jc w:val="left"/>
              <w:rPr>
                <w:rFonts w:ascii="宋体" w:hAnsi="宋体" w:cs="宋体" w:eastAsia="宋体" w:hint="default"/>
                <w:sz w:val="21"/>
                <w:szCs w:val="21"/>
              </w:rPr>
            </w:pPr>
            <w:r>
              <w:rPr>
                <w:rFonts w:ascii="宋体" w:hAnsi="宋体" w:cs="宋体" w:eastAsia="宋体" w:hint="default"/>
                <w:sz w:val="21"/>
                <w:szCs w:val="21"/>
              </w:rPr>
              <w:t>（北京）有限 公司</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7" w:right="115" w:firstLine="314"/>
              <w:jc w:val="left"/>
              <w:rPr>
                <w:rFonts w:ascii="宋体" w:hAnsi="宋体" w:cs="宋体" w:eastAsia="宋体" w:hint="default"/>
                <w:sz w:val="21"/>
                <w:szCs w:val="21"/>
              </w:rPr>
            </w:pPr>
            <w:r>
              <w:rPr>
                <w:rFonts w:ascii="宋体" w:hAnsi="宋体" w:cs="宋体" w:eastAsia="宋体" w:hint="default"/>
                <w:sz w:val="21"/>
                <w:szCs w:val="21"/>
              </w:rPr>
              <w:t>境内 非国有法人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 w:right="0"/>
              <w:jc w:val="center"/>
              <w:rPr>
                <w:rFonts w:ascii="宋体" w:hAnsi="宋体" w:cs="宋体" w:eastAsia="宋体" w:hint="default"/>
                <w:sz w:val="21"/>
                <w:szCs w:val="21"/>
              </w:rPr>
            </w:pPr>
            <w:r>
              <w:rPr>
                <w:rFonts w:ascii="宋体"/>
                <w:sz w:val="21"/>
              </w:rPr>
              <w:t>0.23</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22" w:right="0"/>
              <w:jc w:val="left"/>
              <w:rPr>
                <w:rFonts w:ascii="宋体" w:hAnsi="宋体" w:cs="宋体" w:eastAsia="宋体" w:hint="default"/>
                <w:sz w:val="21"/>
                <w:szCs w:val="21"/>
              </w:rPr>
            </w:pPr>
            <w:r>
              <w:rPr>
                <w:rFonts w:ascii="宋体"/>
                <w:sz w:val="21"/>
              </w:rPr>
              <w:t>880,000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339,165</w:t>
            </w:r>
          </w:p>
        </w:tc>
        <w:tc>
          <w:tcPr>
            <w:tcW w:w="1500"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上海灵犀房地</w:t>
            </w:r>
          </w:p>
          <w:p>
            <w:pPr>
              <w:pStyle w:val="TableParagraph"/>
              <w:spacing w:line="272" w:lineRule="exact" w:before="26"/>
              <w:ind w:left="100" w:right="131"/>
              <w:jc w:val="left"/>
              <w:rPr>
                <w:rFonts w:ascii="宋体" w:hAnsi="宋体" w:cs="宋体" w:eastAsia="宋体" w:hint="default"/>
                <w:sz w:val="21"/>
                <w:szCs w:val="21"/>
              </w:rPr>
            </w:pPr>
            <w:r>
              <w:rPr>
                <w:rFonts w:ascii="宋体" w:hAnsi="宋体" w:cs="宋体" w:eastAsia="宋体" w:hint="default"/>
                <w:sz w:val="21"/>
                <w:szCs w:val="21"/>
              </w:rPr>
              <w:t>产经纪有限公 司</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7" w:right="115" w:firstLine="314"/>
              <w:jc w:val="left"/>
              <w:rPr>
                <w:rFonts w:ascii="宋体" w:hAnsi="宋体" w:cs="宋体" w:eastAsia="宋体" w:hint="default"/>
                <w:sz w:val="21"/>
                <w:szCs w:val="21"/>
              </w:rPr>
            </w:pPr>
            <w:r>
              <w:rPr>
                <w:rFonts w:ascii="宋体" w:hAnsi="宋体" w:cs="宋体" w:eastAsia="宋体" w:hint="default"/>
                <w:sz w:val="21"/>
                <w:szCs w:val="21"/>
              </w:rPr>
              <w:t>境内 非国有法人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 w:right="0"/>
              <w:jc w:val="center"/>
              <w:rPr>
                <w:rFonts w:ascii="宋体" w:hAnsi="宋体" w:cs="宋体" w:eastAsia="宋体" w:hint="default"/>
                <w:sz w:val="21"/>
                <w:szCs w:val="21"/>
              </w:rPr>
            </w:pPr>
            <w:r>
              <w:rPr>
                <w:rFonts w:ascii="宋体"/>
                <w:sz w:val="21"/>
              </w:rPr>
              <w:t>0.21</w:t>
            </w:r>
          </w:p>
        </w:tc>
        <w:tc>
          <w:tcPr>
            <w:tcW w:w="14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22" w:right="0"/>
              <w:jc w:val="left"/>
              <w:rPr>
                <w:rFonts w:ascii="宋体" w:hAnsi="宋体" w:cs="宋体" w:eastAsia="宋体" w:hint="default"/>
                <w:sz w:val="21"/>
                <w:szCs w:val="21"/>
              </w:rPr>
            </w:pPr>
            <w:r>
              <w:rPr>
                <w:rFonts w:ascii="宋体"/>
                <w:sz w:val="21"/>
              </w:rPr>
              <w:t>832,400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-167,600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812,400</w:t>
            </w:r>
            <w:r>
              <w:rPr>
                <w:rFonts w:ascii="宋体"/>
                <w:sz w:val="21"/>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持有无限售条件股份的数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量</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8"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刘栩</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9" w:right="0"/>
              <w:jc w:val="left"/>
              <w:rPr>
                <w:rFonts w:ascii="宋体" w:hAnsi="宋体" w:cs="宋体" w:eastAsia="宋体" w:hint="default"/>
                <w:sz w:val="21"/>
                <w:szCs w:val="21"/>
              </w:rPr>
            </w:pPr>
            <w:r>
              <w:rPr>
                <w:rFonts w:ascii="宋体"/>
                <w:sz w:val="21"/>
              </w:rPr>
              <w:t>2,100,921</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周汀财</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9" w:right="0"/>
              <w:jc w:val="left"/>
              <w:rPr>
                <w:rFonts w:ascii="宋体" w:hAnsi="宋体" w:cs="宋体" w:eastAsia="宋体" w:hint="default"/>
                <w:sz w:val="21"/>
                <w:szCs w:val="21"/>
              </w:rPr>
            </w:pPr>
            <w:r>
              <w:rPr>
                <w:rFonts w:ascii="宋体"/>
                <w:sz w:val="21"/>
              </w:rPr>
              <w:t>1,536,080</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玄京花</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9" w:right="0"/>
              <w:jc w:val="left"/>
              <w:rPr>
                <w:rFonts w:ascii="宋体" w:hAnsi="宋体" w:cs="宋体" w:eastAsia="宋体" w:hint="default"/>
                <w:sz w:val="21"/>
                <w:szCs w:val="21"/>
              </w:rPr>
            </w:pPr>
            <w:r>
              <w:rPr>
                <w:rFonts w:ascii="宋体"/>
                <w:sz w:val="21"/>
              </w:rPr>
              <w:t>1,286,000</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普恩吉贸易（北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880,000</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郭菁慧</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676,409</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陈荣法</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615,600</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肖玉萍</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593,700</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王利琴</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573,000</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张宏</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532,950</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龚琴</w:t>
            </w:r>
          </w:p>
        </w:tc>
        <w:tc>
          <w:tcPr>
            <w:tcW w:w="27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482,078</w:t>
            </w:r>
          </w:p>
        </w:tc>
        <w:tc>
          <w:tcPr>
            <w:tcW w:w="47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3" w:hRule="exact"/>
        </w:trPr>
        <w:tc>
          <w:tcPr>
            <w:tcW w:w="1808" w:type="dxa"/>
            <w:gridSpan w:val="2"/>
            <w:tcBorders>
              <w:top w:val="single" w:sz="6" w:space="0" w:color="000000"/>
              <w:left w:val="single" w:sz="6" w:space="0" w:color="000000"/>
              <w:bottom w:val="single" w:sz="5"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w:t>
            </w:r>
          </w:p>
          <w:p>
            <w:pPr>
              <w:pStyle w:val="TableParagraph"/>
              <w:spacing w:line="272" w:lineRule="exact" w:before="26"/>
              <w:ind w:left="100" w:right="221"/>
              <w:jc w:val="left"/>
              <w:rPr>
                <w:rFonts w:ascii="宋体" w:hAnsi="宋体" w:cs="宋体" w:eastAsia="宋体" w:hint="default"/>
                <w:sz w:val="21"/>
                <w:szCs w:val="21"/>
              </w:rPr>
            </w:pPr>
            <w:r>
              <w:rPr>
                <w:rFonts w:ascii="宋体" w:hAnsi="宋体" w:cs="宋体" w:eastAsia="宋体" w:hint="default"/>
                <w:sz w:val="21"/>
                <w:szCs w:val="21"/>
              </w:rPr>
              <w:t>系或一致行动的 说明</w:t>
            </w:r>
          </w:p>
        </w:tc>
        <w:tc>
          <w:tcPr>
            <w:tcW w:w="7492" w:type="dxa"/>
            <w:gridSpan w:val="7"/>
            <w:tcBorders>
              <w:top w:val="single" w:sz="6" w:space="0" w:color="000000"/>
              <w:left w:val="single" w:sz="6" w:space="0" w:color="000000"/>
              <w:bottom w:val="single" w:sz="5"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公司控股股东与上述股东之间不存在关联关系或属于《上市公司股东持股变动信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息披露管理办法》规定的一致行动人，公司未知其他股东之间是否存在关联关系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或是否为一致行动人。</w:t>
            </w:r>
          </w:p>
        </w:tc>
      </w:tr>
    </w:tbl>
    <w:p>
      <w:pPr>
        <w:spacing w:line="240" w:lineRule="auto" w:before="5"/>
        <w:rPr>
          <w:rFonts w:ascii="宋体" w:hAnsi="宋体" w:cs="宋体" w:eastAsia="宋体" w:hint="default"/>
          <w:sz w:val="15"/>
          <w:szCs w:val="15"/>
        </w:rPr>
      </w:pPr>
    </w:p>
    <w:p>
      <w:pPr>
        <w:pStyle w:val="BodyText"/>
        <w:spacing w:line="274" w:lineRule="exact" w:before="35"/>
        <w:ind w:right="171"/>
        <w:jc w:val="left"/>
      </w:pPr>
      <w:r>
        <w:rPr/>
        <w:t>前十名有限售条件股东持股数量及限售条件</w:t>
      </w:r>
    </w:p>
    <w:p>
      <w:pPr>
        <w:pStyle w:val="BodyText"/>
        <w:spacing w:line="274" w:lineRule="exact"/>
        <w:ind w:left="0" w:right="179"/>
        <w:jc w:val="right"/>
      </w:pPr>
      <w:r>
        <w:rPr/>
        <w:pict>
          <v:group style="position:absolute;margin-left:353.519989pt;margin-top:71.972107pt;width:.1pt;height:13.65pt;mso-position-horizontal-relative:page;mso-position-vertical-relative:paragraph;z-index:-509560" coordorigin="7070,1439" coordsize="2,273">
            <v:shape style="position:absolute;left:7070;top:1439;width:2;height:273" coordorigin="7070,1439" coordsize="0,273" path="m7070,1439l7070,1712e" filled="false" stroked="true" strokeweight=".48pt" strokecolor="#000000">
              <v:path arrowok="t"/>
            </v:shape>
            <w10:wrap type="none"/>
          </v:group>
        </w:pict>
      </w: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32"/>
        <w:gridCol w:w="1907"/>
        <w:gridCol w:w="1427"/>
        <w:gridCol w:w="1716"/>
        <w:gridCol w:w="1811"/>
        <w:gridCol w:w="1908"/>
      </w:tblGrid>
      <w:tr>
        <w:trPr>
          <w:trHeight w:val="287" w:hRule="exact"/>
        </w:trPr>
        <w:tc>
          <w:tcPr>
            <w:tcW w:w="532" w:type="dxa"/>
            <w:vMerge w:val="restart"/>
            <w:tcBorders>
              <w:top w:val="single" w:sz="6" w:space="0" w:color="000000"/>
              <w:left w:val="single" w:sz="6" w:space="0" w:color="000000"/>
              <w:right w:val="single" w:sz="6" w:space="0" w:color="000000"/>
            </w:tcBorders>
          </w:tcPr>
          <w:p>
            <w:pPr>
              <w:pStyle w:val="TableParagraph"/>
              <w:spacing w:line="272" w:lineRule="exact" w:before="129"/>
              <w:ind w:left="153" w:right="151"/>
              <w:jc w:val="left"/>
              <w:rPr>
                <w:rFonts w:ascii="宋体" w:hAnsi="宋体" w:cs="宋体" w:eastAsia="宋体" w:hint="default"/>
                <w:sz w:val="21"/>
                <w:szCs w:val="21"/>
              </w:rPr>
            </w:pPr>
            <w:r>
              <w:rPr>
                <w:rFonts w:ascii="宋体" w:hAnsi="宋体" w:cs="宋体" w:eastAsia="宋体" w:hint="default"/>
                <w:sz w:val="21"/>
                <w:szCs w:val="21"/>
              </w:rPr>
              <w:t>序 号</w:t>
            </w:r>
          </w:p>
        </w:tc>
        <w:tc>
          <w:tcPr>
            <w:tcW w:w="1907" w:type="dxa"/>
            <w:vMerge w:val="restart"/>
            <w:tcBorders>
              <w:top w:val="single" w:sz="6" w:space="0" w:color="000000"/>
              <w:left w:val="single" w:sz="6" w:space="0" w:color="000000"/>
              <w:right w:val="single" w:sz="6" w:space="0" w:color="000000"/>
            </w:tcBorders>
          </w:tcPr>
          <w:p>
            <w:pPr>
              <w:pStyle w:val="TableParagraph"/>
              <w:spacing w:line="272" w:lineRule="exact" w:before="129"/>
              <w:ind w:left="841" w:right="104" w:hanging="736"/>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27" w:type="dxa"/>
            <w:vMerge w:val="restart"/>
            <w:tcBorders>
              <w:top w:val="single" w:sz="6" w:space="0" w:color="000000"/>
              <w:left w:val="single" w:sz="6" w:space="0" w:color="000000"/>
              <w:right w:val="single" w:sz="6" w:space="0" w:color="000000"/>
            </w:tcBorders>
          </w:tcPr>
          <w:p>
            <w:pPr>
              <w:pStyle w:val="TableParagraph"/>
              <w:spacing w:line="239" w:lineRule="exact"/>
              <w:ind w:left="181"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2" w:lineRule="exact" w:before="26"/>
              <w:ind w:left="495" w:right="179" w:hanging="315"/>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5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90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9" w:hRule="exact"/>
        </w:trPr>
        <w:tc>
          <w:tcPr>
            <w:tcW w:w="532" w:type="dxa"/>
            <w:vMerge/>
            <w:tcBorders>
              <w:left w:val="single" w:sz="6" w:space="0" w:color="000000"/>
              <w:bottom w:val="single" w:sz="6" w:space="0" w:color="000000"/>
              <w:right w:val="single" w:sz="6" w:space="0" w:color="000000"/>
            </w:tcBorders>
          </w:tcPr>
          <w:p>
            <w:pPr/>
          </w:p>
        </w:tc>
        <w:tc>
          <w:tcPr>
            <w:tcW w:w="1907" w:type="dxa"/>
            <w:vMerge/>
            <w:tcBorders>
              <w:left w:val="single" w:sz="6" w:space="0" w:color="000000"/>
              <w:bottom w:val="single" w:sz="6" w:space="0" w:color="000000"/>
              <w:right w:val="single" w:sz="6" w:space="0" w:color="000000"/>
            </w:tcBorders>
          </w:tcPr>
          <w:p>
            <w:pPr/>
          </w:p>
        </w:tc>
        <w:tc>
          <w:tcPr>
            <w:tcW w:w="1427" w:type="dxa"/>
            <w:vMerge/>
            <w:tcBorders>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5"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908" w:type="dxa"/>
            <w:vMerge/>
            <w:tcBorders>
              <w:left w:val="single" w:sz="6" w:space="0" w:color="000000"/>
              <w:bottom w:val="single" w:sz="6" w:space="0" w:color="000000"/>
              <w:right w:val="single" w:sz="6" w:space="0" w:color="000000"/>
            </w:tcBorders>
          </w:tcPr>
          <w:p>
            <w:pPr/>
          </w:p>
        </w:tc>
      </w:tr>
      <w:tr>
        <w:trPr>
          <w:trHeight w:val="840" w:hRule="exact"/>
        </w:trPr>
        <w:tc>
          <w:tcPr>
            <w:tcW w:w="5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w:t>
            </w:r>
          </w:p>
        </w:tc>
        <w:tc>
          <w:tcPr>
            <w:tcW w:w="1907" w:type="dxa"/>
            <w:tcBorders>
              <w:top w:val="single" w:sz="6" w:space="0" w:color="000000"/>
              <w:left w:val="single" w:sz="6" w:space="0" w:color="000000"/>
              <w:bottom w:val="nil" w:sz="6" w:space="0" w:color="auto"/>
              <w:right w:val="single" w:sz="6" w:space="0" w:color="000000"/>
            </w:tcBorders>
          </w:tcPr>
          <w:p>
            <w:pPr>
              <w:pStyle w:val="TableParagraph"/>
              <w:spacing w:line="272" w:lineRule="exact" w:before="129"/>
              <w:ind w:left="100" w:right="109"/>
              <w:jc w:val="left"/>
              <w:rPr>
                <w:rFonts w:ascii="宋体" w:hAnsi="宋体" w:cs="宋体" w:eastAsia="宋体" w:hint="default"/>
                <w:sz w:val="21"/>
                <w:szCs w:val="21"/>
              </w:rPr>
            </w:pPr>
            <w:r>
              <w:rPr>
                <w:rFonts w:ascii="宋体" w:hAnsi="宋体" w:cs="宋体" w:eastAsia="宋体" w:hint="default"/>
                <w:sz w:val="21"/>
                <w:szCs w:val="21"/>
              </w:rPr>
              <w:t>黑龙江黑化集团有 限公司</w:t>
            </w:r>
          </w:p>
        </w:tc>
        <w:tc>
          <w:tcPr>
            <w:tcW w:w="14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7" w:right="0"/>
              <w:jc w:val="left"/>
              <w:rPr>
                <w:rFonts w:ascii="宋体" w:hAnsi="宋体" w:cs="宋体" w:eastAsia="宋体" w:hint="default"/>
                <w:sz w:val="21"/>
                <w:szCs w:val="21"/>
              </w:rPr>
            </w:pPr>
            <w:r>
              <w:rPr>
                <w:rFonts w:ascii="宋体"/>
                <w:sz w:val="21"/>
              </w:rPr>
              <w:t>194,781,133</w:t>
            </w:r>
          </w:p>
        </w:tc>
        <w:tc>
          <w:tcPr>
            <w:tcW w:w="3527"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2250" w:val="left" w:leader="none"/>
              </w:tabs>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tab/>
              <w:t>194,781,133</w:t>
            </w:r>
          </w:p>
        </w:tc>
        <w:tc>
          <w:tcPr>
            <w:tcW w:w="1908" w:type="dxa"/>
            <w:tcBorders>
              <w:top w:val="single" w:sz="6" w:space="0" w:color="000000"/>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限售条件详见公司</w:t>
            </w:r>
          </w:p>
          <w:p>
            <w:pPr>
              <w:pStyle w:val="TableParagraph"/>
              <w:spacing w:line="272" w:lineRule="exact" w:before="26"/>
              <w:ind w:left="100" w:right="110"/>
              <w:jc w:val="left"/>
              <w:rPr>
                <w:rFonts w:ascii="宋体" w:hAnsi="宋体" w:cs="宋体" w:eastAsia="宋体" w:hint="default"/>
                <w:sz w:val="21"/>
                <w:szCs w:val="21"/>
              </w:rPr>
            </w:pPr>
            <w:r>
              <w:rPr>
                <w:rFonts w:ascii="宋体" w:hAnsi="宋体" w:cs="宋体" w:eastAsia="宋体" w:hint="default"/>
                <w:sz w:val="21"/>
                <w:szCs w:val="21"/>
              </w:rPr>
              <w:t>股改说明书承诺事 项履行相关条款。</w:t>
            </w:r>
          </w:p>
        </w:tc>
      </w:tr>
    </w:tbl>
    <w:p>
      <w:pPr>
        <w:spacing w:after="0" w:line="272"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532"/>
        <w:gridCol w:w="1907"/>
        <w:gridCol w:w="1427"/>
        <w:gridCol w:w="2105"/>
        <w:gridCol w:w="1422"/>
        <w:gridCol w:w="1908"/>
      </w:tblGrid>
      <w:tr>
        <w:trPr>
          <w:trHeight w:val="278" w:hRule="exact"/>
        </w:trPr>
        <w:tc>
          <w:tcPr>
            <w:tcW w:w="532" w:type="dxa"/>
            <w:tcBorders>
              <w:top w:val="single" w:sz="6" w:space="0" w:color="000000"/>
              <w:left w:val="single" w:sz="6" w:space="0" w:color="000000"/>
              <w:bottom w:val="nil" w:sz="6" w:space="0" w:color="auto"/>
              <w:right w:val="single" w:sz="6" w:space="0" w:color="000000"/>
            </w:tcBorders>
          </w:tcPr>
          <w:p>
            <w:pPr/>
          </w:p>
        </w:tc>
        <w:tc>
          <w:tcPr>
            <w:tcW w:w="1907" w:type="dxa"/>
            <w:tcBorders>
              <w:top w:val="single" w:sz="6" w:space="0" w:color="000000"/>
              <w:left w:val="single" w:sz="6" w:space="0" w:color="000000"/>
              <w:bottom w:val="nil" w:sz="6" w:space="0" w:color="auto"/>
              <w:right w:val="single" w:sz="6" w:space="0" w:color="000000"/>
            </w:tcBorders>
          </w:tcPr>
          <w:p>
            <w:pPr/>
          </w:p>
        </w:tc>
        <w:tc>
          <w:tcPr>
            <w:tcW w:w="1427" w:type="dxa"/>
            <w:tcBorders>
              <w:top w:val="single" w:sz="6" w:space="0" w:color="000000"/>
              <w:left w:val="single" w:sz="6" w:space="0" w:color="000000"/>
              <w:bottom w:val="nil" w:sz="6" w:space="0" w:color="auto"/>
              <w:right w:val="single" w:sz="6" w:space="0" w:color="000000"/>
            </w:tcBorders>
          </w:tcPr>
          <w:p>
            <w:pPr/>
          </w:p>
        </w:tc>
        <w:tc>
          <w:tcPr>
            <w:tcW w:w="2105" w:type="dxa"/>
            <w:tcBorders>
              <w:top w:val="single" w:sz="6" w:space="0" w:color="000000"/>
              <w:left w:val="single" w:sz="6" w:space="0" w:color="000000"/>
              <w:bottom w:val="nil" w:sz="6" w:space="0" w:color="auto"/>
              <w:right w:val="nil" w:sz="6" w:space="0" w:color="auto"/>
            </w:tcBorders>
          </w:tcPr>
          <w:p>
            <w:pPr/>
          </w:p>
        </w:tc>
        <w:tc>
          <w:tcPr>
            <w:tcW w:w="1422" w:type="dxa"/>
            <w:tcBorders>
              <w:top w:val="single" w:sz="6" w:space="0" w:color="000000"/>
              <w:left w:val="nil" w:sz="6" w:space="0" w:color="auto"/>
              <w:bottom w:val="nil" w:sz="6" w:space="0" w:color="auto"/>
              <w:right w:val="single" w:sz="6" w:space="0" w:color="000000"/>
            </w:tcBorders>
          </w:tcPr>
          <w:p>
            <w:pPr/>
          </w:p>
        </w:tc>
        <w:tc>
          <w:tcPr>
            <w:tcW w:w="19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限售条件详见公司</w:t>
            </w:r>
          </w:p>
        </w:tc>
      </w:tr>
      <w:tr>
        <w:trPr>
          <w:trHeight w:val="273" w:hRule="exact"/>
        </w:trPr>
        <w:tc>
          <w:tcPr>
            <w:tcW w:w="53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c>
          <w:tcPr>
            <w:tcW w:w="19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耿国华</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4,102,620</w:t>
            </w:r>
          </w:p>
        </w:tc>
        <w:tc>
          <w:tcPr>
            <w:tcW w:w="2105" w:type="dxa"/>
            <w:tcBorders>
              <w:top w:val="nil" w:sz="6" w:space="0" w:color="auto"/>
              <w:left w:val="single" w:sz="6" w:space="0" w:color="000000"/>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2" w:type="dxa"/>
            <w:tcBorders>
              <w:top w:val="nil" w:sz="6" w:space="0" w:color="auto"/>
              <w:left w:val="nil" w:sz="6" w:space="0" w:color="auto"/>
              <w:bottom w:val="nil" w:sz="6" w:space="0" w:color="auto"/>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4,102,620</w:t>
            </w:r>
          </w:p>
        </w:tc>
        <w:tc>
          <w:tcPr>
            <w:tcW w:w="1908"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10"/>
              <w:jc w:val="right"/>
              <w:rPr>
                <w:rFonts w:ascii="宋体" w:hAnsi="宋体" w:cs="宋体" w:eastAsia="宋体" w:hint="default"/>
                <w:sz w:val="21"/>
                <w:szCs w:val="21"/>
              </w:rPr>
            </w:pPr>
            <w:r>
              <w:rPr>
                <w:rFonts w:ascii="宋体" w:hAnsi="宋体" w:cs="宋体" w:eastAsia="宋体" w:hint="default"/>
                <w:sz w:val="21"/>
                <w:szCs w:val="21"/>
              </w:rPr>
              <w:t>股改说明书承诺事</w:t>
            </w:r>
          </w:p>
        </w:tc>
      </w:tr>
      <w:tr>
        <w:trPr>
          <w:trHeight w:val="280" w:hRule="exact"/>
        </w:trPr>
        <w:tc>
          <w:tcPr>
            <w:tcW w:w="532" w:type="dxa"/>
            <w:tcBorders>
              <w:top w:val="nil" w:sz="6" w:space="0" w:color="auto"/>
              <w:left w:val="single" w:sz="6" w:space="0" w:color="000000"/>
              <w:bottom w:val="single" w:sz="6" w:space="0" w:color="000000"/>
              <w:right w:val="single" w:sz="6" w:space="0" w:color="000000"/>
            </w:tcBorders>
          </w:tcPr>
          <w:p>
            <w:pPr/>
          </w:p>
        </w:tc>
        <w:tc>
          <w:tcPr>
            <w:tcW w:w="1907" w:type="dxa"/>
            <w:tcBorders>
              <w:top w:val="nil" w:sz="6" w:space="0" w:color="auto"/>
              <w:left w:val="single" w:sz="6" w:space="0" w:color="000000"/>
              <w:bottom w:val="single" w:sz="6" w:space="0" w:color="000000"/>
              <w:right w:val="single" w:sz="6" w:space="0" w:color="000000"/>
            </w:tcBorders>
          </w:tcPr>
          <w:p>
            <w:pPr/>
          </w:p>
        </w:tc>
        <w:tc>
          <w:tcPr>
            <w:tcW w:w="1427" w:type="dxa"/>
            <w:tcBorders>
              <w:top w:val="nil" w:sz="6" w:space="0" w:color="auto"/>
              <w:left w:val="single" w:sz="6" w:space="0" w:color="000000"/>
              <w:bottom w:val="single" w:sz="6" w:space="0" w:color="000000"/>
              <w:right w:val="single" w:sz="6" w:space="0" w:color="000000"/>
            </w:tcBorders>
          </w:tcPr>
          <w:p>
            <w:pPr/>
          </w:p>
        </w:tc>
        <w:tc>
          <w:tcPr>
            <w:tcW w:w="2105" w:type="dxa"/>
            <w:tcBorders>
              <w:top w:val="nil" w:sz="6" w:space="0" w:color="auto"/>
              <w:left w:val="single" w:sz="6" w:space="0" w:color="000000"/>
              <w:bottom w:val="single" w:sz="6" w:space="0" w:color="000000"/>
              <w:right w:val="nil" w:sz="6" w:space="0" w:color="auto"/>
            </w:tcBorders>
          </w:tcPr>
          <w:p>
            <w:pPr/>
          </w:p>
        </w:tc>
        <w:tc>
          <w:tcPr>
            <w:tcW w:w="1422" w:type="dxa"/>
            <w:tcBorders>
              <w:top w:val="nil" w:sz="6" w:space="0" w:color="auto"/>
              <w:left w:val="nil" w:sz="6" w:space="0" w:color="auto"/>
              <w:bottom w:val="single" w:sz="6" w:space="0" w:color="000000"/>
              <w:right w:val="single" w:sz="6" w:space="0" w:color="000000"/>
            </w:tcBorders>
          </w:tcPr>
          <w:p>
            <w:pPr/>
          </w:p>
        </w:tc>
        <w:tc>
          <w:tcPr>
            <w:tcW w:w="190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项履行相关条款。</w:t>
            </w:r>
          </w:p>
        </w:tc>
      </w:tr>
      <w:tr>
        <w:trPr>
          <w:trHeight w:val="278" w:hRule="exact"/>
        </w:trPr>
        <w:tc>
          <w:tcPr>
            <w:tcW w:w="532" w:type="dxa"/>
            <w:tcBorders>
              <w:top w:val="single" w:sz="6" w:space="0" w:color="000000"/>
              <w:left w:val="single" w:sz="6" w:space="0" w:color="000000"/>
              <w:bottom w:val="nil" w:sz="6" w:space="0" w:color="auto"/>
              <w:right w:val="single" w:sz="6" w:space="0" w:color="000000"/>
            </w:tcBorders>
          </w:tcPr>
          <w:p>
            <w:pPr/>
          </w:p>
        </w:tc>
        <w:tc>
          <w:tcPr>
            <w:tcW w:w="1907" w:type="dxa"/>
            <w:tcBorders>
              <w:top w:val="single" w:sz="6" w:space="0" w:color="000000"/>
              <w:left w:val="single" w:sz="6" w:space="0" w:color="000000"/>
              <w:bottom w:val="nil" w:sz="6" w:space="0" w:color="auto"/>
              <w:right w:val="single" w:sz="6" w:space="0" w:color="000000"/>
            </w:tcBorders>
          </w:tcPr>
          <w:p>
            <w:pPr/>
          </w:p>
        </w:tc>
        <w:tc>
          <w:tcPr>
            <w:tcW w:w="1427" w:type="dxa"/>
            <w:tcBorders>
              <w:top w:val="single" w:sz="6" w:space="0" w:color="000000"/>
              <w:left w:val="single" w:sz="6" w:space="0" w:color="000000"/>
              <w:bottom w:val="nil" w:sz="6" w:space="0" w:color="auto"/>
              <w:right w:val="single" w:sz="6" w:space="0" w:color="000000"/>
            </w:tcBorders>
          </w:tcPr>
          <w:p>
            <w:pPr/>
          </w:p>
        </w:tc>
        <w:tc>
          <w:tcPr>
            <w:tcW w:w="2105" w:type="dxa"/>
            <w:tcBorders>
              <w:top w:val="single" w:sz="6" w:space="0" w:color="000000"/>
              <w:left w:val="single" w:sz="6" w:space="0" w:color="000000"/>
              <w:bottom w:val="nil" w:sz="6" w:space="0" w:color="auto"/>
              <w:right w:val="nil" w:sz="6" w:space="0" w:color="auto"/>
            </w:tcBorders>
          </w:tcPr>
          <w:p>
            <w:pPr/>
          </w:p>
        </w:tc>
        <w:tc>
          <w:tcPr>
            <w:tcW w:w="1422" w:type="dxa"/>
            <w:tcBorders>
              <w:top w:val="single" w:sz="6" w:space="0" w:color="000000"/>
              <w:left w:val="nil" w:sz="6" w:space="0" w:color="auto"/>
              <w:bottom w:val="nil" w:sz="6" w:space="0" w:color="auto"/>
              <w:right w:val="single" w:sz="6" w:space="0" w:color="000000"/>
            </w:tcBorders>
          </w:tcPr>
          <w:p>
            <w:pPr/>
          </w:p>
        </w:tc>
        <w:tc>
          <w:tcPr>
            <w:tcW w:w="19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限售条件详见公司</w:t>
            </w:r>
          </w:p>
        </w:tc>
      </w:tr>
      <w:tr>
        <w:trPr>
          <w:trHeight w:val="273" w:hRule="exact"/>
        </w:trPr>
        <w:tc>
          <w:tcPr>
            <w:tcW w:w="53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c>
          <w:tcPr>
            <w:tcW w:w="19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杨成社</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2,500,000</w:t>
            </w:r>
          </w:p>
        </w:tc>
        <w:tc>
          <w:tcPr>
            <w:tcW w:w="2105" w:type="dxa"/>
            <w:tcBorders>
              <w:top w:val="nil" w:sz="6" w:space="0" w:color="auto"/>
              <w:left w:val="single" w:sz="6" w:space="0" w:color="000000"/>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2" w:type="dxa"/>
            <w:tcBorders>
              <w:top w:val="nil" w:sz="6" w:space="0" w:color="auto"/>
              <w:left w:val="nil" w:sz="6" w:space="0" w:color="auto"/>
              <w:bottom w:val="nil" w:sz="6" w:space="0" w:color="auto"/>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2,500,000</w:t>
            </w:r>
          </w:p>
        </w:tc>
        <w:tc>
          <w:tcPr>
            <w:tcW w:w="1908"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10"/>
              <w:jc w:val="right"/>
              <w:rPr>
                <w:rFonts w:ascii="宋体" w:hAnsi="宋体" w:cs="宋体" w:eastAsia="宋体" w:hint="default"/>
                <w:sz w:val="21"/>
                <w:szCs w:val="21"/>
              </w:rPr>
            </w:pPr>
            <w:r>
              <w:rPr>
                <w:rFonts w:ascii="宋体" w:hAnsi="宋体" w:cs="宋体" w:eastAsia="宋体" w:hint="default"/>
                <w:sz w:val="21"/>
                <w:szCs w:val="21"/>
              </w:rPr>
              <w:t>股改说明书承诺事</w:t>
            </w:r>
          </w:p>
        </w:tc>
      </w:tr>
      <w:tr>
        <w:trPr>
          <w:trHeight w:val="281" w:hRule="exact"/>
        </w:trPr>
        <w:tc>
          <w:tcPr>
            <w:tcW w:w="532" w:type="dxa"/>
            <w:tcBorders>
              <w:top w:val="nil" w:sz="6" w:space="0" w:color="auto"/>
              <w:left w:val="single" w:sz="6" w:space="0" w:color="000000"/>
              <w:bottom w:val="single" w:sz="6" w:space="0" w:color="000000"/>
              <w:right w:val="single" w:sz="6" w:space="0" w:color="000000"/>
            </w:tcBorders>
          </w:tcPr>
          <w:p>
            <w:pPr/>
          </w:p>
        </w:tc>
        <w:tc>
          <w:tcPr>
            <w:tcW w:w="1907" w:type="dxa"/>
            <w:tcBorders>
              <w:top w:val="nil" w:sz="6" w:space="0" w:color="auto"/>
              <w:left w:val="single" w:sz="6" w:space="0" w:color="000000"/>
              <w:bottom w:val="single" w:sz="6" w:space="0" w:color="000000"/>
              <w:right w:val="single" w:sz="6" w:space="0" w:color="000000"/>
            </w:tcBorders>
          </w:tcPr>
          <w:p>
            <w:pPr/>
          </w:p>
        </w:tc>
        <w:tc>
          <w:tcPr>
            <w:tcW w:w="1427" w:type="dxa"/>
            <w:tcBorders>
              <w:top w:val="nil" w:sz="6" w:space="0" w:color="auto"/>
              <w:left w:val="single" w:sz="6" w:space="0" w:color="000000"/>
              <w:bottom w:val="single" w:sz="6" w:space="0" w:color="000000"/>
              <w:right w:val="single" w:sz="6" w:space="0" w:color="000000"/>
            </w:tcBorders>
          </w:tcPr>
          <w:p>
            <w:pPr/>
          </w:p>
        </w:tc>
        <w:tc>
          <w:tcPr>
            <w:tcW w:w="2105" w:type="dxa"/>
            <w:tcBorders>
              <w:top w:val="nil" w:sz="6" w:space="0" w:color="auto"/>
              <w:left w:val="single" w:sz="6" w:space="0" w:color="000000"/>
              <w:bottom w:val="single" w:sz="6" w:space="0" w:color="000000"/>
              <w:right w:val="nil" w:sz="6" w:space="0" w:color="auto"/>
            </w:tcBorders>
          </w:tcPr>
          <w:p>
            <w:pPr/>
          </w:p>
        </w:tc>
        <w:tc>
          <w:tcPr>
            <w:tcW w:w="1422" w:type="dxa"/>
            <w:tcBorders>
              <w:top w:val="nil" w:sz="6" w:space="0" w:color="auto"/>
              <w:left w:val="nil" w:sz="6" w:space="0" w:color="auto"/>
              <w:bottom w:val="single" w:sz="6" w:space="0" w:color="000000"/>
              <w:right w:val="single" w:sz="6" w:space="0" w:color="000000"/>
            </w:tcBorders>
          </w:tcPr>
          <w:p>
            <w:pPr/>
          </w:p>
        </w:tc>
        <w:tc>
          <w:tcPr>
            <w:tcW w:w="190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项履行相关条款。</w:t>
            </w:r>
          </w:p>
        </w:tc>
      </w:tr>
      <w:tr>
        <w:trPr>
          <w:trHeight w:val="832"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9"/>
              <w:jc w:val="left"/>
              <w:rPr>
                <w:rFonts w:ascii="宋体" w:hAnsi="宋体" w:cs="宋体" w:eastAsia="宋体" w:hint="default"/>
                <w:sz w:val="21"/>
                <w:szCs w:val="21"/>
              </w:rPr>
            </w:pPr>
            <w:r>
              <w:rPr>
                <w:rFonts w:ascii="宋体" w:hAnsi="宋体" w:cs="宋体" w:eastAsia="宋体" w:hint="default"/>
                <w:sz w:val="21"/>
                <w:szCs w:val="21"/>
              </w:rPr>
              <w:t>上海锦彬投资管理 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1,243,457</w:t>
            </w:r>
          </w:p>
        </w:tc>
        <w:tc>
          <w:tcPr>
            <w:tcW w:w="21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1,243,457</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限售条件详见公司</w:t>
            </w:r>
          </w:p>
          <w:p>
            <w:pPr>
              <w:pStyle w:val="TableParagraph"/>
              <w:spacing w:line="272" w:lineRule="exact" w:before="26"/>
              <w:ind w:left="100" w:right="111"/>
              <w:jc w:val="left"/>
              <w:rPr>
                <w:rFonts w:ascii="宋体" w:hAnsi="宋体" w:cs="宋体" w:eastAsia="宋体" w:hint="default"/>
                <w:sz w:val="21"/>
                <w:szCs w:val="21"/>
              </w:rPr>
            </w:pPr>
            <w:r>
              <w:rPr>
                <w:rFonts w:ascii="宋体" w:hAnsi="宋体" w:cs="宋体" w:eastAsia="宋体" w:hint="default"/>
                <w:sz w:val="21"/>
                <w:szCs w:val="21"/>
              </w:rPr>
              <w:t>股改说明书承诺事 项履行相关条款。</w:t>
            </w:r>
          </w:p>
        </w:tc>
      </w:tr>
      <w:tr>
        <w:trPr>
          <w:trHeight w:val="278" w:hRule="exact"/>
        </w:trPr>
        <w:tc>
          <w:tcPr>
            <w:tcW w:w="532" w:type="dxa"/>
            <w:tcBorders>
              <w:top w:val="single" w:sz="6" w:space="0" w:color="000000"/>
              <w:left w:val="single" w:sz="6" w:space="0" w:color="000000"/>
              <w:bottom w:val="nil" w:sz="6" w:space="0" w:color="auto"/>
              <w:right w:val="single" w:sz="6" w:space="0" w:color="000000"/>
            </w:tcBorders>
          </w:tcPr>
          <w:p>
            <w:pPr/>
          </w:p>
        </w:tc>
        <w:tc>
          <w:tcPr>
            <w:tcW w:w="1907" w:type="dxa"/>
            <w:tcBorders>
              <w:top w:val="single" w:sz="6" w:space="0" w:color="000000"/>
              <w:left w:val="single" w:sz="6" w:space="0" w:color="000000"/>
              <w:bottom w:val="nil" w:sz="6" w:space="0" w:color="auto"/>
              <w:right w:val="single" w:sz="6" w:space="0" w:color="000000"/>
            </w:tcBorders>
          </w:tcPr>
          <w:p>
            <w:pPr/>
          </w:p>
        </w:tc>
        <w:tc>
          <w:tcPr>
            <w:tcW w:w="1427" w:type="dxa"/>
            <w:tcBorders>
              <w:top w:val="single" w:sz="6" w:space="0" w:color="000000"/>
              <w:left w:val="single" w:sz="6" w:space="0" w:color="000000"/>
              <w:bottom w:val="nil" w:sz="6" w:space="0" w:color="auto"/>
              <w:right w:val="single" w:sz="6" w:space="0" w:color="000000"/>
            </w:tcBorders>
          </w:tcPr>
          <w:p>
            <w:pPr/>
          </w:p>
        </w:tc>
        <w:tc>
          <w:tcPr>
            <w:tcW w:w="2105" w:type="dxa"/>
            <w:tcBorders>
              <w:top w:val="single" w:sz="6" w:space="0" w:color="000000"/>
              <w:left w:val="single" w:sz="6" w:space="0" w:color="000000"/>
              <w:bottom w:val="nil" w:sz="6" w:space="0" w:color="auto"/>
              <w:right w:val="nil" w:sz="6" w:space="0" w:color="auto"/>
            </w:tcBorders>
          </w:tcPr>
          <w:p>
            <w:pPr/>
          </w:p>
        </w:tc>
        <w:tc>
          <w:tcPr>
            <w:tcW w:w="1422" w:type="dxa"/>
            <w:tcBorders>
              <w:top w:val="single" w:sz="6" w:space="0" w:color="000000"/>
              <w:left w:val="nil" w:sz="6" w:space="0" w:color="auto"/>
              <w:bottom w:val="nil" w:sz="6" w:space="0" w:color="auto"/>
              <w:right w:val="single" w:sz="6" w:space="0" w:color="000000"/>
            </w:tcBorders>
          </w:tcPr>
          <w:p>
            <w:pPr/>
          </w:p>
        </w:tc>
        <w:tc>
          <w:tcPr>
            <w:tcW w:w="19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限售条件详见公司</w:t>
            </w:r>
          </w:p>
        </w:tc>
      </w:tr>
      <w:tr>
        <w:trPr>
          <w:trHeight w:val="273" w:hRule="exact"/>
        </w:trPr>
        <w:tc>
          <w:tcPr>
            <w:tcW w:w="53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c>
          <w:tcPr>
            <w:tcW w:w="19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王素萍</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950,500</w:t>
            </w:r>
          </w:p>
        </w:tc>
        <w:tc>
          <w:tcPr>
            <w:tcW w:w="2105" w:type="dxa"/>
            <w:tcBorders>
              <w:top w:val="nil" w:sz="6" w:space="0" w:color="auto"/>
              <w:left w:val="single" w:sz="6" w:space="0" w:color="000000"/>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2" w:type="dxa"/>
            <w:tcBorders>
              <w:top w:val="nil" w:sz="6" w:space="0" w:color="auto"/>
              <w:left w:val="nil" w:sz="6" w:space="0" w:color="auto"/>
              <w:bottom w:val="nil" w:sz="6" w:space="0" w:color="auto"/>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950,500</w:t>
            </w:r>
          </w:p>
        </w:tc>
        <w:tc>
          <w:tcPr>
            <w:tcW w:w="1908"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10"/>
              <w:jc w:val="right"/>
              <w:rPr>
                <w:rFonts w:ascii="宋体" w:hAnsi="宋体" w:cs="宋体" w:eastAsia="宋体" w:hint="default"/>
                <w:sz w:val="21"/>
                <w:szCs w:val="21"/>
              </w:rPr>
            </w:pPr>
            <w:r>
              <w:rPr>
                <w:rFonts w:ascii="宋体" w:hAnsi="宋体" w:cs="宋体" w:eastAsia="宋体" w:hint="default"/>
                <w:sz w:val="21"/>
                <w:szCs w:val="21"/>
              </w:rPr>
              <w:t>股改说明书承诺事</w:t>
            </w:r>
          </w:p>
        </w:tc>
      </w:tr>
      <w:tr>
        <w:trPr>
          <w:trHeight w:val="280" w:hRule="exact"/>
        </w:trPr>
        <w:tc>
          <w:tcPr>
            <w:tcW w:w="532" w:type="dxa"/>
            <w:tcBorders>
              <w:top w:val="nil" w:sz="6" w:space="0" w:color="auto"/>
              <w:left w:val="single" w:sz="6" w:space="0" w:color="000000"/>
              <w:bottom w:val="single" w:sz="6" w:space="0" w:color="000000"/>
              <w:right w:val="single" w:sz="6" w:space="0" w:color="000000"/>
            </w:tcBorders>
          </w:tcPr>
          <w:p>
            <w:pPr/>
          </w:p>
        </w:tc>
        <w:tc>
          <w:tcPr>
            <w:tcW w:w="1907" w:type="dxa"/>
            <w:tcBorders>
              <w:top w:val="nil" w:sz="6" w:space="0" w:color="auto"/>
              <w:left w:val="single" w:sz="6" w:space="0" w:color="000000"/>
              <w:bottom w:val="single" w:sz="6" w:space="0" w:color="000000"/>
              <w:right w:val="single" w:sz="6" w:space="0" w:color="000000"/>
            </w:tcBorders>
          </w:tcPr>
          <w:p>
            <w:pPr/>
          </w:p>
        </w:tc>
        <w:tc>
          <w:tcPr>
            <w:tcW w:w="1427" w:type="dxa"/>
            <w:tcBorders>
              <w:top w:val="nil" w:sz="6" w:space="0" w:color="auto"/>
              <w:left w:val="single" w:sz="6" w:space="0" w:color="000000"/>
              <w:bottom w:val="single" w:sz="6" w:space="0" w:color="000000"/>
              <w:right w:val="single" w:sz="6" w:space="0" w:color="000000"/>
            </w:tcBorders>
          </w:tcPr>
          <w:p>
            <w:pPr/>
          </w:p>
        </w:tc>
        <w:tc>
          <w:tcPr>
            <w:tcW w:w="2105" w:type="dxa"/>
            <w:tcBorders>
              <w:top w:val="nil" w:sz="6" w:space="0" w:color="auto"/>
              <w:left w:val="single" w:sz="6" w:space="0" w:color="000000"/>
              <w:bottom w:val="single" w:sz="6" w:space="0" w:color="000000"/>
              <w:right w:val="nil" w:sz="6" w:space="0" w:color="auto"/>
            </w:tcBorders>
          </w:tcPr>
          <w:p>
            <w:pPr/>
          </w:p>
        </w:tc>
        <w:tc>
          <w:tcPr>
            <w:tcW w:w="1422" w:type="dxa"/>
            <w:tcBorders>
              <w:top w:val="nil" w:sz="6" w:space="0" w:color="auto"/>
              <w:left w:val="nil" w:sz="6" w:space="0" w:color="auto"/>
              <w:bottom w:val="single" w:sz="6" w:space="0" w:color="000000"/>
              <w:right w:val="single" w:sz="6" w:space="0" w:color="000000"/>
            </w:tcBorders>
          </w:tcPr>
          <w:p>
            <w:pPr/>
          </w:p>
        </w:tc>
        <w:tc>
          <w:tcPr>
            <w:tcW w:w="190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项履行相关条款。</w:t>
            </w:r>
          </w:p>
        </w:tc>
      </w:tr>
      <w:tr>
        <w:trPr>
          <w:trHeight w:val="833"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9"/>
              <w:jc w:val="left"/>
              <w:rPr>
                <w:rFonts w:ascii="宋体" w:hAnsi="宋体" w:cs="宋体" w:eastAsia="宋体" w:hint="default"/>
                <w:sz w:val="21"/>
                <w:szCs w:val="21"/>
              </w:rPr>
            </w:pPr>
            <w:r>
              <w:rPr>
                <w:rFonts w:ascii="宋体" w:hAnsi="宋体" w:cs="宋体" w:eastAsia="宋体" w:hint="default"/>
                <w:sz w:val="21"/>
                <w:szCs w:val="21"/>
              </w:rPr>
              <w:t>上海灵犀房地产经 纪有限公司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812,400</w:t>
            </w:r>
          </w:p>
        </w:tc>
        <w:tc>
          <w:tcPr>
            <w:tcW w:w="21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812,400</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限售条件详见公司</w:t>
            </w:r>
          </w:p>
          <w:p>
            <w:pPr>
              <w:pStyle w:val="TableParagraph"/>
              <w:spacing w:line="272" w:lineRule="exact" w:before="26"/>
              <w:ind w:left="100" w:right="111"/>
              <w:jc w:val="left"/>
              <w:rPr>
                <w:rFonts w:ascii="宋体" w:hAnsi="宋体" w:cs="宋体" w:eastAsia="宋体" w:hint="default"/>
                <w:sz w:val="21"/>
                <w:szCs w:val="21"/>
              </w:rPr>
            </w:pPr>
            <w:r>
              <w:rPr>
                <w:rFonts w:ascii="宋体" w:hAnsi="宋体" w:cs="宋体" w:eastAsia="宋体" w:hint="default"/>
                <w:sz w:val="21"/>
                <w:szCs w:val="21"/>
              </w:rPr>
              <w:t>股改说明书承诺事 项履行相关条款。</w:t>
            </w:r>
          </w:p>
        </w:tc>
      </w:tr>
      <w:tr>
        <w:trPr>
          <w:trHeight w:val="278" w:hRule="exact"/>
        </w:trPr>
        <w:tc>
          <w:tcPr>
            <w:tcW w:w="532" w:type="dxa"/>
            <w:tcBorders>
              <w:top w:val="single" w:sz="6" w:space="0" w:color="000000"/>
              <w:left w:val="single" w:sz="6" w:space="0" w:color="000000"/>
              <w:bottom w:val="nil" w:sz="6" w:space="0" w:color="auto"/>
              <w:right w:val="single" w:sz="6" w:space="0" w:color="000000"/>
            </w:tcBorders>
          </w:tcPr>
          <w:p>
            <w:pPr/>
          </w:p>
        </w:tc>
        <w:tc>
          <w:tcPr>
            <w:tcW w:w="1907" w:type="dxa"/>
            <w:tcBorders>
              <w:top w:val="single" w:sz="6" w:space="0" w:color="000000"/>
              <w:left w:val="single" w:sz="6" w:space="0" w:color="000000"/>
              <w:bottom w:val="nil" w:sz="6" w:space="0" w:color="auto"/>
              <w:right w:val="single" w:sz="6" w:space="0" w:color="000000"/>
            </w:tcBorders>
          </w:tcPr>
          <w:p>
            <w:pPr/>
          </w:p>
        </w:tc>
        <w:tc>
          <w:tcPr>
            <w:tcW w:w="1427" w:type="dxa"/>
            <w:tcBorders>
              <w:top w:val="single" w:sz="6" w:space="0" w:color="000000"/>
              <w:left w:val="single" w:sz="6" w:space="0" w:color="000000"/>
              <w:bottom w:val="nil" w:sz="6" w:space="0" w:color="auto"/>
              <w:right w:val="single" w:sz="6" w:space="0" w:color="000000"/>
            </w:tcBorders>
          </w:tcPr>
          <w:p>
            <w:pPr/>
          </w:p>
        </w:tc>
        <w:tc>
          <w:tcPr>
            <w:tcW w:w="2105" w:type="dxa"/>
            <w:tcBorders>
              <w:top w:val="single" w:sz="6" w:space="0" w:color="000000"/>
              <w:left w:val="single" w:sz="6" w:space="0" w:color="000000"/>
              <w:bottom w:val="nil" w:sz="6" w:space="0" w:color="auto"/>
              <w:right w:val="nil" w:sz="6" w:space="0" w:color="auto"/>
            </w:tcBorders>
          </w:tcPr>
          <w:p>
            <w:pPr/>
          </w:p>
        </w:tc>
        <w:tc>
          <w:tcPr>
            <w:tcW w:w="1422" w:type="dxa"/>
            <w:tcBorders>
              <w:top w:val="single" w:sz="6" w:space="0" w:color="000000"/>
              <w:left w:val="nil" w:sz="6" w:space="0" w:color="auto"/>
              <w:bottom w:val="nil" w:sz="6" w:space="0" w:color="auto"/>
              <w:right w:val="single" w:sz="6" w:space="0" w:color="000000"/>
            </w:tcBorders>
          </w:tcPr>
          <w:p>
            <w:pPr/>
          </w:p>
        </w:tc>
        <w:tc>
          <w:tcPr>
            <w:tcW w:w="19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限售条件详见公司</w:t>
            </w:r>
          </w:p>
        </w:tc>
      </w:tr>
      <w:tr>
        <w:trPr>
          <w:trHeight w:val="273" w:hRule="exact"/>
        </w:trPr>
        <w:tc>
          <w:tcPr>
            <w:tcW w:w="53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w:t>
            </w:r>
          </w:p>
        </w:tc>
        <w:tc>
          <w:tcPr>
            <w:tcW w:w="19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王帅</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650,000</w:t>
            </w:r>
          </w:p>
        </w:tc>
        <w:tc>
          <w:tcPr>
            <w:tcW w:w="2105" w:type="dxa"/>
            <w:tcBorders>
              <w:top w:val="nil" w:sz="6" w:space="0" w:color="auto"/>
              <w:left w:val="single" w:sz="6" w:space="0" w:color="000000"/>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22" w:type="dxa"/>
            <w:tcBorders>
              <w:top w:val="nil" w:sz="6" w:space="0" w:color="auto"/>
              <w:left w:val="nil" w:sz="6" w:space="0" w:color="auto"/>
              <w:bottom w:val="nil" w:sz="6" w:space="0" w:color="auto"/>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650,000</w:t>
            </w:r>
          </w:p>
        </w:tc>
        <w:tc>
          <w:tcPr>
            <w:tcW w:w="1908"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10"/>
              <w:jc w:val="right"/>
              <w:rPr>
                <w:rFonts w:ascii="宋体" w:hAnsi="宋体" w:cs="宋体" w:eastAsia="宋体" w:hint="default"/>
                <w:sz w:val="21"/>
                <w:szCs w:val="21"/>
              </w:rPr>
            </w:pPr>
            <w:r>
              <w:rPr>
                <w:rFonts w:ascii="宋体" w:hAnsi="宋体" w:cs="宋体" w:eastAsia="宋体" w:hint="default"/>
                <w:sz w:val="21"/>
                <w:szCs w:val="21"/>
              </w:rPr>
              <w:t>股改说明书承诺事</w:t>
            </w:r>
          </w:p>
        </w:tc>
      </w:tr>
      <w:tr>
        <w:trPr>
          <w:trHeight w:val="280" w:hRule="exact"/>
        </w:trPr>
        <w:tc>
          <w:tcPr>
            <w:tcW w:w="532" w:type="dxa"/>
            <w:tcBorders>
              <w:top w:val="nil" w:sz="6" w:space="0" w:color="auto"/>
              <w:left w:val="single" w:sz="6" w:space="0" w:color="000000"/>
              <w:bottom w:val="single" w:sz="6" w:space="0" w:color="000000"/>
              <w:right w:val="single" w:sz="6" w:space="0" w:color="000000"/>
            </w:tcBorders>
          </w:tcPr>
          <w:p>
            <w:pPr/>
          </w:p>
        </w:tc>
        <w:tc>
          <w:tcPr>
            <w:tcW w:w="1907" w:type="dxa"/>
            <w:tcBorders>
              <w:top w:val="nil" w:sz="6" w:space="0" w:color="auto"/>
              <w:left w:val="single" w:sz="6" w:space="0" w:color="000000"/>
              <w:bottom w:val="single" w:sz="6" w:space="0" w:color="000000"/>
              <w:right w:val="single" w:sz="6" w:space="0" w:color="000000"/>
            </w:tcBorders>
          </w:tcPr>
          <w:p>
            <w:pPr/>
          </w:p>
        </w:tc>
        <w:tc>
          <w:tcPr>
            <w:tcW w:w="1427" w:type="dxa"/>
            <w:tcBorders>
              <w:top w:val="nil" w:sz="6" w:space="0" w:color="auto"/>
              <w:left w:val="single" w:sz="6" w:space="0" w:color="000000"/>
              <w:bottom w:val="single" w:sz="6" w:space="0" w:color="000000"/>
              <w:right w:val="single" w:sz="6" w:space="0" w:color="000000"/>
            </w:tcBorders>
          </w:tcPr>
          <w:p>
            <w:pPr/>
          </w:p>
        </w:tc>
        <w:tc>
          <w:tcPr>
            <w:tcW w:w="2105" w:type="dxa"/>
            <w:tcBorders>
              <w:top w:val="nil" w:sz="6" w:space="0" w:color="auto"/>
              <w:left w:val="single" w:sz="6" w:space="0" w:color="000000"/>
              <w:bottom w:val="single" w:sz="6" w:space="0" w:color="000000"/>
              <w:right w:val="nil" w:sz="6" w:space="0" w:color="auto"/>
            </w:tcBorders>
          </w:tcPr>
          <w:p>
            <w:pPr/>
          </w:p>
        </w:tc>
        <w:tc>
          <w:tcPr>
            <w:tcW w:w="1422" w:type="dxa"/>
            <w:tcBorders>
              <w:top w:val="nil" w:sz="6" w:space="0" w:color="auto"/>
              <w:left w:val="nil" w:sz="6" w:space="0" w:color="auto"/>
              <w:bottom w:val="single" w:sz="6" w:space="0" w:color="000000"/>
              <w:right w:val="single" w:sz="6" w:space="0" w:color="000000"/>
            </w:tcBorders>
          </w:tcPr>
          <w:p>
            <w:pPr/>
          </w:p>
        </w:tc>
        <w:tc>
          <w:tcPr>
            <w:tcW w:w="190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项履行相关条款。</w:t>
            </w:r>
          </w:p>
        </w:tc>
      </w:tr>
      <w:tr>
        <w:trPr>
          <w:trHeight w:val="278" w:hRule="exact"/>
        </w:trPr>
        <w:tc>
          <w:tcPr>
            <w:tcW w:w="532" w:type="dxa"/>
            <w:tcBorders>
              <w:top w:val="single" w:sz="6" w:space="0" w:color="000000"/>
              <w:left w:val="single" w:sz="6" w:space="0" w:color="000000"/>
              <w:bottom w:val="nil" w:sz="6" w:space="0" w:color="auto"/>
              <w:right w:val="single" w:sz="6" w:space="0" w:color="000000"/>
            </w:tcBorders>
          </w:tcPr>
          <w:p>
            <w:pPr/>
          </w:p>
        </w:tc>
        <w:tc>
          <w:tcPr>
            <w:tcW w:w="1907" w:type="dxa"/>
            <w:tcBorders>
              <w:top w:val="single" w:sz="6" w:space="0" w:color="000000"/>
              <w:left w:val="single" w:sz="6" w:space="0" w:color="000000"/>
              <w:bottom w:val="nil" w:sz="6" w:space="0" w:color="auto"/>
              <w:right w:val="single" w:sz="6" w:space="0" w:color="000000"/>
            </w:tcBorders>
          </w:tcPr>
          <w:p>
            <w:pPr/>
          </w:p>
        </w:tc>
        <w:tc>
          <w:tcPr>
            <w:tcW w:w="1427" w:type="dxa"/>
            <w:tcBorders>
              <w:top w:val="single" w:sz="6" w:space="0" w:color="000000"/>
              <w:left w:val="single" w:sz="6" w:space="0" w:color="000000"/>
              <w:bottom w:val="nil" w:sz="6" w:space="0" w:color="auto"/>
              <w:right w:val="single" w:sz="6" w:space="0" w:color="000000"/>
            </w:tcBorders>
          </w:tcPr>
          <w:p>
            <w:pPr/>
          </w:p>
        </w:tc>
        <w:tc>
          <w:tcPr>
            <w:tcW w:w="2105" w:type="dxa"/>
            <w:tcBorders>
              <w:top w:val="single" w:sz="6" w:space="0" w:color="000000"/>
              <w:left w:val="single" w:sz="6" w:space="0" w:color="000000"/>
              <w:bottom w:val="nil" w:sz="6" w:space="0" w:color="auto"/>
              <w:right w:val="nil" w:sz="6" w:space="0" w:color="auto"/>
            </w:tcBorders>
          </w:tcPr>
          <w:p>
            <w:pPr/>
          </w:p>
        </w:tc>
        <w:tc>
          <w:tcPr>
            <w:tcW w:w="1422" w:type="dxa"/>
            <w:tcBorders>
              <w:top w:val="single" w:sz="6" w:space="0" w:color="000000"/>
              <w:left w:val="nil" w:sz="6" w:space="0" w:color="auto"/>
              <w:bottom w:val="nil" w:sz="6" w:space="0" w:color="auto"/>
              <w:right w:val="single" w:sz="6" w:space="0" w:color="000000"/>
            </w:tcBorders>
          </w:tcPr>
          <w:p>
            <w:pPr/>
          </w:p>
        </w:tc>
        <w:tc>
          <w:tcPr>
            <w:tcW w:w="19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限售条件详见公司</w:t>
            </w:r>
          </w:p>
        </w:tc>
      </w:tr>
      <w:tr>
        <w:trPr>
          <w:trHeight w:val="273" w:hRule="exact"/>
        </w:trPr>
        <w:tc>
          <w:tcPr>
            <w:tcW w:w="53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w:t>
            </w:r>
          </w:p>
        </w:tc>
        <w:tc>
          <w:tcPr>
            <w:tcW w:w="19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李骏</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373,700</w:t>
            </w:r>
          </w:p>
        </w:tc>
        <w:tc>
          <w:tcPr>
            <w:tcW w:w="2105" w:type="dxa"/>
            <w:tcBorders>
              <w:top w:val="nil" w:sz="6" w:space="0" w:color="auto"/>
              <w:left w:val="single" w:sz="6" w:space="0" w:color="000000"/>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22" w:type="dxa"/>
            <w:tcBorders>
              <w:top w:val="nil" w:sz="6" w:space="0" w:color="auto"/>
              <w:left w:val="nil" w:sz="6" w:space="0" w:color="auto"/>
              <w:bottom w:val="nil" w:sz="6" w:space="0" w:color="auto"/>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373,700</w:t>
            </w:r>
          </w:p>
        </w:tc>
        <w:tc>
          <w:tcPr>
            <w:tcW w:w="1908"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10"/>
              <w:jc w:val="right"/>
              <w:rPr>
                <w:rFonts w:ascii="宋体" w:hAnsi="宋体" w:cs="宋体" w:eastAsia="宋体" w:hint="default"/>
                <w:sz w:val="21"/>
                <w:szCs w:val="21"/>
              </w:rPr>
            </w:pPr>
            <w:r>
              <w:rPr>
                <w:rFonts w:ascii="宋体" w:hAnsi="宋体" w:cs="宋体" w:eastAsia="宋体" w:hint="default"/>
                <w:sz w:val="21"/>
                <w:szCs w:val="21"/>
              </w:rPr>
              <w:t>股改说明书承诺事</w:t>
            </w:r>
          </w:p>
        </w:tc>
      </w:tr>
      <w:tr>
        <w:trPr>
          <w:trHeight w:val="281" w:hRule="exact"/>
        </w:trPr>
        <w:tc>
          <w:tcPr>
            <w:tcW w:w="532" w:type="dxa"/>
            <w:tcBorders>
              <w:top w:val="nil" w:sz="6" w:space="0" w:color="auto"/>
              <w:left w:val="single" w:sz="6" w:space="0" w:color="000000"/>
              <w:bottom w:val="single" w:sz="6" w:space="0" w:color="000000"/>
              <w:right w:val="single" w:sz="6" w:space="0" w:color="000000"/>
            </w:tcBorders>
          </w:tcPr>
          <w:p>
            <w:pPr/>
          </w:p>
        </w:tc>
        <w:tc>
          <w:tcPr>
            <w:tcW w:w="1907" w:type="dxa"/>
            <w:tcBorders>
              <w:top w:val="nil" w:sz="6" w:space="0" w:color="auto"/>
              <w:left w:val="single" w:sz="6" w:space="0" w:color="000000"/>
              <w:bottom w:val="single" w:sz="6" w:space="0" w:color="000000"/>
              <w:right w:val="single" w:sz="6" w:space="0" w:color="000000"/>
            </w:tcBorders>
          </w:tcPr>
          <w:p>
            <w:pPr/>
          </w:p>
        </w:tc>
        <w:tc>
          <w:tcPr>
            <w:tcW w:w="1427" w:type="dxa"/>
            <w:tcBorders>
              <w:top w:val="nil" w:sz="6" w:space="0" w:color="auto"/>
              <w:left w:val="single" w:sz="6" w:space="0" w:color="000000"/>
              <w:bottom w:val="single" w:sz="6" w:space="0" w:color="000000"/>
              <w:right w:val="single" w:sz="6" w:space="0" w:color="000000"/>
            </w:tcBorders>
          </w:tcPr>
          <w:p>
            <w:pPr/>
          </w:p>
        </w:tc>
        <w:tc>
          <w:tcPr>
            <w:tcW w:w="2105" w:type="dxa"/>
            <w:tcBorders>
              <w:top w:val="nil" w:sz="6" w:space="0" w:color="auto"/>
              <w:left w:val="single" w:sz="6" w:space="0" w:color="000000"/>
              <w:bottom w:val="single" w:sz="6" w:space="0" w:color="000000"/>
              <w:right w:val="nil" w:sz="6" w:space="0" w:color="auto"/>
            </w:tcBorders>
          </w:tcPr>
          <w:p>
            <w:pPr/>
          </w:p>
        </w:tc>
        <w:tc>
          <w:tcPr>
            <w:tcW w:w="1422" w:type="dxa"/>
            <w:tcBorders>
              <w:top w:val="nil" w:sz="6" w:space="0" w:color="auto"/>
              <w:left w:val="nil" w:sz="6" w:space="0" w:color="auto"/>
              <w:bottom w:val="single" w:sz="6" w:space="0" w:color="000000"/>
              <w:right w:val="single" w:sz="6" w:space="0" w:color="000000"/>
            </w:tcBorders>
          </w:tcPr>
          <w:p>
            <w:pPr/>
          </w:p>
        </w:tc>
        <w:tc>
          <w:tcPr>
            <w:tcW w:w="190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项履行相关条款。</w:t>
            </w:r>
          </w:p>
        </w:tc>
      </w:tr>
      <w:tr>
        <w:trPr>
          <w:trHeight w:val="278" w:hRule="exact"/>
        </w:trPr>
        <w:tc>
          <w:tcPr>
            <w:tcW w:w="532" w:type="dxa"/>
            <w:tcBorders>
              <w:top w:val="single" w:sz="6" w:space="0" w:color="000000"/>
              <w:left w:val="single" w:sz="6" w:space="0" w:color="000000"/>
              <w:bottom w:val="nil" w:sz="6" w:space="0" w:color="auto"/>
              <w:right w:val="single" w:sz="6" w:space="0" w:color="000000"/>
            </w:tcBorders>
          </w:tcPr>
          <w:p>
            <w:pPr/>
          </w:p>
        </w:tc>
        <w:tc>
          <w:tcPr>
            <w:tcW w:w="1907" w:type="dxa"/>
            <w:tcBorders>
              <w:top w:val="single" w:sz="6" w:space="0" w:color="000000"/>
              <w:left w:val="single" w:sz="6" w:space="0" w:color="000000"/>
              <w:bottom w:val="nil" w:sz="6" w:space="0" w:color="auto"/>
              <w:right w:val="single" w:sz="6" w:space="0" w:color="000000"/>
            </w:tcBorders>
          </w:tcPr>
          <w:p>
            <w:pPr/>
          </w:p>
        </w:tc>
        <w:tc>
          <w:tcPr>
            <w:tcW w:w="1427" w:type="dxa"/>
            <w:tcBorders>
              <w:top w:val="single" w:sz="6" w:space="0" w:color="000000"/>
              <w:left w:val="single" w:sz="6" w:space="0" w:color="000000"/>
              <w:bottom w:val="nil" w:sz="6" w:space="0" w:color="auto"/>
              <w:right w:val="single" w:sz="6" w:space="0" w:color="000000"/>
            </w:tcBorders>
          </w:tcPr>
          <w:p>
            <w:pPr/>
          </w:p>
        </w:tc>
        <w:tc>
          <w:tcPr>
            <w:tcW w:w="2105" w:type="dxa"/>
            <w:tcBorders>
              <w:top w:val="single" w:sz="6" w:space="0" w:color="000000"/>
              <w:left w:val="single" w:sz="6" w:space="0" w:color="000000"/>
              <w:bottom w:val="nil" w:sz="6" w:space="0" w:color="auto"/>
              <w:right w:val="nil" w:sz="6" w:space="0" w:color="auto"/>
            </w:tcBorders>
          </w:tcPr>
          <w:p>
            <w:pPr/>
          </w:p>
        </w:tc>
        <w:tc>
          <w:tcPr>
            <w:tcW w:w="1422" w:type="dxa"/>
            <w:tcBorders>
              <w:top w:val="single" w:sz="6" w:space="0" w:color="000000"/>
              <w:left w:val="nil" w:sz="6" w:space="0" w:color="auto"/>
              <w:bottom w:val="nil" w:sz="6" w:space="0" w:color="auto"/>
              <w:right w:val="single" w:sz="6" w:space="0" w:color="000000"/>
            </w:tcBorders>
          </w:tcPr>
          <w:p>
            <w:pPr/>
          </w:p>
        </w:tc>
        <w:tc>
          <w:tcPr>
            <w:tcW w:w="19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限售条件详见公司</w:t>
            </w:r>
          </w:p>
        </w:tc>
      </w:tr>
      <w:tr>
        <w:trPr>
          <w:trHeight w:val="272" w:hRule="exact"/>
        </w:trPr>
        <w:tc>
          <w:tcPr>
            <w:tcW w:w="53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w:t>
            </w:r>
          </w:p>
        </w:tc>
        <w:tc>
          <w:tcPr>
            <w:tcW w:w="19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于广谦</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350,000</w:t>
            </w:r>
          </w:p>
        </w:tc>
        <w:tc>
          <w:tcPr>
            <w:tcW w:w="2105" w:type="dxa"/>
            <w:tcBorders>
              <w:top w:val="nil" w:sz="6" w:space="0" w:color="auto"/>
              <w:left w:val="single" w:sz="6" w:space="0" w:color="000000"/>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2" w:type="dxa"/>
            <w:tcBorders>
              <w:top w:val="nil" w:sz="6" w:space="0" w:color="auto"/>
              <w:left w:val="nil" w:sz="6" w:space="0" w:color="auto"/>
              <w:bottom w:val="nil" w:sz="6" w:space="0" w:color="auto"/>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350,000</w:t>
            </w:r>
          </w:p>
        </w:tc>
        <w:tc>
          <w:tcPr>
            <w:tcW w:w="190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股改说明书承诺事</w:t>
            </w:r>
          </w:p>
        </w:tc>
      </w:tr>
      <w:tr>
        <w:trPr>
          <w:trHeight w:val="281" w:hRule="exact"/>
        </w:trPr>
        <w:tc>
          <w:tcPr>
            <w:tcW w:w="532" w:type="dxa"/>
            <w:tcBorders>
              <w:top w:val="nil" w:sz="6" w:space="0" w:color="auto"/>
              <w:left w:val="single" w:sz="6" w:space="0" w:color="000000"/>
              <w:bottom w:val="single" w:sz="6" w:space="0" w:color="000000"/>
              <w:right w:val="single" w:sz="6" w:space="0" w:color="000000"/>
            </w:tcBorders>
          </w:tcPr>
          <w:p>
            <w:pPr/>
          </w:p>
        </w:tc>
        <w:tc>
          <w:tcPr>
            <w:tcW w:w="1907" w:type="dxa"/>
            <w:tcBorders>
              <w:top w:val="nil" w:sz="6" w:space="0" w:color="auto"/>
              <w:left w:val="single" w:sz="6" w:space="0" w:color="000000"/>
              <w:bottom w:val="single" w:sz="6" w:space="0" w:color="000000"/>
              <w:right w:val="single" w:sz="6" w:space="0" w:color="000000"/>
            </w:tcBorders>
          </w:tcPr>
          <w:p>
            <w:pPr/>
          </w:p>
        </w:tc>
        <w:tc>
          <w:tcPr>
            <w:tcW w:w="1427" w:type="dxa"/>
            <w:tcBorders>
              <w:top w:val="nil" w:sz="6" w:space="0" w:color="auto"/>
              <w:left w:val="single" w:sz="6" w:space="0" w:color="000000"/>
              <w:bottom w:val="single" w:sz="6" w:space="0" w:color="000000"/>
              <w:right w:val="single" w:sz="6" w:space="0" w:color="000000"/>
            </w:tcBorders>
          </w:tcPr>
          <w:p>
            <w:pPr/>
          </w:p>
        </w:tc>
        <w:tc>
          <w:tcPr>
            <w:tcW w:w="2105" w:type="dxa"/>
            <w:tcBorders>
              <w:top w:val="nil" w:sz="6" w:space="0" w:color="auto"/>
              <w:left w:val="single" w:sz="6" w:space="0" w:color="000000"/>
              <w:bottom w:val="single" w:sz="6" w:space="0" w:color="000000"/>
              <w:right w:val="nil" w:sz="6" w:space="0" w:color="auto"/>
            </w:tcBorders>
          </w:tcPr>
          <w:p>
            <w:pPr/>
          </w:p>
        </w:tc>
        <w:tc>
          <w:tcPr>
            <w:tcW w:w="1422" w:type="dxa"/>
            <w:tcBorders>
              <w:top w:val="nil" w:sz="6" w:space="0" w:color="auto"/>
              <w:left w:val="nil" w:sz="6" w:space="0" w:color="auto"/>
              <w:bottom w:val="single" w:sz="6" w:space="0" w:color="000000"/>
              <w:right w:val="single" w:sz="6" w:space="0" w:color="000000"/>
            </w:tcBorders>
          </w:tcPr>
          <w:p>
            <w:pPr/>
          </w:p>
        </w:tc>
        <w:tc>
          <w:tcPr>
            <w:tcW w:w="190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项履行相关条款。</w:t>
            </w:r>
          </w:p>
        </w:tc>
      </w:tr>
      <w:tr>
        <w:trPr>
          <w:trHeight w:val="278" w:hRule="exact"/>
        </w:trPr>
        <w:tc>
          <w:tcPr>
            <w:tcW w:w="532" w:type="dxa"/>
            <w:tcBorders>
              <w:top w:val="single" w:sz="6" w:space="0" w:color="000000"/>
              <w:left w:val="single" w:sz="6" w:space="0" w:color="000000"/>
              <w:bottom w:val="nil" w:sz="6" w:space="0" w:color="auto"/>
              <w:right w:val="single" w:sz="6" w:space="0" w:color="000000"/>
            </w:tcBorders>
          </w:tcPr>
          <w:p>
            <w:pPr/>
          </w:p>
        </w:tc>
        <w:tc>
          <w:tcPr>
            <w:tcW w:w="1907" w:type="dxa"/>
            <w:tcBorders>
              <w:top w:val="single" w:sz="6" w:space="0" w:color="000000"/>
              <w:left w:val="single" w:sz="6" w:space="0" w:color="000000"/>
              <w:bottom w:val="nil" w:sz="6" w:space="0" w:color="auto"/>
              <w:right w:val="single" w:sz="6" w:space="0" w:color="000000"/>
            </w:tcBorders>
          </w:tcPr>
          <w:p>
            <w:pPr/>
          </w:p>
        </w:tc>
        <w:tc>
          <w:tcPr>
            <w:tcW w:w="1427" w:type="dxa"/>
            <w:tcBorders>
              <w:top w:val="single" w:sz="6" w:space="0" w:color="000000"/>
              <w:left w:val="single" w:sz="6" w:space="0" w:color="000000"/>
              <w:bottom w:val="nil" w:sz="6" w:space="0" w:color="auto"/>
              <w:right w:val="single" w:sz="6" w:space="0" w:color="000000"/>
            </w:tcBorders>
          </w:tcPr>
          <w:p>
            <w:pPr/>
          </w:p>
        </w:tc>
        <w:tc>
          <w:tcPr>
            <w:tcW w:w="2105" w:type="dxa"/>
            <w:tcBorders>
              <w:top w:val="single" w:sz="6" w:space="0" w:color="000000"/>
              <w:left w:val="single" w:sz="6" w:space="0" w:color="000000"/>
              <w:bottom w:val="nil" w:sz="6" w:space="0" w:color="auto"/>
              <w:right w:val="nil" w:sz="6" w:space="0" w:color="auto"/>
            </w:tcBorders>
          </w:tcPr>
          <w:p>
            <w:pPr/>
          </w:p>
        </w:tc>
        <w:tc>
          <w:tcPr>
            <w:tcW w:w="1422" w:type="dxa"/>
            <w:tcBorders>
              <w:top w:val="single" w:sz="6" w:space="0" w:color="000000"/>
              <w:left w:val="nil" w:sz="6" w:space="0" w:color="auto"/>
              <w:bottom w:val="nil" w:sz="6" w:space="0" w:color="auto"/>
              <w:right w:val="single" w:sz="6" w:space="0" w:color="000000"/>
            </w:tcBorders>
          </w:tcPr>
          <w:p>
            <w:pPr/>
          </w:p>
        </w:tc>
        <w:tc>
          <w:tcPr>
            <w:tcW w:w="190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限售条件详见公司</w:t>
            </w:r>
          </w:p>
        </w:tc>
      </w:tr>
      <w:tr>
        <w:trPr>
          <w:trHeight w:val="273" w:hRule="exact"/>
        </w:trPr>
        <w:tc>
          <w:tcPr>
            <w:tcW w:w="53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w:t>
            </w:r>
          </w:p>
        </w:tc>
        <w:tc>
          <w:tcPr>
            <w:tcW w:w="190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季平</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186,800</w:t>
            </w:r>
          </w:p>
        </w:tc>
        <w:tc>
          <w:tcPr>
            <w:tcW w:w="2105" w:type="dxa"/>
            <w:tcBorders>
              <w:top w:val="nil" w:sz="6" w:space="0" w:color="auto"/>
              <w:left w:val="single" w:sz="6" w:space="0" w:color="000000"/>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22" w:type="dxa"/>
            <w:tcBorders>
              <w:top w:val="nil" w:sz="6" w:space="0" w:color="auto"/>
              <w:left w:val="nil" w:sz="6" w:space="0" w:color="auto"/>
              <w:bottom w:val="nil" w:sz="6" w:space="0" w:color="auto"/>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186,800</w:t>
            </w:r>
          </w:p>
        </w:tc>
        <w:tc>
          <w:tcPr>
            <w:tcW w:w="1908"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10"/>
              <w:jc w:val="right"/>
              <w:rPr>
                <w:rFonts w:ascii="宋体" w:hAnsi="宋体" w:cs="宋体" w:eastAsia="宋体" w:hint="default"/>
                <w:sz w:val="21"/>
                <w:szCs w:val="21"/>
              </w:rPr>
            </w:pPr>
            <w:r>
              <w:rPr>
                <w:rFonts w:ascii="宋体" w:hAnsi="宋体" w:cs="宋体" w:eastAsia="宋体" w:hint="default"/>
                <w:sz w:val="21"/>
                <w:szCs w:val="21"/>
              </w:rPr>
              <w:t>股改说明书承诺事</w:t>
            </w:r>
          </w:p>
        </w:tc>
      </w:tr>
      <w:tr>
        <w:trPr>
          <w:trHeight w:val="281" w:hRule="exact"/>
        </w:trPr>
        <w:tc>
          <w:tcPr>
            <w:tcW w:w="532" w:type="dxa"/>
            <w:tcBorders>
              <w:top w:val="nil" w:sz="6" w:space="0" w:color="auto"/>
              <w:left w:val="single" w:sz="6" w:space="0" w:color="000000"/>
              <w:bottom w:val="single" w:sz="6" w:space="0" w:color="000000"/>
              <w:right w:val="single" w:sz="6" w:space="0" w:color="000000"/>
            </w:tcBorders>
          </w:tcPr>
          <w:p>
            <w:pPr/>
          </w:p>
        </w:tc>
        <w:tc>
          <w:tcPr>
            <w:tcW w:w="1907" w:type="dxa"/>
            <w:tcBorders>
              <w:top w:val="nil" w:sz="6" w:space="0" w:color="auto"/>
              <w:left w:val="single" w:sz="6" w:space="0" w:color="000000"/>
              <w:bottom w:val="single" w:sz="6" w:space="0" w:color="000000"/>
              <w:right w:val="single" w:sz="6" w:space="0" w:color="000000"/>
            </w:tcBorders>
          </w:tcPr>
          <w:p>
            <w:pPr/>
          </w:p>
        </w:tc>
        <w:tc>
          <w:tcPr>
            <w:tcW w:w="1427" w:type="dxa"/>
            <w:tcBorders>
              <w:top w:val="nil" w:sz="6" w:space="0" w:color="auto"/>
              <w:left w:val="single" w:sz="6" w:space="0" w:color="000000"/>
              <w:bottom w:val="single" w:sz="6" w:space="0" w:color="000000"/>
              <w:right w:val="single" w:sz="6" w:space="0" w:color="000000"/>
            </w:tcBorders>
          </w:tcPr>
          <w:p>
            <w:pPr/>
          </w:p>
        </w:tc>
        <w:tc>
          <w:tcPr>
            <w:tcW w:w="2105" w:type="dxa"/>
            <w:tcBorders>
              <w:top w:val="nil" w:sz="6" w:space="0" w:color="auto"/>
              <w:left w:val="single" w:sz="6" w:space="0" w:color="000000"/>
              <w:bottom w:val="single" w:sz="6" w:space="0" w:color="000000"/>
              <w:right w:val="nil" w:sz="6" w:space="0" w:color="auto"/>
            </w:tcBorders>
          </w:tcPr>
          <w:p>
            <w:pPr/>
          </w:p>
        </w:tc>
        <w:tc>
          <w:tcPr>
            <w:tcW w:w="1422" w:type="dxa"/>
            <w:tcBorders>
              <w:top w:val="nil" w:sz="6" w:space="0" w:color="auto"/>
              <w:left w:val="nil" w:sz="6" w:space="0" w:color="auto"/>
              <w:bottom w:val="single" w:sz="6" w:space="0" w:color="000000"/>
              <w:right w:val="single" w:sz="6" w:space="0" w:color="000000"/>
            </w:tcBorders>
          </w:tcPr>
          <w:p>
            <w:pPr/>
          </w:p>
        </w:tc>
        <w:tc>
          <w:tcPr>
            <w:tcW w:w="190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项履行相关条款。</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7" w:footer="727" w:top="980" w:bottom="920" w:left="1220" w:right="1120"/>
        </w:sectPr>
      </w:pPr>
    </w:p>
    <w:p>
      <w:pPr>
        <w:pStyle w:val="BodyText"/>
        <w:spacing w:line="272" w:lineRule="exact" w:before="63"/>
        <w:ind w:right="-20"/>
        <w:jc w:val="left"/>
      </w:pPr>
      <w:r>
        <w:rPr/>
        <w:t>2、控股股东及实际控制人情况 (1)</w:t>
      </w:r>
      <w:r>
        <w:rPr>
          <w:spacing w:val="-2"/>
        </w:rPr>
        <w:t> </w:t>
      </w:r>
      <w:r>
        <w:rPr/>
        <w:t>法人控股股东情况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2976" w:space="406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27"/>
        <w:gridCol w:w="1381"/>
        <w:gridCol w:w="1301"/>
        <w:gridCol w:w="1901"/>
        <w:gridCol w:w="2990"/>
      </w:tblGrid>
      <w:tr>
        <w:trPr>
          <w:trHeight w:val="287"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r>
      <w:tr>
        <w:trPr>
          <w:trHeight w:val="279" w:hRule="exact"/>
        </w:trPr>
        <w:tc>
          <w:tcPr>
            <w:tcW w:w="1727" w:type="dxa"/>
            <w:tcBorders>
              <w:top w:val="single" w:sz="6" w:space="0" w:color="000000"/>
              <w:left w:val="single" w:sz="6" w:space="0" w:color="000000"/>
              <w:bottom w:val="nil" w:sz="6" w:space="0" w:color="auto"/>
              <w:right w:val="single" w:sz="6" w:space="0" w:color="000000"/>
            </w:tcBorders>
          </w:tcPr>
          <w:p>
            <w:pPr/>
          </w:p>
        </w:tc>
        <w:tc>
          <w:tcPr>
            <w:tcW w:w="1381" w:type="dxa"/>
            <w:tcBorders>
              <w:top w:val="single" w:sz="6" w:space="0" w:color="000000"/>
              <w:left w:val="single" w:sz="6" w:space="0" w:color="000000"/>
              <w:bottom w:val="nil" w:sz="6" w:space="0" w:color="auto"/>
              <w:right w:val="single" w:sz="6" w:space="0" w:color="000000"/>
            </w:tcBorders>
          </w:tcPr>
          <w:p>
            <w:pPr/>
          </w:p>
        </w:tc>
        <w:tc>
          <w:tcPr>
            <w:tcW w:w="1301"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
        </w:tc>
        <w:tc>
          <w:tcPr>
            <w:tcW w:w="2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化肥产品；多孔硝酸铵，甲醇，</w:t>
            </w:r>
          </w:p>
        </w:tc>
      </w:tr>
      <w:tr>
        <w:trPr>
          <w:trHeight w:val="272" w:hRule="exact"/>
        </w:trPr>
        <w:tc>
          <w:tcPr>
            <w:tcW w:w="1727" w:type="dxa"/>
            <w:tcBorders>
              <w:top w:val="nil" w:sz="6" w:space="0" w:color="auto"/>
              <w:left w:val="single" w:sz="6" w:space="0" w:color="000000"/>
              <w:bottom w:val="nil" w:sz="6" w:space="0" w:color="auto"/>
              <w:right w:val="single" w:sz="6" w:space="0" w:color="000000"/>
            </w:tcBorders>
          </w:tcPr>
          <w:p>
            <w:pPr/>
          </w:p>
        </w:tc>
        <w:tc>
          <w:tcPr>
            <w:tcW w:w="1381" w:type="dxa"/>
            <w:tcBorders>
              <w:top w:val="nil" w:sz="6" w:space="0" w:color="auto"/>
              <w:left w:val="single" w:sz="6" w:space="0" w:color="000000"/>
              <w:bottom w:val="nil" w:sz="6" w:space="0" w:color="auto"/>
              <w:right w:val="single" w:sz="6" w:space="0" w:color="000000"/>
            </w:tcBorders>
          </w:tcPr>
          <w:p>
            <w:pPr/>
          </w:p>
        </w:tc>
        <w:tc>
          <w:tcPr>
            <w:tcW w:w="1301" w:type="dxa"/>
            <w:tcBorders>
              <w:top w:val="nil" w:sz="6" w:space="0" w:color="auto"/>
              <w:left w:val="single" w:sz="6" w:space="0" w:color="000000"/>
              <w:bottom w:val="nil" w:sz="6" w:space="0" w:color="auto"/>
              <w:right w:val="single" w:sz="6" w:space="0" w:color="000000"/>
            </w:tcBorders>
          </w:tcPr>
          <w:p>
            <w:pPr/>
          </w:p>
        </w:tc>
        <w:tc>
          <w:tcPr>
            <w:tcW w:w="1901" w:type="dxa"/>
            <w:tcBorders>
              <w:top w:val="nil" w:sz="6" w:space="0" w:color="auto"/>
              <w:left w:val="single" w:sz="6" w:space="0" w:color="000000"/>
              <w:bottom w:val="nil" w:sz="6" w:space="0" w:color="auto"/>
              <w:right w:val="single" w:sz="6" w:space="0" w:color="000000"/>
            </w:tcBorders>
          </w:tcPr>
          <w:p>
            <w:pP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碳黑，双氧水，二三酸，等化</w:t>
            </w:r>
          </w:p>
        </w:tc>
      </w:tr>
      <w:tr>
        <w:trPr>
          <w:trHeight w:val="545" w:hRule="exact"/>
        </w:trPr>
        <w:tc>
          <w:tcPr>
            <w:tcW w:w="172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8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c>
          <w:tcPr>
            <w:tcW w:w="13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553" w:right="0"/>
              <w:jc w:val="left"/>
              <w:rPr>
                <w:rFonts w:ascii="宋体" w:hAnsi="宋体" w:cs="宋体" w:eastAsia="宋体" w:hint="default"/>
                <w:sz w:val="21"/>
                <w:szCs w:val="21"/>
              </w:rPr>
            </w:pPr>
            <w:r>
              <w:rPr>
                <w:rFonts w:ascii="宋体"/>
                <w:sz w:val="21"/>
              </w:rPr>
              <w:t>36,000</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52"/>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工产品；按外贸部所批商品目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录进行进出口业务，机械设备</w:t>
            </w:r>
          </w:p>
        </w:tc>
      </w:tr>
      <w:tr>
        <w:trPr>
          <w:trHeight w:val="272" w:hRule="exact"/>
        </w:trPr>
        <w:tc>
          <w:tcPr>
            <w:tcW w:w="1727" w:type="dxa"/>
            <w:tcBorders>
              <w:top w:val="nil" w:sz="6" w:space="0" w:color="auto"/>
              <w:left w:val="single" w:sz="6" w:space="0" w:color="000000"/>
              <w:bottom w:val="nil" w:sz="6" w:space="0" w:color="auto"/>
              <w:right w:val="single" w:sz="6" w:space="0" w:color="000000"/>
            </w:tcBorders>
          </w:tcPr>
          <w:p>
            <w:pPr/>
          </w:p>
        </w:tc>
        <w:tc>
          <w:tcPr>
            <w:tcW w:w="1381" w:type="dxa"/>
            <w:tcBorders>
              <w:top w:val="nil" w:sz="6" w:space="0" w:color="auto"/>
              <w:left w:val="single" w:sz="6" w:space="0" w:color="000000"/>
              <w:bottom w:val="nil" w:sz="6" w:space="0" w:color="auto"/>
              <w:right w:val="single" w:sz="6" w:space="0" w:color="000000"/>
            </w:tcBorders>
          </w:tcPr>
          <w:p>
            <w:pPr/>
          </w:p>
        </w:tc>
        <w:tc>
          <w:tcPr>
            <w:tcW w:w="1301" w:type="dxa"/>
            <w:tcBorders>
              <w:top w:val="nil" w:sz="6" w:space="0" w:color="auto"/>
              <w:left w:val="single" w:sz="6" w:space="0" w:color="000000"/>
              <w:bottom w:val="nil" w:sz="6" w:space="0" w:color="auto"/>
              <w:right w:val="single" w:sz="6" w:space="0" w:color="000000"/>
            </w:tcBorders>
          </w:tcPr>
          <w:p>
            <w:pPr/>
          </w:p>
        </w:tc>
        <w:tc>
          <w:tcPr>
            <w:tcW w:w="1901" w:type="dxa"/>
            <w:tcBorders>
              <w:top w:val="nil" w:sz="6" w:space="0" w:color="auto"/>
              <w:left w:val="single" w:sz="6" w:space="0" w:color="000000"/>
              <w:bottom w:val="nil" w:sz="6" w:space="0" w:color="auto"/>
              <w:right w:val="single" w:sz="6" w:space="0" w:color="000000"/>
            </w:tcBorders>
          </w:tcPr>
          <w:p>
            <w:pP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制造和加工，压力容器设计、</w:t>
            </w:r>
          </w:p>
        </w:tc>
      </w:tr>
      <w:tr>
        <w:trPr>
          <w:trHeight w:val="281" w:hRule="exact"/>
        </w:trPr>
        <w:tc>
          <w:tcPr>
            <w:tcW w:w="1727" w:type="dxa"/>
            <w:tcBorders>
              <w:top w:val="nil" w:sz="6" w:space="0" w:color="auto"/>
              <w:left w:val="single" w:sz="6" w:space="0" w:color="000000"/>
              <w:bottom w:val="single" w:sz="6" w:space="0" w:color="000000"/>
              <w:right w:val="single" w:sz="6" w:space="0" w:color="000000"/>
            </w:tcBorders>
          </w:tcPr>
          <w:p>
            <w:pPr/>
          </w:p>
        </w:tc>
        <w:tc>
          <w:tcPr>
            <w:tcW w:w="1381" w:type="dxa"/>
            <w:tcBorders>
              <w:top w:val="nil" w:sz="6" w:space="0" w:color="auto"/>
              <w:left w:val="single" w:sz="6" w:space="0" w:color="000000"/>
              <w:bottom w:val="single" w:sz="6" w:space="0" w:color="000000"/>
              <w:right w:val="single" w:sz="6" w:space="0" w:color="000000"/>
            </w:tcBorders>
          </w:tcPr>
          <w:p>
            <w:pPr/>
          </w:p>
        </w:tc>
        <w:tc>
          <w:tcPr>
            <w:tcW w:w="1301"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
        </w:tc>
        <w:tc>
          <w:tcPr>
            <w:tcW w:w="2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制造，商标印制。</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(2)</w:t>
      </w:r>
      <w:r>
        <w:rPr>
          <w:spacing w:val="-2"/>
        </w:rPr>
        <w:t> </w:t>
      </w:r>
      <w:r>
        <w:rPr/>
        <w:t>法人实际控制人情况</w:t>
      </w:r>
    </w:p>
    <w:p>
      <w:pPr>
        <w:pStyle w:val="BodyText"/>
        <w:spacing w:line="274" w:lineRule="exact"/>
        <w:ind w:left="0" w:right="178"/>
        <w:jc w:val="right"/>
      </w:pPr>
      <w:r>
        <w:rPr/>
        <w:t>单位: 万元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8"/>
        <w:gridCol w:w="1400"/>
        <w:gridCol w:w="1301"/>
        <w:gridCol w:w="1901"/>
        <w:gridCol w:w="2990"/>
      </w:tblGrid>
      <w:tr>
        <w:trPr>
          <w:trHeight w:val="287"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r>
      <w:tr>
        <w:trPr>
          <w:trHeight w:val="279" w:hRule="exact"/>
        </w:trPr>
        <w:tc>
          <w:tcPr>
            <w:tcW w:w="1708" w:type="dxa"/>
            <w:tcBorders>
              <w:top w:val="single" w:sz="6" w:space="0" w:color="000000"/>
              <w:left w:val="single" w:sz="6" w:space="0" w:color="000000"/>
              <w:bottom w:val="nil" w:sz="6" w:space="0" w:color="auto"/>
              <w:right w:val="single" w:sz="6" w:space="0" w:color="000000"/>
            </w:tcBorders>
          </w:tcPr>
          <w:p>
            <w:pPr/>
          </w:p>
        </w:tc>
        <w:tc>
          <w:tcPr>
            <w:tcW w:w="1400" w:type="dxa"/>
            <w:tcBorders>
              <w:top w:val="single" w:sz="6" w:space="0" w:color="000000"/>
              <w:left w:val="single" w:sz="6" w:space="0" w:color="000000"/>
              <w:bottom w:val="nil" w:sz="6" w:space="0" w:color="auto"/>
              <w:right w:val="single" w:sz="6" w:space="0" w:color="000000"/>
            </w:tcBorders>
          </w:tcPr>
          <w:p>
            <w:pPr/>
          </w:p>
        </w:tc>
        <w:tc>
          <w:tcPr>
            <w:tcW w:w="1301"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
        </w:tc>
        <w:tc>
          <w:tcPr>
            <w:tcW w:w="2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化工原料、化工产品、塑料、</w:t>
            </w:r>
          </w:p>
        </w:tc>
      </w:tr>
      <w:tr>
        <w:trPr>
          <w:trHeight w:val="272" w:hRule="exact"/>
        </w:trPr>
        <w:tc>
          <w:tcPr>
            <w:tcW w:w="1708"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1301" w:type="dxa"/>
            <w:tcBorders>
              <w:top w:val="nil" w:sz="6" w:space="0" w:color="auto"/>
              <w:left w:val="single" w:sz="6" w:space="0" w:color="000000"/>
              <w:bottom w:val="nil" w:sz="6" w:space="0" w:color="auto"/>
              <w:right w:val="single" w:sz="6" w:space="0" w:color="000000"/>
            </w:tcBorders>
          </w:tcPr>
          <w:p>
            <w:pPr/>
          </w:p>
        </w:tc>
        <w:tc>
          <w:tcPr>
            <w:tcW w:w="1901" w:type="dxa"/>
            <w:tcBorders>
              <w:top w:val="nil" w:sz="6" w:space="0" w:color="auto"/>
              <w:left w:val="single" w:sz="6" w:space="0" w:color="000000"/>
              <w:bottom w:val="nil" w:sz="6" w:space="0" w:color="auto"/>
              <w:right w:val="single" w:sz="6" w:space="0" w:color="000000"/>
            </w:tcBorders>
          </w:tcPr>
          <w:p>
            <w:pP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轮胎、橡胶制品、膜设备、化</w:t>
            </w:r>
          </w:p>
        </w:tc>
      </w:tr>
      <w:tr>
        <w:trPr>
          <w:trHeight w:val="272" w:hRule="exact"/>
        </w:trPr>
        <w:tc>
          <w:tcPr>
            <w:tcW w:w="1708"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1301" w:type="dxa"/>
            <w:tcBorders>
              <w:top w:val="nil" w:sz="6" w:space="0" w:color="auto"/>
              <w:left w:val="single" w:sz="6" w:space="0" w:color="000000"/>
              <w:bottom w:val="nil" w:sz="6" w:space="0" w:color="auto"/>
              <w:right w:val="single" w:sz="6" w:space="0" w:color="000000"/>
            </w:tcBorders>
          </w:tcPr>
          <w:p>
            <w:pPr/>
          </w:p>
        </w:tc>
        <w:tc>
          <w:tcPr>
            <w:tcW w:w="1901" w:type="dxa"/>
            <w:tcBorders>
              <w:top w:val="nil" w:sz="6" w:space="0" w:color="auto"/>
              <w:left w:val="single" w:sz="6" w:space="0" w:color="000000"/>
              <w:bottom w:val="nil" w:sz="6" w:space="0" w:color="auto"/>
              <w:right w:val="single" w:sz="6" w:space="0" w:color="000000"/>
            </w:tcBorders>
          </w:tcPr>
          <w:p>
            <w:pP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工设备的生产与销售；机械产</w:t>
            </w:r>
          </w:p>
        </w:tc>
      </w:tr>
      <w:tr>
        <w:trPr>
          <w:trHeight w:val="545" w:hRule="exact"/>
        </w:trPr>
        <w:tc>
          <w:tcPr>
            <w:tcW w:w="170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任建新</w:t>
            </w:r>
          </w:p>
        </w:tc>
        <w:tc>
          <w:tcPr>
            <w:tcW w:w="13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448" w:right="0"/>
              <w:jc w:val="left"/>
              <w:rPr>
                <w:rFonts w:ascii="宋体" w:hAnsi="宋体" w:cs="宋体" w:eastAsia="宋体" w:hint="default"/>
                <w:sz w:val="21"/>
                <w:szCs w:val="21"/>
              </w:rPr>
            </w:pPr>
            <w:r>
              <w:rPr>
                <w:rFonts w:ascii="宋体"/>
                <w:sz w:val="21"/>
              </w:rPr>
              <w:t>570,000</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品、电子产品、仪器仪表、建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材、纺织品、轻工产品、林产</w:t>
            </w:r>
          </w:p>
        </w:tc>
      </w:tr>
      <w:tr>
        <w:trPr>
          <w:trHeight w:val="272" w:hRule="exact"/>
        </w:trPr>
        <w:tc>
          <w:tcPr>
            <w:tcW w:w="1708"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1301" w:type="dxa"/>
            <w:tcBorders>
              <w:top w:val="nil" w:sz="6" w:space="0" w:color="auto"/>
              <w:left w:val="single" w:sz="6" w:space="0" w:color="000000"/>
              <w:bottom w:val="nil" w:sz="6" w:space="0" w:color="auto"/>
              <w:right w:val="single" w:sz="6" w:space="0" w:color="000000"/>
            </w:tcBorders>
          </w:tcPr>
          <w:p>
            <w:pPr/>
          </w:p>
        </w:tc>
        <w:tc>
          <w:tcPr>
            <w:tcW w:w="1901" w:type="dxa"/>
            <w:tcBorders>
              <w:top w:val="nil" w:sz="6" w:space="0" w:color="auto"/>
              <w:left w:val="single" w:sz="6" w:space="0" w:color="000000"/>
              <w:bottom w:val="nil" w:sz="6" w:space="0" w:color="auto"/>
              <w:right w:val="single" w:sz="6" w:space="0" w:color="000000"/>
            </w:tcBorders>
          </w:tcPr>
          <w:p>
            <w:pP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品、林化产品的生产与销售；</w:t>
            </w:r>
          </w:p>
        </w:tc>
      </w:tr>
      <w:tr>
        <w:trPr>
          <w:trHeight w:val="272" w:hRule="exact"/>
        </w:trPr>
        <w:tc>
          <w:tcPr>
            <w:tcW w:w="1708" w:type="dxa"/>
            <w:tcBorders>
              <w:top w:val="nil" w:sz="6" w:space="0" w:color="auto"/>
              <w:left w:val="single" w:sz="6" w:space="0" w:color="000000"/>
              <w:bottom w:val="nil" w:sz="6" w:space="0" w:color="auto"/>
              <w:right w:val="single" w:sz="6" w:space="0" w:color="000000"/>
            </w:tcBorders>
          </w:tcPr>
          <w:p>
            <w:pPr/>
          </w:p>
        </w:tc>
        <w:tc>
          <w:tcPr>
            <w:tcW w:w="1400" w:type="dxa"/>
            <w:tcBorders>
              <w:top w:val="nil" w:sz="6" w:space="0" w:color="auto"/>
              <w:left w:val="single" w:sz="6" w:space="0" w:color="000000"/>
              <w:bottom w:val="nil" w:sz="6" w:space="0" w:color="auto"/>
              <w:right w:val="single" w:sz="6" w:space="0" w:color="000000"/>
            </w:tcBorders>
          </w:tcPr>
          <w:p>
            <w:pPr/>
          </w:p>
        </w:tc>
        <w:tc>
          <w:tcPr>
            <w:tcW w:w="1301" w:type="dxa"/>
            <w:tcBorders>
              <w:top w:val="nil" w:sz="6" w:space="0" w:color="auto"/>
              <w:left w:val="single" w:sz="6" w:space="0" w:color="000000"/>
              <w:bottom w:val="nil" w:sz="6" w:space="0" w:color="auto"/>
              <w:right w:val="single" w:sz="6" w:space="0" w:color="000000"/>
            </w:tcBorders>
          </w:tcPr>
          <w:p>
            <w:pPr/>
          </w:p>
        </w:tc>
        <w:tc>
          <w:tcPr>
            <w:tcW w:w="1901" w:type="dxa"/>
            <w:tcBorders>
              <w:top w:val="nil" w:sz="6" w:space="0" w:color="auto"/>
              <w:left w:val="single" w:sz="6" w:space="0" w:color="000000"/>
              <w:bottom w:val="nil" w:sz="6" w:space="0" w:color="auto"/>
              <w:right w:val="single" w:sz="6" w:space="0" w:color="000000"/>
            </w:tcBorders>
          </w:tcPr>
          <w:p>
            <w:pP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化工装备、化学清洗、防腐、</w:t>
            </w:r>
          </w:p>
        </w:tc>
      </w:tr>
      <w:tr>
        <w:trPr>
          <w:trHeight w:val="282" w:hRule="exact"/>
        </w:trPr>
        <w:tc>
          <w:tcPr>
            <w:tcW w:w="1708" w:type="dxa"/>
            <w:tcBorders>
              <w:top w:val="nil" w:sz="6" w:space="0" w:color="auto"/>
              <w:left w:val="single" w:sz="6" w:space="0" w:color="000000"/>
              <w:bottom w:val="single" w:sz="6" w:space="0" w:color="000000"/>
              <w:right w:val="single" w:sz="6" w:space="0" w:color="000000"/>
            </w:tcBorders>
          </w:tcPr>
          <w:p>
            <w:pPr/>
          </w:p>
        </w:tc>
        <w:tc>
          <w:tcPr>
            <w:tcW w:w="1400" w:type="dxa"/>
            <w:tcBorders>
              <w:top w:val="nil" w:sz="6" w:space="0" w:color="auto"/>
              <w:left w:val="single" w:sz="6" w:space="0" w:color="000000"/>
              <w:bottom w:val="single" w:sz="6" w:space="0" w:color="000000"/>
              <w:right w:val="single" w:sz="6" w:space="0" w:color="000000"/>
            </w:tcBorders>
          </w:tcPr>
          <w:p>
            <w:pPr/>
          </w:p>
        </w:tc>
        <w:tc>
          <w:tcPr>
            <w:tcW w:w="1301"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
        </w:tc>
        <w:tc>
          <w:tcPr>
            <w:tcW w:w="2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石油化工、水处理技术的研究、</w:t>
            </w:r>
          </w:p>
        </w:tc>
      </w:tr>
    </w:tbl>
    <w:p>
      <w:pPr>
        <w:spacing w:after="0" w:line="241" w:lineRule="exact"/>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708"/>
        <w:gridCol w:w="1400"/>
        <w:gridCol w:w="1301"/>
        <w:gridCol w:w="1901"/>
        <w:gridCol w:w="2990"/>
      </w:tblGrid>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开发、设计和施工；技术咨询、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信息服务、设备租赁。</w:t>
            </w:r>
          </w:p>
        </w:tc>
      </w:tr>
      <w:tr>
        <w:trPr>
          <w:trHeight w:val="279" w:hRule="exact"/>
        </w:trPr>
        <w:tc>
          <w:tcPr>
            <w:tcW w:w="1708" w:type="dxa"/>
            <w:tcBorders>
              <w:top w:val="single" w:sz="6" w:space="0" w:color="000000"/>
              <w:left w:val="single" w:sz="6" w:space="0" w:color="000000"/>
              <w:bottom w:val="nil" w:sz="6" w:space="0" w:color="auto"/>
              <w:right w:val="single" w:sz="6" w:space="0" w:color="000000"/>
            </w:tcBorders>
          </w:tcPr>
          <w:p>
            <w:pPr/>
          </w:p>
        </w:tc>
        <w:tc>
          <w:tcPr>
            <w:tcW w:w="1400" w:type="dxa"/>
            <w:tcBorders>
              <w:top w:val="single" w:sz="6" w:space="0" w:color="000000"/>
              <w:left w:val="single" w:sz="6" w:space="0" w:color="000000"/>
              <w:bottom w:val="nil" w:sz="6" w:space="0" w:color="auto"/>
              <w:right w:val="single" w:sz="6" w:space="0" w:color="000000"/>
            </w:tcBorders>
          </w:tcPr>
          <w:p>
            <w:pPr/>
          </w:p>
        </w:tc>
        <w:tc>
          <w:tcPr>
            <w:tcW w:w="1301" w:type="dxa"/>
            <w:tcBorders>
              <w:top w:val="single" w:sz="6" w:space="0" w:color="000000"/>
              <w:left w:val="single" w:sz="6" w:space="0" w:color="000000"/>
              <w:bottom w:val="nil" w:sz="6" w:space="0" w:color="auto"/>
              <w:right w:val="single" w:sz="6" w:space="0" w:color="000000"/>
            </w:tcBorders>
          </w:tcPr>
          <w:p>
            <w:pPr/>
          </w:p>
        </w:tc>
        <w:tc>
          <w:tcPr>
            <w:tcW w:w="1901" w:type="dxa"/>
            <w:tcBorders>
              <w:top w:val="single" w:sz="6" w:space="0" w:color="000000"/>
              <w:left w:val="single" w:sz="6" w:space="0" w:color="000000"/>
              <w:bottom w:val="nil" w:sz="6" w:space="0" w:color="auto"/>
              <w:right w:val="single" w:sz="6" w:space="0" w:color="000000"/>
            </w:tcBorders>
          </w:tcPr>
          <w:p>
            <w:pPr/>
          </w:p>
        </w:tc>
        <w:tc>
          <w:tcPr>
            <w:tcW w:w="299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化工原料、化工产品（不含危</w:t>
            </w:r>
          </w:p>
        </w:tc>
      </w:tr>
      <w:tr>
        <w:trPr>
          <w:trHeight w:val="817" w:hRule="exact"/>
        </w:trPr>
        <w:tc>
          <w:tcPr>
            <w:tcW w:w="1708"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中国昊华化工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（集团）总公司</w:t>
            </w:r>
          </w:p>
        </w:tc>
        <w:tc>
          <w:tcPr>
            <w:tcW w:w="140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傅向升</w:t>
            </w:r>
          </w:p>
        </w:tc>
        <w:tc>
          <w:tcPr>
            <w:tcW w:w="130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21"/>
                <w:szCs w:val="21"/>
              </w:rPr>
            </w:pPr>
            <w:r>
              <w:rPr>
                <w:rFonts w:ascii="宋体"/>
                <w:sz w:val="21"/>
              </w:rPr>
              <w:t>373,328</w:t>
            </w:r>
          </w:p>
        </w:tc>
        <w:tc>
          <w:tcPr>
            <w:tcW w:w="190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险化学品）、化学矿、石油化</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工、化工装备、机械、电子产 </w:t>
            </w:r>
            <w:r>
              <w:rPr>
                <w:rFonts w:ascii="宋体" w:hAnsi="宋体" w:cs="宋体" w:eastAsia="宋体" w:hint="default"/>
                <w:spacing w:val="-5"/>
                <w:sz w:val="21"/>
                <w:szCs w:val="21"/>
              </w:rPr>
              <w:t>品、仪器仪表、建材、纺织品、</w:t>
            </w:r>
          </w:p>
        </w:tc>
      </w:tr>
      <w:tr>
        <w:trPr>
          <w:trHeight w:val="281" w:hRule="exact"/>
        </w:trPr>
        <w:tc>
          <w:tcPr>
            <w:tcW w:w="1708" w:type="dxa"/>
            <w:tcBorders>
              <w:top w:val="nil" w:sz="6" w:space="0" w:color="auto"/>
              <w:left w:val="single" w:sz="6" w:space="0" w:color="000000"/>
              <w:bottom w:val="single" w:sz="6" w:space="0" w:color="000000"/>
              <w:right w:val="single" w:sz="6" w:space="0" w:color="000000"/>
            </w:tcBorders>
          </w:tcPr>
          <w:p>
            <w:pPr/>
          </w:p>
        </w:tc>
        <w:tc>
          <w:tcPr>
            <w:tcW w:w="1400" w:type="dxa"/>
            <w:tcBorders>
              <w:top w:val="nil" w:sz="6" w:space="0" w:color="auto"/>
              <w:left w:val="single" w:sz="6" w:space="0" w:color="000000"/>
              <w:bottom w:val="single" w:sz="6" w:space="0" w:color="000000"/>
              <w:right w:val="single" w:sz="6" w:space="0" w:color="000000"/>
            </w:tcBorders>
          </w:tcPr>
          <w:p>
            <w:pPr/>
          </w:p>
        </w:tc>
        <w:tc>
          <w:tcPr>
            <w:tcW w:w="1301" w:type="dxa"/>
            <w:tcBorders>
              <w:top w:val="nil" w:sz="6" w:space="0" w:color="auto"/>
              <w:left w:val="single" w:sz="6" w:space="0" w:color="000000"/>
              <w:bottom w:val="single" w:sz="6" w:space="0" w:color="000000"/>
              <w:right w:val="single" w:sz="6" w:space="0" w:color="000000"/>
            </w:tcBorders>
          </w:tcPr>
          <w:p>
            <w:pPr/>
          </w:p>
        </w:tc>
        <w:tc>
          <w:tcPr>
            <w:tcW w:w="1901" w:type="dxa"/>
            <w:tcBorders>
              <w:top w:val="nil" w:sz="6" w:space="0" w:color="auto"/>
              <w:left w:val="single" w:sz="6" w:space="0" w:color="000000"/>
              <w:bottom w:val="single" w:sz="6" w:space="0" w:color="000000"/>
              <w:right w:val="single" w:sz="6" w:space="0" w:color="000000"/>
            </w:tcBorders>
          </w:tcPr>
          <w:p>
            <w:pPr/>
          </w:p>
        </w:tc>
        <w:tc>
          <w:tcPr>
            <w:tcW w:w="299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轻工产品、林产品等。</w:t>
            </w:r>
          </w:p>
        </w:tc>
      </w:tr>
    </w:tbl>
    <w:p>
      <w:pPr>
        <w:spacing w:line="240" w:lineRule="auto" w:before="6"/>
        <w:rPr>
          <w:rFonts w:ascii="宋体" w:hAnsi="宋体" w:cs="宋体" w:eastAsia="宋体" w:hint="default"/>
          <w:sz w:val="15"/>
          <w:szCs w:val="15"/>
        </w:rPr>
      </w:pPr>
    </w:p>
    <w:p>
      <w:pPr>
        <w:pStyle w:val="BodyText"/>
        <w:spacing w:line="272" w:lineRule="exact" w:before="63"/>
        <w:ind w:left="560" w:right="3944" w:hanging="421"/>
        <w:jc w:val="left"/>
      </w:pPr>
      <w:r>
        <w:rPr/>
        <w:t>(3)</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171"/>
        <w:jc w:val="left"/>
      </w:pPr>
      <w:r>
        <w:rPr/>
        <w:t>(4)</w:t>
      </w:r>
      <w:r>
        <w:rPr>
          <w:spacing w:val="-2"/>
        </w:rPr>
        <w:t> </w:t>
      </w:r>
      <w:r>
        <w:rPr/>
        <w:t>公司与实际控制人之间的产权及控制关系的方框图</w:t>
      </w:r>
    </w:p>
    <w:p>
      <w:pPr>
        <w:spacing w:line="240" w:lineRule="auto" w:before="7"/>
        <w:rPr>
          <w:rFonts w:ascii="宋体" w:hAnsi="宋体" w:cs="宋体" w:eastAsia="宋体" w:hint="default"/>
          <w:sz w:val="2"/>
          <w:szCs w:val="2"/>
        </w:rPr>
      </w:pPr>
    </w:p>
    <w:p>
      <w:pPr>
        <w:spacing w:line="7230" w:lineRule="exact"/>
        <w:ind w:left="140" w:right="0" w:firstLine="0"/>
        <w:rPr>
          <w:rFonts w:ascii="宋体" w:hAnsi="宋体" w:cs="宋体" w:eastAsia="宋体" w:hint="default"/>
          <w:sz w:val="20"/>
          <w:szCs w:val="20"/>
        </w:rPr>
      </w:pPr>
      <w:r>
        <w:rPr>
          <w:rFonts w:ascii="宋体" w:hAnsi="宋体" w:cs="宋体" w:eastAsia="宋体" w:hint="default"/>
          <w:position w:val="-144"/>
          <w:sz w:val="20"/>
          <w:szCs w:val="20"/>
        </w:rPr>
        <w:drawing>
          <wp:inline distT="0" distB="0" distL="0" distR="0">
            <wp:extent cx="4457699" cy="45910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457699" cy="4591050"/>
                    </a:xfrm>
                    <a:prstGeom prst="rect">
                      <a:avLst/>
                    </a:prstGeom>
                  </pic:spPr>
                </pic:pic>
              </a:graphicData>
            </a:graphic>
          </wp:inline>
        </w:drawing>
      </w:r>
      <w:r>
        <w:rPr>
          <w:rFonts w:ascii="宋体" w:hAnsi="宋体" w:cs="宋体" w:eastAsia="宋体" w:hint="default"/>
          <w:position w:val="-144"/>
          <w:sz w:val="20"/>
          <w:szCs w:val="20"/>
        </w:rPr>
      </w:r>
    </w:p>
    <w:p>
      <w:pPr>
        <w:spacing w:line="240" w:lineRule="auto" w:before="3"/>
        <w:rPr>
          <w:rFonts w:ascii="宋体" w:hAnsi="宋体" w:cs="宋体" w:eastAsia="宋体" w:hint="default"/>
          <w:sz w:val="20"/>
          <w:szCs w:val="20"/>
        </w:rPr>
      </w:pPr>
    </w:p>
    <w:p>
      <w:pPr>
        <w:pStyle w:val="BodyText"/>
        <w:spacing w:line="272" w:lineRule="exact"/>
        <w:ind w:left="560" w:right="3314" w:hanging="421"/>
        <w:jc w:val="left"/>
      </w:pPr>
      <w:r>
        <w:rPr/>
        <w:t>3、其他持股在百分之十以上的法人股东 截止本报告期末公司无其他持股在百分之十以上的法人股东。</w:t>
      </w:r>
    </w:p>
    <w:p>
      <w:pPr>
        <w:spacing w:after="0" w:line="272"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1"/>
        <w:spacing w:line="274" w:lineRule="exact" w:before="35"/>
        <w:ind w:right="-19"/>
        <w:jc w:val="left"/>
        <w:rPr>
          <w:b w:val="0"/>
          <w:bCs w:val="0"/>
        </w:rPr>
      </w:pPr>
      <w:bookmarkStart w:name="_bookmark3" w:id="4"/>
      <w:bookmarkEnd w:id="4"/>
      <w:r>
        <w:rPr>
          <w:b w:val="0"/>
          <w:bCs w:val="0"/>
        </w:rPr>
      </w:r>
      <w:r>
        <w:rPr/>
        <w:t>五、董事、监事和高级管理人员</w:t>
      </w:r>
      <w:r>
        <w:rPr>
          <w:b w:val="0"/>
          <w:bCs w:val="0"/>
        </w:rPr>
      </w:r>
    </w:p>
    <w:p>
      <w:pPr>
        <w:pStyle w:val="BodyText"/>
        <w:spacing w:line="274" w:lineRule="exact"/>
        <w:ind w:right="-19"/>
        <w:jc w:val="left"/>
      </w:pPr>
      <w:r>
        <w:rPr/>
        <w:t>(一)</w:t>
      </w:r>
      <w:r>
        <w:rPr>
          <w:spacing w:val="-2"/>
        </w:rPr>
        <w:t> </w:t>
      </w:r>
      <w:r>
        <w:rPr/>
        <w:t>董事、监事、高级管理人员的情况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3815" w:space="4691"/>
            <w:col w:w="106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07"/>
        <w:gridCol w:w="1302"/>
        <w:gridCol w:w="400"/>
        <w:gridCol w:w="502"/>
        <w:gridCol w:w="1901"/>
        <w:gridCol w:w="899"/>
        <w:gridCol w:w="899"/>
        <w:gridCol w:w="700"/>
        <w:gridCol w:w="701"/>
        <w:gridCol w:w="1000"/>
      </w:tblGrid>
      <w:tr>
        <w:trPr>
          <w:trHeight w:val="2466"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4"/>
              <w:ind w:left="100" w:right="72"/>
              <w:jc w:val="left"/>
              <w:rPr>
                <w:rFonts w:ascii="宋体" w:hAnsi="宋体" w:cs="宋体" w:eastAsia="宋体" w:hint="default"/>
                <w:sz w:val="21"/>
                <w:szCs w:val="21"/>
              </w:rPr>
            </w:pPr>
            <w:r>
              <w:rPr>
                <w:rFonts w:ascii="宋体" w:hAnsi="宋体" w:cs="宋体" w:eastAsia="宋体" w:hint="default"/>
                <w:sz w:val="21"/>
                <w:szCs w:val="21"/>
              </w:rPr>
              <w:t>性 别</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4"/>
              <w:ind w:left="137" w:right="137"/>
              <w:jc w:val="left"/>
              <w:rPr>
                <w:rFonts w:ascii="宋体" w:hAnsi="宋体" w:cs="宋体" w:eastAsia="宋体" w:hint="default"/>
                <w:sz w:val="21"/>
                <w:szCs w:val="21"/>
              </w:rPr>
            </w:pPr>
            <w:r>
              <w:rPr>
                <w:rFonts w:ascii="宋体" w:hAnsi="宋体" w:cs="宋体" w:eastAsia="宋体" w:hint="default"/>
                <w:sz w:val="21"/>
                <w:szCs w:val="21"/>
              </w:rPr>
              <w:t>年 龄</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4"/>
              <w:ind w:left="231" w:right="125" w:hanging="105"/>
              <w:jc w:val="left"/>
              <w:rPr>
                <w:rFonts w:ascii="宋体" w:hAnsi="宋体" w:cs="宋体" w:eastAsia="宋体" w:hint="default"/>
                <w:sz w:val="21"/>
                <w:szCs w:val="21"/>
              </w:rPr>
            </w:pPr>
            <w:r>
              <w:rPr>
                <w:rFonts w:ascii="宋体" w:hAnsi="宋体" w:cs="宋体" w:eastAsia="宋体" w:hint="default"/>
                <w:sz w:val="21"/>
                <w:szCs w:val="21"/>
              </w:rPr>
              <w:t>年初持 股数</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4"/>
              <w:ind w:left="231" w:right="125" w:hanging="105"/>
              <w:jc w:val="left"/>
              <w:rPr>
                <w:rFonts w:ascii="宋体" w:hAnsi="宋体" w:cs="宋体" w:eastAsia="宋体" w:hint="default"/>
                <w:sz w:val="21"/>
                <w:szCs w:val="21"/>
              </w:rPr>
            </w:pPr>
            <w:r>
              <w:rPr>
                <w:rFonts w:ascii="宋体" w:hAnsi="宋体" w:cs="宋体" w:eastAsia="宋体" w:hint="default"/>
                <w:sz w:val="21"/>
                <w:szCs w:val="21"/>
              </w:rPr>
              <w:t>年末持 股数</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2"/>
              <w:ind w:left="132" w:right="131"/>
              <w:jc w:val="both"/>
              <w:rPr>
                <w:rFonts w:ascii="宋体" w:hAnsi="宋体" w:cs="宋体" w:eastAsia="宋体" w:hint="default"/>
                <w:sz w:val="21"/>
                <w:szCs w:val="21"/>
              </w:rPr>
            </w:pPr>
            <w:r>
              <w:rPr>
                <w:rFonts w:ascii="宋体" w:hAnsi="宋体" w:cs="宋体" w:eastAsia="宋体" w:hint="default"/>
                <w:sz w:val="21"/>
                <w:szCs w:val="21"/>
              </w:rPr>
              <w:t>是否 在公 司领 取报 酬、 津贴</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1"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2" w:lineRule="exact" w:before="26"/>
              <w:ind w:left="131" w:right="132"/>
              <w:jc w:val="both"/>
              <w:rPr>
                <w:rFonts w:ascii="宋体" w:hAnsi="宋体" w:cs="宋体" w:eastAsia="宋体" w:hint="default"/>
                <w:sz w:val="21"/>
                <w:szCs w:val="21"/>
              </w:rPr>
            </w:pPr>
            <w:r>
              <w:rPr>
                <w:rFonts w:ascii="宋体" w:hAnsi="宋体" w:cs="宋体" w:eastAsia="宋体" w:hint="default"/>
                <w:sz w:val="21"/>
                <w:szCs w:val="21"/>
              </w:rPr>
              <w:t>期内 从公 司领 取的 报酬 总额</w:t>
            </w:r>
          </w:p>
          <w:p>
            <w:pPr>
              <w:pStyle w:val="TableParagraph"/>
              <w:spacing w:line="272" w:lineRule="exact"/>
              <w:ind w:left="131" w:right="132"/>
              <w:jc w:val="both"/>
              <w:rPr>
                <w:rFonts w:ascii="宋体" w:hAnsi="宋体" w:cs="宋体" w:eastAsia="宋体" w:hint="default"/>
                <w:sz w:val="21"/>
                <w:szCs w:val="21"/>
              </w:rPr>
            </w:pPr>
            <w:r>
              <w:rPr>
                <w:rFonts w:ascii="宋体" w:hAnsi="宋体" w:cs="宋体" w:eastAsia="宋体" w:hint="default"/>
                <w:sz w:val="21"/>
                <w:szCs w:val="21"/>
              </w:rPr>
              <w:t>（万 元）</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00" w:right="42" w:hanging="57"/>
              <w:jc w:val="center"/>
              <w:rPr>
                <w:rFonts w:ascii="宋体" w:hAnsi="宋体" w:cs="宋体" w:eastAsia="宋体" w:hint="default"/>
                <w:sz w:val="21"/>
                <w:szCs w:val="21"/>
              </w:rPr>
            </w:pPr>
            <w:r>
              <w:rPr>
                <w:rFonts w:ascii="宋体" w:hAnsi="宋体" w:cs="宋体" w:eastAsia="宋体" w:hint="default"/>
                <w:sz w:val="21"/>
                <w:szCs w:val="21"/>
              </w:rPr>
              <w:t>是否在 股东单 位或其 他关联 单位领 取报酬、 津贴</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6,400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6,400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7.9</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许文祥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8.1</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张肃泉</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01"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徐维欣</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01"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吴德生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01"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朱勋绩</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6,400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6,400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6.1</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许兆林</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 平</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王玉伟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39</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赵玉水</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59</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01"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刘真俊</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李志良</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3.8</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刘亚芳</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3.8</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张连增</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阎树忠</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pacing w:val="-6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8.1</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张学发</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pacing w:val="-6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9,600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9,600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林</w:t>
              <w:tab/>
              <w:t>建</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pacing w:val="-6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5.8</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邢玉武</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pacing w:val="-6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9,600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王玉民</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pacing w:val="-6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董事、监事、高级管理人员最近</w:t>
      </w:r>
      <w:r>
        <w:rPr>
          <w:spacing w:val="-53"/>
        </w:rPr>
        <w:t> </w:t>
      </w:r>
      <w:r>
        <w:rPr/>
        <w:t>5</w:t>
      </w:r>
      <w:r>
        <w:rPr>
          <w:spacing w:val="-53"/>
        </w:rPr>
        <w:t> </w:t>
      </w:r>
      <w:r>
        <w:rPr/>
        <w:t>年的主要工作经历：</w:t>
      </w:r>
    </w:p>
    <w:p>
      <w:pPr>
        <w:pStyle w:val="BodyText"/>
        <w:spacing w:line="272" w:lineRule="exact" w:before="26"/>
        <w:ind w:right="106"/>
        <w:jc w:val="left"/>
      </w:pPr>
      <w:r>
        <w:rPr>
          <w:spacing w:val="-4"/>
        </w:rPr>
        <w:t>1.王宏伟：近</w:t>
      </w:r>
      <w:r>
        <w:rPr>
          <w:spacing w:val="-38"/>
        </w:rPr>
        <w:t> </w:t>
      </w:r>
      <w:r>
        <w:rPr/>
        <w:t>5</w:t>
      </w:r>
      <w:r>
        <w:rPr>
          <w:spacing w:val="-37"/>
        </w:rPr>
        <w:t> </w:t>
      </w:r>
      <w:r>
        <w:rPr>
          <w:spacing w:val="-3"/>
        </w:rPr>
        <w:t>年来历任黑龙江黑化集团有限公司董事、黑化股份公司董事、副总经理、董事会秘书，</w:t>
      </w:r>
      <w:r>
        <w:rPr>
          <w:spacing w:val="-101"/>
        </w:rPr>
        <w:t> </w:t>
      </w:r>
      <w:r>
        <w:rPr>
          <w:spacing w:val="-101"/>
        </w:rPr>
      </w:r>
      <w:r>
        <w:rPr/>
        <w:t>现任本公司董事长、总经理。</w:t>
      </w:r>
    </w:p>
    <w:p>
      <w:pPr>
        <w:pStyle w:val="BodyText"/>
        <w:spacing w:line="246" w:lineRule="exact"/>
        <w:ind w:right="103"/>
        <w:jc w:val="left"/>
      </w:pPr>
      <w:r>
        <w:rPr/>
        <w:t>2.许文祥：近</w:t>
      </w:r>
      <w:r>
        <w:rPr>
          <w:spacing w:val="-55"/>
        </w:rPr>
        <w:t> </w:t>
      </w:r>
      <w:r>
        <w:rPr/>
        <w:t>5</w:t>
      </w:r>
      <w:r>
        <w:rPr>
          <w:spacing w:val="-54"/>
        </w:rPr>
        <w:t> </w:t>
      </w:r>
      <w:r>
        <w:rPr/>
        <w:t>年来历任黑化集团公司副董事长、党委副书记，党委书记、现任本公司副董事长。</w:t>
      </w:r>
    </w:p>
    <w:p>
      <w:pPr>
        <w:pStyle w:val="BodyText"/>
        <w:spacing w:line="237" w:lineRule="auto" w:before="1"/>
        <w:ind w:right="103"/>
        <w:jc w:val="left"/>
      </w:pPr>
      <w:r>
        <w:rPr/>
        <w:t>3.张肃泉：历任甘肃地质矿产局运输科长，中国蓝星化学清洗总公司乌鲁木齐化学清洗研究所所长， 管理处、生产办公室处长、主任，蓝星星火化工厂副厂长，总经理助理兼哈尔滨石化总厂</w:t>
      </w:r>
      <w:r>
        <w:rPr>
          <w:spacing w:val="-69"/>
        </w:rPr>
        <w:t> </w:t>
      </w:r>
      <w:r>
        <w:rPr/>
        <w:t>厂长，蓝星</w:t>
      </w:r>
      <w:r>
        <w:rPr/>
        <w:t> 上海溶剂厂厂长；中车汽修(集团)总公司总经理、党委书记，中国化工集团公司地方事业部主任。现 任中国化工新材料总公司总经理、党委副书记，黑龙江黑化集团有限公司董事，本公司董事。 4.徐维欣：历任中国化学工程总公司干部部主任科员，化工部人事教育司干部管理处副处长、处长； 昊华总公司人事劳资部副主任、主任，兼国际事业部主任，昊华总公司总经理助理兼人事劳资部、国 际事业部主任，昊华总公司党委常委、副总经理兼工会主席；中国化工新材料总公司总经理兼党委书 记。现任中国化工新材料总公司党委书记、副总经理，黑龙江黑化集团有限公司董事，本公司董事。 5.吴德生：历任化工规划院化肥处干部、副处长，化工部国际合作司科技处副处长、处长，中国石油 </w:t>
      </w:r>
      <w:r>
        <w:rPr>
          <w:spacing w:val="-3"/>
        </w:rPr>
        <w:t>和化学工业协会处长，美国联亚集团公司业务发展部经理，中国化工建设总公司国际交流中心总经理，</w:t>
      </w:r>
      <w:r>
        <w:rPr>
          <w:spacing w:val="-74"/>
        </w:rPr>
        <w:t> </w:t>
      </w:r>
      <w:r>
        <w:rPr>
          <w:spacing w:val="-74"/>
        </w:rPr>
      </w:r>
      <w:r>
        <w:rPr/>
        <w:t>中国化工集团公司地方事业部处长。现任中国化工新材料总公司规划科技处处长、新疆中泰化学股份 有限公司董事、黑龙江黑化集团有限公司董事，本公司董事。</w:t>
      </w:r>
    </w:p>
    <w:p>
      <w:pPr>
        <w:pStyle w:val="BodyText"/>
        <w:spacing w:line="271" w:lineRule="exact"/>
        <w:ind w:right="103"/>
        <w:jc w:val="left"/>
      </w:pPr>
      <w:r>
        <w:rPr/>
        <w:t>6.朱勋绩：近</w:t>
      </w:r>
      <w:r>
        <w:rPr>
          <w:spacing w:val="-55"/>
        </w:rPr>
        <w:t> </w:t>
      </w:r>
      <w:r>
        <w:rPr/>
        <w:t>5</w:t>
      </w:r>
      <w:r>
        <w:rPr>
          <w:spacing w:val="-54"/>
        </w:rPr>
        <w:t> </w:t>
      </w:r>
      <w:r>
        <w:rPr/>
        <w:t>年来历任黑化集团公司副董事长、总工程师，现任本公司董事。</w:t>
      </w:r>
    </w:p>
    <w:p>
      <w:pPr>
        <w:pStyle w:val="BodyText"/>
        <w:spacing w:line="272" w:lineRule="exact" w:before="26"/>
        <w:ind w:right="204"/>
        <w:jc w:val="left"/>
      </w:pPr>
      <w:r>
        <w:rPr/>
        <w:t>7.许兆林：历任齐齐哈尔机床企业（集团）有限公司常务副董事长，并兼任齐齐哈尔卜奎会计师事务 所副董事长，现任本公司独立董事。</w:t>
      </w:r>
    </w:p>
    <w:p>
      <w:pPr>
        <w:pStyle w:val="BodyText"/>
        <w:spacing w:line="272" w:lineRule="exact"/>
        <w:ind w:right="103"/>
        <w:jc w:val="left"/>
      </w:pPr>
      <w:r>
        <w:rPr/>
        <w:t>8.吴</w:t>
      </w:r>
      <w:r>
        <w:rPr>
          <w:spacing w:val="-71"/>
        </w:rPr>
        <w:t> </w:t>
      </w:r>
      <w:r>
        <w:rPr/>
        <w:t>平：历任大庆石油管理局公共汽车公司财务科会计、副科长、科长，大庆石油管理局公共汽车公</w:t>
      </w:r>
      <w:r>
        <w:rPr/>
        <w:t> </w:t>
      </w:r>
      <w:r>
        <w:rPr>
          <w:spacing w:val="-3"/>
        </w:rPr>
        <w:t>司总会计师，大庆油田昆仑集团总会计师，大庆石油管理局财务资产部副经理，现任本公司独立董事。</w:t>
      </w:r>
      <w:r>
        <w:rPr>
          <w:spacing w:val="-75"/>
        </w:rPr>
        <w:t> </w:t>
      </w:r>
      <w:r>
        <w:rPr>
          <w:spacing w:val="-75"/>
        </w:rPr>
      </w:r>
      <w:r>
        <w:rPr/>
        <w:t>9.王玉伟：近</w:t>
      </w:r>
      <w:r>
        <w:rPr>
          <w:spacing w:val="-55"/>
        </w:rPr>
        <w:t> </w:t>
      </w:r>
      <w:r>
        <w:rPr/>
        <w:t>5</w:t>
      </w:r>
      <w:r>
        <w:rPr>
          <w:spacing w:val="-54"/>
        </w:rPr>
        <w:t> </w:t>
      </w:r>
      <w:r>
        <w:rPr/>
        <w:t>年来历任航天科技控股集团股份有限公司董事会秘书，现任本公司独立董事。</w:t>
      </w:r>
    </w:p>
    <w:p>
      <w:pPr>
        <w:pStyle w:val="BodyText"/>
        <w:spacing w:line="272" w:lineRule="exact"/>
        <w:ind w:right="105"/>
        <w:jc w:val="left"/>
      </w:pPr>
      <w:r>
        <w:rPr>
          <w:spacing w:val="-3"/>
        </w:rPr>
        <w:t>10.赵玉水：历任化工部教育司职工教育处副处长，中央赴云南讲师团副团长、分团团长，教育司职工</w:t>
      </w:r>
      <w:r>
        <w:rPr>
          <w:spacing w:val="-72"/>
        </w:rPr>
        <w:t> </w:t>
      </w:r>
      <w:r>
        <w:rPr>
          <w:spacing w:val="-72"/>
        </w:rPr>
      </w:r>
      <w:r>
        <w:rPr/>
        <w:t>教育处处长，化工部教育司副司长；昊华总公司经理部副总经理，昊华总公司党委、纪委委员，昊华 总公司总裁办（党办）副主任；中国化工新材料总公司党委副书记、纪委书记、副总经理，中国化工 新材料总公司党委书记，中国化工新材料总公司（中化化工科学技术研究总院）党委副书记兼纪委书 </w:t>
      </w:r>
      <w:r>
        <w:rPr>
          <w:spacing w:val="-5"/>
        </w:rPr>
        <w:t>记，中国化工新材料总公司副总经理、党委副书记、纪委书记</w:t>
      </w:r>
      <w:r>
        <w:rPr>
          <w:spacing w:val="-27"/>
        </w:rPr>
        <w:t> </w:t>
      </w:r>
      <w:r>
        <w:rPr>
          <w:spacing w:val="-3"/>
        </w:rPr>
        <w:t>。现任中国化工新材料总公司纪委书记、</w:t>
      </w:r>
      <w:r>
        <w:rPr>
          <w:spacing w:val="-99"/>
        </w:rPr>
        <w:t> </w:t>
      </w:r>
      <w:r>
        <w:rPr>
          <w:spacing w:val="-99"/>
        </w:rPr>
      </w:r>
      <w:r>
        <w:rPr/>
        <w:t>总经理助理兼监事处处长，本公司监事会主席。 </w:t>
      </w:r>
      <w:r>
        <w:rPr>
          <w:spacing w:val="-3"/>
        </w:rPr>
        <w:t>11.刘真俊：历任黑化集团公司人劳处副处长、厂办副主任、党办副主任、黑化党委组织部部长、企业</w:t>
      </w:r>
      <w:r>
        <w:rPr>
          <w:spacing w:val="-73"/>
        </w:rPr>
        <w:t> </w:t>
      </w:r>
      <w:r>
        <w:rPr>
          <w:spacing w:val="-73"/>
        </w:rPr>
      </w:r>
      <w:r>
        <w:rPr/>
        <w:t>文化部部长、政治部部长、总政工师，现任黑化集团公司工会主席，本公司监事。</w:t>
      </w:r>
    </w:p>
    <w:p>
      <w:pPr>
        <w:pStyle w:val="BodyText"/>
        <w:spacing w:line="272" w:lineRule="exact"/>
        <w:ind w:right="217"/>
        <w:jc w:val="both"/>
      </w:pPr>
      <w:r>
        <w:rPr>
          <w:spacing w:val="-4"/>
        </w:rPr>
        <w:t>12.李志良：近</w:t>
      </w:r>
      <w:r>
        <w:rPr>
          <w:spacing w:val="-38"/>
        </w:rPr>
        <w:t> </w:t>
      </w:r>
      <w:r>
        <w:rPr/>
        <w:t>5</w:t>
      </w:r>
      <w:r>
        <w:rPr>
          <w:spacing w:val="-37"/>
        </w:rPr>
        <w:t> </w:t>
      </w:r>
      <w:r>
        <w:rPr>
          <w:spacing w:val="-3"/>
        </w:rPr>
        <w:t>年来历任黑化集团公司质量管理处副处长、企业管理处处长、策划部部长助理、员工</w:t>
      </w:r>
      <w:r>
        <w:rPr>
          <w:spacing w:val="-101"/>
        </w:rPr>
        <w:t> </w:t>
      </w:r>
      <w:r>
        <w:rPr>
          <w:spacing w:val="-101"/>
        </w:rPr>
      </w:r>
      <w:r>
        <w:rPr/>
        <w:t>管理部副部长、价格质量管理部部长、企业管理部部长、副总经济师兼企管部部长、现任黑化集团副 总经济师兼集团总部经济总监，现任本公司监事。</w:t>
      </w:r>
    </w:p>
    <w:p>
      <w:pPr>
        <w:pStyle w:val="BodyText"/>
        <w:spacing w:line="245" w:lineRule="exact"/>
        <w:ind w:right="103"/>
        <w:jc w:val="left"/>
      </w:pPr>
      <w:r>
        <w:rPr>
          <w:spacing w:val="-5"/>
        </w:rPr>
        <w:t>13.刘亚芳：近</w:t>
      </w:r>
      <w:r>
        <w:rPr>
          <w:spacing w:val="-87"/>
        </w:rPr>
        <w:t> </w:t>
      </w:r>
      <w:r>
        <w:rPr/>
        <w:t>5</w:t>
      </w:r>
      <w:r>
        <w:rPr>
          <w:spacing w:val="-86"/>
        </w:rPr>
        <w:t> </w:t>
      </w:r>
      <w:r>
        <w:rPr/>
        <w:t>年来历任黑化集团公司财务管理中心主任，黑化集团公司财务公司副经理，黑化集团</w:t>
      </w:r>
    </w:p>
    <w:p>
      <w:pPr>
        <w:pStyle w:val="BodyText"/>
        <w:spacing w:line="272" w:lineRule="exact"/>
        <w:ind w:right="103"/>
        <w:jc w:val="left"/>
      </w:pPr>
      <w:r>
        <w:rPr/>
        <w:t>副总会计师兼财务公司经理，现任本公司总会计师。</w:t>
      </w:r>
    </w:p>
    <w:p>
      <w:pPr>
        <w:pStyle w:val="BodyText"/>
        <w:spacing w:line="272" w:lineRule="exact"/>
        <w:ind w:right="103"/>
        <w:jc w:val="left"/>
      </w:pPr>
      <w:r>
        <w:rPr/>
        <w:t>14.张连增：近</w:t>
      </w:r>
      <w:r>
        <w:rPr>
          <w:spacing w:val="-55"/>
        </w:rPr>
        <w:t> </w:t>
      </w:r>
      <w:r>
        <w:rPr/>
        <w:t>5</w:t>
      </w:r>
      <w:r>
        <w:rPr>
          <w:spacing w:val="-54"/>
        </w:rPr>
        <w:t> </w:t>
      </w:r>
      <w:r>
        <w:rPr/>
        <w:t>年来历任公司证券办主任、董事会证券事务代表。现任本公司董事会秘书。</w:t>
      </w:r>
    </w:p>
    <w:p>
      <w:pPr>
        <w:pStyle w:val="BodyText"/>
        <w:spacing w:line="272" w:lineRule="exact"/>
        <w:ind w:right="103"/>
        <w:jc w:val="left"/>
      </w:pPr>
      <w:r>
        <w:rPr/>
        <w:t>15.阎树忠：历任黑化集团公司董事长、党委书记、党委副书记、总经理，本公司董事长等职。</w:t>
      </w:r>
    </w:p>
    <w:p>
      <w:pPr>
        <w:pStyle w:val="BodyText"/>
        <w:spacing w:line="272" w:lineRule="exact"/>
        <w:ind w:right="103"/>
        <w:jc w:val="left"/>
      </w:pPr>
      <w:r>
        <w:rPr/>
        <w:t>16.张学发：历任黑化集团公司副董事长、执行董事、副总经理，本公司董事等职。</w:t>
      </w:r>
    </w:p>
    <w:p>
      <w:pPr>
        <w:pStyle w:val="BodyText"/>
        <w:tabs>
          <w:tab w:pos="875" w:val="left" w:leader="none"/>
        </w:tabs>
        <w:spacing w:line="272" w:lineRule="exact"/>
        <w:ind w:right="103"/>
        <w:jc w:val="left"/>
      </w:pPr>
      <w:r>
        <w:rPr/>
        <w:t>17.林</w:t>
        <w:tab/>
        <w:t>建：历任黑化集团公司总经济师、工会主席，安全总监，本公司董事等职。</w:t>
      </w:r>
    </w:p>
    <w:p>
      <w:pPr>
        <w:pStyle w:val="BodyText"/>
        <w:spacing w:line="272" w:lineRule="exact"/>
        <w:ind w:right="103"/>
        <w:jc w:val="left"/>
      </w:pPr>
      <w:r>
        <w:rPr/>
        <w:t>18.邢玉武：历任黑化集团公司纪委副书记、纪委书记，本公司监事会主席等职。</w:t>
      </w:r>
    </w:p>
    <w:p>
      <w:pPr>
        <w:pStyle w:val="BodyText"/>
        <w:spacing w:line="272" w:lineRule="exact" w:before="26"/>
        <w:ind w:right="103"/>
        <w:jc w:val="left"/>
      </w:pPr>
      <w:r>
        <w:rPr>
          <w:spacing w:val="-3"/>
        </w:rPr>
        <w:t>19.王玉民：历任黑化集团公司企管部部长助理、生活服务公司书记、工会副主席，现任黑化集团工会</w:t>
      </w:r>
      <w:r>
        <w:rPr>
          <w:spacing w:val="-72"/>
        </w:rPr>
        <w:t> </w:t>
      </w:r>
      <w:r>
        <w:rPr>
          <w:spacing w:val="-72"/>
        </w:rPr>
      </w:r>
      <w:r>
        <w:rPr/>
        <w:t>主管。</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在股东单位任职情况</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19"/>
        <w:gridCol w:w="1410"/>
        <w:gridCol w:w="1598"/>
        <w:gridCol w:w="1691"/>
        <w:gridCol w:w="1691"/>
        <w:gridCol w:w="1691"/>
      </w:tblGrid>
      <w:tr>
        <w:trPr>
          <w:trHeight w:val="55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17"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417"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6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许文祥</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党委书记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7</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朱勋绩</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7</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在其他单位任职情况</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46"/>
        <w:gridCol w:w="1343"/>
        <w:gridCol w:w="1535"/>
        <w:gridCol w:w="1784"/>
        <w:gridCol w:w="1572"/>
        <w:gridCol w:w="1820"/>
      </w:tblGrid>
      <w:tr>
        <w:trPr>
          <w:trHeight w:val="559"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4" w:right="0"/>
              <w:jc w:val="left"/>
              <w:rPr>
                <w:rFonts w:ascii="宋体" w:hAnsi="宋体" w:cs="宋体" w:eastAsia="宋体" w:hint="default"/>
                <w:sz w:val="21"/>
                <w:szCs w:val="21"/>
              </w:rPr>
            </w:pPr>
            <w:bookmarkStart w:name="_bookmark4" w:id="5"/>
            <w:bookmarkEnd w:id="5"/>
            <w:r>
              <w:rPr/>
            </w:r>
            <w:r>
              <w:rPr>
                <w:rFonts w:ascii="宋体" w:hAnsi="宋体" w:cs="宋体" w:eastAsia="宋体" w:hint="default"/>
                <w:sz w:val="21"/>
                <w:szCs w:val="21"/>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8"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83"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483"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279" w:hRule="exact"/>
        </w:trPr>
        <w:tc>
          <w:tcPr>
            <w:tcW w:w="1246"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大庆石油管</w:t>
            </w:r>
          </w:p>
        </w:tc>
        <w:tc>
          <w:tcPr>
            <w:tcW w:w="1535" w:type="dxa"/>
            <w:tcBorders>
              <w:top w:val="single" w:sz="6" w:space="0" w:color="000000"/>
              <w:left w:val="single" w:sz="6" w:space="0" w:color="000000"/>
              <w:bottom w:val="nil" w:sz="6" w:space="0" w:color="auto"/>
              <w:right w:val="single" w:sz="6" w:space="0" w:color="000000"/>
            </w:tcBorders>
          </w:tcPr>
          <w:p>
            <w:pPr/>
          </w:p>
        </w:tc>
        <w:tc>
          <w:tcPr>
            <w:tcW w:w="1784" w:type="dxa"/>
            <w:tcBorders>
              <w:top w:val="single" w:sz="6" w:space="0" w:color="000000"/>
              <w:left w:val="single" w:sz="6" w:space="0" w:color="000000"/>
              <w:bottom w:val="nil" w:sz="6" w:space="0" w:color="auto"/>
              <w:right w:val="single" w:sz="6" w:space="0" w:color="000000"/>
            </w:tcBorders>
          </w:tcPr>
          <w:p>
            <w:pPr/>
          </w:p>
        </w:tc>
        <w:tc>
          <w:tcPr>
            <w:tcW w:w="1572" w:type="dxa"/>
            <w:vMerge w:val="restart"/>
            <w:tcBorders>
              <w:top w:val="single" w:sz="6" w:space="0" w:color="000000"/>
              <w:left w:val="single" w:sz="6" w:space="0" w:color="000000"/>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246" w:type="dxa"/>
            <w:tcBorders>
              <w:top w:val="nil" w:sz="6" w:space="0" w:color="auto"/>
              <w:left w:val="single" w:sz="6" w:space="0" w:color="000000"/>
              <w:bottom w:val="nil" w:sz="6" w:space="0" w:color="auto"/>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w:t>
              <w:tab/>
              <w:t>平</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理局财务资</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副经理</w:t>
            </w:r>
          </w:p>
        </w:tc>
        <w:tc>
          <w:tcPr>
            <w:tcW w:w="178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3"/>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72" w:type="dxa"/>
            <w:vMerge/>
            <w:tcBorders>
              <w:left w:val="single" w:sz="6" w:space="0" w:color="000000"/>
              <w:right w:val="single" w:sz="6" w:space="0" w:color="000000"/>
            </w:tcBorders>
          </w:tcPr>
          <w:p>
            <w:pP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1" w:hRule="exact"/>
        </w:trPr>
        <w:tc>
          <w:tcPr>
            <w:tcW w:w="1246" w:type="dxa"/>
            <w:tcBorders>
              <w:top w:val="nil" w:sz="6" w:space="0" w:color="auto"/>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产部</w:t>
            </w:r>
          </w:p>
        </w:tc>
        <w:tc>
          <w:tcPr>
            <w:tcW w:w="1535" w:type="dxa"/>
            <w:tcBorders>
              <w:top w:val="nil" w:sz="6" w:space="0" w:color="auto"/>
              <w:left w:val="single" w:sz="6" w:space="0" w:color="000000"/>
              <w:bottom w:val="single" w:sz="6" w:space="0" w:color="000000"/>
              <w:right w:val="single" w:sz="6" w:space="0" w:color="000000"/>
            </w:tcBorders>
          </w:tcPr>
          <w:p>
            <w:pPr/>
          </w:p>
        </w:tc>
        <w:tc>
          <w:tcPr>
            <w:tcW w:w="1784" w:type="dxa"/>
            <w:tcBorders>
              <w:top w:val="nil" w:sz="6" w:space="0" w:color="auto"/>
              <w:left w:val="single" w:sz="6" w:space="0" w:color="000000"/>
              <w:bottom w:val="single" w:sz="6" w:space="0" w:color="000000"/>
              <w:right w:val="single" w:sz="6" w:space="0" w:color="000000"/>
            </w:tcBorders>
          </w:tcPr>
          <w:p>
            <w:pPr/>
          </w:p>
        </w:tc>
        <w:tc>
          <w:tcPr>
            <w:tcW w:w="1572" w:type="dxa"/>
            <w:vMerge/>
            <w:tcBorders>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833"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王玉伟</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航天科技控</w:t>
            </w:r>
          </w:p>
          <w:p>
            <w:pPr>
              <w:pStyle w:val="TableParagraph"/>
              <w:spacing w:line="272" w:lineRule="exact" w:before="26"/>
              <w:ind w:left="100" w:right="175"/>
              <w:jc w:val="left"/>
              <w:rPr>
                <w:rFonts w:ascii="宋体" w:hAnsi="宋体" w:cs="宋体" w:eastAsia="宋体" w:hint="default"/>
                <w:sz w:val="21"/>
                <w:szCs w:val="21"/>
              </w:rPr>
            </w:pPr>
            <w:r>
              <w:rPr>
                <w:rFonts w:ascii="宋体" w:hAnsi="宋体" w:cs="宋体" w:eastAsia="宋体" w:hint="default"/>
                <w:sz w:val="21"/>
                <w:szCs w:val="21"/>
              </w:rPr>
              <w:t>股集团股份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67"/>
              <w:jc w:val="left"/>
              <w:rPr>
                <w:rFonts w:ascii="宋体" w:hAnsi="宋体" w:cs="宋体" w:eastAsia="宋体" w:hint="default"/>
                <w:sz w:val="21"/>
                <w:szCs w:val="21"/>
              </w:rPr>
            </w:pPr>
            <w:r>
              <w:rPr>
                <w:rFonts w:ascii="宋体" w:hAnsi="宋体" w:cs="宋体" w:eastAsia="宋体" w:hint="default"/>
                <w:sz w:val="21"/>
                <w:szCs w:val="21"/>
              </w:rPr>
              <w:t>副总经理、 董事会秘书</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572"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72" w:lineRule="exact" w:before="63"/>
        <w:ind w:right="5309"/>
        <w:jc w:val="left"/>
      </w:pPr>
      <w:r>
        <w:rPr/>
        <w:t>(三)</w:t>
      </w:r>
      <w:r>
        <w:rPr>
          <w:spacing w:val="-1"/>
        </w:rPr>
        <w:t> </w:t>
      </w:r>
      <w:r>
        <w:rPr/>
        <w:t>董事、监事、高级管理人员报酬情况</w:t>
      </w:r>
      <w:r>
        <w:rPr/>
        <w:t> 1、董事、监事、高级管理人员报酬确定依据</w:t>
      </w:r>
    </w:p>
    <w:p>
      <w:pPr>
        <w:pStyle w:val="BodyText"/>
        <w:spacing w:line="245" w:lineRule="exact"/>
        <w:ind w:right="0"/>
        <w:jc w:val="left"/>
      </w:pPr>
      <w:r>
        <w:rPr/>
        <w:t>2008</w:t>
      </w:r>
      <w:r>
        <w:rPr>
          <w:spacing w:val="-21"/>
        </w:rPr>
        <w:t> </w:t>
      </w:r>
      <w:r>
        <w:rPr>
          <w:spacing w:val="-2"/>
        </w:rPr>
        <w:t>年在公司领取报酬的董事、监事及高级管理人员的年度报酬依据黑龙江省有关工资管理和等级标</w:t>
      </w:r>
    </w:p>
    <w:p>
      <w:pPr>
        <w:pStyle w:val="BodyText"/>
        <w:spacing w:line="475" w:lineRule="auto"/>
        <w:ind w:right="1214"/>
        <w:jc w:val="left"/>
      </w:pPr>
      <w:r>
        <w:rPr/>
        <w:pict>
          <v:shape style="position:absolute;margin-left:67.260002pt;margin-top:42.632946pt;width:466.1pt;height:72.6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10"/>
                    <w:gridCol w:w="4790"/>
                  </w:tblGrid>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不在公司领取报酬津贴的董事、监事的姓名</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是否在股东单位或其他关联单位领取报酬津贴</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张肃泉</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徐维欣</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吴德生</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赵玉水</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p>
              </w:txbxContent>
            </v:textbox>
            <w10:wrap type="none"/>
          </v:shape>
        </w:pict>
      </w:r>
      <w:r>
        <w:rPr/>
        <w:t>准的规定确定，按月发放工资。年终依据公司生产、经营等指标完成情况发放年终奖金。 2、不在公司领取报酬津贴的董事监事情况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171"/>
        <w:jc w:val="left"/>
      </w:pPr>
      <w:r>
        <w:rPr/>
        <w:t>(四)</w:t>
      </w:r>
      <w:r>
        <w:rPr>
          <w:spacing w:val="-2"/>
        </w:rPr>
        <w:t> </w:t>
      </w:r>
      <w:r>
        <w:rPr/>
        <w:t>公司董事、监事、高级管理人员变动情况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84"/>
        <w:gridCol w:w="3716"/>
        <w:gridCol w:w="3100"/>
      </w:tblGrid>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离任原因</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阎树忠</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张学发</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tabs>
                <w:tab w:pos="420"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w:t>
              <w:tab/>
              <w:t>建</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邢玉武</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王玉民</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w:t>
            </w:r>
          </w:p>
        </w:tc>
      </w:tr>
    </w:tbl>
    <w:p>
      <w:pPr>
        <w:spacing w:line="240" w:lineRule="auto" w:before="6"/>
        <w:rPr>
          <w:rFonts w:ascii="宋体" w:hAnsi="宋体" w:cs="宋体" w:eastAsia="宋体" w:hint="default"/>
          <w:sz w:val="15"/>
          <w:szCs w:val="15"/>
        </w:rPr>
      </w:pPr>
    </w:p>
    <w:p>
      <w:pPr>
        <w:pStyle w:val="BodyText"/>
        <w:spacing w:line="240" w:lineRule="auto" w:before="35"/>
        <w:ind w:right="171"/>
        <w:jc w:val="left"/>
      </w:pPr>
      <w:r>
        <w:rPr/>
        <w:t>(五)</w:t>
      </w:r>
      <w:r>
        <w:rPr>
          <w:spacing w:val="-2"/>
        </w:rPr>
        <w:t> </w:t>
      </w:r>
      <w:r>
        <w:rPr/>
        <w:t>公司员工情况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1166"/>
        <w:gridCol w:w="5303"/>
        <w:gridCol w:w="50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sz w:val="21"/>
              </w:rPr>
              <w:t>2,882</w:t>
            </w:r>
          </w:p>
        </w:tc>
        <w:tc>
          <w:tcPr>
            <w:tcW w:w="5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7"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72" w:lineRule="exact" w:before="63"/>
        <w:ind w:right="7724"/>
        <w:jc w:val="left"/>
      </w:pPr>
      <w:r>
        <w:rPr/>
        <w:t>员工的结构如下： 1、专业构成情况</w:t>
      </w:r>
    </w:p>
    <w:tbl>
      <w:tblPr>
        <w:tblW w:w="0" w:type="auto"/>
        <w:jc w:val="left"/>
        <w:tblInd w:w="125" w:type="dxa"/>
        <w:tblLayout w:type="fixed"/>
        <w:tblCellMar>
          <w:top w:w="0" w:type="dxa"/>
          <w:left w:w="0" w:type="dxa"/>
          <w:bottom w:w="0" w:type="dxa"/>
          <w:right w:w="0" w:type="dxa"/>
        </w:tblCellMar>
        <w:tblLook w:val="01E0"/>
      </w:tblPr>
      <w:tblGrid>
        <w:gridCol w:w="4603"/>
        <w:gridCol w:w="4697"/>
      </w:tblGrid>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1" w:right="0"/>
              <w:jc w:val="left"/>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8" w:right="0"/>
              <w:jc w:val="left"/>
              <w:rPr>
                <w:rFonts w:ascii="宋体" w:hAnsi="宋体" w:cs="宋体" w:eastAsia="宋体" w:hint="default"/>
                <w:sz w:val="21"/>
                <w:szCs w:val="21"/>
              </w:rPr>
            </w:pPr>
            <w:r>
              <w:rPr>
                <w:rFonts w:ascii="宋体"/>
                <w:sz w:val="21"/>
              </w:rPr>
              <w:t>2,468</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78</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282</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36</w:t>
            </w:r>
          </w:p>
        </w:tc>
      </w:tr>
    </w:tbl>
    <w:p>
      <w:pPr>
        <w:spacing w:line="240" w:lineRule="auto" w:before="1"/>
        <w:rPr>
          <w:rFonts w:ascii="宋体" w:hAnsi="宋体" w:cs="宋体" w:eastAsia="宋体" w:hint="default"/>
          <w:sz w:val="16"/>
          <w:szCs w:val="16"/>
        </w:rPr>
      </w:pPr>
    </w:p>
    <w:p>
      <w:pPr>
        <w:pStyle w:val="BodyText"/>
        <w:spacing w:line="240" w:lineRule="auto" w:before="35"/>
        <w:ind w:right="171"/>
        <w:jc w:val="left"/>
      </w:pPr>
      <w:r>
        <w:rPr/>
        <w:t>2、教育程度情况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研究生以上</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223</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970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1,680</w:t>
            </w:r>
          </w:p>
        </w:tc>
      </w:tr>
    </w:tbl>
    <w:p>
      <w:pPr>
        <w:spacing w:line="240" w:lineRule="auto" w:before="6"/>
        <w:rPr>
          <w:rFonts w:ascii="宋体" w:hAnsi="宋体" w:cs="宋体" w:eastAsia="宋体" w:hint="default"/>
          <w:sz w:val="15"/>
          <w:szCs w:val="15"/>
        </w:rPr>
      </w:pPr>
    </w:p>
    <w:p>
      <w:pPr>
        <w:spacing w:line="272" w:lineRule="exact" w:before="63"/>
        <w:ind w:left="140" w:right="7411"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spacing w:after="0" w:line="272"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103" w:firstLine="420"/>
        <w:jc w:val="left"/>
      </w:pPr>
      <w:r>
        <w:rPr/>
        <w:t>报告期内，公司严格按照《公司法》、《证券法》、《上市公司治理准则》和中国证监会证监公 司字［2007］28 号文《关于开展加强上市公司治理专项活动的有关事项的通知》、</w:t>
      </w:r>
      <w:r>
        <w:rPr>
          <w:spacing w:val="-3"/>
        </w:rPr>
        <w:t> </w:t>
      </w:r>
      <w:r>
        <w:rPr/>
        <w:t>中国证券监督管</w:t>
      </w:r>
      <w:r>
        <w:rPr/>
        <w:t> 理委员会[2008]27</w:t>
      </w:r>
      <w:r>
        <w:rPr>
          <w:spacing w:val="-70"/>
        </w:rPr>
        <w:t> </w:t>
      </w:r>
      <w:r>
        <w:rPr/>
        <w:t>号《关于公司治理专项活动公告的通知》等相关法律法规及通知的要求，结合本公</w:t>
      </w:r>
      <w:r>
        <w:rPr/>
        <w:t> </w:t>
      </w:r>
      <w:r>
        <w:rPr>
          <w:spacing w:val="-3"/>
        </w:rPr>
        <w:t>司实际情况，继续深入开展公司治理专项活动，使公司法人治理结构更加完善，公司运作也更加规范，</w:t>
      </w:r>
      <w:r>
        <w:rPr>
          <w:spacing w:val="-74"/>
        </w:rPr>
        <w:t> </w:t>
      </w:r>
      <w:r>
        <w:rPr>
          <w:spacing w:val="-74"/>
        </w:rPr>
      </w:r>
      <w:r>
        <w:rPr/>
        <w:t>公司治理的整体水平取得显著提高。主要体现在如下方面：</w:t>
      </w:r>
    </w:p>
    <w:p>
      <w:pPr>
        <w:pStyle w:val="BodyText"/>
        <w:spacing w:line="272" w:lineRule="exact"/>
        <w:ind w:right="103" w:firstLine="420"/>
        <w:jc w:val="left"/>
      </w:pPr>
      <w:r>
        <w:rPr>
          <w:spacing w:val="-3"/>
        </w:rPr>
        <w:t>1、关于股东与股东大会：公司严格按照中国证监会发布《股东大会规范意见》和《公司章程》的</w:t>
      </w:r>
      <w:r>
        <w:rPr/>
        <w:t> 有关规定召集、召开股东大会，使股东充分行使表决权，享有平等地位，确保股东的合法权益。</w:t>
      </w:r>
    </w:p>
    <w:p>
      <w:pPr>
        <w:pStyle w:val="BodyText"/>
        <w:spacing w:line="272" w:lineRule="exact"/>
        <w:ind w:right="220" w:firstLine="420"/>
        <w:jc w:val="both"/>
      </w:pPr>
      <w:r>
        <w:rPr>
          <w:spacing w:val="-3"/>
        </w:rPr>
        <w:t>2、关于控股股东与上市公司的关系：公司控股股东严格规范自身行为，通过股东大会行使出资人</w:t>
      </w:r>
      <w:r>
        <w:rPr/>
        <w:t> 权利，没有超越股东大会直接或间接干预公司的决策和经营活动。公司与控股股东在人员、资产、财 务、机构和业务方面已完全分开，公司董事会、监事会和经营管理机构均独立运作。公司与控股股东 进行的关联交易公平合理，均履行法定程序并及时进行信息披露。</w:t>
      </w:r>
    </w:p>
    <w:p>
      <w:pPr>
        <w:pStyle w:val="BodyText"/>
        <w:spacing w:line="245" w:lineRule="exact"/>
        <w:ind w:right="103" w:firstLine="420"/>
        <w:jc w:val="left"/>
      </w:pPr>
      <w:r>
        <w:rPr>
          <w:spacing w:val="-3"/>
        </w:rPr>
        <w:t>3、关于董事与董事会：公司严格按照《公司法》和《公司章程》规定的董事选聘程序选举董事和</w:t>
      </w:r>
    </w:p>
    <w:p>
      <w:pPr>
        <w:pStyle w:val="BodyText"/>
        <w:spacing w:line="272" w:lineRule="exact" w:before="26"/>
        <w:ind w:right="221"/>
        <w:jc w:val="both"/>
      </w:pPr>
      <w:r>
        <w:rPr/>
        <w:t>独立董事。报告期内，公司董事会组成人员为</w:t>
      </w:r>
      <w:r>
        <w:rPr>
          <w:spacing w:val="-54"/>
        </w:rPr>
        <w:t> </w:t>
      </w:r>
      <w:r>
        <w:rPr/>
        <w:t>9</w:t>
      </w:r>
      <w:r>
        <w:rPr>
          <w:spacing w:val="-53"/>
        </w:rPr>
        <w:t> </w:t>
      </w:r>
      <w:r>
        <w:rPr/>
        <w:t>人，其中独立董事</w:t>
      </w:r>
      <w:r>
        <w:rPr>
          <w:spacing w:val="-54"/>
        </w:rPr>
        <w:t> </w:t>
      </w:r>
      <w:r>
        <w:rPr/>
        <w:t>3</w:t>
      </w:r>
      <w:r>
        <w:rPr>
          <w:spacing w:val="-53"/>
        </w:rPr>
        <w:t> </w:t>
      </w:r>
      <w:r>
        <w:rPr/>
        <w:t>人，董事会的人数和人员构成符</w:t>
      </w:r>
      <w:r>
        <w:rPr/>
        <w:t> 合法律、法规的要求。全体董事认真出席董事会，履行诚信和勤勉职责，所做决策符合股东利益和公 司长远发展的需要。</w:t>
      </w:r>
    </w:p>
    <w:p>
      <w:pPr>
        <w:pStyle w:val="BodyText"/>
        <w:spacing w:line="272" w:lineRule="exact"/>
        <w:ind w:right="109" w:firstLine="420"/>
        <w:jc w:val="left"/>
      </w:pPr>
      <w:r>
        <w:rPr>
          <w:spacing w:val="-5"/>
        </w:rPr>
        <w:t>4、关于监事与监事会：公司严格按照《公司法》和《公司章程》规定的程序选举监事。报告期内，</w:t>
      </w:r>
      <w:r>
        <w:rPr/>
        <w:t> 公司监事会组成人员为</w:t>
      </w:r>
      <w:r>
        <w:rPr>
          <w:spacing w:val="-54"/>
        </w:rPr>
        <w:t> </w:t>
      </w:r>
      <w:r>
        <w:rPr/>
        <w:t>3</w:t>
      </w:r>
      <w:r>
        <w:rPr>
          <w:spacing w:val="-53"/>
        </w:rPr>
        <w:t> </w:t>
      </w:r>
      <w:r>
        <w:rPr/>
        <w:t>人，监事会的人数和人员构成符合法律、法规的要求。全体监事认真履行监</w:t>
      </w:r>
      <w:r>
        <w:rPr/>
        <w:t> 事职责，对公司重大事项、财务情况以及公司董事、高级管理人员履行职责的规范性、合法性进行监 督，以此来维护公司和股东的合法权益。</w:t>
      </w:r>
    </w:p>
    <w:p>
      <w:pPr>
        <w:pStyle w:val="BodyText"/>
        <w:spacing w:line="272" w:lineRule="exact"/>
        <w:ind w:right="103" w:firstLine="420"/>
        <w:jc w:val="left"/>
      </w:pPr>
      <w:r>
        <w:rPr>
          <w:spacing w:val="-3"/>
        </w:rPr>
        <w:t>5、关于利益相关者：公司能够充分尊重和维护银行等债权人、员工、销售客户、供应商等利益相</w:t>
      </w:r>
      <w:r>
        <w:rPr/>
        <w:t> 关者的合法权利；与利益相关者积极合作，互惠互利、共同推动公司持续稳定发展。</w:t>
      </w:r>
    </w:p>
    <w:p>
      <w:pPr>
        <w:pStyle w:val="BodyText"/>
        <w:spacing w:line="272" w:lineRule="exact"/>
        <w:ind w:right="109" w:firstLine="420"/>
        <w:jc w:val="left"/>
      </w:pPr>
      <w:r>
        <w:rPr>
          <w:spacing w:val="-5"/>
        </w:rPr>
        <w:t>6、关于信息披露与透明度：公司严格按照《股票上市规则》和《公司章程》的规定，真实、准确、</w:t>
      </w:r>
      <w:r>
        <w:rPr/>
        <w:t> 完整、及时地披露相关信息。</w:t>
      </w:r>
    </w:p>
    <w:p>
      <w:pPr>
        <w:pStyle w:val="BodyText"/>
        <w:spacing w:line="246" w:lineRule="exact"/>
        <w:ind w:left="560" w:right="103"/>
        <w:jc w:val="left"/>
      </w:pPr>
      <w:r>
        <w:rPr/>
        <w:t>7、公司治理专项活动</w:t>
      </w:r>
    </w:p>
    <w:p>
      <w:pPr>
        <w:pStyle w:val="BodyText"/>
        <w:spacing w:line="272" w:lineRule="exact" w:before="26"/>
        <w:ind w:right="103" w:firstLine="420"/>
        <w:jc w:val="left"/>
      </w:pPr>
      <w:r>
        <w:rPr/>
        <w:t>报告期内，根据中国证监会的要求和公司自身发展的需要，在巩固 2007</w:t>
      </w:r>
      <w:r>
        <w:rPr>
          <w:spacing w:val="-55"/>
        </w:rPr>
        <w:t> </w:t>
      </w:r>
      <w:r>
        <w:rPr/>
        <w:t>年公司治理专项活动成</w:t>
      </w:r>
      <w:r>
        <w:rPr/>
        <w:t> </w:t>
      </w:r>
      <w:r>
        <w:rPr>
          <w:spacing w:val="-5"/>
        </w:rPr>
        <w:t>果的基础上，公司严格对照《公司法》、《证券法》以及《公司章程》、《股东大会议事规则》、《董</w:t>
      </w:r>
      <w:r>
        <w:rPr>
          <w:spacing w:val="-96"/>
        </w:rPr>
        <w:t> </w:t>
      </w:r>
      <w:r>
        <w:rPr>
          <w:spacing w:val="-96"/>
        </w:rPr>
      </w:r>
      <w:r>
        <w:rPr/>
        <w:t>事会议事规则》、《监事会议事规则》等内部规章制度来规范公司运作、完善公司法人治理、以致公 司持续、健康发展。（《关于公司治理专项活动的整改报告》刊登在</w:t>
      </w:r>
      <w:r>
        <w:rPr>
          <w:spacing w:val="-59"/>
        </w:rPr>
        <w:t> </w:t>
      </w:r>
      <w:r>
        <w:rPr/>
        <w:t>2008</w:t>
      </w:r>
      <w:r>
        <w:rPr>
          <w:spacing w:val="-58"/>
        </w:rPr>
        <w:t> </w:t>
      </w:r>
      <w:r>
        <w:rPr/>
        <w:t>年</w:t>
      </w:r>
      <w:r>
        <w:rPr>
          <w:spacing w:val="-60"/>
        </w:rPr>
        <w:t> </w:t>
      </w:r>
      <w:r>
        <w:rPr/>
        <w:t>8</w:t>
      </w:r>
      <w:r>
        <w:rPr>
          <w:spacing w:val="-58"/>
        </w:rPr>
        <w:t> </w:t>
      </w:r>
      <w:r>
        <w:rPr/>
        <w:t>月</w:t>
      </w:r>
      <w:r>
        <w:rPr>
          <w:spacing w:val="-60"/>
        </w:rPr>
        <w:t> </w:t>
      </w:r>
      <w:r>
        <w:rPr/>
        <w:t>8</w:t>
      </w:r>
      <w:r>
        <w:rPr>
          <w:spacing w:val="-59"/>
        </w:rPr>
        <w:t> </w:t>
      </w:r>
      <w:r>
        <w:rPr/>
        <w:t>日的中国证券报、</w:t>
      </w:r>
      <w:r>
        <w:rPr>
          <w:spacing w:val="-1"/>
        </w:rPr>
        <w:t> </w:t>
      </w:r>
      <w:r>
        <w:rPr/>
        <w:t>上海证券报上。）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2" w:lineRule="exact"/>
        <w:ind w:right="6189"/>
        <w:jc w:val="left"/>
      </w:pPr>
      <w:r>
        <w:rPr/>
        <w:t>(二)</w:t>
      </w:r>
      <w:r>
        <w:rPr>
          <w:spacing w:val="-1"/>
        </w:rPr>
        <w:t> </w:t>
      </w:r>
      <w:r>
        <w:rPr/>
        <w:t>独立董事履行职责情况</w:t>
      </w:r>
      <w:r>
        <w:rPr/>
        <w:t> 1、独立董事参加董事会的出席情况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746"/>
        <w:gridCol w:w="1357"/>
        <w:gridCol w:w="1550"/>
        <w:gridCol w:w="1549"/>
        <w:gridCol w:w="1549"/>
        <w:gridCol w:w="1548"/>
      </w:tblGrid>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6"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4"/>
              <w:jc w:val="left"/>
              <w:rPr>
                <w:rFonts w:ascii="宋体" w:hAnsi="宋体" w:cs="宋体" w:eastAsia="宋体" w:hint="default"/>
                <w:sz w:val="21"/>
                <w:szCs w:val="21"/>
              </w:rPr>
            </w:pPr>
            <w:r>
              <w:rPr>
                <w:rFonts w:ascii="宋体" w:hAnsi="宋体" w:cs="宋体" w:eastAsia="宋体" w:hint="default"/>
                <w:spacing w:val="-5"/>
                <w:sz w:val="21"/>
                <w:szCs w:val="21"/>
              </w:rPr>
              <w:t>亲自出席（次）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4"/>
              <w:jc w:val="center"/>
              <w:rPr>
                <w:rFonts w:ascii="宋体" w:hAnsi="宋体" w:cs="宋体" w:eastAsia="宋体" w:hint="default"/>
                <w:sz w:val="21"/>
                <w:szCs w:val="21"/>
              </w:rPr>
            </w:pPr>
            <w:r>
              <w:rPr>
                <w:rFonts w:ascii="宋体" w:hAnsi="宋体" w:cs="宋体" w:eastAsia="宋体" w:hint="default"/>
                <w:spacing w:val="-5"/>
                <w:sz w:val="21"/>
                <w:szCs w:val="21"/>
              </w:rPr>
              <w:t>委托出席（次）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缺席（次）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缺席原因及其</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他说明</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许兆林</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w:t>
              <w:tab/>
              <w:t>平</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王玉伟</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6"/>
          <w:szCs w:val="16"/>
        </w:rPr>
      </w:pPr>
    </w:p>
    <w:p>
      <w:pPr>
        <w:pStyle w:val="BodyText"/>
        <w:spacing w:line="272" w:lineRule="exact" w:before="63"/>
        <w:ind w:left="560" w:right="414" w:hanging="420"/>
        <w:jc w:val="left"/>
      </w:pPr>
      <w:r>
        <w:rPr/>
        <w:t>2、独立董事对公司有关事项提出异议的情况 报告期内，公司独立董事勤勉尽职，积极出席公司董事会和股东大会，及时了解公司的生产经</w:t>
      </w:r>
    </w:p>
    <w:p>
      <w:pPr>
        <w:pStyle w:val="BodyText"/>
        <w:spacing w:line="272" w:lineRule="exact"/>
        <w:ind w:right="414"/>
        <w:jc w:val="left"/>
      </w:pPr>
      <w:r>
        <w:rPr/>
        <w:t>营信息，全面关注公司的发展状况，参与各项议案的审议，对公司重大事项发表事前意见和独立意 见，有效促进了董事会决策的客观性、科学性和规范运作。</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right="103"/>
        <w:jc w:val="left"/>
      </w:pPr>
      <w:r>
        <w:rPr/>
        <w:t>(三)</w:t>
      </w:r>
      <w:r>
        <w:rPr>
          <w:spacing w:val="-2"/>
        </w:rPr>
        <w:t> </w:t>
      </w:r>
      <w:r>
        <w:rPr/>
        <w:t>公司相对于控股股东在业务、人员、资产、机构、财务等方面的独立情况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50"/>
        <w:gridCol w:w="6950"/>
      </w:tblGrid>
      <w:tr>
        <w:trPr>
          <w:trHeight w:val="288"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业务方面独立情况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公司具有独立完整的业务和自主经营，拥有独立完整的采购和销售系统。</w:t>
            </w:r>
          </w:p>
        </w:tc>
      </w:tr>
      <w:tr>
        <w:trPr>
          <w:trHeight w:val="559"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人员方面独立情况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公司拥有独立的劳动人事管理部门，公司与控股股东在人员的管理和使用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完全分开。</w:t>
            </w:r>
          </w:p>
        </w:tc>
      </w:tr>
      <w:tr>
        <w:trPr>
          <w:trHeight w:val="288"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资产方面独立情况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公司拥有自己的生产系统和辅助性生产系统，公司资产权属清晰。</w:t>
            </w:r>
          </w:p>
        </w:tc>
      </w:tr>
      <w:tr>
        <w:trPr>
          <w:trHeight w:val="560"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机构方面独立情况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公司设立了独立健全的组织机构体系，公司董事会、监事会及职能部门各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司其职，独立运作，不存在与控股股东职能部门之间的从属关系。</w:t>
            </w:r>
          </w:p>
        </w:tc>
      </w:tr>
    </w:tbl>
    <w:p>
      <w:pPr>
        <w:spacing w:after="0" w:line="274" w:lineRule="exact"/>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589" w:lineRule="exact"/>
        <w:ind w:left="11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66.1pt;height:29.5pt;mso-position-horizontal-relative:char;mso-position-vertical-relative:line" coordorigin="0,0" coordsize="9322,590">
            <v:group style="position:absolute;left:7;top:14;width:2350;height:2" coordorigin="7,14" coordsize="2350,2">
              <v:shape style="position:absolute;left:7;top:14;width:2350;height:2" coordorigin="7,14" coordsize="2350,0" path="m7,14l2357,14e" filled="false" stroked="true" strokeweight=".72pt" strokecolor="#000000">
                <v:path arrowok="t"/>
              </v:shape>
            </v:group>
            <v:group style="position:absolute;left:2371;top:14;width:6936;height:2" coordorigin="2371,14" coordsize="6936,2">
              <v:shape style="position:absolute;left:2371;top:14;width:6936;height:2" coordorigin="2371,14" coordsize="6936,0" path="m2371,14l9307,14e" filled="false" stroked="true" strokeweight=".72pt" strokecolor="#000000">
                <v:path arrowok="t"/>
              </v:shape>
            </v:group>
            <v:group style="position:absolute;left:14;top:7;width:2;height:575" coordorigin="14,7" coordsize="2,575">
              <v:shape style="position:absolute;left:14;top:7;width:2;height:575" coordorigin="14,7" coordsize="0,575" path="m14,7l14,582e" filled="false" stroked="true" strokeweight=".72pt" strokecolor="#000000">
                <v:path arrowok="t"/>
              </v:shape>
            </v:group>
            <v:group style="position:absolute;left:7;top:575;width:2350;height:2" coordorigin="7,575" coordsize="2350,2">
              <v:shape style="position:absolute;left:7;top:575;width:2350;height:2" coordorigin="7,575" coordsize="2350,0" path="m7,575l2357,575e" filled="false" stroked="true" strokeweight=".72pt" strokecolor="#000000">
                <v:path arrowok="t"/>
              </v:shape>
            </v:group>
            <v:group style="position:absolute;left:2364;top:7;width:2;height:575" coordorigin="2364,7" coordsize="2,575">
              <v:shape style="position:absolute;left:2364;top:7;width:2;height:575" coordorigin="2364,7" coordsize="0,575" path="m2364,7l2364,582e" filled="false" stroked="true" strokeweight=".72pt" strokecolor="#000000">
                <v:path arrowok="t"/>
              </v:shape>
            </v:group>
            <v:group style="position:absolute;left:2371;top:575;width:6936;height:2" coordorigin="2371,575" coordsize="6936,2">
              <v:shape style="position:absolute;left:2371;top:575;width:6936;height:2" coordorigin="2371,575" coordsize="6936,0" path="m2371,575l9307,575e" filled="false" stroked="true" strokeweight=".72pt" strokecolor="#000000">
                <v:path arrowok="t"/>
              </v:shape>
            </v:group>
            <v:group style="position:absolute;left:9314;top:7;width:2;height:575" coordorigin="9314,7" coordsize="2,575">
              <v:shape style="position:absolute;left:9314;top:7;width:2;height:575" coordorigin="9314,7" coordsize="0,575" path="m9314,7l9314,582e" filled="false" stroked="true" strokeweight=".72pt" strokecolor="#000000">
                <v:path arrowok="t"/>
              </v:shape>
              <v:shape style="position:absolute;left:14;top:14;width:2350;height:561" type="#_x0000_t202" filled="false" stroked="false">
                <v:textbox inset="0,0,0,0">
                  <w:txbxContent>
                    <w:p>
                      <w:pPr>
                        <w:spacing w:before="108"/>
                        <w:ind w:left="333" w:right="0" w:firstLine="0"/>
                        <w:jc w:val="left"/>
                        <w:rPr>
                          <w:rFonts w:ascii="宋体" w:hAnsi="宋体" w:cs="宋体" w:eastAsia="宋体" w:hint="default"/>
                          <w:sz w:val="21"/>
                          <w:szCs w:val="21"/>
                        </w:rPr>
                      </w:pPr>
                      <w:bookmarkStart w:name="_bookmark5" w:id="6"/>
                      <w:bookmarkEnd w:id="6"/>
                      <w:r>
                        <w:rPr/>
                      </w:r>
                      <w:r>
                        <w:rPr>
                          <w:rFonts w:ascii="宋体" w:hAnsi="宋体" w:cs="宋体" w:eastAsia="宋体" w:hint="default"/>
                          <w:sz w:val="21"/>
                          <w:szCs w:val="21"/>
                        </w:rPr>
                        <w:t>财务方面独立情况</w:t>
                      </w:r>
                    </w:p>
                  </w:txbxContent>
                </v:textbox>
                <w10:wrap type="none"/>
              </v:shape>
              <v:shape style="position:absolute;left:2364;top:14;width:6951;height:561" type="#_x0000_t202" filled="false" stroked="false">
                <v:textbox inset="0,0,0,0">
                  <w:txbxContent>
                    <w:p>
                      <w:pPr>
                        <w:spacing w:line="272" w:lineRule="exact" w:before="0"/>
                        <w:ind w:left="107" w:right="120" w:firstLine="0"/>
                        <w:jc w:val="left"/>
                        <w:rPr>
                          <w:rFonts w:ascii="宋体" w:hAnsi="宋体" w:cs="宋体" w:eastAsia="宋体" w:hint="default"/>
                          <w:sz w:val="21"/>
                          <w:szCs w:val="21"/>
                        </w:rPr>
                      </w:pPr>
                      <w:r>
                        <w:rPr>
                          <w:rFonts w:ascii="宋体" w:hAnsi="宋体" w:cs="宋体" w:eastAsia="宋体" w:hint="default"/>
                          <w:sz w:val="21"/>
                          <w:szCs w:val="21"/>
                        </w:rPr>
                        <w:t>公司设有独立的财务部门，建立了独立的核算体系和财务管理制度，在银 行开设独立的帐户。</w:t>
                      </w:r>
                    </w:p>
                  </w:txbxContent>
                </v:textbox>
                <w10:wrap type="none"/>
              </v:shape>
            </v:group>
          </v:group>
        </w:pict>
      </w:r>
      <w:r>
        <w:rPr>
          <w:rFonts w:ascii="宋体" w:hAnsi="宋体" w:cs="宋体" w:eastAsia="宋体" w:hint="default"/>
          <w:position w:val="-11"/>
          <w:sz w:val="20"/>
          <w:szCs w:val="20"/>
        </w:rPr>
      </w:r>
    </w:p>
    <w:p>
      <w:pPr>
        <w:spacing w:line="240" w:lineRule="auto" w:before="12"/>
        <w:rPr>
          <w:rFonts w:ascii="宋体" w:hAnsi="宋体" w:cs="宋体" w:eastAsia="宋体" w:hint="default"/>
          <w:sz w:val="14"/>
          <w:szCs w:val="14"/>
        </w:rPr>
      </w:pPr>
    </w:p>
    <w:p>
      <w:pPr>
        <w:pStyle w:val="BodyText"/>
        <w:spacing w:line="272" w:lineRule="exact" w:before="63"/>
        <w:ind w:left="560" w:right="204" w:hanging="420"/>
        <w:jc w:val="left"/>
      </w:pPr>
      <w:r>
        <w:rPr/>
        <w:t>(四)公司内部控制制度的建立健全情况 公司基本建立健全内控制度，法人治理结构完善。报告期内，公司在生产经营、财务管理以及信</w:t>
      </w:r>
    </w:p>
    <w:p>
      <w:pPr>
        <w:pStyle w:val="BodyText"/>
        <w:spacing w:line="272" w:lineRule="exact"/>
        <w:ind w:right="103"/>
        <w:jc w:val="left"/>
      </w:pPr>
      <w:r>
        <w:rPr>
          <w:spacing w:val="-3"/>
        </w:rPr>
        <w:t>息披露上内控制度得到有效执行，切实做到了制度明确、执行有力、监督有效。随着公司业务的发展，</w:t>
      </w:r>
      <w:r>
        <w:rPr>
          <w:spacing w:val="-74"/>
        </w:rPr>
        <w:t> </w:t>
      </w:r>
      <w:r>
        <w:rPr>
          <w:spacing w:val="-74"/>
        </w:rPr>
      </w:r>
      <w:r>
        <w:rPr>
          <w:spacing w:val="-6"/>
        </w:rPr>
        <w:t>管理的精细化，内控制度仍需要继续完善，公司将在</w:t>
      </w:r>
      <w:r>
        <w:rPr>
          <w:spacing w:val="-55"/>
        </w:rPr>
        <w:t> </w:t>
      </w:r>
      <w:r>
        <w:rPr/>
        <w:t>2009</w:t>
      </w:r>
      <w:r>
        <w:rPr>
          <w:spacing w:val="-54"/>
        </w:rPr>
        <w:t> </w:t>
      </w:r>
      <w:r>
        <w:rPr/>
        <w:t>年度继续强化内控制度执行力度的同时将进</w:t>
      </w:r>
      <w:r>
        <w:rPr>
          <w:spacing w:val="-1"/>
        </w:rPr>
        <w:t> </w:t>
      </w:r>
      <w:r>
        <w:rPr/>
        <w:t>一步补充和完善公司的内部控制制度。</w:t>
      </w:r>
    </w:p>
    <w:p>
      <w:pPr>
        <w:spacing w:line="240" w:lineRule="auto" w:before="11"/>
        <w:rPr>
          <w:rFonts w:ascii="宋体" w:hAnsi="宋体" w:cs="宋体" w:eastAsia="宋体" w:hint="default"/>
          <w:sz w:val="20"/>
          <w:szCs w:val="20"/>
        </w:rPr>
      </w:pPr>
    </w:p>
    <w:p>
      <w:pPr>
        <w:pStyle w:val="BodyText"/>
        <w:spacing w:line="272" w:lineRule="exact"/>
        <w:ind w:right="1991"/>
        <w:jc w:val="left"/>
      </w:pPr>
      <w:r>
        <w:rPr/>
        <w:t>(五)</w:t>
      </w:r>
      <w:r>
        <w:rPr>
          <w:spacing w:val="-2"/>
        </w:rPr>
        <w:t> </w:t>
      </w:r>
      <w:r>
        <w:rPr/>
        <w:t>公司披露董事会对公司内部控制的自我评估报告和审计机构的核实评价意见</w:t>
      </w:r>
      <w:r>
        <w:rPr/>
        <w:t> 1、本公司不披露董事会对公司内部控制的自我评估报告。</w:t>
      </w:r>
    </w:p>
    <w:p>
      <w:pPr>
        <w:pStyle w:val="BodyText"/>
        <w:spacing w:line="544" w:lineRule="exact" w:before="54"/>
        <w:ind w:right="4509"/>
        <w:jc w:val="left"/>
      </w:pPr>
      <w:r>
        <w:rPr/>
        <w:t>2、审计机构未出具对公司内部控制的核实评价意见。 (六)</w:t>
      </w:r>
      <w:r>
        <w:rPr>
          <w:spacing w:val="-2"/>
        </w:rPr>
        <w:t> </w:t>
      </w:r>
      <w:r>
        <w:rPr/>
        <w:t>高级管理人员的考评及激励情况</w:t>
      </w:r>
    </w:p>
    <w:p>
      <w:pPr>
        <w:pStyle w:val="BodyText"/>
        <w:spacing w:line="193" w:lineRule="exact"/>
        <w:ind w:right="103"/>
        <w:jc w:val="left"/>
      </w:pPr>
      <w:r>
        <w:rPr/>
        <w:t>高级管理人员的考评及激励情况按照公司经济责任制考核办法和相关规定执行。</w:t>
      </w:r>
    </w:p>
    <w:p>
      <w:pPr>
        <w:spacing w:line="540" w:lineRule="atLeast" w:before="4"/>
        <w:ind w:left="140" w:right="5351"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2"/>
          <w:sz w:val="21"/>
          <w:szCs w:val="21"/>
        </w:rPr>
        <w:t> </w:t>
      </w:r>
      <w:r>
        <w:rPr>
          <w:rFonts w:ascii="宋体" w:hAnsi="宋体" w:cs="宋体" w:eastAsia="宋体" w:hint="default"/>
          <w:sz w:val="21"/>
          <w:szCs w:val="21"/>
        </w:rPr>
        <w:t>公司是否披露履行社会责任的报告：否</w:t>
      </w:r>
      <w:r>
        <w:rPr>
          <w:rFonts w:ascii="宋体" w:hAnsi="宋体" w:cs="宋体" w:eastAsia="宋体" w:hint="default"/>
          <w:sz w:val="21"/>
          <w:szCs w:val="21"/>
        </w:rPr>
        <w:t> </w:t>
      </w:r>
      <w:r>
        <w:rPr>
          <w:rFonts w:ascii="宋体" w:hAnsi="宋体" w:cs="宋体" w:eastAsia="宋体" w:hint="default"/>
          <w:b/>
          <w:bCs/>
          <w:sz w:val="21"/>
          <w:szCs w:val="21"/>
        </w:rPr>
        <w:t>七、股东大会情况简介</w:t>
      </w:r>
      <w:r>
        <w:rPr>
          <w:rFonts w:ascii="宋体" w:hAnsi="宋体" w:cs="宋体" w:eastAsia="宋体" w:hint="default"/>
          <w:sz w:val="21"/>
          <w:szCs w:val="21"/>
        </w:rPr>
      </w:r>
    </w:p>
    <w:p>
      <w:pPr>
        <w:pStyle w:val="BodyText"/>
        <w:spacing w:line="272" w:lineRule="exact"/>
        <w:ind w:right="103"/>
        <w:jc w:val="left"/>
      </w:pPr>
      <w:r>
        <w:rPr/>
        <w:t>(一)</w:t>
      </w:r>
      <w:r>
        <w:rPr>
          <w:spacing w:val="-2"/>
        </w:rPr>
        <w:t> </w:t>
      </w:r>
      <w:r>
        <w:rPr/>
        <w:t>年度股东大会情况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年度股东大会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38" w:lineRule="exact"/>
        <w:ind w:right="103"/>
        <w:jc w:val="left"/>
      </w:pPr>
      <w:r>
        <w:rPr/>
        <w:t>大会就董事会提交的议案以记名方式表决，并通过如下决议：</w:t>
      </w:r>
    </w:p>
    <w:p>
      <w:pPr>
        <w:pStyle w:val="BodyText"/>
        <w:spacing w:line="272" w:lineRule="exact"/>
        <w:ind w:right="103"/>
        <w:jc w:val="left"/>
      </w:pPr>
      <w:r>
        <w:rPr/>
        <w:t>1、《公司</w:t>
      </w:r>
      <w:r>
        <w:rPr>
          <w:spacing w:val="-55"/>
        </w:rPr>
        <w:t> </w:t>
      </w:r>
      <w:r>
        <w:rPr/>
        <w:t>2007</w:t>
      </w:r>
      <w:r>
        <w:rPr>
          <w:spacing w:val="-54"/>
        </w:rPr>
        <w:t> </w:t>
      </w:r>
      <w:r>
        <w:rPr/>
        <w:t>年度董事会工作报告》2、《公司</w:t>
      </w:r>
      <w:r>
        <w:rPr>
          <w:spacing w:val="-56"/>
        </w:rPr>
        <w:t> </w:t>
      </w:r>
      <w:r>
        <w:rPr/>
        <w:t>2007</w:t>
      </w:r>
      <w:r>
        <w:rPr>
          <w:spacing w:val="-54"/>
        </w:rPr>
        <w:t> </w:t>
      </w:r>
      <w:r>
        <w:rPr/>
        <w:t>年度监事会工作报告》3、《公司</w:t>
      </w:r>
      <w:r>
        <w:rPr>
          <w:spacing w:val="-55"/>
        </w:rPr>
        <w:t> </w:t>
      </w:r>
      <w:r>
        <w:rPr/>
        <w:t>2007</w:t>
      </w:r>
      <w:r>
        <w:rPr>
          <w:spacing w:val="-54"/>
        </w:rPr>
        <w:t> </w:t>
      </w:r>
      <w:r>
        <w:rPr/>
        <w:t>年年度</w:t>
      </w:r>
    </w:p>
    <w:p>
      <w:pPr>
        <w:pStyle w:val="BodyText"/>
        <w:spacing w:line="272" w:lineRule="exact"/>
        <w:ind w:right="103"/>
        <w:jc w:val="left"/>
      </w:pPr>
      <w:r>
        <w:rPr>
          <w:spacing w:val="-12"/>
        </w:rPr>
        <w:t>报告》及《年报摘要》4、《公司</w:t>
      </w:r>
      <w:r>
        <w:rPr>
          <w:spacing w:val="-49"/>
        </w:rPr>
        <w:t> </w:t>
      </w:r>
      <w:r>
        <w:rPr/>
        <w:t>2007</w:t>
      </w:r>
      <w:r>
        <w:rPr>
          <w:spacing w:val="-49"/>
        </w:rPr>
        <w:t> </w:t>
      </w:r>
      <w:r>
        <w:rPr>
          <w:spacing w:val="-7"/>
        </w:rPr>
        <w:t>年度财务决算报告》5、《关于续聘</w:t>
      </w:r>
      <w:r>
        <w:rPr>
          <w:spacing w:val="-49"/>
        </w:rPr>
        <w:t> </w:t>
      </w:r>
      <w:r>
        <w:rPr/>
        <w:t>2008</w:t>
      </w:r>
      <w:r>
        <w:rPr>
          <w:spacing w:val="-48"/>
        </w:rPr>
        <w:t> </w:t>
      </w:r>
      <w:r>
        <w:rPr/>
        <w:t>年审计机构及支付</w:t>
      </w:r>
      <w:r>
        <w:rPr>
          <w:spacing w:val="-49"/>
        </w:rPr>
        <w:t> </w:t>
      </w:r>
      <w:r>
        <w:rPr/>
        <w:t>2007</w:t>
      </w:r>
    </w:p>
    <w:p>
      <w:pPr>
        <w:pStyle w:val="BodyText"/>
        <w:spacing w:line="272" w:lineRule="exact" w:before="26"/>
        <w:ind w:right="103"/>
        <w:jc w:val="left"/>
      </w:pPr>
      <w:r>
        <w:rPr/>
        <w:t>年审计费用的议案》6、《公司</w:t>
      </w:r>
      <w:r>
        <w:rPr>
          <w:spacing w:val="-63"/>
        </w:rPr>
        <w:t> </w:t>
      </w:r>
      <w:r>
        <w:rPr/>
        <w:t>2007</w:t>
      </w:r>
      <w:r>
        <w:rPr>
          <w:spacing w:val="-63"/>
        </w:rPr>
        <w:t> </w:t>
      </w:r>
      <w:r>
        <w:rPr/>
        <w:t>年度利润分配预案》7、《公司</w:t>
      </w:r>
      <w:r>
        <w:rPr>
          <w:spacing w:val="-63"/>
        </w:rPr>
        <w:t> </w:t>
      </w:r>
      <w:r>
        <w:rPr/>
        <w:t>2008</w:t>
      </w:r>
      <w:r>
        <w:rPr>
          <w:spacing w:val="-63"/>
        </w:rPr>
        <w:t> </w:t>
      </w:r>
      <w:r>
        <w:rPr/>
        <w:t>年与黑化集团有限公司日常</w:t>
      </w:r>
      <w:r>
        <w:rPr>
          <w:spacing w:val="-1"/>
        </w:rPr>
        <w:t> </w:t>
      </w:r>
      <w:r>
        <w:rPr/>
        <w:t>关联交易预估金额的议案》。</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临时股东大会情况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13"/>
        <w:gridCol w:w="1897"/>
        <w:gridCol w:w="2942"/>
        <w:gridCol w:w="2848"/>
      </w:tblGrid>
      <w:tr>
        <w:trPr>
          <w:trHeight w:val="28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59"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年第一次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年第二次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38" w:lineRule="exact"/>
        <w:ind w:right="103"/>
        <w:jc w:val="left"/>
      </w:pPr>
      <w:r>
        <w:rPr/>
        <w:t>第一次临时股东大会就董事会提交的议案以记名方式表决，并通过如下决议：</w:t>
      </w:r>
    </w:p>
    <w:p>
      <w:pPr>
        <w:pStyle w:val="BodyText"/>
        <w:spacing w:line="272" w:lineRule="exact"/>
        <w:ind w:right="103"/>
        <w:jc w:val="left"/>
      </w:pPr>
      <w:r>
        <w:rPr>
          <w:spacing w:val="-5"/>
        </w:rPr>
        <w:t>1、《公司董事会换届议案》2、《关于公司聘任独立董事的议案》3、《关于调高独立董事津贴的议案》</w:t>
      </w:r>
    </w:p>
    <w:p>
      <w:pPr>
        <w:pStyle w:val="BodyText"/>
        <w:spacing w:line="272" w:lineRule="exact" w:before="26"/>
        <w:ind w:right="2304"/>
        <w:jc w:val="left"/>
      </w:pPr>
      <w:r>
        <w:rPr/>
        <w:t>4、《公司监事会换届议案》。 第二次临时股东大会就董事会提交的议案以记名方式表决，并通过如下决议：</w:t>
      </w:r>
    </w:p>
    <w:p>
      <w:pPr>
        <w:pStyle w:val="BodyText"/>
        <w:spacing w:line="248" w:lineRule="exact"/>
        <w:ind w:right="103"/>
        <w:jc w:val="left"/>
      </w:pPr>
      <w:r>
        <w:rPr/>
        <w:t>《本公司向中国化工集团公司提供反担保的关联交易议案》。</w:t>
      </w:r>
    </w:p>
    <w:p>
      <w:pPr>
        <w:spacing w:line="240" w:lineRule="auto" w:before="8"/>
        <w:rPr>
          <w:rFonts w:ascii="宋体" w:hAnsi="宋体" w:cs="宋体" w:eastAsia="宋体" w:hint="default"/>
          <w:sz w:val="20"/>
          <w:szCs w:val="20"/>
        </w:rPr>
      </w:pPr>
    </w:p>
    <w:p>
      <w:pPr>
        <w:pStyle w:val="Heading1"/>
        <w:spacing w:line="273" w:lineRule="exact"/>
        <w:ind w:right="103"/>
        <w:jc w:val="left"/>
        <w:rPr>
          <w:b w:val="0"/>
          <w:bCs w:val="0"/>
        </w:rPr>
      </w:pPr>
      <w:r>
        <w:rPr/>
        <w:t>八、董事会报告</w:t>
      </w:r>
      <w:r>
        <w:rPr>
          <w:b w:val="0"/>
          <w:bCs w:val="0"/>
        </w:rPr>
      </w:r>
    </w:p>
    <w:p>
      <w:pPr>
        <w:pStyle w:val="BodyText"/>
        <w:spacing w:line="272" w:lineRule="exact" w:before="26"/>
        <w:ind w:right="7029"/>
        <w:jc w:val="left"/>
      </w:pPr>
      <w:r>
        <w:rPr/>
        <w:t>(一)</w:t>
      </w:r>
      <w:r>
        <w:rPr>
          <w:spacing w:val="-1"/>
        </w:rPr>
        <w:t> </w:t>
      </w:r>
      <w:r>
        <w:rPr/>
        <w:t>管理层讨论与分析</w:t>
      </w:r>
      <w:r>
        <w:rPr/>
        <w:t> 1、报告期内总体经营情况</w:t>
      </w:r>
    </w:p>
    <w:p>
      <w:pPr>
        <w:pStyle w:val="BodyText"/>
        <w:spacing w:line="272" w:lineRule="exact"/>
        <w:ind w:right="221" w:firstLine="420"/>
        <w:jc w:val="both"/>
      </w:pPr>
      <w:r>
        <w:rPr/>
        <w:t>报告期内，公司管理层在董事会的领导下，以经济效益为中心，巩固一个基础，抓住两个重点， 落实三个指标，优化四个结构，克服复杂多变的经济形势给公司生产经营带来的难以预料的影响，并 通过加强生产管理，拓展营销渠道，根据市场变化及时调整生产运行方式，合理调配资金等措施来遏 止全球金融危机给公司生产经营造成的困难局面。</w:t>
      </w:r>
    </w:p>
    <w:p>
      <w:pPr>
        <w:pStyle w:val="BodyText"/>
        <w:spacing w:line="246" w:lineRule="exact"/>
        <w:ind w:left="456" w:right="103"/>
        <w:jc w:val="left"/>
      </w:pPr>
      <w:r>
        <w:rPr/>
        <w:t>（1）</w:t>
      </w:r>
      <w:r>
        <w:rPr>
          <w:spacing w:val="-3"/>
        </w:rPr>
        <w:t> </w:t>
      </w:r>
      <w:r>
        <w:rPr/>
        <w:t>公司主要经营指标完成情况</w:t>
      </w:r>
    </w:p>
    <w:p>
      <w:pPr>
        <w:pStyle w:val="BodyText"/>
        <w:spacing w:line="274" w:lineRule="exact"/>
        <w:ind w:left="560" w:right="103"/>
        <w:jc w:val="left"/>
      </w:pPr>
      <w:r>
        <w:rPr/>
        <w:t>报告期内，公司实现营业收入</w:t>
      </w:r>
      <w:r>
        <w:rPr>
          <w:spacing w:val="-55"/>
        </w:rPr>
        <w:t> </w:t>
      </w:r>
      <w:r>
        <w:rPr/>
        <w:t>178,064</w:t>
      </w:r>
      <w:r>
        <w:rPr>
          <w:spacing w:val="-54"/>
        </w:rPr>
        <w:t> </w:t>
      </w:r>
      <w:r>
        <w:rPr/>
        <w:t>万元，其中主营业务收入</w:t>
      </w:r>
      <w:r>
        <w:rPr>
          <w:spacing w:val="-55"/>
        </w:rPr>
        <w:t> </w:t>
      </w:r>
      <w:r>
        <w:rPr/>
        <w:t>157,710</w:t>
      </w:r>
      <w:r>
        <w:rPr>
          <w:spacing w:val="-54"/>
        </w:rPr>
        <w:t> </w:t>
      </w:r>
      <w:r>
        <w:rPr/>
        <w:t>万元，营业收入比上年</w:t>
      </w:r>
    </w:p>
    <w:p>
      <w:pPr>
        <w:spacing w:after="0" w:line="274"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41"/>
        <w:jc w:val="both"/>
      </w:pPr>
      <w:r>
        <w:rPr/>
        <w:t>同期上升</w:t>
      </w:r>
      <w:r>
        <w:rPr>
          <w:spacing w:val="-49"/>
        </w:rPr>
        <w:t> </w:t>
      </w:r>
      <w:r>
        <w:rPr>
          <w:spacing w:val="-3"/>
        </w:rPr>
        <w:t>34.08%，营业收入增加的原因为焦炭和尿素产品售价增加所致；利润总额-4,844</w:t>
      </w:r>
      <w:r>
        <w:rPr>
          <w:spacing w:val="-48"/>
        </w:rPr>
        <w:t> </w:t>
      </w:r>
      <w:r>
        <w:rPr>
          <w:spacing w:val="-8"/>
        </w:rPr>
        <w:t>万元，比上</w:t>
      </w:r>
      <w:r>
        <w:rPr>
          <w:spacing w:val="-101"/>
        </w:rPr>
        <w:t> </w:t>
      </w:r>
      <w:r>
        <w:rPr>
          <w:spacing w:val="-101"/>
        </w:rPr>
      </w:r>
      <w:r>
        <w:rPr/>
        <w:t>年同期下降</w:t>
      </w:r>
      <w:r>
        <w:rPr>
          <w:spacing w:val="-54"/>
        </w:rPr>
        <w:t> </w:t>
      </w:r>
      <w:r>
        <w:rPr/>
        <w:t>330.02%，净利润-5,423</w:t>
      </w:r>
      <w:r>
        <w:rPr>
          <w:spacing w:val="-54"/>
        </w:rPr>
        <w:t> </w:t>
      </w:r>
      <w:r>
        <w:rPr/>
        <w:t>万元，比上年同期下降</w:t>
      </w:r>
      <w:r>
        <w:rPr>
          <w:spacing w:val="-54"/>
        </w:rPr>
        <w:t> </w:t>
      </w:r>
      <w:r>
        <w:rPr/>
        <w:t>557.95%，利润减少的主要原因为主产品</w:t>
      </w:r>
      <w:r>
        <w:rPr/>
        <w:t> 毛利减少及资产减值损失增加所致。</w:t>
      </w:r>
    </w:p>
    <w:p>
      <w:pPr>
        <w:spacing w:line="240" w:lineRule="auto" w:before="0"/>
        <w:rPr>
          <w:rFonts w:ascii="宋体" w:hAnsi="宋体" w:cs="宋体" w:eastAsia="宋体" w:hint="default"/>
          <w:sz w:val="16"/>
          <w:szCs w:val="16"/>
        </w:rPr>
      </w:pPr>
    </w:p>
    <w:p>
      <w:pPr>
        <w:pStyle w:val="BodyText"/>
        <w:spacing w:line="274" w:lineRule="exact" w:before="35"/>
        <w:ind w:left="246" w:right="0"/>
        <w:jc w:val="left"/>
      </w:pPr>
      <w:r>
        <w:rPr/>
        <w:t>主营业务分产品情况</w:t>
      </w:r>
    </w:p>
    <w:p>
      <w:pPr>
        <w:pStyle w:val="BodyText"/>
        <w:tabs>
          <w:tab w:pos="7277" w:val="left" w:leader="none"/>
        </w:tabs>
        <w:spacing w:line="274" w:lineRule="exact"/>
        <w:ind w:left="6333" w:right="0"/>
        <w:jc w:val="lef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35" w:type="dxa"/>
        <w:tblLayout w:type="fixed"/>
        <w:tblCellMar>
          <w:top w:w="0" w:type="dxa"/>
          <w:left w:w="0" w:type="dxa"/>
          <w:bottom w:w="0" w:type="dxa"/>
          <w:right w:w="0" w:type="dxa"/>
        </w:tblCellMar>
        <w:tblLook w:val="01E0"/>
      </w:tblPr>
      <w:tblGrid>
        <w:gridCol w:w="2767"/>
        <w:gridCol w:w="2759"/>
        <w:gridCol w:w="2789"/>
      </w:tblGrid>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业务项目</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hAnsi="宋体" w:cs="宋体" w:eastAsia="宋体" w:hint="default"/>
                <w:spacing w:val="-1"/>
                <w:sz w:val="21"/>
                <w:szCs w:val="21"/>
              </w:rPr>
              <w:t>主营业务收入</w:t>
            </w:r>
            <w:r>
              <w:rPr>
                <w:rFonts w:ascii="宋体" w:hAnsi="宋体" w:cs="宋体" w:eastAsia="宋体" w:hint="default"/>
                <w:sz w:val="21"/>
                <w:szCs w:val="21"/>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占主营业务收入比例(%)</w:t>
            </w:r>
            <w:r>
              <w:rPr>
                <w:rFonts w:ascii="宋体" w:hAnsi="宋体" w:cs="宋体" w:eastAsia="宋体" w:hint="default"/>
                <w:sz w:val="21"/>
                <w:szCs w:val="21"/>
              </w:rPr>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45,204,550.19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2.87</w:t>
            </w:r>
          </w:p>
        </w:tc>
      </w:tr>
      <w:tr>
        <w:trPr>
          <w:trHeight w:val="283"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52,519,295.72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3.33</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1,455,503.77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0.09</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1,022,604,581.99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64.84</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116,598,043.15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7.39</w:t>
            </w:r>
          </w:p>
        </w:tc>
      </w:tr>
      <w:tr>
        <w:trPr>
          <w:trHeight w:val="283"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68,669,825.86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4.35</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6,351,828.77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0.40</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255,714,412.43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16.21</w:t>
            </w:r>
          </w:p>
        </w:tc>
      </w:tr>
      <w:tr>
        <w:trPr>
          <w:trHeight w:val="283"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813,937.60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0.05</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7,163,374.13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0.45</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1,577,095,353.61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7280" w:val="left" w:leader="none"/>
        </w:tabs>
        <w:spacing w:line="240" w:lineRule="auto" w:before="35"/>
        <w:ind w:left="6336" w:right="0"/>
        <w:jc w:val="lef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35" w:type="dxa"/>
        <w:tblLayout w:type="fixed"/>
        <w:tblCellMar>
          <w:top w:w="0" w:type="dxa"/>
          <w:left w:w="0" w:type="dxa"/>
          <w:bottom w:w="0" w:type="dxa"/>
          <w:right w:w="0" w:type="dxa"/>
        </w:tblCellMar>
        <w:tblLook w:val="01E0"/>
      </w:tblPr>
      <w:tblGrid>
        <w:gridCol w:w="2767"/>
        <w:gridCol w:w="2759"/>
        <w:gridCol w:w="2789"/>
      </w:tblGrid>
      <w:tr>
        <w:trPr>
          <w:trHeight w:val="283"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业务项目</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hAnsi="宋体" w:cs="宋体" w:eastAsia="宋体" w:hint="default"/>
                <w:spacing w:val="-1"/>
                <w:sz w:val="21"/>
                <w:szCs w:val="21"/>
              </w:rPr>
              <w:t>主营业务利润</w:t>
            </w:r>
            <w:r>
              <w:rPr>
                <w:rFonts w:ascii="宋体" w:hAnsi="宋体" w:cs="宋体" w:eastAsia="宋体" w:hint="default"/>
                <w:sz w:val="21"/>
                <w:szCs w:val="21"/>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占主营业务利润比例(%)</w:t>
            </w:r>
            <w:r>
              <w:rPr>
                <w:rFonts w:ascii="宋体" w:hAnsi="宋体" w:cs="宋体" w:eastAsia="宋体" w:hint="default"/>
                <w:sz w:val="21"/>
                <w:szCs w:val="21"/>
              </w:rPr>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-11,373.88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-0.01</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2,361,764.82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2.39</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8,889.01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0.01</w:t>
            </w:r>
          </w:p>
        </w:tc>
      </w:tr>
      <w:tr>
        <w:trPr>
          <w:trHeight w:val="283"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137,406,295.42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139.30</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-4,220,517.22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-4.28</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-12,149,435.64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-12.32</w:t>
            </w:r>
          </w:p>
        </w:tc>
      </w:tr>
      <w:tr>
        <w:trPr>
          <w:trHeight w:val="283"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-7,318,342.22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-7.42</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-18,172,413.75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-18.42</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sz w:val="21"/>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738,747.46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0.75</w:t>
            </w:r>
          </w:p>
        </w:tc>
      </w:tr>
      <w:tr>
        <w:trPr>
          <w:trHeight w:val="282" w:hRule="exact"/>
        </w:trPr>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pacing w:val="-1"/>
                <w:sz w:val="21"/>
              </w:rPr>
              <w:t>98,643,614.00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pacing w:val="-1"/>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0"/>
        <w:jc w:val="left"/>
      </w:pPr>
      <w:r>
        <w:rPr/>
        <w:t>（2）公司主营业务及其经营状况</w:t>
      </w:r>
    </w:p>
    <w:p>
      <w:pPr>
        <w:pStyle w:val="BodyText"/>
        <w:spacing w:line="272" w:lineRule="exact" w:before="26"/>
        <w:ind w:left="560" w:right="124"/>
        <w:jc w:val="left"/>
      </w:pPr>
      <w:r>
        <w:rPr/>
        <w:t>①公司主营业务经营情况的说明 公司所属行业为炼焦业及煤化工行业。公司经营范围是生产与销售焦炭及焦化产品、化学肥料、</w:t>
      </w:r>
    </w:p>
    <w:p>
      <w:pPr>
        <w:pStyle w:val="BodyText"/>
        <w:spacing w:line="248" w:lineRule="exact"/>
        <w:ind w:right="0"/>
        <w:jc w:val="left"/>
      </w:pPr>
      <w:r>
        <w:rPr/>
        <w:t>甲醇等。公司是东北三省及内蒙古东部地区重要的煤化工基地。</w:t>
      </w:r>
    </w:p>
    <w:p>
      <w:pPr>
        <w:spacing w:line="240" w:lineRule="auto" w:before="12"/>
        <w:rPr>
          <w:rFonts w:ascii="宋体" w:hAnsi="宋体" w:cs="宋体" w:eastAsia="宋体" w:hint="default"/>
          <w:sz w:val="17"/>
          <w:szCs w:val="17"/>
        </w:rPr>
      </w:pPr>
    </w:p>
    <w:p>
      <w:pPr>
        <w:pStyle w:val="BodyText"/>
        <w:spacing w:line="274" w:lineRule="exact" w:before="35"/>
        <w:ind w:left="455" w:right="0"/>
        <w:jc w:val="left"/>
      </w:pPr>
      <w:r>
        <w:rPr/>
        <w:t>②占主营业务收入或主营业务利润总额</w:t>
      </w:r>
      <w:r>
        <w:rPr>
          <w:spacing w:val="-57"/>
        </w:rPr>
        <w:t> </w:t>
      </w:r>
      <w:r>
        <w:rPr/>
        <w:t>10%以上的主要产品</w:t>
      </w:r>
    </w:p>
    <w:p>
      <w:pPr>
        <w:pStyle w:val="BodyText"/>
        <w:tabs>
          <w:tab w:pos="7277" w:val="left" w:leader="none"/>
        </w:tabs>
        <w:spacing w:line="274" w:lineRule="exact"/>
        <w:ind w:left="6333" w:right="0"/>
        <w:jc w:val="lef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35" w:type="dxa"/>
        <w:tblLayout w:type="fixed"/>
        <w:tblCellMar>
          <w:top w:w="0" w:type="dxa"/>
          <w:left w:w="0" w:type="dxa"/>
          <w:bottom w:w="0" w:type="dxa"/>
          <w:right w:w="0" w:type="dxa"/>
        </w:tblCellMar>
        <w:tblLook w:val="01E0"/>
      </w:tblPr>
      <w:tblGrid>
        <w:gridCol w:w="1968"/>
        <w:gridCol w:w="2154"/>
        <w:gridCol w:w="2154"/>
        <w:gridCol w:w="2039"/>
      </w:tblGrid>
      <w:tr>
        <w:trPr>
          <w:trHeight w:val="28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分产品</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41" w:right="0"/>
              <w:jc w:val="left"/>
              <w:rPr>
                <w:rFonts w:ascii="宋体" w:hAnsi="宋体" w:cs="宋体" w:eastAsia="宋体" w:hint="default"/>
                <w:sz w:val="21"/>
                <w:szCs w:val="21"/>
              </w:rPr>
            </w:pPr>
            <w:r>
              <w:rPr>
                <w:rFonts w:ascii="宋体" w:hAnsi="宋体" w:cs="宋体" w:eastAsia="宋体" w:hint="default"/>
                <w:sz w:val="21"/>
                <w:szCs w:val="21"/>
              </w:rPr>
              <w:t>毛利率(%)</w:t>
            </w:r>
          </w:p>
        </w:tc>
      </w:tr>
      <w:tr>
        <w:trPr>
          <w:trHeight w:val="28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1,022,604,581.99</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885,198,286.57</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13.44</w:t>
            </w: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68,669,825.86</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80,819,261.50</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-17.69</w:t>
            </w:r>
          </w:p>
        </w:tc>
      </w:tr>
      <w:tr>
        <w:trPr>
          <w:trHeight w:val="28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255,714,412.43</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273,886,826.18</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-7.11</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③主要供应商和客户情况</w:t>
      </w:r>
    </w:p>
    <w:p>
      <w:pPr>
        <w:pStyle w:val="BodyText"/>
        <w:tabs>
          <w:tab w:pos="943" w:val="left" w:leader="none"/>
        </w:tabs>
        <w:spacing w:line="274" w:lineRule="exact"/>
        <w:ind w:left="0" w:right="775"/>
        <w:jc w:val="right"/>
      </w:pPr>
      <w:r>
        <w:rPr>
          <w:spacing w:val="-1"/>
        </w:rPr>
        <w:t>单位:元</w:t>
        <w:tab/>
        <w:t>币种:人民币</w:t>
      </w:r>
      <w:r>
        <w:rPr/>
      </w:r>
    </w:p>
    <w:p>
      <w:pPr>
        <w:spacing w:line="240" w:lineRule="auto" w:before="7"/>
        <w:rPr>
          <w:rFonts w:ascii="宋体" w:hAnsi="宋体" w:cs="宋体" w:eastAsia="宋体" w:hint="default"/>
          <w:sz w:val="2"/>
          <w:szCs w:val="2"/>
        </w:rPr>
      </w:pPr>
    </w:p>
    <w:tbl>
      <w:tblPr>
        <w:tblW w:w="0" w:type="auto"/>
        <w:jc w:val="left"/>
        <w:tblInd w:w="438" w:type="dxa"/>
        <w:tblLayout w:type="fixed"/>
        <w:tblCellMar>
          <w:top w:w="0" w:type="dxa"/>
          <w:left w:w="0" w:type="dxa"/>
          <w:bottom w:w="0" w:type="dxa"/>
          <w:right w:w="0" w:type="dxa"/>
        </w:tblCellMar>
        <w:tblLook w:val="01E0"/>
      </w:tblPr>
      <w:tblGrid>
        <w:gridCol w:w="3137"/>
        <w:gridCol w:w="2400"/>
        <w:gridCol w:w="1900"/>
        <w:gridCol w:w="1200"/>
      </w:tblGrid>
      <w:tr>
        <w:trPr>
          <w:trHeight w:val="28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hAnsi="宋体" w:cs="宋体" w:eastAsia="宋体" w:hint="default"/>
                <w:sz w:val="21"/>
                <w:szCs w:val="21"/>
              </w:rPr>
              <w:t>1，115,744,903.84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占采购总额比重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75.79%</w:t>
            </w:r>
          </w:p>
        </w:tc>
      </w:tr>
      <w:tr>
        <w:trPr>
          <w:trHeight w:val="283"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759,730,111.03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占销售总额比重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42.67%</w:t>
            </w:r>
          </w:p>
        </w:tc>
      </w:tr>
    </w:tbl>
    <w:p>
      <w:pPr>
        <w:spacing w:after="0" w:line="240" w:lineRule="exact"/>
        <w:jc w:val="right"/>
        <w:rPr>
          <w:rFonts w:ascii="宋体" w:hAnsi="宋体" w:cs="宋体" w:eastAsia="宋体" w:hint="default"/>
          <w:sz w:val="21"/>
          <w:szCs w:val="21"/>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020"/>
        </w:sectPr>
      </w:pPr>
    </w:p>
    <w:p>
      <w:pPr>
        <w:pStyle w:val="BodyText"/>
        <w:spacing w:line="274" w:lineRule="exact" w:before="35"/>
        <w:ind w:right="-20"/>
        <w:jc w:val="left"/>
      </w:pPr>
      <w:r>
        <w:rPr/>
        <w:t>（3）报告期内公司资产构成情况</w:t>
      </w:r>
    </w:p>
    <w:p>
      <w:pPr>
        <w:pStyle w:val="BodyText"/>
        <w:spacing w:line="274" w:lineRule="exact"/>
        <w:ind w:right="-20"/>
        <w:jc w:val="left"/>
      </w:pPr>
      <w:r>
        <w:rPr/>
        <w:t>①相关指标占总资产的比重及情况说明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085" w:val="left" w:leader="none"/>
        </w:tabs>
        <w:spacing w:line="240" w:lineRule="auto"/>
        <w:ind w:right="0"/>
        <w:jc w:val="left"/>
      </w:pPr>
      <w:r>
        <w:rPr>
          <w:spacing w:val="-1"/>
        </w:rPr>
        <w:t>单位:元</w:t>
        <w:tab/>
      </w:r>
      <w:r>
        <w:rPr/>
        <w:t>币种:人民币</w:t>
      </w:r>
    </w:p>
    <w:p>
      <w:pPr>
        <w:spacing w:after="0" w:line="240" w:lineRule="auto"/>
        <w:jc w:val="left"/>
        <w:sectPr>
          <w:type w:val="continuous"/>
          <w:pgSz w:w="11910" w:h="16840"/>
          <w:pgMar w:top="1600" w:bottom="280" w:left="1220" w:right="1020"/>
          <w:cols w:num="2" w:equalWidth="0">
            <w:col w:w="3711" w:space="3426"/>
            <w:col w:w="2533"/>
          </w:cols>
        </w:sectPr>
      </w:pP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800"/>
        <w:gridCol w:w="2160"/>
        <w:gridCol w:w="1080"/>
        <w:gridCol w:w="1980"/>
        <w:gridCol w:w="1260"/>
        <w:gridCol w:w="1133"/>
      </w:tblGrid>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1048" w:val="left" w:leader="none"/>
              </w:tabs>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tabs>
                <w:tab w:pos="734" w:val="left" w:leader="none"/>
              </w:tabs>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比</w:t>
              <w:tab/>
              <w:t>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3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tabs>
                <w:tab w:pos="733" w:val="left" w:leader="none"/>
              </w:tabs>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比</w:t>
              <w:tab/>
              <w:t>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39"/>
              <w:jc w:val="right"/>
              <w:rPr>
                <w:rFonts w:ascii="宋体" w:hAnsi="宋体" w:cs="宋体" w:eastAsia="宋体" w:hint="default"/>
                <w:sz w:val="21"/>
                <w:szCs w:val="21"/>
              </w:rPr>
            </w:pPr>
            <w:r>
              <w:rPr>
                <w:rFonts w:ascii="宋体" w:hAnsi="宋体" w:cs="宋体" w:eastAsia="宋体" w:hint="default"/>
                <w:sz w:val="21"/>
                <w:szCs w:val="21"/>
              </w:rPr>
              <w:t>增减比例</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145,095,025.49</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7.35%</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28,726,246.36</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1.64%</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405.10%</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40,630,672.62</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2.06%</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9,000,000.00</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0.51%</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351.45%</w:t>
            </w:r>
            <w:r>
              <w:rPr>
                <w:rFonts w:ascii="宋体"/>
                <w:sz w:val="21"/>
              </w:rPr>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23,235,163.67</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1.18%</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38,480,133.66</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-39.62%</w:t>
            </w:r>
            <w:r>
              <w:rPr>
                <w:rFonts w:ascii="宋体"/>
                <w:sz w:val="21"/>
              </w:rPr>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8,687,031.59</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0.44%</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3,686,891.98</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0.21%</w:t>
            </w:r>
            <w:r>
              <w:rPr>
                <w:rFonts w:ascii="宋体"/>
                <w:w w:val="95"/>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135.62%</w:t>
            </w:r>
            <w:r>
              <w:rPr>
                <w:rFonts w:ascii="宋体"/>
                <w:sz w:val="21"/>
              </w:rPr>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4,120,517.92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0.24%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-100.00%</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181,130,000.00</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w w:val="95"/>
                <w:sz w:val="21"/>
              </w:rPr>
              <w:t>9.18%</w:t>
            </w:r>
            <w:r>
              <w:rPr>
                <w:rFonts w:ascii="宋体"/>
                <w:w w:val="95"/>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20,000,000.00</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w w:val="95"/>
                <w:sz w:val="21"/>
              </w:rPr>
              <w:t>1.14%</w:t>
            </w:r>
            <w:r>
              <w:rPr>
                <w:rFonts w:ascii="宋体"/>
                <w:w w:val="95"/>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805.65%</w:t>
            </w:r>
            <w:r>
              <w:rPr>
                <w:rFonts w:ascii="宋体"/>
                <w:sz w:val="21"/>
              </w:rPr>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174,160,729.44</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w w:val="95"/>
                <w:sz w:val="21"/>
              </w:rPr>
              <w:t>8.82%</w:t>
            </w:r>
            <w:r>
              <w:rPr>
                <w:rFonts w:ascii="宋体"/>
                <w:w w:val="95"/>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116,369,205.45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49.66%</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1,201,297.61</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w w:val="95"/>
                <w:sz w:val="21"/>
              </w:rPr>
              <w:t>0.06%</w:t>
            </w:r>
            <w:r>
              <w:rPr>
                <w:rFonts w:ascii="宋体"/>
                <w:w w:val="95"/>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2,590,149.40</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w w:val="95"/>
                <w:sz w:val="21"/>
              </w:rPr>
              <w:t>0.15%</w:t>
            </w:r>
            <w:r>
              <w:rPr>
                <w:rFonts w:ascii="宋体"/>
                <w:w w:val="95"/>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-53.62%</w:t>
            </w:r>
            <w:r>
              <w:rPr>
                <w:rFonts w:ascii="宋体"/>
                <w:sz w:val="21"/>
              </w:rPr>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103,159,010.91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157,132,721.50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-34.35%</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1,973,760,013.41</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1,750,147,357.11</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529"/>
        <w:jc w:val="left"/>
      </w:pPr>
      <w:r>
        <w:rPr/>
        <w:t>上述指标变动原因说明：</w:t>
      </w:r>
    </w:p>
    <w:p>
      <w:pPr>
        <w:pStyle w:val="BodyText"/>
        <w:spacing w:line="272" w:lineRule="exact" w:before="26"/>
        <w:ind w:right="529"/>
        <w:jc w:val="left"/>
      </w:pPr>
      <w:r>
        <w:rPr/>
        <w:t>货币资金期末比期初上升</w:t>
      </w:r>
      <w:r>
        <w:rPr>
          <w:spacing w:val="-55"/>
        </w:rPr>
        <w:t> </w:t>
      </w:r>
      <w:r>
        <w:rPr/>
        <w:t>405.10%，主要原因是年末未到承兑期的应付银行承兑汇票保证金增加。</w:t>
      </w:r>
      <w:r>
        <w:rPr/>
        <w:t> 应收票据期末比期初上升</w:t>
      </w:r>
      <w:r>
        <w:rPr>
          <w:spacing w:val="-54"/>
        </w:rPr>
        <w:t> </w:t>
      </w:r>
      <w:r>
        <w:rPr/>
        <w:t>351.45%，主要原因是公司收到的承兑汇票尚未支付所致。</w:t>
      </w:r>
      <w:r>
        <w:rPr/>
        <w:t> 预付款项期末比期初下降</w:t>
      </w:r>
      <w:r>
        <w:rPr>
          <w:spacing w:val="-55"/>
        </w:rPr>
        <w:t> </w:t>
      </w:r>
      <w:r>
        <w:rPr/>
        <w:t>39.62%，主要原因是原料采购实现所致。</w:t>
      </w:r>
    </w:p>
    <w:p>
      <w:pPr>
        <w:pStyle w:val="BodyText"/>
        <w:spacing w:line="272" w:lineRule="exact"/>
        <w:ind w:right="163"/>
        <w:jc w:val="left"/>
      </w:pPr>
      <w:r>
        <w:rPr/>
        <w:t>其他应收款期末比期初上升</w:t>
      </w:r>
      <w:r>
        <w:rPr>
          <w:spacing w:val="-54"/>
        </w:rPr>
        <w:t> </w:t>
      </w:r>
      <w:r>
        <w:rPr/>
        <w:t>135.62%，主要原因是公司预付铁路运费增加所致。</w:t>
      </w:r>
      <w:r>
        <w:rPr>
          <w:spacing w:val="-1"/>
        </w:rPr>
        <w:t> </w:t>
      </w:r>
      <w:r>
        <w:rPr/>
        <w:t>递延所得税资产期末比期初下降</w:t>
      </w:r>
      <w:r>
        <w:rPr>
          <w:spacing w:val="-41"/>
        </w:rPr>
        <w:t> </w:t>
      </w:r>
      <w:r>
        <w:rPr>
          <w:spacing w:val="-2"/>
        </w:rPr>
        <w:t>100.00%，主要原因是因公司亏损将已确认的应纳税暂时性差异冲回。</w:t>
      </w:r>
      <w:r>
        <w:rPr>
          <w:spacing w:val="-103"/>
        </w:rPr>
        <w:t> </w:t>
      </w:r>
      <w:r>
        <w:rPr>
          <w:spacing w:val="-103"/>
        </w:rPr>
      </w:r>
      <w:r>
        <w:rPr/>
        <w:t>应付票据期末比期初上升</w:t>
      </w:r>
      <w:r>
        <w:rPr>
          <w:spacing w:val="-54"/>
        </w:rPr>
        <w:t> </w:t>
      </w:r>
      <w:r>
        <w:rPr/>
        <w:t>805.65%，主要原因是期末未到承兑期的银行承兑汇票增加。</w:t>
      </w:r>
      <w:r>
        <w:rPr/>
        <w:t> 预收款项期末比期初上升</w:t>
      </w:r>
      <w:r>
        <w:rPr>
          <w:spacing w:val="-54"/>
        </w:rPr>
        <w:t> </w:t>
      </w:r>
      <w:r>
        <w:rPr/>
        <w:t>49.66%，主要原因是客户预购尿素产品的预付款。</w:t>
      </w:r>
      <w:r>
        <w:rPr/>
        <w:t> 应付职工薪酬期末比期初下降</w:t>
      </w:r>
      <w:r>
        <w:rPr>
          <w:spacing w:val="-54"/>
        </w:rPr>
        <w:t> </w:t>
      </w:r>
      <w:r>
        <w:rPr/>
        <w:t>53.62%，主要原因是公司对前期的住房公积金已支付。</w:t>
      </w:r>
      <w:r>
        <w:rPr/>
        <w:t> 未分配利润期末比期初下降</w:t>
      </w:r>
      <w:r>
        <w:rPr>
          <w:spacing w:val="-53"/>
        </w:rPr>
        <w:t> </w:t>
      </w:r>
      <w:r>
        <w:rPr/>
        <w:t>34.35%，主要原因是公司本期亏损所致。</w:t>
      </w:r>
    </w:p>
    <w:p>
      <w:pPr>
        <w:spacing w:line="240" w:lineRule="auto" w:before="10"/>
        <w:rPr>
          <w:rFonts w:ascii="宋体" w:hAnsi="宋体" w:cs="宋体" w:eastAsia="宋体" w:hint="default"/>
          <w:sz w:val="18"/>
          <w:szCs w:val="18"/>
        </w:rPr>
      </w:pPr>
    </w:p>
    <w:p>
      <w:pPr>
        <w:pStyle w:val="BodyText"/>
        <w:spacing w:line="240" w:lineRule="auto"/>
        <w:ind w:right="529"/>
        <w:jc w:val="left"/>
      </w:pPr>
      <w:r>
        <w:rPr/>
        <w:t>②相关财务数据变化情况</w:t>
      </w:r>
    </w:p>
    <w:p>
      <w:pPr>
        <w:spacing w:line="240" w:lineRule="auto" w:before="8"/>
        <w:rPr>
          <w:rFonts w:ascii="宋体" w:hAnsi="宋体" w:cs="宋体" w:eastAsia="宋体" w:hint="default"/>
          <w:sz w:val="20"/>
          <w:szCs w:val="20"/>
        </w:rPr>
      </w:pPr>
    </w:p>
    <w:p>
      <w:pPr>
        <w:pStyle w:val="BodyText"/>
        <w:tabs>
          <w:tab w:pos="7282" w:val="left" w:leader="none"/>
        </w:tabs>
        <w:spacing w:line="240" w:lineRule="auto"/>
        <w:ind w:left="6336" w:right="529"/>
        <w:jc w:val="left"/>
      </w:pPr>
      <w:r>
        <w:rPr/>
        <w:t>单位:元</w:t>
        <w:tab/>
        <w:t>币种:人民币</w:t>
      </w: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800"/>
        <w:gridCol w:w="2262"/>
        <w:gridCol w:w="2456"/>
        <w:gridCol w:w="1896"/>
      </w:tblGrid>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1104" w:val="left" w:leader="none"/>
              </w:tabs>
              <w:spacing w:line="239" w:lineRule="exact"/>
              <w:ind w:left="47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2" w:right="0"/>
              <w:jc w:val="left"/>
              <w:rPr>
                <w:rFonts w:ascii="宋体" w:hAnsi="宋体" w:cs="宋体" w:eastAsia="宋体" w:hint="default"/>
                <w:sz w:val="21"/>
                <w:szCs w:val="21"/>
              </w:rPr>
            </w:pPr>
            <w:r>
              <w:rPr>
                <w:rFonts w:ascii="宋体" w:hAnsi="宋体" w:cs="宋体" w:eastAsia="宋体" w:hint="default"/>
                <w:sz w:val="21"/>
                <w:szCs w:val="21"/>
              </w:rPr>
              <w:t>增减比例</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1,780,641,423.11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1,328,022,343.46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34.08%</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1,678,425,818.50</w:t>
            </w:r>
            <w:r>
              <w:rPr>
                <w:rFonts w:ascii="宋体"/>
                <w:sz w:val="21"/>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1,204,842,180.03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39.31%</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8,558,120.06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6,540,926.52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30.84%</w:t>
            </w:r>
            <w:r>
              <w:rPr>
                <w:rFonts w:ascii="宋体"/>
                <w:sz w:val="21"/>
              </w:rPr>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12,670,712.89</w:t>
            </w:r>
            <w:r>
              <w:rPr>
                <w:rFonts w:ascii="宋体"/>
                <w:sz w:val="21"/>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21,330,921.55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-40.60%</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52,532,093.01</w:t>
            </w:r>
            <w:r>
              <w:rPr>
                <w:rFonts w:ascii="宋体"/>
                <w:sz w:val="21"/>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5,508,005.00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853.74%</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614,143.74</w:t>
            </w:r>
            <w:r>
              <w:rPr>
                <w:rFonts w:ascii="宋体"/>
                <w:sz w:val="21"/>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393,826.06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55.94%</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22,805.43</w:t>
            </w:r>
            <w:r>
              <w:rPr>
                <w:rFonts w:ascii="宋体"/>
                <w:sz w:val="21"/>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249,100.50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-90.84%</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5,789,140.20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9,216,878.22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-37.19%</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-2,336,377.91</w:t>
            </w:r>
            <w:r>
              <w:rPr>
                <w:rFonts w:ascii="宋体"/>
                <w:sz w:val="21"/>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-1,078,908.05</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116.55%</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529"/>
        <w:jc w:val="left"/>
      </w:pPr>
      <w:r>
        <w:rPr/>
        <w:t>上述指标变动原因说明：</w:t>
      </w:r>
    </w:p>
    <w:p>
      <w:pPr>
        <w:pStyle w:val="BodyText"/>
        <w:spacing w:line="272" w:lineRule="exact" w:before="26"/>
        <w:ind w:right="1894"/>
        <w:jc w:val="left"/>
      </w:pPr>
      <w:r>
        <w:rPr/>
        <w:t>营业收入本期比上期增长</w:t>
      </w:r>
      <w:r>
        <w:rPr>
          <w:spacing w:val="-54"/>
        </w:rPr>
        <w:t> </w:t>
      </w:r>
      <w:r>
        <w:rPr/>
        <w:t>34.08%，主要原因是本期主产品焦炭价格上涨所致。</w:t>
      </w:r>
      <w:r>
        <w:rPr/>
        <w:t> 营业成本本期比上期增长</w:t>
      </w:r>
      <w:r>
        <w:rPr>
          <w:spacing w:val="-54"/>
        </w:rPr>
        <w:t> </w:t>
      </w:r>
      <w:r>
        <w:rPr/>
        <w:t>39.31%，主要原因是本期原材料价格上涨所致。</w:t>
      </w:r>
      <w:r>
        <w:rPr/>
        <w:t> 营业税金及附加本期比上期增长</w:t>
      </w:r>
      <w:r>
        <w:rPr>
          <w:spacing w:val="-55"/>
        </w:rPr>
        <w:t> </w:t>
      </w:r>
      <w:r>
        <w:rPr/>
        <w:t>30.84%，主要原因是本期实现的增值税增加所致。</w:t>
      </w:r>
      <w:r>
        <w:rPr/>
        <w:t> 销售费用本期比上期下降 40.60</w:t>
      </w:r>
      <w:r>
        <w:rPr>
          <w:spacing w:val="-55"/>
        </w:rPr>
        <w:t> </w:t>
      </w:r>
      <w:r>
        <w:rPr/>
        <w:t>%，主要原因是本期运输费多由客户承担所致。</w:t>
      </w:r>
    </w:p>
    <w:p>
      <w:pPr>
        <w:pStyle w:val="BodyText"/>
        <w:spacing w:line="245" w:lineRule="exact"/>
        <w:ind w:right="529"/>
        <w:jc w:val="left"/>
      </w:pPr>
      <w:r>
        <w:rPr/>
        <w:t>资产减值损失本期比上期增长 853.74</w:t>
      </w:r>
      <w:r>
        <w:rPr>
          <w:spacing w:val="-55"/>
        </w:rPr>
        <w:t> </w:t>
      </w:r>
      <w:r>
        <w:rPr/>
        <w:t>%，主要原因是本期计提的坏帐及存货跌价准备增加所</w:t>
      </w:r>
    </w:p>
    <w:p>
      <w:pPr>
        <w:pStyle w:val="BodyText"/>
        <w:spacing w:line="272" w:lineRule="exact"/>
        <w:ind w:right="529"/>
        <w:jc w:val="left"/>
      </w:pPr>
      <w:r>
        <w:rPr/>
        <w:t>致。</w:t>
      </w:r>
    </w:p>
    <w:p>
      <w:pPr>
        <w:pStyle w:val="BodyText"/>
        <w:spacing w:line="272" w:lineRule="exact" w:before="26"/>
        <w:ind w:right="529"/>
        <w:jc w:val="left"/>
      </w:pPr>
      <w:r>
        <w:rPr/>
        <w:t>营业外收入本期比上期增长</w:t>
      </w:r>
      <w:r>
        <w:rPr>
          <w:spacing w:val="-74"/>
        </w:rPr>
        <w:t> </w:t>
      </w:r>
      <w:r>
        <w:rPr/>
        <w:t>55.94%，主要原因是子公司碧碧肥公司增值税减免增加所致。</w:t>
      </w:r>
      <w:r>
        <w:rPr>
          <w:spacing w:val="-1"/>
        </w:rPr>
        <w:t> </w:t>
      </w:r>
      <w:r>
        <w:rPr/>
        <w:t>营业外支出本期比上期下降</w:t>
      </w:r>
      <w:r>
        <w:rPr>
          <w:spacing w:val="-53"/>
        </w:rPr>
        <w:t> </w:t>
      </w:r>
      <w:r>
        <w:rPr/>
        <w:t>90.84%，主要原因是公司上年度公益性捐赠支出的影响。</w:t>
      </w:r>
    </w:p>
    <w:p>
      <w:pPr>
        <w:spacing w:after="0" w:line="272" w:lineRule="exact"/>
        <w:jc w:val="left"/>
        <w:sectPr>
          <w:type w:val="continuous"/>
          <w:pgSz w:w="11910" w:h="16840"/>
          <w:pgMar w:top="1600" w:bottom="280" w:left="1220" w:right="1020"/>
        </w:sectPr>
      </w:pPr>
    </w:p>
    <w:p>
      <w:pPr>
        <w:spacing w:line="240" w:lineRule="auto" w:before="1"/>
        <w:rPr>
          <w:rFonts w:ascii="宋体" w:hAnsi="宋体" w:cs="宋体" w:eastAsia="宋体" w:hint="default"/>
          <w:sz w:val="29"/>
          <w:szCs w:val="29"/>
        </w:rPr>
      </w:pPr>
    </w:p>
    <w:p>
      <w:pPr>
        <w:pStyle w:val="BodyText"/>
        <w:spacing w:line="272" w:lineRule="exact" w:before="63"/>
        <w:ind w:right="1059"/>
        <w:jc w:val="left"/>
      </w:pPr>
      <w:r>
        <w:rPr/>
        <w:t>所得税费用本期比上期下降</w:t>
      </w:r>
      <w:r>
        <w:rPr>
          <w:spacing w:val="-53"/>
        </w:rPr>
        <w:t> </w:t>
      </w:r>
      <w:r>
        <w:rPr/>
        <w:t>37.19%，主要原因是本期利润减少，应纳所得税额减少所致。</w:t>
      </w:r>
      <w:r>
        <w:rPr/>
        <w:t> 少数股东损益本期比上期增长</w:t>
      </w:r>
      <w:r>
        <w:rPr>
          <w:spacing w:val="-55"/>
        </w:rPr>
        <w:t> </w:t>
      </w:r>
      <w:r>
        <w:rPr/>
        <w:t>116.55%，主要原因是子公司碧碧肥公司本期利润减少所致。</w:t>
      </w:r>
    </w:p>
    <w:p>
      <w:pPr>
        <w:spacing w:line="240" w:lineRule="auto" w:before="10"/>
        <w:rPr>
          <w:rFonts w:ascii="宋体" w:hAnsi="宋体" w:cs="宋体" w:eastAsia="宋体" w:hint="default"/>
          <w:sz w:val="18"/>
          <w:szCs w:val="18"/>
        </w:rPr>
      </w:pPr>
    </w:p>
    <w:p>
      <w:pPr>
        <w:pStyle w:val="BodyText"/>
        <w:spacing w:line="240" w:lineRule="auto"/>
        <w:ind w:right="171"/>
        <w:jc w:val="left"/>
      </w:pPr>
      <w:r>
        <w:rPr/>
        <w:t>（4）报告期内公司现金流情况及说明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585"/>
        <w:gridCol w:w="2177"/>
        <w:gridCol w:w="2832"/>
        <w:gridCol w:w="1558"/>
      </w:tblGrid>
      <w:tr>
        <w:trPr>
          <w:trHeight w:val="28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1" w:right="0"/>
              <w:jc w:val="left"/>
              <w:rPr>
                <w:rFonts w:ascii="宋体" w:hAnsi="宋体" w:cs="宋体" w:eastAsia="宋体" w:hint="default"/>
                <w:sz w:val="21"/>
                <w:szCs w:val="21"/>
              </w:rPr>
            </w:pPr>
            <w:r>
              <w:rPr>
                <w:rFonts w:ascii="宋体" w:hAnsi="宋体" w:cs="宋体" w:eastAsia="宋体" w:hint="default"/>
                <w:sz w:val="21"/>
                <w:szCs w:val="21"/>
              </w:rPr>
              <w:t>增减比率%</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6"/>
              <w:jc w:val="center"/>
              <w:rPr>
                <w:rFonts w:ascii="宋体" w:hAnsi="宋体" w:cs="宋体" w:eastAsia="宋体" w:hint="default"/>
                <w:sz w:val="21"/>
                <w:szCs w:val="21"/>
              </w:rPr>
            </w:pPr>
            <w:r>
              <w:rPr>
                <w:rFonts w:ascii="宋体" w:hAnsi="宋体" w:cs="宋体" w:eastAsia="宋体" w:hint="default"/>
                <w:sz w:val="21"/>
                <w:szCs w:val="21"/>
              </w:rPr>
              <w:t>筹资活动产生现金流净额</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2" w:right="0"/>
              <w:jc w:val="left"/>
              <w:rPr>
                <w:rFonts w:ascii="宋体" w:hAnsi="宋体" w:cs="宋体" w:eastAsia="宋体" w:hint="default"/>
                <w:sz w:val="21"/>
                <w:szCs w:val="21"/>
              </w:rPr>
            </w:pPr>
            <w:r>
              <w:rPr>
                <w:rFonts w:ascii="宋体"/>
                <w:sz w:val="21"/>
              </w:rPr>
              <w:t>-26,729,241.97</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1" w:right="0"/>
              <w:jc w:val="left"/>
              <w:rPr>
                <w:rFonts w:ascii="宋体" w:hAnsi="宋体" w:cs="宋体" w:eastAsia="宋体" w:hint="default"/>
                <w:sz w:val="21"/>
                <w:szCs w:val="21"/>
              </w:rPr>
            </w:pPr>
            <w:r>
              <w:rPr>
                <w:rFonts w:ascii="宋体"/>
                <w:sz w:val="21"/>
              </w:rPr>
              <w:t>-38,354,391.49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8" w:right="0"/>
              <w:jc w:val="left"/>
              <w:rPr>
                <w:rFonts w:ascii="宋体" w:hAnsi="宋体" w:cs="宋体" w:eastAsia="宋体" w:hint="default"/>
                <w:sz w:val="21"/>
                <w:szCs w:val="21"/>
              </w:rPr>
            </w:pPr>
            <w:r>
              <w:rPr>
                <w:rFonts w:ascii="宋体"/>
                <w:sz w:val="21"/>
              </w:rPr>
              <w:t>-30.31%</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上述指标变动原因说明：</w:t>
      </w:r>
    </w:p>
    <w:p>
      <w:pPr>
        <w:pStyle w:val="BodyText"/>
        <w:spacing w:line="272" w:lineRule="exact" w:before="26"/>
        <w:ind w:right="166"/>
        <w:jc w:val="left"/>
      </w:pPr>
      <w:r>
        <w:rPr/>
        <w:t>筹资活动产生现金流净额本期比上期下降</w:t>
      </w:r>
      <w:r>
        <w:rPr>
          <w:spacing w:val="-49"/>
        </w:rPr>
        <w:t> </w:t>
      </w:r>
      <w:r>
        <w:rPr>
          <w:spacing w:val="-2"/>
        </w:rPr>
        <w:t>30.31%，主要原因是公司本期取得借款增加及偿还债务减少</w:t>
      </w:r>
      <w:r>
        <w:rPr/>
        <w:t> 所致。</w:t>
      </w:r>
    </w:p>
    <w:p>
      <w:pPr>
        <w:spacing w:line="240" w:lineRule="auto" w:before="11"/>
        <w:rPr>
          <w:rFonts w:ascii="宋体" w:hAnsi="宋体" w:cs="宋体" w:eastAsia="宋体" w:hint="default"/>
          <w:sz w:val="20"/>
          <w:szCs w:val="20"/>
        </w:rPr>
      </w:pPr>
    </w:p>
    <w:p>
      <w:pPr>
        <w:pStyle w:val="BodyText"/>
        <w:spacing w:line="272" w:lineRule="exact"/>
        <w:ind w:left="560" w:right="164" w:hanging="421"/>
        <w:jc w:val="left"/>
      </w:pPr>
      <w:r>
        <w:rPr/>
        <w:t>（5）报告期内公司设备利用情况和订单获取情况： 报告期内，公司按照市场需求走势，积极利用生产设备，安全稳定生产。第四季度随着产品需求</w:t>
      </w:r>
    </w:p>
    <w:p>
      <w:pPr>
        <w:pStyle w:val="BodyText"/>
        <w:spacing w:line="248" w:lineRule="exact"/>
        <w:ind w:right="171"/>
        <w:jc w:val="left"/>
      </w:pPr>
      <w:r>
        <w:rPr/>
        <w:t>下降，设备利用下降。报告期公司产品销售良好，也无主要生产技术人员变动的情况。</w:t>
      </w:r>
    </w:p>
    <w:p>
      <w:pPr>
        <w:spacing w:line="240" w:lineRule="auto" w:before="10"/>
        <w:rPr>
          <w:rFonts w:ascii="宋体" w:hAnsi="宋体" w:cs="宋体" w:eastAsia="宋体" w:hint="default"/>
          <w:sz w:val="22"/>
          <w:szCs w:val="22"/>
        </w:rPr>
      </w:pPr>
    </w:p>
    <w:p>
      <w:pPr>
        <w:pStyle w:val="BodyText"/>
        <w:spacing w:line="272" w:lineRule="exact"/>
        <w:ind w:left="560" w:right="164" w:hanging="421"/>
        <w:jc w:val="left"/>
      </w:pPr>
      <w:r>
        <w:rPr/>
        <w:t>（6）公司主要控股公司的经营情况及业绩 黑化集团中美碧碧肥有限公司,公司的控股子公司,主要产品或服务项目为生产销售复合肥等化工</w:t>
      </w:r>
    </w:p>
    <w:p>
      <w:pPr>
        <w:pStyle w:val="BodyText"/>
        <w:spacing w:line="246" w:lineRule="exact"/>
        <w:ind w:right="171"/>
        <w:jc w:val="left"/>
      </w:pPr>
      <w:r>
        <w:rPr/>
        <w:t>产,公司注册资本</w:t>
      </w:r>
      <w:r>
        <w:rPr>
          <w:spacing w:val="-55"/>
        </w:rPr>
        <w:t> </w:t>
      </w:r>
      <w:r>
        <w:rPr/>
        <w:t>29,430,000.00</w:t>
      </w:r>
      <w:r>
        <w:rPr>
          <w:spacing w:val="-54"/>
        </w:rPr>
        <w:t> </w:t>
      </w:r>
      <w:r>
        <w:rPr/>
        <w:t>元,公司资产规模</w:t>
      </w:r>
      <w:r>
        <w:rPr>
          <w:spacing w:val="-55"/>
        </w:rPr>
        <w:t> </w:t>
      </w:r>
      <w:r>
        <w:rPr/>
        <w:t>30,946,578.80</w:t>
      </w:r>
      <w:r>
        <w:rPr>
          <w:spacing w:val="-3"/>
        </w:rPr>
        <w:t> </w:t>
      </w:r>
      <w:r>
        <w:rPr/>
        <w:t>元,公司</w:t>
      </w:r>
      <w:r>
        <w:rPr>
          <w:spacing w:val="-55"/>
        </w:rPr>
        <w:t> </w:t>
      </w:r>
      <w:r>
        <w:rPr/>
        <w:t>2008</w:t>
      </w:r>
      <w:r>
        <w:rPr>
          <w:spacing w:val="-54"/>
        </w:rPr>
        <w:t> </w:t>
      </w:r>
      <w:r>
        <w:rPr/>
        <w:t>年实现净利润</w:t>
      </w:r>
    </w:p>
    <w:p>
      <w:pPr>
        <w:pStyle w:val="BodyText"/>
        <w:spacing w:line="274" w:lineRule="exact"/>
        <w:ind w:right="171"/>
        <w:jc w:val="left"/>
      </w:pPr>
      <w:r>
        <w:rPr/>
        <w:t>-6,611,142.94</w:t>
      </w:r>
      <w:r>
        <w:rPr>
          <w:spacing w:val="-6"/>
        </w:rPr>
        <w:t> </w:t>
      </w:r>
      <w:r>
        <w:rPr/>
        <w:t>元。</w:t>
      </w:r>
    </w:p>
    <w:p>
      <w:pPr>
        <w:spacing w:line="240" w:lineRule="auto" w:before="8"/>
        <w:rPr>
          <w:rFonts w:ascii="宋体" w:hAnsi="宋体" w:cs="宋体" w:eastAsia="宋体" w:hint="default"/>
          <w:sz w:val="20"/>
          <w:szCs w:val="20"/>
        </w:rPr>
      </w:pPr>
    </w:p>
    <w:p>
      <w:pPr>
        <w:pStyle w:val="BodyText"/>
        <w:spacing w:line="274" w:lineRule="exact"/>
        <w:ind w:right="171"/>
        <w:jc w:val="left"/>
      </w:pPr>
      <w:r>
        <w:rPr/>
        <w:t>2、对公司未来发展的展望</w:t>
      </w:r>
    </w:p>
    <w:p>
      <w:pPr>
        <w:pStyle w:val="BodyText"/>
        <w:spacing w:line="272" w:lineRule="exact" w:before="26"/>
        <w:ind w:right="178" w:firstLine="420"/>
        <w:jc w:val="both"/>
      </w:pPr>
      <w:r>
        <w:rPr/>
        <w:t>2009</w:t>
      </w:r>
      <w:r>
        <w:rPr>
          <w:spacing w:val="-30"/>
        </w:rPr>
        <w:t> </w:t>
      </w:r>
      <w:r>
        <w:rPr>
          <w:spacing w:val="-2"/>
        </w:rPr>
        <w:t>年，是应对全球金融危机的关键一年，公司全员将在董事会的带领下，深入贯彻落实科学发</w:t>
      </w:r>
      <w:r>
        <w:rPr/>
        <w:t> 展观，密切关注宏观市场调控政策，积极应对金融危机给公司生产经营带来的困难，以“安稳优先、 化危为机、创新图强、持续发展”为总体思路，围绕生产经营这一条主线，坚持“创新”和“优化” </w:t>
      </w:r>
      <w:r>
        <w:rPr>
          <w:spacing w:val="-5"/>
        </w:rPr>
        <w:t>两个原则，实现三个提高。确保</w:t>
      </w:r>
      <w:r>
        <w:rPr>
          <w:spacing w:val="-55"/>
        </w:rPr>
        <w:t> </w:t>
      </w:r>
      <w:r>
        <w:rPr/>
        <w:t>2009</w:t>
      </w:r>
      <w:r>
        <w:rPr>
          <w:spacing w:val="-54"/>
        </w:rPr>
        <w:t> </w:t>
      </w:r>
      <w:r>
        <w:rPr/>
        <w:t>年焦炭</w:t>
      </w:r>
      <w:r>
        <w:rPr>
          <w:spacing w:val="-56"/>
        </w:rPr>
        <w:t> </w:t>
      </w:r>
      <w:r>
        <w:rPr/>
        <w:t>70</w:t>
      </w:r>
      <w:r>
        <w:rPr>
          <w:spacing w:val="-55"/>
        </w:rPr>
        <w:t> </w:t>
      </w:r>
      <w:r>
        <w:rPr>
          <w:spacing w:val="-6"/>
        </w:rPr>
        <w:t>万吨、尿素</w:t>
      </w:r>
      <w:r>
        <w:rPr>
          <w:spacing w:val="-55"/>
        </w:rPr>
        <w:t> </w:t>
      </w:r>
      <w:r>
        <w:rPr/>
        <w:t>21</w:t>
      </w:r>
      <w:r>
        <w:rPr>
          <w:spacing w:val="-54"/>
        </w:rPr>
        <w:t> </w:t>
      </w:r>
      <w:r>
        <w:rPr>
          <w:spacing w:val="-6"/>
        </w:rPr>
        <w:t>万吨、甲醇</w:t>
      </w:r>
      <w:r>
        <w:rPr>
          <w:spacing w:val="-55"/>
        </w:rPr>
        <w:t> </w:t>
      </w:r>
      <w:r>
        <w:rPr/>
        <w:t>3</w:t>
      </w:r>
      <w:r>
        <w:rPr>
          <w:spacing w:val="-54"/>
        </w:rPr>
        <w:t> </w:t>
      </w:r>
      <w:r>
        <w:rPr/>
        <w:t>万吨等主要产品的生产任</w:t>
      </w:r>
      <w:r>
        <w:rPr>
          <w:spacing w:val="-1"/>
        </w:rPr>
        <w:t> </w:t>
      </w:r>
      <w:r>
        <w:rPr/>
        <w:t>务的顺利高效完成，从而把金融危机给公司带来的冲击降到最低。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727" w:top="980" w:bottom="920" w:left="1220" w:right="1120"/>
        </w:sectPr>
      </w:pPr>
    </w:p>
    <w:p>
      <w:pPr>
        <w:pStyle w:val="BodyText"/>
        <w:spacing w:line="272" w:lineRule="exact" w:before="63"/>
        <w:ind w:left="246" w:right="-20" w:hanging="106"/>
        <w:jc w:val="left"/>
      </w:pPr>
      <w:r>
        <w:rPr/>
        <w:t>（二）公司主营业务及其经营状况 1、</w:t>
      </w:r>
      <w:r>
        <w:rPr>
          <w:spacing w:val="-2"/>
        </w:rPr>
        <w:t> </w:t>
      </w:r>
      <w:r>
        <w:rPr/>
        <w:t>主营业务分行业、产品情况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3291" w:space="3956"/>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69"/>
        <w:gridCol w:w="1896"/>
        <w:gridCol w:w="1686"/>
        <w:gridCol w:w="1069"/>
        <w:gridCol w:w="1069"/>
        <w:gridCol w:w="1069"/>
        <w:gridCol w:w="1441"/>
      </w:tblGrid>
      <w:tr>
        <w:trPr>
          <w:trHeight w:val="832"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12" w:right="105" w:hanging="106"/>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369" w:right="368"/>
              <w:jc w:val="center"/>
              <w:rPr>
                <w:rFonts w:ascii="宋体" w:hAnsi="宋体" w:cs="宋体" w:eastAsia="宋体" w:hint="default"/>
                <w:sz w:val="21"/>
                <w:szCs w:val="21"/>
              </w:rPr>
            </w:pPr>
            <w:r>
              <w:rPr>
                <w:rFonts w:ascii="宋体" w:hAnsi="宋体" w:cs="宋体" w:eastAsia="宋体" w:hint="default"/>
                <w:sz w:val="21"/>
                <w:szCs w:val="21"/>
              </w:rPr>
              <w:t>率 (%)</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07" w:right="105"/>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06" w:right="105"/>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比上年增减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6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45,204,550.19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45,215,924.07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-0.03</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-15.41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20.50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29.81</w:t>
            </w:r>
            <w:r>
              <w:rPr>
                <w:rFonts w:ascii="宋体" w:hAnsi="宋体" w:cs="宋体" w:eastAsia="宋体" w:hint="default"/>
                <w:spacing w:val="-70"/>
                <w:sz w:val="21"/>
                <w:szCs w:val="21"/>
              </w:rPr>
              <w:t> </w:t>
            </w:r>
            <w:r>
              <w:rPr>
                <w:rFonts w:ascii="宋体" w:hAnsi="宋体" w:cs="宋体" w:eastAsia="宋体" w:hint="default"/>
                <w:sz w:val="21"/>
                <w:szCs w:val="21"/>
              </w:rPr>
              <w:t>个</w:t>
            </w:r>
          </w:p>
          <w:p>
            <w:pPr>
              <w:pStyle w:val="TableParagraph"/>
              <w:spacing w:line="274" w:lineRule="exact"/>
              <w:ind w:left="69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52,519,295.72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50,157,530.90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4.50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-15.13</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16.93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26.19</w:t>
            </w:r>
            <w:r>
              <w:rPr>
                <w:rFonts w:ascii="宋体" w:hAnsi="宋体" w:cs="宋体" w:eastAsia="宋体" w:hint="default"/>
                <w:spacing w:val="-70"/>
                <w:sz w:val="21"/>
                <w:szCs w:val="21"/>
              </w:rPr>
              <w:t> </w:t>
            </w:r>
            <w:r>
              <w:rPr>
                <w:rFonts w:ascii="宋体" w:hAnsi="宋体" w:cs="宋体" w:eastAsia="宋体" w:hint="default"/>
                <w:sz w:val="21"/>
                <w:szCs w:val="21"/>
              </w:rPr>
              <w:t>个</w:t>
            </w:r>
          </w:p>
          <w:p>
            <w:pPr>
              <w:pStyle w:val="TableParagraph"/>
              <w:spacing w:line="274" w:lineRule="exact"/>
              <w:ind w:left="69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1,022,604,581.99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885,198,286.57</w:t>
            </w:r>
            <w:r>
              <w:rPr>
                <w:rFonts w:ascii="宋体"/>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13.44</w:t>
            </w:r>
            <w:r>
              <w:rPr>
                <w:rFonts w:ascii="宋体"/>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75.53</w:t>
            </w:r>
            <w:r>
              <w:rPr>
                <w:rFonts w:ascii="宋体"/>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103.96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12.07</w:t>
            </w:r>
            <w:r>
              <w:rPr>
                <w:rFonts w:ascii="宋体" w:hAnsi="宋体" w:cs="宋体" w:eastAsia="宋体" w:hint="default"/>
                <w:spacing w:val="-70"/>
                <w:sz w:val="21"/>
                <w:szCs w:val="21"/>
              </w:rPr>
              <w:t> </w:t>
            </w:r>
            <w:r>
              <w:rPr>
                <w:rFonts w:ascii="宋体" w:hAnsi="宋体" w:cs="宋体" w:eastAsia="宋体" w:hint="default"/>
                <w:sz w:val="21"/>
                <w:szCs w:val="21"/>
              </w:rPr>
              <w:t>个</w:t>
            </w:r>
          </w:p>
          <w:p>
            <w:pPr>
              <w:pStyle w:val="TableParagraph"/>
              <w:spacing w:line="274" w:lineRule="exact"/>
              <w:ind w:left="69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116,598,043.15</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120,818,560.37</w:t>
            </w:r>
            <w:r>
              <w:rPr>
                <w:rFonts w:ascii="宋体"/>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-3.62</w:t>
            </w:r>
            <w:r>
              <w:rPr>
                <w:rFonts w:ascii="宋体"/>
                <w:w w:val="95"/>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-9.87</w:t>
            </w:r>
            <w:r>
              <w:rPr>
                <w:rFonts w:ascii="宋体"/>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-5.73</w:t>
            </w:r>
            <w:r>
              <w:rPr>
                <w:rFonts w:ascii="宋体"/>
                <w:w w:val="95"/>
                <w:sz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4.56</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3" w:lineRule="exact"/>
              <w:ind w:left="69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68,669,825.86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80,819,261.50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-17.69</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4.50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29.27</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22.56</w:t>
            </w:r>
            <w:r>
              <w:rPr>
                <w:rFonts w:ascii="宋体" w:hAnsi="宋体" w:cs="宋体" w:eastAsia="宋体" w:hint="default"/>
                <w:spacing w:val="-70"/>
                <w:sz w:val="21"/>
                <w:szCs w:val="21"/>
              </w:rPr>
              <w:t> </w:t>
            </w:r>
            <w:r>
              <w:rPr>
                <w:rFonts w:ascii="宋体" w:hAnsi="宋体" w:cs="宋体" w:eastAsia="宋体" w:hint="default"/>
                <w:sz w:val="21"/>
                <w:szCs w:val="21"/>
              </w:rPr>
              <w:t>个</w:t>
            </w:r>
          </w:p>
          <w:p>
            <w:pPr>
              <w:pStyle w:val="TableParagraph"/>
              <w:spacing w:line="274" w:lineRule="exact"/>
              <w:ind w:left="69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6,351,828.77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13,670,170.99</w:t>
            </w:r>
            <w:r>
              <w:rPr>
                <w:rFonts w:ascii="宋体"/>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-115.22</w:t>
            </w:r>
            <w:r>
              <w:rPr>
                <w:rFonts w:ascii="宋体"/>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29.25</w:t>
            </w:r>
            <w:r>
              <w:rPr>
                <w:rFonts w:ascii="宋体"/>
                <w:w w:val="95"/>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91.52</w:t>
            </w:r>
            <w:r>
              <w:rPr>
                <w:rFonts w:ascii="宋体"/>
                <w:sz w:val="21"/>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69.97</w:t>
            </w:r>
            <w:r>
              <w:rPr>
                <w:rFonts w:ascii="宋体" w:hAnsi="宋体" w:cs="宋体" w:eastAsia="宋体" w:hint="default"/>
                <w:spacing w:val="-70"/>
                <w:sz w:val="21"/>
                <w:szCs w:val="21"/>
              </w:rPr>
              <w:t> </w:t>
            </w:r>
            <w:r>
              <w:rPr>
                <w:rFonts w:ascii="宋体" w:hAnsi="宋体" w:cs="宋体" w:eastAsia="宋体" w:hint="default"/>
                <w:sz w:val="21"/>
                <w:szCs w:val="21"/>
              </w:rPr>
              <w:t>个</w:t>
            </w:r>
          </w:p>
          <w:p>
            <w:pPr>
              <w:pStyle w:val="TableParagraph"/>
              <w:spacing w:line="274" w:lineRule="exact"/>
              <w:ind w:left="69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255,714,412.43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273,886,826.18</w:t>
            </w:r>
            <w:r>
              <w:rPr>
                <w:rFonts w:ascii="宋体"/>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-7.11</w:t>
            </w:r>
            <w:r>
              <w:rPr>
                <w:rFonts w:ascii="宋体"/>
                <w:sz w:val="21"/>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-12.04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-20.80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1"/>
                <w:sz w:val="21"/>
                <w:szCs w:val="21"/>
              </w:rPr>
              <w:t> </w:t>
            </w:r>
            <w:r>
              <w:rPr>
                <w:rFonts w:ascii="宋体" w:hAnsi="宋体" w:cs="宋体" w:eastAsia="宋体" w:hint="default"/>
                <w:sz w:val="21"/>
                <w:szCs w:val="21"/>
              </w:rPr>
              <w:t>11.84</w:t>
            </w:r>
            <w:r>
              <w:rPr>
                <w:rFonts w:ascii="宋体" w:hAnsi="宋体" w:cs="宋体" w:eastAsia="宋体" w:hint="default"/>
                <w:spacing w:val="-70"/>
                <w:sz w:val="21"/>
                <w:szCs w:val="21"/>
              </w:rPr>
              <w:t> </w:t>
            </w:r>
            <w:r>
              <w:rPr>
                <w:rFonts w:ascii="宋体" w:hAnsi="宋体" w:cs="宋体" w:eastAsia="宋体" w:hint="default"/>
                <w:sz w:val="21"/>
                <w:szCs w:val="21"/>
              </w:rPr>
              <w:t>个</w:t>
            </w:r>
          </w:p>
          <w:p>
            <w:pPr>
              <w:pStyle w:val="TableParagraph"/>
              <w:spacing w:line="274" w:lineRule="exact"/>
              <w:ind w:left="697"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after="0" w:line="274" w:lineRule="exact"/>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171"/>
        <w:jc w:val="left"/>
      </w:pPr>
      <w:r>
        <w:rPr/>
        <w:t>(2)</w:t>
      </w:r>
      <w:r>
        <w:rPr>
          <w:spacing w:val="-2"/>
        </w:rPr>
        <w:t> </w:t>
      </w:r>
      <w:r>
        <w:rPr/>
        <w:t>主营业务分地区情况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东北三省</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1,288,116,558.13</w:t>
            </w:r>
            <w:r>
              <w:rPr>
                <w:rFonts w:ascii="宋体"/>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25.04</w:t>
            </w:r>
            <w:r>
              <w:rPr>
                <w:rFonts w:ascii="宋体"/>
                <w:w w:val="95"/>
                <w:sz w:val="21"/>
              </w:rPr>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288,978,795.48</w:t>
            </w:r>
            <w:r>
              <w:rPr>
                <w:rFonts w:ascii="宋体"/>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42.99</w:t>
            </w:r>
            <w:r>
              <w:rPr>
                <w:rFonts w:ascii="宋体"/>
                <w:w w:val="95"/>
                <w:sz w:val="21"/>
              </w:rPr>
            </w:r>
          </w:p>
        </w:tc>
      </w:tr>
    </w:tbl>
    <w:p>
      <w:pPr>
        <w:spacing w:line="240" w:lineRule="auto" w:before="6"/>
        <w:rPr>
          <w:rFonts w:ascii="宋体" w:hAnsi="宋体" w:cs="宋体" w:eastAsia="宋体" w:hint="default"/>
          <w:sz w:val="15"/>
          <w:szCs w:val="15"/>
        </w:rPr>
      </w:pPr>
    </w:p>
    <w:p>
      <w:pPr>
        <w:pStyle w:val="BodyText"/>
        <w:spacing w:line="272" w:lineRule="exact" w:before="63"/>
        <w:ind w:right="5624"/>
        <w:jc w:val="left"/>
      </w:pPr>
      <w:r>
        <w:rPr/>
        <w:t>2、与公允价值计量相关的项目 公司不存在与公允价值计量相关的项目。</w:t>
      </w:r>
    </w:p>
    <w:p>
      <w:pPr>
        <w:spacing w:line="240" w:lineRule="auto" w:before="11"/>
        <w:rPr>
          <w:rFonts w:ascii="宋体" w:hAnsi="宋体" w:cs="宋体" w:eastAsia="宋体" w:hint="default"/>
          <w:sz w:val="20"/>
          <w:szCs w:val="20"/>
        </w:rPr>
      </w:pPr>
    </w:p>
    <w:p>
      <w:pPr>
        <w:pStyle w:val="BodyText"/>
        <w:spacing w:line="272" w:lineRule="exact"/>
        <w:ind w:right="5414"/>
        <w:jc w:val="left"/>
      </w:pPr>
      <w:r>
        <w:rPr/>
        <w:t>3、持有外币金融资产、金融负债情况 公司未持有外币金融资产、金融负债情况。</w:t>
      </w:r>
    </w:p>
    <w:p>
      <w:pPr>
        <w:spacing w:line="240" w:lineRule="auto" w:before="11"/>
        <w:rPr>
          <w:rFonts w:ascii="宋体" w:hAnsi="宋体" w:cs="宋体" w:eastAsia="宋体" w:hint="default"/>
          <w:sz w:val="20"/>
          <w:szCs w:val="20"/>
        </w:rPr>
      </w:pPr>
    </w:p>
    <w:p>
      <w:pPr>
        <w:pStyle w:val="BodyText"/>
        <w:spacing w:line="272" w:lineRule="exact"/>
        <w:ind w:left="456" w:right="5098" w:hanging="316"/>
        <w:jc w:val="left"/>
      </w:pPr>
      <w:r>
        <w:rPr/>
        <w:t>4、对公司未来发展的展望 公司是否编制并披露新年度的盈利预测：否</w:t>
      </w:r>
    </w:p>
    <w:p>
      <w:pPr>
        <w:spacing w:line="240" w:lineRule="auto" w:before="11"/>
        <w:rPr>
          <w:rFonts w:ascii="宋体" w:hAnsi="宋体" w:cs="宋体" w:eastAsia="宋体" w:hint="default"/>
          <w:sz w:val="16"/>
          <w:szCs w:val="16"/>
        </w:rPr>
      </w:pPr>
    </w:p>
    <w:p>
      <w:pPr>
        <w:pStyle w:val="BodyText"/>
        <w:spacing w:line="540" w:lineRule="atLeast"/>
        <w:ind w:right="7409"/>
        <w:jc w:val="left"/>
      </w:pPr>
      <w:r>
        <w:rPr/>
        <w:t>(三)</w:t>
      </w:r>
      <w:r>
        <w:rPr>
          <w:spacing w:val="-1"/>
        </w:rPr>
        <w:t> </w:t>
      </w:r>
      <w:r>
        <w:rPr/>
        <w:t>公司投资情况</w:t>
      </w:r>
      <w:r>
        <w:rPr/>
        <w:t> 1、募集资金使用情况</w:t>
      </w:r>
    </w:p>
    <w:p>
      <w:pPr>
        <w:pStyle w:val="BodyText"/>
        <w:spacing w:line="272" w:lineRule="exact"/>
        <w:ind w:left="560" w:right="171"/>
        <w:jc w:val="left"/>
      </w:pPr>
      <w:r>
        <w:rPr/>
        <w:t>报告期内，公司无募集资金或前期募集资金使用到本期的情况。</w:t>
      </w:r>
    </w:p>
    <w:p>
      <w:pPr>
        <w:spacing w:line="240" w:lineRule="auto" w:before="10"/>
        <w:rPr>
          <w:rFonts w:ascii="宋体" w:hAnsi="宋体" w:cs="宋体" w:eastAsia="宋体" w:hint="default"/>
          <w:sz w:val="22"/>
          <w:szCs w:val="22"/>
        </w:rPr>
      </w:pPr>
    </w:p>
    <w:p>
      <w:pPr>
        <w:pStyle w:val="BodyText"/>
        <w:spacing w:line="272" w:lineRule="exact"/>
        <w:ind w:left="560" w:right="5204" w:hanging="420"/>
        <w:jc w:val="left"/>
      </w:pPr>
      <w:r>
        <w:rPr/>
        <w:t>2、非募集资金项目情况 报告期内，公司无非募集资金投资项目。</w:t>
      </w:r>
    </w:p>
    <w:p>
      <w:pPr>
        <w:spacing w:line="240" w:lineRule="auto" w:before="11"/>
        <w:rPr>
          <w:rFonts w:ascii="宋体" w:hAnsi="宋体" w:cs="宋体" w:eastAsia="宋体" w:hint="default"/>
          <w:sz w:val="20"/>
          <w:szCs w:val="20"/>
        </w:rPr>
      </w:pPr>
    </w:p>
    <w:p>
      <w:pPr>
        <w:pStyle w:val="BodyText"/>
        <w:spacing w:line="272" w:lineRule="exact"/>
        <w:ind w:left="560" w:right="3002" w:hanging="421"/>
        <w:jc w:val="left"/>
      </w:pPr>
      <w:r>
        <w:rPr/>
        <w:t>(四)</w:t>
      </w:r>
      <w:r>
        <w:rPr>
          <w:spacing w:val="-2"/>
        </w:rPr>
        <w:t> </w:t>
      </w:r>
      <w:r>
        <w:rPr/>
        <w:t>公司会计政策、会计估计变更或重大会计差错更正的原因及影响</w:t>
      </w:r>
      <w:r>
        <w:rPr/>
        <w:t> 报告期内，公司无会计政策、会计估计变更或重大会计差错。</w:t>
      </w:r>
    </w:p>
    <w:p>
      <w:pPr>
        <w:spacing w:line="240" w:lineRule="auto" w:before="11"/>
        <w:rPr>
          <w:rFonts w:ascii="宋体" w:hAnsi="宋体" w:cs="宋体" w:eastAsia="宋体" w:hint="default"/>
          <w:sz w:val="20"/>
          <w:szCs w:val="20"/>
        </w:rPr>
      </w:pPr>
    </w:p>
    <w:p>
      <w:pPr>
        <w:pStyle w:val="BodyText"/>
        <w:spacing w:line="272" w:lineRule="exact"/>
        <w:ind w:right="6569"/>
        <w:jc w:val="left"/>
      </w:pPr>
      <w:r>
        <w:rPr/>
        <w:t>(五)</w:t>
      </w:r>
      <w:r>
        <w:rPr>
          <w:spacing w:val="-1"/>
        </w:rPr>
        <w:t> </w:t>
      </w:r>
      <w:r>
        <w:rPr/>
        <w:t>董事会日常工作情况</w:t>
      </w:r>
      <w:r>
        <w:rPr/>
        <w:t> 1、董事会会议情况及决议内容</w:t>
      </w:r>
    </w:p>
    <w:tbl>
      <w:tblPr>
        <w:tblW w:w="0" w:type="auto"/>
        <w:jc w:val="left"/>
        <w:tblInd w:w="125" w:type="dxa"/>
        <w:tblLayout w:type="fixed"/>
        <w:tblCellMar>
          <w:top w:w="0" w:type="dxa"/>
          <w:left w:w="0" w:type="dxa"/>
          <w:bottom w:w="0" w:type="dxa"/>
          <w:right w:w="0" w:type="dxa"/>
        </w:tblCellMar>
        <w:tblLook w:val="01E0"/>
      </w:tblPr>
      <w:tblGrid>
        <w:gridCol w:w="1615"/>
        <w:gridCol w:w="1194"/>
        <w:gridCol w:w="4001"/>
        <w:gridCol w:w="1298"/>
        <w:gridCol w:w="1192"/>
      </w:tblGrid>
      <w:tr>
        <w:trPr>
          <w:trHeight w:val="83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2" w:lineRule="exact" w:before="26"/>
              <w:ind w:left="221" w:right="221"/>
              <w:jc w:val="center"/>
              <w:rPr>
                <w:rFonts w:ascii="宋体" w:hAnsi="宋体" w:cs="宋体" w:eastAsia="宋体" w:hint="default"/>
                <w:sz w:val="21"/>
                <w:szCs w:val="21"/>
              </w:rPr>
            </w:pPr>
            <w:r>
              <w:rPr>
                <w:rFonts w:ascii="宋体" w:hAnsi="宋体" w:cs="宋体" w:eastAsia="宋体" w:hint="default"/>
                <w:sz w:val="21"/>
                <w:szCs w:val="21"/>
              </w:rPr>
              <w:t>信息披露 报纸</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273" w:right="167" w:hanging="106"/>
              <w:jc w:val="left"/>
              <w:rPr>
                <w:rFonts w:ascii="宋体" w:hAnsi="宋体" w:cs="宋体" w:eastAsia="宋体" w:hint="default"/>
                <w:sz w:val="21"/>
                <w:szCs w:val="21"/>
              </w:rPr>
            </w:pPr>
            <w:r>
              <w:rPr>
                <w:rFonts w:ascii="宋体" w:hAnsi="宋体" w:cs="宋体" w:eastAsia="宋体" w:hint="default"/>
                <w:sz w:val="21"/>
                <w:szCs w:val="21"/>
              </w:rPr>
              <w:t>的信息披 露日期</w:t>
            </w:r>
          </w:p>
        </w:tc>
      </w:tr>
      <w:tr>
        <w:trPr>
          <w:trHeight w:val="279" w:hRule="exact"/>
        </w:trPr>
        <w:tc>
          <w:tcPr>
            <w:tcW w:w="1615"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40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审议通过了《关于选举公司董事长的议</w:t>
            </w:r>
          </w:p>
        </w:tc>
        <w:tc>
          <w:tcPr>
            <w:tcW w:w="1298" w:type="dxa"/>
            <w:tcBorders>
              <w:top w:val="single" w:sz="6" w:space="0" w:color="000000"/>
              <w:left w:val="single" w:sz="6" w:space="0" w:color="000000"/>
              <w:bottom w:val="nil" w:sz="6" w:space="0" w:color="auto"/>
              <w:right w:val="single" w:sz="6" w:space="0" w:color="000000"/>
            </w:tcBorders>
          </w:tcPr>
          <w:p>
            <w:pPr/>
          </w:p>
        </w:tc>
        <w:tc>
          <w:tcPr>
            <w:tcW w:w="119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15"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6"/>
                <w:sz w:val="21"/>
                <w:szCs w:val="21"/>
              </w:rPr>
              <w:t>案》、《关于选举公司副董事长的议案》、</w:t>
            </w:r>
          </w:p>
        </w:tc>
        <w:tc>
          <w:tcPr>
            <w:tcW w:w="1298"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15"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《聘任王宏伟先生为公司总经理的议案</w:t>
            </w:r>
            <w:r>
              <w:rPr>
                <w:rFonts w:ascii="宋体" w:hAnsi="宋体" w:cs="宋体" w:eastAsia="宋体" w:hint="default"/>
                <w:spacing w:val="-100"/>
                <w:sz w:val="21"/>
                <w:szCs w:val="21"/>
              </w:rPr>
              <w:t>》</w:t>
            </w:r>
            <w:r>
              <w:rPr>
                <w:rFonts w:ascii="宋体" w:hAnsi="宋体" w:cs="宋体" w:eastAsia="宋体" w:hint="default"/>
                <w:sz w:val="21"/>
                <w:szCs w:val="21"/>
              </w:rPr>
              <w:t>、</w:t>
            </w:r>
          </w:p>
        </w:tc>
        <w:tc>
          <w:tcPr>
            <w:tcW w:w="1298"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39"/>
              <w:jc w:val="left"/>
              <w:rPr>
                <w:rFonts w:ascii="宋体" w:hAnsi="宋体" w:cs="宋体" w:eastAsia="宋体" w:hint="default"/>
                <w:sz w:val="21"/>
                <w:szCs w:val="21"/>
              </w:rPr>
            </w:pPr>
            <w:r>
              <w:rPr>
                <w:rFonts w:ascii="宋体" w:hAnsi="宋体" w:cs="宋体" w:eastAsia="宋体" w:hint="default"/>
                <w:sz w:val="21"/>
                <w:szCs w:val="21"/>
              </w:rPr>
              <w:t>第四届董事会 第一次会议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1月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《聘任张连增先生为公司董事会秘书，刘</w:t>
            </w:r>
          </w:p>
          <w:p>
            <w:pPr>
              <w:pStyle w:val="TableParagraph"/>
              <w:spacing w:line="272" w:lineRule="exact" w:before="26"/>
              <w:ind w:left="100" w:right="103"/>
              <w:jc w:val="left"/>
              <w:rPr>
                <w:rFonts w:ascii="宋体" w:hAnsi="宋体" w:cs="宋体" w:eastAsia="宋体" w:hint="default"/>
                <w:sz w:val="21"/>
                <w:szCs w:val="21"/>
              </w:rPr>
            </w:pPr>
            <w:r>
              <w:rPr>
                <w:rFonts w:ascii="宋体" w:hAnsi="宋体" w:cs="宋体" w:eastAsia="宋体" w:hint="default"/>
                <w:sz w:val="21"/>
                <w:szCs w:val="21"/>
              </w:rPr>
              <w:t>喜涛先生为证券事务代表的议案》、《聘 任刘亚芳女士为公司总会计师的议案》、</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31"/>
              <w:jc w:val="left"/>
              <w:rPr>
                <w:rFonts w:ascii="宋体" w:hAnsi="宋体" w:cs="宋体" w:eastAsia="宋体" w:hint="default"/>
                <w:sz w:val="21"/>
                <w:szCs w:val="21"/>
              </w:rPr>
            </w:pPr>
            <w:r>
              <w:rPr>
                <w:rFonts w:ascii="宋体" w:hAnsi="宋体" w:cs="宋体" w:eastAsia="宋体" w:hint="default"/>
                <w:sz w:val="21"/>
                <w:szCs w:val="21"/>
              </w:rPr>
              <w:t>中国证券报 上海证券报</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pacing w:val="26"/>
                <w:sz w:val="21"/>
                <w:szCs w:val="21"/>
              </w:rPr>
              <w:t>1月</w:t>
            </w:r>
            <w:r>
              <w:rPr>
                <w:rFonts w:ascii="宋体" w:hAnsi="宋体" w:cs="宋体" w:eastAsia="宋体" w:hint="default"/>
                <w:spacing w:val="-51"/>
                <w:sz w:val="21"/>
                <w:szCs w:val="21"/>
              </w:rPr>
              <w:t> </w:t>
            </w:r>
            <w:r>
              <w:rPr>
                <w:rFonts w:ascii="宋体" w:hAnsi="宋体" w:cs="宋体" w:eastAsia="宋体" w:hint="default"/>
                <w:spacing w:val="17"/>
                <w:sz w:val="21"/>
                <w:szCs w:val="21"/>
              </w:rPr>
              <w:t>17日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72" w:hRule="exact"/>
        </w:trPr>
        <w:tc>
          <w:tcPr>
            <w:tcW w:w="1615"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《关于设立董事会专业委员会及各专业委</w:t>
            </w:r>
          </w:p>
        </w:tc>
        <w:tc>
          <w:tcPr>
            <w:tcW w:w="1298"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15"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员会委员名单的议案》《关于董事会各专</w:t>
            </w:r>
          </w:p>
        </w:tc>
        <w:tc>
          <w:tcPr>
            <w:tcW w:w="1298"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615"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40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门委员会工作细则的议案》。</w:t>
            </w:r>
          </w:p>
        </w:tc>
        <w:tc>
          <w:tcPr>
            <w:tcW w:w="1298" w:type="dxa"/>
            <w:tcBorders>
              <w:top w:val="nil" w:sz="6" w:space="0" w:color="auto"/>
              <w:left w:val="single" w:sz="6" w:space="0" w:color="000000"/>
              <w:bottom w:val="single" w:sz="6" w:space="0" w:color="000000"/>
              <w:right w:val="single" w:sz="6" w:space="0" w:color="000000"/>
            </w:tcBorders>
          </w:tcPr>
          <w:p>
            <w:pPr/>
          </w:p>
        </w:tc>
        <w:tc>
          <w:tcPr>
            <w:tcW w:w="119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615"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40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6"/>
                <w:sz w:val="21"/>
                <w:szCs w:val="21"/>
              </w:rPr>
              <w:t>审议通过了《独立董事年报工作制度》、、</w:t>
            </w:r>
          </w:p>
        </w:tc>
        <w:tc>
          <w:tcPr>
            <w:tcW w:w="1298" w:type="dxa"/>
            <w:tcBorders>
              <w:top w:val="single" w:sz="6" w:space="0" w:color="000000"/>
              <w:left w:val="single" w:sz="6" w:space="0" w:color="000000"/>
              <w:bottom w:val="nil" w:sz="6" w:space="0" w:color="auto"/>
              <w:right w:val="single" w:sz="6" w:space="0" w:color="000000"/>
            </w:tcBorders>
          </w:tcPr>
          <w:p>
            <w:pPr/>
          </w:p>
        </w:tc>
        <w:tc>
          <w:tcPr>
            <w:tcW w:w="119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15"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《董事会审计委员会年报审议工作程序</w:t>
            </w:r>
            <w:r>
              <w:rPr>
                <w:rFonts w:ascii="宋体" w:hAnsi="宋体" w:cs="宋体" w:eastAsia="宋体" w:hint="default"/>
                <w:spacing w:val="-100"/>
                <w:sz w:val="21"/>
                <w:szCs w:val="21"/>
              </w:rPr>
              <w:t>》</w:t>
            </w:r>
            <w:r>
              <w:rPr>
                <w:rFonts w:ascii="宋体" w:hAnsi="宋体" w:cs="宋体" w:eastAsia="宋体" w:hint="default"/>
                <w:sz w:val="21"/>
                <w:szCs w:val="21"/>
              </w:rPr>
              <w:t>、</w:t>
            </w:r>
          </w:p>
        </w:tc>
        <w:tc>
          <w:tcPr>
            <w:tcW w:w="1298"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《同意徐维欣先生因工作需要不再担任董</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3"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第二次会议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2月</w:t>
            </w:r>
            <w:r>
              <w:rPr>
                <w:rFonts w:ascii="宋体" w:hAnsi="宋体" w:cs="宋体" w:eastAsia="宋体" w:hint="default"/>
                <w:spacing w:val="-51"/>
                <w:sz w:val="21"/>
                <w:szCs w:val="21"/>
              </w:rPr>
              <w:t> </w:t>
            </w:r>
            <w:r>
              <w:rPr>
                <w:rFonts w:ascii="宋体" w:hAnsi="宋体" w:cs="宋体" w:eastAsia="宋体" w:hint="default"/>
                <w:spacing w:val="17"/>
                <w:sz w:val="21"/>
                <w:szCs w:val="21"/>
              </w:rPr>
              <w:t>21日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事长职务》、《选举王宏伟先生为公司第</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上海证券报</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3" w:right="0"/>
              <w:jc w:val="center"/>
              <w:rPr>
                <w:rFonts w:ascii="宋体" w:hAnsi="宋体" w:cs="宋体" w:eastAsia="宋体" w:hint="default"/>
                <w:sz w:val="21"/>
                <w:szCs w:val="21"/>
              </w:rPr>
            </w:pPr>
            <w:r>
              <w:rPr>
                <w:rFonts w:ascii="宋体" w:hAnsi="宋体" w:cs="宋体" w:eastAsia="宋体" w:hint="default"/>
                <w:spacing w:val="26"/>
                <w:sz w:val="21"/>
                <w:szCs w:val="21"/>
              </w:rPr>
              <w:t>2月</w:t>
            </w:r>
            <w:r>
              <w:rPr>
                <w:rFonts w:ascii="宋体" w:hAnsi="宋体" w:cs="宋体" w:eastAsia="宋体" w:hint="default"/>
                <w:spacing w:val="-51"/>
                <w:sz w:val="21"/>
                <w:szCs w:val="21"/>
              </w:rPr>
              <w:t> </w:t>
            </w:r>
            <w:r>
              <w:rPr>
                <w:rFonts w:ascii="宋体" w:hAnsi="宋体" w:cs="宋体" w:eastAsia="宋体" w:hint="default"/>
                <w:spacing w:val="17"/>
                <w:sz w:val="21"/>
                <w:szCs w:val="21"/>
              </w:rPr>
              <w:t>22日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72" w:hRule="exact"/>
        </w:trPr>
        <w:tc>
          <w:tcPr>
            <w:tcW w:w="1615"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四届董事会董事长》、《选举许文祥先生</w:t>
            </w:r>
          </w:p>
        </w:tc>
        <w:tc>
          <w:tcPr>
            <w:tcW w:w="1298"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615"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40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为公司第四届董事会副董事长》。</w:t>
            </w:r>
          </w:p>
        </w:tc>
        <w:tc>
          <w:tcPr>
            <w:tcW w:w="1298" w:type="dxa"/>
            <w:tcBorders>
              <w:top w:val="nil" w:sz="6" w:space="0" w:color="auto"/>
              <w:left w:val="single" w:sz="6" w:space="0" w:color="000000"/>
              <w:bottom w:val="single" w:sz="6" w:space="0" w:color="000000"/>
              <w:right w:val="single" w:sz="6" w:space="0" w:color="000000"/>
            </w:tcBorders>
          </w:tcPr>
          <w:p>
            <w:pPr/>
          </w:p>
        </w:tc>
        <w:tc>
          <w:tcPr>
            <w:tcW w:w="1192"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615"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40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w:t>
            </w:r>
            <w:r>
              <w:rPr>
                <w:rFonts w:ascii="宋体" w:hAnsi="宋体" w:cs="宋体" w:eastAsia="宋体" w:hint="default"/>
                <w:spacing w:val="-100"/>
                <w:sz w:val="21"/>
                <w:szCs w:val="21"/>
              </w:rPr>
              <w:t>了</w:t>
            </w:r>
            <w:r>
              <w:rPr>
                <w:rFonts w:ascii="宋体" w:hAnsi="宋体" w:cs="宋体" w:eastAsia="宋体" w:hint="default"/>
                <w:spacing w:val="-1"/>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度董事会工作报</w:t>
            </w:r>
            <w:r>
              <w:rPr>
                <w:rFonts w:ascii="宋体" w:hAnsi="宋体" w:cs="宋体" w:eastAsia="宋体" w:hint="default"/>
                <w:sz w:val="21"/>
                <w:szCs w:val="21"/>
              </w:rPr>
            </w:r>
          </w:p>
        </w:tc>
        <w:tc>
          <w:tcPr>
            <w:tcW w:w="1298" w:type="dxa"/>
            <w:tcBorders>
              <w:top w:val="single" w:sz="6" w:space="0" w:color="000000"/>
              <w:left w:val="single" w:sz="6" w:space="0" w:color="000000"/>
              <w:bottom w:val="nil" w:sz="6" w:space="0" w:color="auto"/>
              <w:right w:val="single" w:sz="6" w:space="0" w:color="000000"/>
            </w:tcBorders>
          </w:tcPr>
          <w:p>
            <w:pPr/>
          </w:p>
        </w:tc>
        <w:tc>
          <w:tcPr>
            <w:tcW w:w="119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告》、《公司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pacing w:val="-5"/>
                <w:sz w:val="21"/>
                <w:szCs w:val="21"/>
              </w:rPr>
              <w:t>年年度报告》及《年报</w:t>
            </w:r>
            <w:r>
              <w:rPr>
                <w:rFonts w:ascii="宋体" w:hAnsi="宋体" w:cs="宋体" w:eastAsia="宋体" w:hint="default"/>
                <w:sz w:val="21"/>
                <w:szCs w:val="21"/>
              </w:rPr>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3"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第三次会议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3月</w:t>
            </w:r>
            <w:r>
              <w:rPr>
                <w:rFonts w:ascii="宋体" w:hAnsi="宋体" w:cs="宋体" w:eastAsia="宋体" w:hint="default"/>
                <w:spacing w:val="-51"/>
                <w:sz w:val="21"/>
                <w:szCs w:val="21"/>
              </w:rPr>
              <w:t> </w:t>
            </w:r>
            <w:r>
              <w:rPr>
                <w:rFonts w:ascii="宋体" w:hAnsi="宋体" w:cs="宋体" w:eastAsia="宋体" w:hint="default"/>
                <w:spacing w:val="17"/>
                <w:sz w:val="21"/>
                <w:szCs w:val="21"/>
              </w:rPr>
              <w:t>25日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摘要》、《公司</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年度财务决算报告的</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上海证券报</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3" w:right="0"/>
              <w:jc w:val="center"/>
              <w:rPr>
                <w:rFonts w:ascii="宋体" w:hAnsi="宋体" w:cs="宋体" w:eastAsia="宋体" w:hint="default"/>
                <w:sz w:val="21"/>
                <w:szCs w:val="21"/>
              </w:rPr>
            </w:pPr>
            <w:r>
              <w:rPr>
                <w:rFonts w:ascii="宋体" w:hAnsi="宋体" w:cs="宋体" w:eastAsia="宋体" w:hint="default"/>
                <w:spacing w:val="26"/>
                <w:sz w:val="21"/>
                <w:szCs w:val="21"/>
              </w:rPr>
              <w:t>3月</w:t>
            </w:r>
            <w:r>
              <w:rPr>
                <w:rFonts w:ascii="宋体" w:hAnsi="宋体" w:cs="宋体" w:eastAsia="宋体" w:hint="default"/>
                <w:spacing w:val="-51"/>
                <w:sz w:val="21"/>
                <w:szCs w:val="21"/>
              </w:rPr>
              <w:t> </w:t>
            </w:r>
            <w:r>
              <w:rPr>
                <w:rFonts w:ascii="宋体" w:hAnsi="宋体" w:cs="宋体" w:eastAsia="宋体" w:hint="default"/>
                <w:spacing w:val="17"/>
                <w:sz w:val="21"/>
                <w:szCs w:val="21"/>
              </w:rPr>
              <w:t>27日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81" w:hRule="exact"/>
        </w:trPr>
        <w:tc>
          <w:tcPr>
            <w:tcW w:w="1615"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40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议案》、《关于续聘</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年审计机构及支</w:t>
            </w:r>
          </w:p>
        </w:tc>
        <w:tc>
          <w:tcPr>
            <w:tcW w:w="1298" w:type="dxa"/>
            <w:tcBorders>
              <w:top w:val="nil" w:sz="6" w:space="0" w:color="auto"/>
              <w:left w:val="single" w:sz="6" w:space="0" w:color="000000"/>
              <w:bottom w:val="single" w:sz="6" w:space="0" w:color="000000"/>
              <w:right w:val="single" w:sz="6" w:space="0" w:color="000000"/>
            </w:tcBorders>
          </w:tcPr>
          <w:p>
            <w:pPr/>
          </w:p>
        </w:tc>
        <w:tc>
          <w:tcPr>
            <w:tcW w:w="119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615"/>
        <w:gridCol w:w="1194"/>
        <w:gridCol w:w="4001"/>
        <w:gridCol w:w="1298"/>
        <w:gridCol w:w="1192"/>
      </w:tblGrid>
      <w:tr>
        <w:trPr>
          <w:trHeight w:val="279" w:hRule="exact"/>
        </w:trPr>
        <w:tc>
          <w:tcPr>
            <w:tcW w:w="1615" w:type="dxa"/>
            <w:vMerge w:val="restart"/>
            <w:tcBorders>
              <w:top w:val="single" w:sz="6" w:space="0" w:color="000000"/>
              <w:left w:val="single" w:sz="6" w:space="0" w:color="000000"/>
              <w:right w:val="single" w:sz="6" w:space="0" w:color="000000"/>
            </w:tcBorders>
          </w:tcPr>
          <w:p>
            <w:pPr/>
          </w:p>
        </w:tc>
        <w:tc>
          <w:tcPr>
            <w:tcW w:w="1194" w:type="dxa"/>
            <w:vMerge w:val="restart"/>
            <w:tcBorders>
              <w:top w:val="single" w:sz="6" w:space="0" w:color="000000"/>
              <w:left w:val="single" w:sz="6" w:space="0" w:color="000000"/>
              <w:right w:val="single" w:sz="6" w:space="0" w:color="000000"/>
            </w:tcBorders>
          </w:tcPr>
          <w:p>
            <w:pPr/>
          </w:p>
        </w:tc>
        <w:tc>
          <w:tcPr>
            <w:tcW w:w="40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审</w:t>
            </w:r>
            <w:r>
              <w:rPr>
                <w:rFonts w:ascii="宋体" w:hAnsi="宋体" w:cs="宋体" w:eastAsia="宋体" w:hint="default"/>
                <w:spacing w:val="-1"/>
                <w:sz w:val="21"/>
                <w:szCs w:val="21"/>
              </w:rPr>
              <w:t>计费用的议案</w:t>
            </w:r>
            <w:r>
              <w:rPr>
                <w:rFonts w:ascii="宋体" w:hAnsi="宋体" w:cs="宋体" w:eastAsia="宋体" w:hint="default"/>
                <w:spacing w:val="-51"/>
                <w:sz w:val="21"/>
                <w:szCs w:val="21"/>
              </w:rPr>
              <w:t>》</w:t>
            </w:r>
            <w:r>
              <w:rPr>
                <w:rFonts w:ascii="宋体" w:hAnsi="宋体" w:cs="宋体" w:eastAsia="宋体" w:hint="default"/>
                <w:spacing w:val="-101"/>
                <w:sz w:val="21"/>
                <w:szCs w:val="21"/>
              </w:rPr>
              <w:t>、</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p>
        </w:tc>
        <w:tc>
          <w:tcPr>
            <w:tcW w:w="1298" w:type="dxa"/>
            <w:vMerge w:val="restart"/>
            <w:tcBorders>
              <w:top w:val="single" w:sz="6" w:space="0" w:color="000000"/>
              <w:left w:val="single" w:sz="6" w:space="0" w:color="000000"/>
              <w:right w:val="single" w:sz="6" w:space="0" w:color="000000"/>
            </w:tcBorders>
          </w:tcPr>
          <w:p>
            <w:pPr/>
          </w:p>
        </w:tc>
        <w:tc>
          <w:tcPr>
            <w:tcW w:w="1192" w:type="dxa"/>
            <w:vMerge w:val="restart"/>
            <w:tcBorders>
              <w:top w:val="single" w:sz="6" w:space="0" w:color="000000"/>
              <w:left w:val="single" w:sz="6" w:space="0" w:color="000000"/>
              <w:right w:val="single" w:sz="6" w:space="0" w:color="000000"/>
            </w:tcBorders>
          </w:tcPr>
          <w:p>
            <w:pPr/>
          </w:p>
        </w:tc>
      </w:tr>
      <w:tr>
        <w:trPr>
          <w:trHeight w:val="272" w:hRule="exact"/>
        </w:trPr>
        <w:tc>
          <w:tcPr>
            <w:tcW w:w="1615" w:type="dxa"/>
            <w:vMerge/>
            <w:tcBorders>
              <w:left w:val="single" w:sz="6" w:space="0" w:color="000000"/>
              <w:right w:val="single" w:sz="6" w:space="0" w:color="000000"/>
            </w:tcBorders>
          </w:tcPr>
          <w:p>
            <w:pPr/>
          </w:p>
        </w:tc>
        <w:tc>
          <w:tcPr>
            <w:tcW w:w="1194" w:type="dxa"/>
            <w:vMerge/>
            <w:tcBorders>
              <w:left w:val="single" w:sz="6" w:space="0" w:color="000000"/>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年度利润分配预案》、《公司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年与黑</w:t>
            </w:r>
          </w:p>
        </w:tc>
        <w:tc>
          <w:tcPr>
            <w:tcW w:w="1298" w:type="dxa"/>
            <w:vMerge/>
            <w:tcBorders>
              <w:left w:val="single" w:sz="6" w:space="0" w:color="000000"/>
              <w:right w:val="single" w:sz="6" w:space="0" w:color="000000"/>
            </w:tcBorders>
          </w:tcPr>
          <w:p>
            <w:pPr/>
          </w:p>
        </w:tc>
        <w:tc>
          <w:tcPr>
            <w:tcW w:w="1192" w:type="dxa"/>
            <w:vMerge/>
            <w:tcBorders>
              <w:left w:val="single" w:sz="6" w:space="0" w:color="000000"/>
              <w:right w:val="single" w:sz="6" w:space="0" w:color="000000"/>
            </w:tcBorders>
          </w:tcPr>
          <w:p>
            <w:pPr/>
          </w:p>
        </w:tc>
      </w:tr>
      <w:tr>
        <w:trPr>
          <w:trHeight w:val="272" w:hRule="exact"/>
        </w:trPr>
        <w:tc>
          <w:tcPr>
            <w:tcW w:w="1615" w:type="dxa"/>
            <w:vMerge/>
            <w:tcBorders>
              <w:left w:val="single" w:sz="6" w:space="0" w:color="000000"/>
              <w:right w:val="single" w:sz="6" w:space="0" w:color="000000"/>
            </w:tcBorders>
          </w:tcPr>
          <w:p>
            <w:pPr/>
          </w:p>
        </w:tc>
        <w:tc>
          <w:tcPr>
            <w:tcW w:w="1194" w:type="dxa"/>
            <w:vMerge/>
            <w:tcBorders>
              <w:left w:val="single" w:sz="6" w:space="0" w:color="000000"/>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化集团有限公司日常关联预估金额的议</w:t>
            </w:r>
          </w:p>
        </w:tc>
        <w:tc>
          <w:tcPr>
            <w:tcW w:w="1298" w:type="dxa"/>
            <w:vMerge/>
            <w:tcBorders>
              <w:left w:val="single" w:sz="6" w:space="0" w:color="000000"/>
              <w:right w:val="single" w:sz="6" w:space="0" w:color="000000"/>
            </w:tcBorders>
          </w:tcPr>
          <w:p>
            <w:pPr/>
          </w:p>
        </w:tc>
        <w:tc>
          <w:tcPr>
            <w:tcW w:w="1192" w:type="dxa"/>
            <w:vMerge/>
            <w:tcBorders>
              <w:left w:val="single" w:sz="6" w:space="0" w:color="000000"/>
              <w:right w:val="single" w:sz="6" w:space="0" w:color="000000"/>
            </w:tcBorders>
          </w:tcPr>
          <w:p>
            <w:pPr/>
          </w:p>
        </w:tc>
      </w:tr>
      <w:tr>
        <w:trPr>
          <w:trHeight w:val="272" w:hRule="exact"/>
        </w:trPr>
        <w:tc>
          <w:tcPr>
            <w:tcW w:w="1615" w:type="dxa"/>
            <w:vMerge/>
            <w:tcBorders>
              <w:left w:val="single" w:sz="6" w:space="0" w:color="000000"/>
              <w:right w:val="single" w:sz="6" w:space="0" w:color="000000"/>
            </w:tcBorders>
          </w:tcPr>
          <w:p>
            <w:pPr/>
          </w:p>
        </w:tc>
        <w:tc>
          <w:tcPr>
            <w:tcW w:w="1194" w:type="dxa"/>
            <w:vMerge/>
            <w:tcBorders>
              <w:left w:val="single" w:sz="6" w:space="0" w:color="000000"/>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案》、《关于对前期已披露的</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年期初</w:t>
            </w:r>
          </w:p>
        </w:tc>
        <w:tc>
          <w:tcPr>
            <w:tcW w:w="1298" w:type="dxa"/>
            <w:vMerge/>
            <w:tcBorders>
              <w:left w:val="single" w:sz="6" w:space="0" w:color="000000"/>
              <w:right w:val="single" w:sz="6" w:space="0" w:color="000000"/>
            </w:tcBorders>
          </w:tcPr>
          <w:p>
            <w:pPr/>
          </w:p>
        </w:tc>
        <w:tc>
          <w:tcPr>
            <w:tcW w:w="1192" w:type="dxa"/>
            <w:vMerge/>
            <w:tcBorders>
              <w:left w:val="single" w:sz="6" w:space="0" w:color="000000"/>
              <w:right w:val="single" w:sz="6" w:space="0" w:color="000000"/>
            </w:tcBorders>
          </w:tcPr>
          <w:p>
            <w:pPr/>
          </w:p>
        </w:tc>
      </w:tr>
      <w:tr>
        <w:trPr>
          <w:trHeight w:val="272" w:hRule="exact"/>
        </w:trPr>
        <w:tc>
          <w:tcPr>
            <w:tcW w:w="1615" w:type="dxa"/>
            <w:vMerge/>
            <w:tcBorders>
              <w:left w:val="single" w:sz="6" w:space="0" w:color="000000"/>
              <w:right w:val="single" w:sz="6" w:space="0" w:color="000000"/>
            </w:tcBorders>
          </w:tcPr>
          <w:p>
            <w:pPr/>
          </w:p>
        </w:tc>
        <w:tc>
          <w:tcPr>
            <w:tcW w:w="1194" w:type="dxa"/>
            <w:vMerge/>
            <w:tcBorders>
              <w:left w:val="single" w:sz="6" w:space="0" w:color="000000"/>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资产负债表相关项目及金额调整的议案</w:t>
            </w:r>
            <w:r>
              <w:rPr>
                <w:rFonts w:ascii="宋体" w:hAnsi="宋体" w:cs="宋体" w:eastAsia="宋体" w:hint="default"/>
                <w:spacing w:val="-100"/>
                <w:sz w:val="21"/>
                <w:szCs w:val="21"/>
              </w:rPr>
              <w:t>》</w:t>
            </w:r>
            <w:r>
              <w:rPr>
                <w:rFonts w:ascii="宋体" w:hAnsi="宋体" w:cs="宋体" w:eastAsia="宋体" w:hint="default"/>
                <w:sz w:val="21"/>
                <w:szCs w:val="21"/>
              </w:rPr>
              <w:t>、</w:t>
            </w:r>
          </w:p>
        </w:tc>
        <w:tc>
          <w:tcPr>
            <w:tcW w:w="1298" w:type="dxa"/>
            <w:vMerge/>
            <w:tcBorders>
              <w:left w:val="single" w:sz="6" w:space="0" w:color="000000"/>
              <w:right w:val="single" w:sz="6" w:space="0" w:color="000000"/>
            </w:tcBorders>
          </w:tcPr>
          <w:p>
            <w:pPr/>
          </w:p>
        </w:tc>
        <w:tc>
          <w:tcPr>
            <w:tcW w:w="1192" w:type="dxa"/>
            <w:vMerge/>
            <w:tcBorders>
              <w:left w:val="single" w:sz="6" w:space="0" w:color="000000"/>
              <w:right w:val="single" w:sz="6" w:space="0" w:color="000000"/>
            </w:tcBorders>
          </w:tcPr>
          <w:p>
            <w:pPr/>
          </w:p>
        </w:tc>
      </w:tr>
      <w:tr>
        <w:trPr>
          <w:trHeight w:val="272" w:hRule="exact"/>
        </w:trPr>
        <w:tc>
          <w:tcPr>
            <w:tcW w:w="1615" w:type="dxa"/>
            <w:vMerge/>
            <w:tcBorders>
              <w:left w:val="single" w:sz="6" w:space="0" w:color="000000"/>
              <w:right w:val="single" w:sz="6" w:space="0" w:color="000000"/>
            </w:tcBorders>
          </w:tcPr>
          <w:p>
            <w:pPr/>
          </w:p>
        </w:tc>
        <w:tc>
          <w:tcPr>
            <w:tcW w:w="1194" w:type="dxa"/>
            <w:vMerge/>
            <w:tcBorders>
              <w:left w:val="single" w:sz="6" w:space="0" w:color="000000"/>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《公司关于向中国民生银行大连分行申请</w:t>
            </w:r>
          </w:p>
        </w:tc>
        <w:tc>
          <w:tcPr>
            <w:tcW w:w="1298" w:type="dxa"/>
            <w:vMerge/>
            <w:tcBorders>
              <w:left w:val="single" w:sz="6" w:space="0" w:color="000000"/>
              <w:right w:val="single" w:sz="6" w:space="0" w:color="000000"/>
            </w:tcBorders>
          </w:tcPr>
          <w:p>
            <w:pPr/>
          </w:p>
        </w:tc>
        <w:tc>
          <w:tcPr>
            <w:tcW w:w="1192" w:type="dxa"/>
            <w:vMerge/>
            <w:tcBorders>
              <w:left w:val="single" w:sz="6" w:space="0" w:color="000000"/>
              <w:right w:val="single" w:sz="6" w:space="0" w:color="000000"/>
            </w:tcBorders>
          </w:tcPr>
          <w:p>
            <w:pPr/>
          </w:p>
        </w:tc>
      </w:tr>
      <w:tr>
        <w:trPr>
          <w:trHeight w:val="272" w:hRule="exact"/>
        </w:trPr>
        <w:tc>
          <w:tcPr>
            <w:tcW w:w="1615" w:type="dxa"/>
            <w:vMerge/>
            <w:tcBorders>
              <w:left w:val="single" w:sz="6" w:space="0" w:color="000000"/>
              <w:right w:val="single" w:sz="6" w:space="0" w:color="000000"/>
            </w:tcBorders>
          </w:tcPr>
          <w:p>
            <w:pPr/>
          </w:p>
        </w:tc>
        <w:tc>
          <w:tcPr>
            <w:tcW w:w="1194" w:type="dxa"/>
            <w:vMerge/>
            <w:tcBorders>
              <w:left w:val="single" w:sz="6" w:space="0" w:color="000000"/>
              <w:right w:val="single" w:sz="6" w:space="0" w:color="000000"/>
            </w:tcBorders>
          </w:tcPr>
          <w:p>
            <w:pP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亿元综合授信的议案》、《公司关于召</w:t>
            </w:r>
          </w:p>
        </w:tc>
        <w:tc>
          <w:tcPr>
            <w:tcW w:w="1298" w:type="dxa"/>
            <w:vMerge/>
            <w:tcBorders>
              <w:left w:val="single" w:sz="6" w:space="0" w:color="000000"/>
              <w:right w:val="single" w:sz="6" w:space="0" w:color="000000"/>
            </w:tcBorders>
          </w:tcPr>
          <w:p>
            <w:pPr/>
          </w:p>
        </w:tc>
        <w:tc>
          <w:tcPr>
            <w:tcW w:w="1192" w:type="dxa"/>
            <w:vMerge/>
            <w:tcBorders>
              <w:left w:val="single" w:sz="6" w:space="0" w:color="000000"/>
              <w:right w:val="single" w:sz="6" w:space="0" w:color="000000"/>
            </w:tcBorders>
          </w:tcPr>
          <w:p>
            <w:pPr/>
          </w:p>
        </w:tc>
      </w:tr>
      <w:tr>
        <w:trPr>
          <w:trHeight w:val="280" w:hRule="exact"/>
        </w:trPr>
        <w:tc>
          <w:tcPr>
            <w:tcW w:w="1615" w:type="dxa"/>
            <w:vMerge/>
            <w:tcBorders>
              <w:left w:val="single" w:sz="6" w:space="0" w:color="000000"/>
              <w:bottom w:val="single" w:sz="6" w:space="0" w:color="000000"/>
              <w:right w:val="single" w:sz="6" w:space="0" w:color="000000"/>
            </w:tcBorders>
          </w:tcPr>
          <w:p>
            <w:pPr/>
          </w:p>
        </w:tc>
        <w:tc>
          <w:tcPr>
            <w:tcW w:w="1194" w:type="dxa"/>
            <w:vMerge/>
            <w:tcBorders>
              <w:left w:val="single" w:sz="6" w:space="0" w:color="000000"/>
              <w:bottom w:val="single" w:sz="6" w:space="0" w:color="000000"/>
              <w:right w:val="single" w:sz="6" w:space="0" w:color="000000"/>
            </w:tcBorders>
          </w:tcPr>
          <w:p>
            <w:pPr/>
          </w:p>
        </w:tc>
        <w:tc>
          <w:tcPr>
            <w:tcW w:w="40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年度股东大会的议案》。</w:t>
            </w:r>
          </w:p>
        </w:tc>
        <w:tc>
          <w:tcPr>
            <w:tcW w:w="1298" w:type="dxa"/>
            <w:vMerge/>
            <w:tcBorders>
              <w:left w:val="single" w:sz="6" w:space="0" w:color="000000"/>
              <w:bottom w:val="single" w:sz="6" w:space="0" w:color="000000"/>
              <w:right w:val="single" w:sz="6" w:space="0" w:color="000000"/>
            </w:tcBorders>
          </w:tcPr>
          <w:p>
            <w:pPr/>
          </w:p>
        </w:tc>
        <w:tc>
          <w:tcPr>
            <w:tcW w:w="1192" w:type="dxa"/>
            <w:vMerge/>
            <w:tcBorders>
              <w:left w:val="single" w:sz="6" w:space="0" w:color="000000"/>
              <w:bottom w:val="single" w:sz="6" w:space="0" w:color="000000"/>
              <w:right w:val="single" w:sz="6" w:space="0" w:color="000000"/>
            </w:tcBorders>
          </w:tcPr>
          <w:p>
            <w:pPr/>
          </w:p>
        </w:tc>
      </w:tr>
      <w:tr>
        <w:trPr>
          <w:trHeight w:val="56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第四次会议</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4月</w:t>
            </w:r>
            <w:r>
              <w:rPr>
                <w:rFonts w:ascii="宋体" w:hAnsi="宋体" w:cs="宋体" w:eastAsia="宋体" w:hint="default"/>
                <w:spacing w:val="-51"/>
                <w:sz w:val="21"/>
                <w:szCs w:val="21"/>
              </w:rPr>
              <w:t> </w:t>
            </w:r>
            <w:r>
              <w:rPr>
                <w:rFonts w:ascii="宋体" w:hAnsi="宋体" w:cs="宋体" w:eastAsia="宋体" w:hint="default"/>
                <w:spacing w:val="17"/>
                <w:sz w:val="21"/>
                <w:szCs w:val="21"/>
              </w:rPr>
              <w:t>25日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5"/>
              <w:jc w:val="left"/>
              <w:rPr>
                <w:rFonts w:ascii="宋体" w:hAnsi="宋体" w:cs="宋体" w:eastAsia="宋体" w:hint="default"/>
                <w:sz w:val="21"/>
                <w:szCs w:val="21"/>
              </w:rPr>
            </w:pPr>
            <w:r>
              <w:rPr>
                <w:rFonts w:ascii="宋体" w:hAnsi="宋体" w:cs="宋体" w:eastAsia="宋体" w:hint="default"/>
                <w:sz w:val="21"/>
                <w:szCs w:val="21"/>
              </w:rPr>
              <w:t>审议通过</w:t>
            </w:r>
            <w:r>
              <w:rPr>
                <w:rFonts w:ascii="宋体" w:hAnsi="宋体" w:cs="宋体" w:eastAsia="宋体" w:hint="default"/>
                <w:spacing w:val="-103"/>
                <w:sz w:val="21"/>
                <w:szCs w:val="21"/>
              </w:rPr>
              <w:t>了</w:t>
            </w:r>
            <w:r>
              <w:rPr>
                <w:rFonts w:ascii="宋体" w:hAnsi="宋体" w:cs="宋体" w:eastAsia="宋体" w:hint="default"/>
                <w:spacing w:val="-1"/>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第一季度报告</w:t>
            </w:r>
            <w:r>
              <w:rPr>
                <w:rFonts w:ascii="宋体" w:hAnsi="宋体" w:cs="宋体" w:eastAsia="宋体" w:hint="default"/>
                <w:spacing w:val="-102"/>
                <w:sz w:val="21"/>
                <w:szCs w:val="21"/>
              </w:rPr>
              <w:t>》</w:t>
            </w:r>
            <w:r>
              <w:rPr>
                <w:rFonts w:ascii="宋体" w:hAnsi="宋体" w:cs="宋体" w:eastAsia="宋体" w:hint="default"/>
                <w:sz w:val="21"/>
                <w:szCs w:val="21"/>
              </w:rPr>
              <w:t>。</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53" w:right="0"/>
              <w:jc w:val="center"/>
              <w:rPr>
                <w:rFonts w:ascii="宋体" w:hAnsi="宋体" w:cs="宋体" w:eastAsia="宋体" w:hint="default"/>
                <w:sz w:val="21"/>
                <w:szCs w:val="21"/>
              </w:rPr>
            </w:pPr>
            <w:r>
              <w:rPr>
                <w:rFonts w:ascii="宋体" w:hAnsi="宋体" w:cs="宋体" w:eastAsia="宋体" w:hint="default"/>
                <w:spacing w:val="26"/>
                <w:sz w:val="21"/>
                <w:szCs w:val="21"/>
              </w:rPr>
              <w:t>4月</w:t>
            </w:r>
            <w:r>
              <w:rPr>
                <w:rFonts w:ascii="宋体" w:hAnsi="宋体" w:cs="宋体" w:eastAsia="宋体" w:hint="default"/>
                <w:spacing w:val="-51"/>
                <w:sz w:val="21"/>
                <w:szCs w:val="21"/>
              </w:rPr>
              <w:t> </w:t>
            </w:r>
            <w:r>
              <w:rPr>
                <w:rFonts w:ascii="宋体" w:hAnsi="宋体" w:cs="宋体" w:eastAsia="宋体" w:hint="default"/>
                <w:spacing w:val="17"/>
                <w:sz w:val="21"/>
                <w:szCs w:val="21"/>
              </w:rPr>
              <w:t>26日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83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9"/>
              <w:jc w:val="left"/>
              <w:rPr>
                <w:rFonts w:ascii="宋体" w:hAnsi="宋体" w:cs="宋体" w:eastAsia="宋体" w:hint="default"/>
                <w:sz w:val="21"/>
                <w:szCs w:val="21"/>
              </w:rPr>
            </w:pPr>
            <w:r>
              <w:rPr>
                <w:rFonts w:ascii="宋体" w:hAnsi="宋体" w:cs="宋体" w:eastAsia="宋体" w:hint="default"/>
                <w:sz w:val="21"/>
                <w:szCs w:val="21"/>
              </w:rPr>
              <w:t>第四届董事会 第五次会议</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6月</w:t>
            </w:r>
            <w:r>
              <w:rPr>
                <w:rFonts w:ascii="宋体" w:hAnsi="宋体" w:cs="宋体" w:eastAsia="宋体" w:hint="default"/>
                <w:spacing w:val="-51"/>
                <w:sz w:val="21"/>
                <w:szCs w:val="21"/>
              </w:rPr>
              <w:t> </w:t>
            </w:r>
            <w:r>
              <w:rPr>
                <w:rFonts w:ascii="宋体" w:hAnsi="宋体" w:cs="宋体" w:eastAsia="宋体" w:hint="default"/>
                <w:spacing w:val="17"/>
                <w:sz w:val="21"/>
                <w:szCs w:val="21"/>
              </w:rPr>
              <w:t>17日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审议通过了《本公司向中国化工集团公司</w:t>
            </w:r>
          </w:p>
          <w:p>
            <w:pPr>
              <w:pStyle w:val="TableParagraph"/>
              <w:spacing w:line="272" w:lineRule="exact" w:before="26"/>
              <w:ind w:left="100" w:right="1"/>
              <w:jc w:val="left"/>
              <w:rPr>
                <w:rFonts w:ascii="宋体" w:hAnsi="宋体" w:cs="宋体" w:eastAsia="宋体" w:hint="default"/>
                <w:sz w:val="21"/>
                <w:szCs w:val="21"/>
              </w:rPr>
            </w:pPr>
            <w:r>
              <w:rPr>
                <w:rFonts w:ascii="宋体" w:hAnsi="宋体" w:cs="宋体" w:eastAsia="宋体" w:hint="default"/>
                <w:sz w:val="21"/>
                <w:szCs w:val="21"/>
              </w:rPr>
              <w:t>提供反担保的关联交易议案》、《关于召 开</w:t>
            </w:r>
            <w:r>
              <w:rPr>
                <w:rFonts w:ascii="宋体" w:hAnsi="宋体" w:cs="宋体" w:eastAsia="宋体" w:hint="default"/>
                <w:spacing w:val="-62"/>
                <w:sz w:val="21"/>
                <w:szCs w:val="21"/>
              </w:rPr>
              <w:t> </w:t>
            </w:r>
            <w:r>
              <w:rPr>
                <w:rFonts w:ascii="宋体" w:hAnsi="宋体" w:cs="宋体" w:eastAsia="宋体" w:hint="default"/>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年第二次临时股东大会的议案》。</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1"/>
              <w:jc w:val="left"/>
              <w:rPr>
                <w:rFonts w:ascii="宋体" w:hAnsi="宋体" w:cs="宋体" w:eastAsia="宋体" w:hint="default"/>
                <w:sz w:val="21"/>
                <w:szCs w:val="21"/>
              </w:rPr>
            </w:pPr>
            <w:r>
              <w:rPr>
                <w:rFonts w:ascii="宋体" w:hAnsi="宋体" w:cs="宋体" w:eastAsia="宋体" w:hint="default"/>
                <w:sz w:val="21"/>
                <w:szCs w:val="21"/>
              </w:rPr>
              <w:t>中国证券报 上海证券报</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1"/>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left="53" w:right="0"/>
              <w:jc w:val="center"/>
              <w:rPr>
                <w:rFonts w:ascii="宋体" w:hAnsi="宋体" w:cs="宋体" w:eastAsia="宋体" w:hint="default"/>
                <w:sz w:val="21"/>
                <w:szCs w:val="21"/>
              </w:rPr>
            </w:pPr>
            <w:r>
              <w:rPr>
                <w:rFonts w:ascii="宋体" w:hAnsi="宋体" w:cs="宋体" w:eastAsia="宋体" w:hint="default"/>
                <w:spacing w:val="26"/>
                <w:sz w:val="21"/>
                <w:szCs w:val="21"/>
              </w:rPr>
              <w:t>6月</w:t>
            </w:r>
            <w:r>
              <w:rPr>
                <w:rFonts w:ascii="宋体" w:hAnsi="宋体" w:cs="宋体" w:eastAsia="宋体" w:hint="default"/>
                <w:spacing w:val="-51"/>
                <w:sz w:val="21"/>
                <w:szCs w:val="21"/>
              </w:rPr>
              <w:t> </w:t>
            </w:r>
            <w:r>
              <w:rPr>
                <w:rFonts w:ascii="宋体" w:hAnsi="宋体" w:cs="宋体" w:eastAsia="宋体" w:hint="default"/>
                <w:spacing w:val="17"/>
                <w:sz w:val="21"/>
                <w:szCs w:val="21"/>
              </w:rPr>
              <w:t>18日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832"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9"/>
              <w:jc w:val="left"/>
              <w:rPr>
                <w:rFonts w:ascii="宋体" w:hAnsi="宋体" w:cs="宋体" w:eastAsia="宋体" w:hint="default"/>
                <w:sz w:val="21"/>
                <w:szCs w:val="21"/>
              </w:rPr>
            </w:pPr>
            <w:r>
              <w:rPr>
                <w:rFonts w:ascii="宋体" w:hAnsi="宋体" w:cs="宋体" w:eastAsia="宋体" w:hint="default"/>
                <w:sz w:val="21"/>
                <w:szCs w:val="21"/>
              </w:rPr>
              <w:t>第四届董事会 第六次会议</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8月</w:t>
            </w:r>
            <w:r>
              <w:rPr>
                <w:rFonts w:ascii="宋体" w:hAnsi="宋体" w:cs="宋体" w:eastAsia="宋体" w:hint="default"/>
                <w:spacing w:val="-52"/>
                <w:sz w:val="21"/>
                <w:szCs w:val="21"/>
              </w:rPr>
              <w:t> </w:t>
            </w:r>
            <w:r>
              <w:rPr>
                <w:rFonts w:ascii="宋体" w:hAnsi="宋体" w:cs="宋体" w:eastAsia="宋体" w:hint="default"/>
                <w:spacing w:val="26"/>
                <w:sz w:val="21"/>
                <w:szCs w:val="21"/>
              </w:rPr>
              <w:t>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w:t>
            </w:r>
            <w:r>
              <w:rPr>
                <w:rFonts w:ascii="宋体" w:hAnsi="宋体" w:cs="宋体" w:eastAsia="宋体" w:hint="default"/>
                <w:spacing w:val="-100"/>
                <w:sz w:val="21"/>
                <w:szCs w:val="21"/>
              </w:rPr>
              <w:t>了</w:t>
            </w:r>
            <w:r>
              <w:rPr>
                <w:rFonts w:ascii="宋体" w:hAnsi="宋体" w:cs="宋体" w:eastAsia="宋体" w:hint="default"/>
                <w:spacing w:val="-1"/>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半年度报告及其</w:t>
            </w:r>
            <w:r>
              <w:rPr>
                <w:rFonts w:ascii="宋体" w:hAnsi="宋体" w:cs="宋体" w:eastAsia="宋体" w:hint="default"/>
                <w:sz w:val="21"/>
                <w:szCs w:val="21"/>
              </w:rPr>
            </w:r>
          </w:p>
          <w:p>
            <w:pPr>
              <w:pStyle w:val="TableParagraph"/>
              <w:spacing w:line="272" w:lineRule="exact" w:before="26"/>
              <w:ind w:left="100" w:right="103"/>
              <w:jc w:val="left"/>
              <w:rPr>
                <w:rFonts w:ascii="宋体" w:hAnsi="宋体" w:cs="宋体" w:eastAsia="宋体" w:hint="default"/>
                <w:sz w:val="21"/>
                <w:szCs w:val="21"/>
              </w:rPr>
            </w:pPr>
            <w:r>
              <w:rPr>
                <w:rFonts w:ascii="宋体" w:hAnsi="宋体" w:cs="宋体" w:eastAsia="宋体" w:hint="default"/>
                <w:sz w:val="21"/>
                <w:szCs w:val="21"/>
              </w:rPr>
              <w:t>摘要》、《关于公司专项治理整改情况的 说明》。</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1"/>
              <w:jc w:val="left"/>
              <w:rPr>
                <w:rFonts w:ascii="宋体" w:hAnsi="宋体" w:cs="宋体" w:eastAsia="宋体" w:hint="default"/>
                <w:sz w:val="21"/>
                <w:szCs w:val="21"/>
              </w:rPr>
            </w:pPr>
            <w:r>
              <w:rPr>
                <w:rFonts w:ascii="宋体" w:hAnsi="宋体" w:cs="宋体" w:eastAsia="宋体" w:hint="default"/>
                <w:sz w:val="21"/>
                <w:szCs w:val="21"/>
              </w:rPr>
              <w:t>中国证券报 上海证券报</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4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pacing w:val="26"/>
                <w:sz w:val="21"/>
                <w:szCs w:val="21"/>
              </w:rPr>
              <w:t>8月</w:t>
            </w:r>
            <w:r>
              <w:rPr>
                <w:rFonts w:ascii="宋体" w:hAnsi="宋体" w:cs="宋体" w:eastAsia="宋体" w:hint="default"/>
                <w:spacing w:val="-52"/>
                <w:sz w:val="21"/>
                <w:szCs w:val="21"/>
              </w:rPr>
              <w:t> </w:t>
            </w:r>
            <w:r>
              <w:rPr>
                <w:rFonts w:ascii="宋体" w:hAnsi="宋体" w:cs="宋体" w:eastAsia="宋体" w:hint="default"/>
                <w:spacing w:val="26"/>
                <w:sz w:val="21"/>
                <w:szCs w:val="21"/>
              </w:rPr>
              <w:t>8日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78" w:hRule="exact"/>
        </w:trPr>
        <w:tc>
          <w:tcPr>
            <w:tcW w:w="1615"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40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审议通过了《公司为齐齐哈尔德科化工有</w:t>
            </w:r>
          </w:p>
        </w:tc>
        <w:tc>
          <w:tcPr>
            <w:tcW w:w="1298" w:type="dxa"/>
            <w:tcBorders>
              <w:top w:val="single" w:sz="6" w:space="0" w:color="000000"/>
              <w:left w:val="single" w:sz="6" w:space="0" w:color="000000"/>
              <w:bottom w:val="nil" w:sz="6" w:space="0" w:color="auto"/>
              <w:right w:val="single" w:sz="6" w:space="0" w:color="000000"/>
            </w:tcBorders>
          </w:tcPr>
          <w:p>
            <w:pPr/>
          </w:p>
        </w:tc>
        <w:tc>
          <w:tcPr>
            <w:tcW w:w="119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限责任公司在交通银行股份有限公司齐齐</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3" w:hRule="exact"/>
        </w:trPr>
        <w:tc>
          <w:tcPr>
            <w:tcW w:w="161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第七次会议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9月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40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哈尔分行申请办理</w:t>
            </w:r>
            <w:r>
              <w:rPr>
                <w:rFonts w:ascii="宋体" w:hAnsi="宋体" w:cs="宋体" w:eastAsia="宋体" w:hint="default"/>
                <w:spacing w:val="-62"/>
                <w:sz w:val="21"/>
                <w:szCs w:val="21"/>
              </w:rPr>
              <w:t> </w:t>
            </w:r>
            <w:r>
              <w:rPr>
                <w:rFonts w:ascii="宋体" w:hAnsi="宋体" w:cs="宋体" w:eastAsia="宋体" w:hint="default"/>
                <w:sz w:val="21"/>
                <w:szCs w:val="21"/>
              </w:rPr>
              <w:t>2000</w:t>
            </w:r>
            <w:r>
              <w:rPr>
                <w:rFonts w:ascii="宋体" w:hAnsi="宋体" w:cs="宋体" w:eastAsia="宋体" w:hint="default"/>
                <w:spacing w:val="-62"/>
                <w:sz w:val="21"/>
                <w:szCs w:val="21"/>
              </w:rPr>
              <w:t> </w:t>
            </w:r>
            <w:r>
              <w:rPr>
                <w:rFonts w:ascii="宋体" w:hAnsi="宋体" w:cs="宋体" w:eastAsia="宋体" w:hint="default"/>
                <w:sz w:val="21"/>
                <w:szCs w:val="21"/>
              </w:rPr>
              <w:t>万元流动资金贷</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上海证券报</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3" w:right="0"/>
              <w:jc w:val="center"/>
              <w:rPr>
                <w:rFonts w:ascii="宋体" w:hAnsi="宋体" w:cs="宋体" w:eastAsia="宋体" w:hint="default"/>
                <w:sz w:val="21"/>
                <w:szCs w:val="21"/>
              </w:rPr>
            </w:pPr>
            <w:r>
              <w:rPr>
                <w:rFonts w:ascii="宋体" w:hAnsi="宋体" w:cs="宋体" w:eastAsia="宋体" w:hint="default"/>
                <w:spacing w:val="26"/>
                <w:sz w:val="21"/>
                <w:szCs w:val="21"/>
              </w:rPr>
              <w:t>9月</w:t>
            </w:r>
            <w:r>
              <w:rPr>
                <w:rFonts w:ascii="宋体" w:hAnsi="宋体" w:cs="宋体" w:eastAsia="宋体" w:hint="default"/>
                <w:spacing w:val="-51"/>
                <w:sz w:val="21"/>
                <w:szCs w:val="21"/>
              </w:rPr>
              <w:t> </w:t>
            </w:r>
            <w:r>
              <w:rPr>
                <w:rFonts w:ascii="宋体" w:hAnsi="宋体" w:cs="宋体" w:eastAsia="宋体" w:hint="default"/>
                <w:spacing w:val="17"/>
                <w:sz w:val="21"/>
                <w:szCs w:val="21"/>
              </w:rPr>
              <w:t>11日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81" w:hRule="exact"/>
        </w:trPr>
        <w:tc>
          <w:tcPr>
            <w:tcW w:w="1615"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40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款提供担保的议案》。</w:t>
            </w:r>
          </w:p>
        </w:tc>
        <w:tc>
          <w:tcPr>
            <w:tcW w:w="1298" w:type="dxa"/>
            <w:tcBorders>
              <w:top w:val="nil" w:sz="6" w:space="0" w:color="auto"/>
              <w:left w:val="single" w:sz="6" w:space="0" w:color="000000"/>
              <w:bottom w:val="single" w:sz="6" w:space="0" w:color="000000"/>
              <w:right w:val="single" w:sz="6" w:space="0" w:color="000000"/>
            </w:tcBorders>
          </w:tcPr>
          <w:p>
            <w:pPr/>
          </w:p>
        </w:tc>
        <w:tc>
          <w:tcPr>
            <w:tcW w:w="1192" w:type="dxa"/>
            <w:tcBorders>
              <w:top w:val="nil" w:sz="6" w:space="0" w:color="auto"/>
              <w:left w:val="single" w:sz="6" w:space="0" w:color="000000"/>
              <w:bottom w:val="single" w:sz="6" w:space="0" w:color="000000"/>
              <w:right w:val="single" w:sz="6" w:space="0" w:color="000000"/>
            </w:tcBorders>
          </w:tcPr>
          <w:p>
            <w:pPr/>
          </w:p>
        </w:tc>
      </w:tr>
      <w:tr>
        <w:trPr>
          <w:trHeight w:val="559"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第四届董事会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第八次会议</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5"/>
              <w:jc w:val="left"/>
              <w:rPr>
                <w:rFonts w:ascii="宋体" w:hAnsi="宋体" w:cs="宋体" w:eastAsia="宋体" w:hint="default"/>
                <w:sz w:val="21"/>
                <w:szCs w:val="21"/>
              </w:rPr>
            </w:pPr>
            <w:r>
              <w:rPr>
                <w:rFonts w:ascii="宋体" w:hAnsi="宋体" w:cs="宋体" w:eastAsia="宋体" w:hint="default"/>
                <w:sz w:val="21"/>
                <w:szCs w:val="21"/>
              </w:rPr>
              <w:t>审议通过</w:t>
            </w:r>
            <w:r>
              <w:rPr>
                <w:rFonts w:ascii="宋体" w:hAnsi="宋体" w:cs="宋体" w:eastAsia="宋体" w:hint="default"/>
                <w:spacing w:val="-103"/>
                <w:sz w:val="21"/>
                <w:szCs w:val="21"/>
              </w:rPr>
              <w:t>了</w:t>
            </w:r>
            <w:r>
              <w:rPr>
                <w:rFonts w:ascii="宋体" w:hAnsi="宋体" w:cs="宋体" w:eastAsia="宋体" w:hint="default"/>
                <w:spacing w:val="-1"/>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第三季度报告</w:t>
            </w:r>
            <w:r>
              <w:rPr>
                <w:rFonts w:ascii="宋体" w:hAnsi="宋体" w:cs="宋体" w:eastAsia="宋体" w:hint="default"/>
                <w:spacing w:val="-102"/>
                <w:sz w:val="21"/>
                <w:szCs w:val="21"/>
              </w:rPr>
              <w:t>》</w:t>
            </w:r>
            <w:r>
              <w:rPr>
                <w:rFonts w:ascii="宋体" w:hAnsi="宋体" w:cs="宋体" w:eastAsia="宋体" w:hint="default"/>
                <w:sz w:val="21"/>
                <w:szCs w:val="21"/>
              </w:rPr>
              <w:t>。</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24</w:t>
            </w:r>
            <w:r>
              <w:rPr>
                <w:rFonts w:ascii="宋体" w:hAnsi="宋体" w:cs="宋体" w:eastAsia="宋体" w:hint="default"/>
                <w:spacing w:val="-60"/>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15"/>
          <w:szCs w:val="15"/>
        </w:rPr>
      </w:pPr>
    </w:p>
    <w:p>
      <w:pPr>
        <w:pStyle w:val="BodyText"/>
        <w:spacing w:line="272" w:lineRule="exact" w:before="63"/>
        <w:ind w:left="560" w:right="204" w:hanging="420"/>
        <w:jc w:val="left"/>
      </w:pPr>
      <w:r>
        <w:rPr/>
        <w:t>2、董事会对股东大会决议的执行情况 报告期内，公司召开了三次股东大会（其中年度股东大会一次、临时股东大会两次），公司董事</w:t>
      </w:r>
    </w:p>
    <w:p>
      <w:pPr>
        <w:pStyle w:val="BodyText"/>
        <w:spacing w:line="272" w:lineRule="exact"/>
        <w:ind w:right="204"/>
        <w:jc w:val="left"/>
      </w:pPr>
      <w:r>
        <w:rPr/>
        <w:t>会均依照股东大会授予的职权，认真执行并完成了股东大会通过的各项决议。报告期内，公司没有进 行利润分配、公积金转增股本方案，也没有配股、增发新股等情况。</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t>3、董事会下设的审计委员会的履职情况汇总报告 公司董事会审计委员会认真履行职责，对公司的财务状况进行了审慎的核查并对公司编制的财务</w:t>
      </w:r>
    </w:p>
    <w:p>
      <w:pPr>
        <w:pStyle w:val="BodyText"/>
        <w:spacing w:line="246" w:lineRule="exact"/>
        <w:ind w:right="103"/>
        <w:jc w:val="left"/>
      </w:pPr>
      <w:r>
        <w:rPr/>
        <w:t>报表进行了审核，认为公司财务体系运营稳健，财务状况良好。</w:t>
      </w:r>
    </w:p>
    <w:p>
      <w:pPr>
        <w:pStyle w:val="BodyText"/>
        <w:spacing w:line="272" w:lineRule="exact" w:before="26"/>
        <w:ind w:right="209" w:firstLine="420"/>
        <w:jc w:val="left"/>
      </w:pPr>
      <w:r>
        <w:rPr>
          <w:spacing w:val="-3"/>
        </w:rPr>
        <w:t>根据中国证监会《关于做好上市公司</w:t>
      </w:r>
      <w:r>
        <w:rPr>
          <w:spacing w:val="-48"/>
        </w:rPr>
        <w:t> </w:t>
      </w:r>
      <w:r>
        <w:rPr/>
        <w:t>2008</w:t>
      </w:r>
      <w:r>
        <w:rPr>
          <w:spacing w:val="-47"/>
        </w:rPr>
        <w:t> </w:t>
      </w:r>
      <w:r>
        <w:rPr>
          <w:spacing w:val="-3"/>
        </w:rPr>
        <w:t>年年度报告及相关工作的通知》的要求，对审计委员会</w:t>
      </w:r>
      <w:r>
        <w:rPr/>
        <w:t> 履职情况和天职国际会计师事务所（以下简称“天职”）的审计工作情况总结如下：</w:t>
      </w:r>
    </w:p>
    <w:p>
      <w:pPr>
        <w:pStyle w:val="BodyText"/>
        <w:spacing w:line="272" w:lineRule="exact"/>
        <w:ind w:left="560" w:right="624" w:hanging="421"/>
        <w:jc w:val="left"/>
      </w:pPr>
      <w:r>
        <w:rPr/>
        <w:t>（1）审计工作总体情况 审计工作安排在审计委员会的指导下开展，并由董事会办公室以书面方式向独立董事报告。</w:t>
      </w:r>
    </w:p>
    <w:p>
      <w:pPr>
        <w:pStyle w:val="BodyText"/>
        <w:spacing w:line="272" w:lineRule="exact"/>
        <w:ind w:right="99" w:firstLine="419"/>
        <w:jc w:val="left"/>
      </w:pPr>
      <w:r>
        <w:rPr/>
        <w:t>公司</w:t>
      </w:r>
      <w:r>
        <w:rPr>
          <w:spacing w:val="-52"/>
        </w:rPr>
        <w:t> </w:t>
      </w:r>
      <w:r>
        <w:rPr/>
        <w:t>2008</w:t>
      </w:r>
      <w:r>
        <w:rPr>
          <w:spacing w:val="-50"/>
        </w:rPr>
        <w:t> </w:t>
      </w:r>
      <w:r>
        <w:rPr>
          <w:spacing w:val="-4"/>
        </w:rPr>
        <w:t>年审计工作主要分为计划、实施和报告三个阶段。其中：计划阶段，通过沟通，制定了</w:t>
      </w:r>
      <w:r>
        <w:rPr>
          <w:spacing w:val="-1"/>
        </w:rPr>
        <w:t> </w:t>
      </w:r>
      <w:r>
        <w:rPr/>
        <w:t>审计工作计划；现场阶段,天职同重要业务部门的管理人员进行访谈；报告阶段，天职和审计委员会、</w:t>
      </w:r>
      <w:r>
        <w:rPr/>
        <w:t> 独立董事、管理层充分沟通，同期，对于纳入合并范围的子公司，天职也执行了相应的审计程序。 2009</w:t>
      </w:r>
      <w:r>
        <w:rPr>
          <w:spacing w:val="-54"/>
        </w:rPr>
        <w:t> </w:t>
      </w:r>
      <w:r>
        <w:rPr/>
        <w:t>年</w:t>
      </w:r>
      <w:r>
        <w:rPr>
          <w:spacing w:val="-54"/>
        </w:rPr>
        <w:t> </w:t>
      </w:r>
      <w:r>
        <w:rPr/>
        <w:t>4</w:t>
      </w:r>
      <w:r>
        <w:rPr>
          <w:spacing w:val="-54"/>
        </w:rPr>
        <w:t> </w:t>
      </w:r>
      <w:r>
        <w:rPr/>
        <w:t>月</w:t>
      </w:r>
      <w:r>
        <w:rPr>
          <w:spacing w:val="-55"/>
        </w:rPr>
        <w:t> </w:t>
      </w:r>
      <w:r>
        <w:rPr/>
        <w:t>27</w:t>
      </w:r>
      <w:r>
        <w:rPr>
          <w:spacing w:val="-53"/>
        </w:rPr>
        <w:t> </w:t>
      </w:r>
      <w:r>
        <w:rPr/>
        <w:t>日，天职如期出具了正式的标准无保留意见的审计报告。</w:t>
      </w:r>
    </w:p>
    <w:p>
      <w:pPr>
        <w:pStyle w:val="BodyText"/>
        <w:spacing w:line="246" w:lineRule="exact"/>
        <w:ind w:right="103"/>
        <w:jc w:val="left"/>
      </w:pPr>
      <w:r>
        <w:rPr/>
        <w:t>（2）对审计机构的督促情况</w:t>
      </w:r>
    </w:p>
    <w:p>
      <w:pPr>
        <w:pStyle w:val="BodyText"/>
        <w:spacing w:line="272" w:lineRule="exact" w:before="26"/>
        <w:ind w:right="221" w:firstLine="420"/>
        <w:jc w:val="both"/>
      </w:pPr>
      <w:r>
        <w:rPr/>
        <w:t>为做好公司 2008</w:t>
      </w:r>
      <w:r>
        <w:rPr>
          <w:spacing w:val="-77"/>
        </w:rPr>
        <w:t> </w:t>
      </w:r>
      <w:r>
        <w:rPr>
          <w:spacing w:val="-4"/>
        </w:rPr>
        <w:t>年年度财务报告审计工作、督促天职在商定的时间内出具相关审计的报告，审计</w:t>
      </w:r>
      <w:r>
        <w:rPr/>
        <w:t> 委员会委托财务部与天职就预审未决事项、会计附注内容、审计初稿和终稿定稿时间等事项，于审计 期间，分别进行了</w:t>
      </w:r>
      <w:r>
        <w:rPr>
          <w:spacing w:val="-54"/>
        </w:rPr>
        <w:t> </w:t>
      </w:r>
      <w:r>
        <w:rPr/>
        <w:t>1</w:t>
      </w:r>
      <w:r>
        <w:rPr>
          <w:spacing w:val="-53"/>
        </w:rPr>
        <w:t> </w:t>
      </w:r>
      <w:r>
        <w:rPr/>
        <w:t>次督促。</w:t>
      </w:r>
    </w:p>
    <w:p>
      <w:pPr>
        <w:pStyle w:val="BodyText"/>
        <w:spacing w:line="245" w:lineRule="exact"/>
        <w:ind w:right="103"/>
        <w:jc w:val="left"/>
      </w:pPr>
      <w:r>
        <w:rPr/>
        <w:t>（3）审计委员会预审财务会计报表情况</w:t>
      </w:r>
    </w:p>
    <w:p>
      <w:pPr>
        <w:pStyle w:val="BodyText"/>
        <w:spacing w:line="272" w:lineRule="exact" w:before="26"/>
        <w:ind w:right="103" w:firstLine="419"/>
        <w:jc w:val="left"/>
      </w:pPr>
      <w:r>
        <w:rPr>
          <w:spacing w:val="-1"/>
        </w:rPr>
        <w:t>审计委员会于</w:t>
      </w:r>
      <w:r>
        <w:rPr>
          <w:spacing w:val="-52"/>
        </w:rPr>
        <w:t> </w:t>
      </w:r>
      <w:r>
        <w:rPr>
          <w:spacing w:val="-1"/>
        </w:rPr>
        <w:t>2009</w:t>
      </w:r>
      <w:r>
        <w:rPr>
          <w:spacing w:val="-52"/>
        </w:rPr>
        <w:t> </w:t>
      </w:r>
      <w:r>
        <w:rPr/>
        <w:t>年</w:t>
      </w:r>
      <w:r>
        <w:rPr>
          <w:spacing w:val="-52"/>
        </w:rPr>
        <w:t> </w:t>
      </w:r>
      <w:r>
        <w:rPr/>
        <w:t>4</w:t>
      </w:r>
      <w:r>
        <w:rPr>
          <w:spacing w:val="-51"/>
        </w:rPr>
        <w:t> </w:t>
      </w:r>
      <w:r>
        <w:rPr/>
        <w:t>月</w:t>
      </w:r>
      <w:r>
        <w:rPr>
          <w:spacing w:val="-53"/>
        </w:rPr>
        <w:t> </w:t>
      </w:r>
      <w:r>
        <w:rPr/>
        <w:t>9</w:t>
      </w:r>
      <w:r>
        <w:rPr>
          <w:spacing w:val="-51"/>
        </w:rPr>
        <w:t> </w:t>
      </w:r>
      <w:r>
        <w:rPr>
          <w:spacing w:val="-1"/>
        </w:rPr>
        <w:t>日召开</w:t>
      </w:r>
      <w:r>
        <w:rPr>
          <w:spacing w:val="-52"/>
        </w:rPr>
        <w:t> </w:t>
      </w:r>
      <w:r>
        <w:rPr>
          <w:spacing w:val="-1"/>
        </w:rPr>
        <w:t>2009</w:t>
      </w:r>
      <w:r>
        <w:rPr>
          <w:spacing w:val="-51"/>
        </w:rPr>
        <w:t> </w:t>
      </w:r>
      <w:r>
        <w:rPr>
          <w:spacing w:val="-12"/>
        </w:rPr>
        <w:t>年第一次会议，对公司</w:t>
      </w:r>
      <w:r>
        <w:rPr>
          <w:spacing w:val="-52"/>
        </w:rPr>
        <w:t> </w:t>
      </w:r>
      <w:r>
        <w:rPr>
          <w:spacing w:val="-1"/>
        </w:rPr>
        <w:t>2008</w:t>
      </w:r>
      <w:r>
        <w:rPr>
          <w:spacing w:val="-52"/>
        </w:rPr>
        <w:t> </w:t>
      </w:r>
      <w:r>
        <w:rPr>
          <w:spacing w:val="-1"/>
        </w:rPr>
        <w:t>年财务报告初稿和天职的工</w:t>
      </w:r>
      <w:r>
        <w:rPr/>
        <w:t> </w:t>
      </w:r>
      <w:r>
        <w:rPr>
          <w:spacing w:val="-3"/>
        </w:rPr>
        <w:t>作进展进行审议，认为，天职能够按照监管机关的要求较好的开展本次审计工作，认真地履行了职责，</w:t>
      </w:r>
      <w:r>
        <w:rPr>
          <w:spacing w:val="-74"/>
        </w:rPr>
        <w:t> </w:t>
      </w:r>
      <w:r>
        <w:rPr>
          <w:spacing w:val="-74"/>
        </w:rPr>
      </w:r>
      <w:r>
        <w:rPr/>
        <w:t>对公司</w:t>
      </w:r>
      <w:r>
        <w:rPr>
          <w:spacing w:val="-51"/>
        </w:rPr>
        <w:t> </w:t>
      </w:r>
      <w:r>
        <w:rPr/>
        <w:t>2008</w:t>
      </w:r>
      <w:r>
        <w:rPr>
          <w:spacing w:val="-51"/>
        </w:rPr>
        <w:t> </w:t>
      </w:r>
      <w:r>
        <w:rPr>
          <w:spacing w:val="-4"/>
        </w:rPr>
        <w:t>年度财务报告初稿无异议，同时，督促天职继续做好下一步的审计工作，为公司提供更高</w:t>
      </w:r>
      <w:r>
        <w:rPr>
          <w:spacing w:val="-98"/>
        </w:rPr>
        <w:t> </w:t>
      </w:r>
      <w:r>
        <w:rPr>
          <w:spacing w:val="-98"/>
        </w:rPr>
      </w:r>
      <w:r>
        <w:rPr/>
        <w:t>质量的服务。</w:t>
      </w:r>
    </w:p>
    <w:p>
      <w:pPr>
        <w:pStyle w:val="BodyText"/>
        <w:spacing w:line="272" w:lineRule="exact"/>
        <w:ind w:right="209" w:firstLine="419"/>
        <w:jc w:val="left"/>
      </w:pPr>
      <w:r>
        <w:rPr/>
        <w:t>2009</w:t>
      </w:r>
      <w:r>
        <w:rPr>
          <w:spacing w:val="-57"/>
        </w:rPr>
        <w:t> </w:t>
      </w:r>
      <w:r>
        <w:rPr/>
        <w:t>年</w:t>
      </w:r>
      <w:r>
        <w:rPr>
          <w:spacing w:val="-58"/>
        </w:rPr>
        <w:t> </w:t>
      </w:r>
      <w:r>
        <w:rPr/>
        <w:t>4</w:t>
      </w:r>
      <w:r>
        <w:rPr>
          <w:spacing w:val="-56"/>
        </w:rPr>
        <w:t> </w:t>
      </w:r>
      <w:r>
        <w:rPr/>
        <w:t>月</w:t>
      </w:r>
      <w:r>
        <w:rPr>
          <w:spacing w:val="-57"/>
        </w:rPr>
        <w:t> </w:t>
      </w:r>
      <w:r>
        <w:rPr/>
        <w:t>25</w:t>
      </w:r>
      <w:r>
        <w:rPr>
          <w:spacing w:val="-56"/>
        </w:rPr>
        <w:t> </w:t>
      </w:r>
      <w:r>
        <w:rPr>
          <w:spacing w:val="-3"/>
        </w:rPr>
        <w:t>日，审计委员会召开</w:t>
      </w:r>
      <w:r>
        <w:rPr>
          <w:spacing w:val="-57"/>
        </w:rPr>
        <w:t> </w:t>
      </w:r>
      <w:r>
        <w:rPr/>
        <w:t>2009</w:t>
      </w:r>
      <w:r>
        <w:rPr>
          <w:spacing w:val="-56"/>
        </w:rPr>
        <w:t> </w:t>
      </w:r>
      <w:r>
        <w:rPr/>
        <w:t>年第二次会议，对天职已完成的财务报告进行审核，认</w:t>
      </w:r>
      <w:r>
        <w:rPr/>
        <w:t> 为天职较好地完成了审计工作，保持原有审议意见。</w:t>
      </w:r>
    </w:p>
    <w:p>
      <w:pPr>
        <w:pStyle w:val="BodyText"/>
        <w:spacing w:line="248" w:lineRule="exact"/>
        <w:ind w:right="103"/>
        <w:jc w:val="left"/>
      </w:pPr>
      <w:r>
        <w:rPr/>
        <w:t>（4）公司独立董事的现场检查情况</w:t>
      </w:r>
    </w:p>
    <w:p>
      <w:pPr>
        <w:spacing w:after="0" w:line="248"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16" w:firstLine="420"/>
        <w:jc w:val="left"/>
      </w:pPr>
      <w:r>
        <w:rPr/>
        <w:t>公司</w:t>
      </w:r>
      <w:r>
        <w:rPr>
          <w:spacing w:val="-55"/>
        </w:rPr>
        <w:t> </w:t>
      </w:r>
      <w:r>
        <w:rPr/>
        <w:t>3</w:t>
      </w:r>
      <w:r>
        <w:rPr>
          <w:spacing w:val="-54"/>
        </w:rPr>
        <w:t> </w:t>
      </w:r>
      <w:r>
        <w:rPr/>
        <w:t>位独立董事分别于</w:t>
      </w:r>
      <w:r>
        <w:rPr>
          <w:spacing w:val="-54"/>
        </w:rPr>
        <w:t> </w:t>
      </w:r>
      <w:r>
        <w:rPr/>
        <w:t>200</w:t>
      </w:r>
      <w:r>
        <w:rPr>
          <w:spacing w:val="-54"/>
        </w:rPr>
        <w:t> </w:t>
      </w:r>
      <w:r>
        <w:rPr/>
        <w:t>年</w:t>
      </w:r>
      <w:r>
        <w:rPr>
          <w:spacing w:val="-54"/>
        </w:rPr>
        <w:t> </w:t>
      </w:r>
      <w:r>
        <w:rPr/>
        <w:t>4</w:t>
      </w:r>
      <w:r>
        <w:rPr>
          <w:spacing w:val="-53"/>
        </w:rPr>
        <w:t> </w:t>
      </w:r>
      <w:r>
        <w:rPr/>
        <w:t>月</w:t>
      </w:r>
      <w:r>
        <w:rPr>
          <w:spacing w:val="-55"/>
        </w:rPr>
        <w:t> </w:t>
      </w:r>
      <w:r>
        <w:rPr/>
        <w:t>9</w:t>
      </w:r>
      <w:r>
        <w:rPr>
          <w:spacing w:val="-53"/>
        </w:rPr>
        <w:t> </w:t>
      </w:r>
      <w:r>
        <w:rPr/>
        <w:t>日对公司的审计工作进行了现场检查和指导，听取了审计</w:t>
      </w:r>
      <w:r>
        <w:rPr/>
        <w:t> 工作有关负责人的汇报，对督促天职进一步做好审计工作。</w:t>
      </w:r>
    </w:p>
    <w:p>
      <w:pPr>
        <w:pStyle w:val="BodyText"/>
        <w:spacing w:line="246" w:lineRule="exact"/>
        <w:ind w:right="0"/>
        <w:jc w:val="both"/>
      </w:pPr>
      <w:r>
        <w:rPr/>
        <w:t>（5）基本结论</w:t>
      </w:r>
    </w:p>
    <w:p>
      <w:pPr>
        <w:pStyle w:val="BodyText"/>
        <w:spacing w:line="272" w:lineRule="exact"/>
        <w:ind w:left="560" w:right="103"/>
        <w:jc w:val="left"/>
      </w:pPr>
      <w:r>
        <w:rPr>
          <w:spacing w:val="-3"/>
        </w:rPr>
        <w:t>审计委员会认为，天职在公司</w:t>
      </w:r>
      <w:r>
        <w:rPr>
          <w:spacing w:val="-48"/>
        </w:rPr>
        <w:t> </w:t>
      </w:r>
      <w:r>
        <w:rPr/>
        <w:t>2008</w:t>
      </w:r>
      <w:r>
        <w:rPr>
          <w:spacing w:val="-46"/>
        </w:rPr>
        <w:t> </w:t>
      </w:r>
      <w:r>
        <w:rPr>
          <w:spacing w:val="-3"/>
        </w:rPr>
        <w:t>年年度财务报表审计过程中认真尽责，以公允、客观的态度进</w:t>
      </w:r>
    </w:p>
    <w:p>
      <w:pPr>
        <w:pStyle w:val="BodyText"/>
        <w:spacing w:line="274" w:lineRule="exact"/>
        <w:ind w:right="0"/>
        <w:jc w:val="both"/>
      </w:pPr>
      <w:r>
        <w:rPr/>
        <w:t>行独立审计，较好地完成了年度审计工作，并向董事会提议，续聘天职为公司</w:t>
      </w:r>
      <w:r>
        <w:rPr>
          <w:spacing w:val="-76"/>
        </w:rPr>
        <w:t> </w:t>
      </w:r>
      <w:r>
        <w:rPr/>
        <w:t>2009</w:t>
      </w:r>
      <w:r>
        <w:rPr>
          <w:spacing w:val="-75"/>
        </w:rPr>
        <w:t> </w:t>
      </w:r>
      <w:r>
        <w:rPr/>
        <w:t>年度的审计机构。</w:t>
      </w:r>
    </w:p>
    <w:p>
      <w:pPr>
        <w:spacing w:line="240" w:lineRule="auto" w:before="10"/>
        <w:rPr>
          <w:rFonts w:ascii="宋体" w:hAnsi="宋体" w:cs="宋体" w:eastAsia="宋体" w:hint="default"/>
          <w:sz w:val="22"/>
          <w:szCs w:val="22"/>
        </w:rPr>
      </w:pPr>
    </w:p>
    <w:p>
      <w:pPr>
        <w:pStyle w:val="BodyText"/>
        <w:spacing w:line="272" w:lineRule="exact"/>
        <w:ind w:left="560" w:right="204" w:hanging="420"/>
        <w:jc w:val="left"/>
      </w:pPr>
      <w:r>
        <w:rPr/>
        <w:t>4、董事会下设的薪酬委员会的履职情况汇总报告 董事会薪酬与考核委员会是董事会设立的专门工作机构，负责制定公司董事、监事及高管人员的</w:t>
      </w:r>
    </w:p>
    <w:p>
      <w:pPr>
        <w:pStyle w:val="BodyText"/>
        <w:spacing w:line="272" w:lineRule="exact"/>
        <w:ind w:right="204"/>
        <w:jc w:val="left"/>
      </w:pPr>
      <w:r>
        <w:rPr/>
        <w:t>考核标准，制定、审查公司董事、监事及高管人员的薪酬政策与方案，并依照上述考核标准及薪酬政 </w:t>
      </w:r>
      <w:r>
        <w:rPr>
          <w:spacing w:val="-3"/>
        </w:rPr>
        <w:t>策与方案进行考核，由于公司实际控制人中国化工集团在</w:t>
      </w:r>
      <w:r>
        <w:rPr>
          <w:spacing w:val="-47"/>
        </w:rPr>
        <w:t> </w:t>
      </w:r>
      <w:r>
        <w:rPr/>
        <w:t>2008</w:t>
      </w:r>
      <w:r>
        <w:rPr>
          <w:spacing w:val="-46"/>
        </w:rPr>
        <w:t> </w:t>
      </w:r>
      <w:r>
        <w:rPr>
          <w:spacing w:val="-5"/>
        </w:rPr>
        <w:t>年进行内部板块整合，有关发展规划和</w:t>
      </w:r>
      <w:r>
        <w:rPr/>
      </w:r>
    </w:p>
    <w:p>
      <w:pPr>
        <w:pStyle w:val="BodyText"/>
        <w:spacing w:line="272" w:lineRule="exact"/>
        <w:ind w:right="103"/>
        <w:jc w:val="left"/>
      </w:pPr>
      <w:r>
        <w:rPr>
          <w:spacing w:val="-3"/>
        </w:rPr>
        <w:t>考核指标有待逐级调整下达，因此薪酬与考核委员会未对</w:t>
      </w:r>
      <w:r>
        <w:rPr>
          <w:spacing w:val="-49"/>
        </w:rPr>
        <w:t> </w:t>
      </w:r>
      <w:r>
        <w:rPr/>
        <w:t>2008</w:t>
      </w:r>
      <w:r>
        <w:rPr>
          <w:spacing w:val="-48"/>
        </w:rPr>
        <w:t> </w:t>
      </w:r>
      <w:r>
        <w:rPr>
          <w:spacing w:val="-5"/>
        </w:rPr>
        <w:t>董事、监事及高管人员制定与公司财务</w:t>
      </w:r>
      <w:r>
        <w:rPr>
          <w:spacing w:val="-101"/>
        </w:rPr>
        <w:t> </w:t>
      </w:r>
      <w:r>
        <w:rPr>
          <w:spacing w:val="-101"/>
        </w:rPr>
      </w:r>
      <w:r>
        <w:rPr/>
        <w:t>指标有关的考核目标。</w:t>
      </w:r>
    </w:p>
    <w:p>
      <w:pPr>
        <w:pStyle w:val="BodyText"/>
        <w:spacing w:line="246" w:lineRule="exact"/>
        <w:ind w:left="561" w:right="103"/>
        <w:jc w:val="left"/>
      </w:pPr>
      <w:r>
        <w:rPr/>
        <w:t>董事会薪酬与考核委员会成员由 3</w:t>
      </w:r>
      <w:r>
        <w:rPr>
          <w:spacing w:val="-57"/>
        </w:rPr>
        <w:t> </w:t>
      </w:r>
      <w:r>
        <w:rPr/>
        <w:t>名董事组成，均为独立董事。</w:t>
      </w:r>
    </w:p>
    <w:p>
      <w:pPr>
        <w:pStyle w:val="BodyText"/>
        <w:spacing w:line="272" w:lineRule="exact" w:before="26"/>
        <w:ind w:right="221"/>
        <w:jc w:val="both"/>
      </w:pPr>
      <w:r>
        <w:rPr>
          <w:spacing w:val="-3"/>
        </w:rPr>
        <w:t>报告期内，董事会薪酬与考核委员会依据公司</w:t>
      </w:r>
      <w:r>
        <w:rPr>
          <w:spacing w:val="-52"/>
        </w:rPr>
        <w:t> </w:t>
      </w:r>
      <w:r>
        <w:rPr/>
        <w:t>2008</w:t>
      </w:r>
      <w:r>
        <w:rPr>
          <w:spacing w:val="-51"/>
        </w:rPr>
        <w:t> </w:t>
      </w:r>
      <w:r>
        <w:rPr>
          <w:spacing w:val="-4"/>
        </w:rPr>
        <w:t>年度经营目标完成情况，公司董事、监事及高管人</w:t>
      </w:r>
      <w:r>
        <w:rPr/>
        <w:t> 员分管工作范围及主要职责，董事、监事及高管人员岗位工作完成情况，对董事、监事及高管人员的 工作进行了综合评价。</w:t>
      </w:r>
    </w:p>
    <w:p>
      <w:pPr>
        <w:pStyle w:val="BodyText"/>
        <w:spacing w:line="272" w:lineRule="exact"/>
        <w:ind w:right="209" w:firstLine="420"/>
        <w:jc w:val="left"/>
      </w:pPr>
      <w:r>
        <w:rPr/>
        <w:t>2008</w:t>
      </w:r>
      <w:r>
        <w:rPr>
          <w:spacing w:val="-30"/>
        </w:rPr>
        <w:t> </w:t>
      </w:r>
      <w:r>
        <w:rPr>
          <w:spacing w:val="-2"/>
        </w:rPr>
        <w:t>年度，公司董事、监事及高管人员披露的薪酬情况符合公司薪酬管理制度，未有违反公司薪</w:t>
      </w:r>
      <w:r>
        <w:rPr/>
        <w:t> 酬管理制度及与公司薪酬管理制度不一致的情形发生。</w:t>
      </w:r>
    </w:p>
    <w:p>
      <w:pPr>
        <w:pStyle w:val="BodyText"/>
        <w:spacing w:line="272" w:lineRule="exact"/>
        <w:ind w:left="561" w:right="3984" w:hanging="1"/>
        <w:jc w:val="left"/>
      </w:pPr>
      <w:r>
        <w:rPr/>
        <w:t>公司披露的董事、监事及高管人员的薪酬与实际一致。 公司未有实施股权激励计划。</w:t>
      </w:r>
    </w:p>
    <w:p>
      <w:pPr>
        <w:spacing w:line="240" w:lineRule="auto" w:before="10"/>
        <w:rPr>
          <w:rFonts w:ascii="宋体" w:hAnsi="宋体" w:cs="宋体" w:eastAsia="宋体" w:hint="default"/>
          <w:sz w:val="18"/>
          <w:szCs w:val="18"/>
        </w:rPr>
      </w:pPr>
    </w:p>
    <w:p>
      <w:pPr>
        <w:pStyle w:val="BodyText"/>
        <w:spacing w:line="274" w:lineRule="exact"/>
        <w:ind w:right="0"/>
        <w:jc w:val="both"/>
      </w:pPr>
      <w:r>
        <w:rPr/>
        <w:t>(六)</w:t>
      </w:r>
      <w:r>
        <w:rPr>
          <w:spacing w:val="-2"/>
        </w:rPr>
        <w:t> </w:t>
      </w:r>
      <w:r>
        <w:rPr/>
        <w:t>利润分配或资本公积金转增股本预案</w:t>
      </w:r>
    </w:p>
    <w:p>
      <w:pPr>
        <w:pStyle w:val="BodyText"/>
        <w:spacing w:line="272" w:lineRule="exact"/>
        <w:ind w:left="560" w:right="103"/>
        <w:jc w:val="left"/>
      </w:pPr>
      <w:r>
        <w:rPr/>
        <w:t>天职</w:t>
      </w:r>
      <w:r>
        <w:rPr>
          <w:spacing w:val="-2"/>
        </w:rPr>
        <w:t>国</w:t>
      </w:r>
      <w:r>
        <w:rPr/>
        <w:t>际会计师事务所有限公司为公司</w:t>
      </w:r>
      <w:r>
        <w:rPr>
          <w:spacing w:val="-53"/>
        </w:rPr>
        <w:t> </w:t>
      </w:r>
      <w:r>
        <w:rPr/>
        <w:t>2008</w:t>
      </w:r>
      <w:r>
        <w:rPr>
          <w:spacing w:val="-52"/>
        </w:rPr>
        <w:t> </w:t>
      </w:r>
      <w:r>
        <w:rPr/>
        <w:t>年度财务</w:t>
      </w:r>
      <w:r>
        <w:rPr>
          <w:spacing w:val="-2"/>
        </w:rPr>
        <w:t>报</w:t>
      </w:r>
      <w:r>
        <w:rPr/>
        <w:t>告出具了标准无保留意见的审计报告</w:t>
      </w:r>
      <w:r>
        <w:rPr>
          <w:spacing w:val="-103"/>
        </w:rPr>
        <w:t>。</w:t>
      </w:r>
      <w:r>
        <w:rPr/>
        <w:t>经</w:t>
      </w:r>
    </w:p>
    <w:p>
      <w:pPr>
        <w:pStyle w:val="BodyText"/>
        <w:spacing w:line="272" w:lineRule="exact"/>
        <w:ind w:right="0"/>
        <w:jc w:val="both"/>
      </w:pPr>
      <w:r>
        <w:rPr/>
        <w:t>审计，本公司</w:t>
      </w:r>
      <w:r>
        <w:rPr>
          <w:spacing w:val="-63"/>
        </w:rPr>
        <w:t> </w:t>
      </w:r>
      <w:r>
        <w:rPr/>
        <w:t>2008</w:t>
      </w:r>
      <w:r>
        <w:rPr>
          <w:spacing w:val="-62"/>
        </w:rPr>
        <w:t> </w:t>
      </w:r>
      <w:r>
        <w:rPr/>
        <w:t>年度实现归属于母公司股东的净利润-51,892,692.94</w:t>
      </w:r>
      <w:r>
        <w:rPr>
          <w:spacing w:val="-63"/>
        </w:rPr>
        <w:t> </w:t>
      </w:r>
      <w:r>
        <w:rPr/>
        <w:t>元，本公司</w:t>
      </w:r>
      <w:r>
        <w:rPr>
          <w:spacing w:val="-63"/>
        </w:rPr>
        <w:t> </w:t>
      </w:r>
      <w:r>
        <w:rPr/>
        <w:t>2008</w:t>
      </w:r>
      <w:r>
        <w:rPr>
          <w:spacing w:val="-62"/>
        </w:rPr>
        <w:t> </w:t>
      </w:r>
      <w:r>
        <w:rPr/>
        <w:t>年度亏损，</w:t>
      </w:r>
    </w:p>
    <w:p>
      <w:pPr>
        <w:pStyle w:val="BodyText"/>
        <w:spacing w:line="272" w:lineRule="exact"/>
        <w:ind w:right="0"/>
        <w:jc w:val="both"/>
      </w:pPr>
      <w:r>
        <w:rPr/>
        <w:t>未提取法定盈余公积金，加期初未分配利润</w:t>
      </w:r>
      <w:r>
        <w:rPr>
          <w:spacing w:val="-75"/>
        </w:rPr>
        <w:t> </w:t>
      </w:r>
      <w:r>
        <w:rPr/>
        <w:t>157,132,721.50</w:t>
      </w:r>
      <w:r>
        <w:rPr>
          <w:spacing w:val="-75"/>
        </w:rPr>
        <w:t> </w:t>
      </w:r>
      <w:r>
        <w:rPr/>
        <w:t>元，本年度可供分配的利润为</w:t>
      </w:r>
    </w:p>
    <w:p>
      <w:pPr>
        <w:pStyle w:val="BodyText"/>
        <w:spacing w:line="272" w:lineRule="exact"/>
        <w:ind w:right="0"/>
        <w:jc w:val="both"/>
      </w:pPr>
      <w:r>
        <w:rPr/>
        <w:t>103,159,010.91</w:t>
      </w:r>
      <w:r>
        <w:rPr>
          <w:spacing w:val="-59"/>
        </w:rPr>
        <w:t> </w:t>
      </w:r>
      <w:r>
        <w:rPr/>
        <w:t>元。</w:t>
      </w:r>
    </w:p>
    <w:p>
      <w:pPr>
        <w:pStyle w:val="BodyText"/>
        <w:spacing w:line="272" w:lineRule="exact"/>
        <w:ind w:left="560" w:right="103"/>
        <w:jc w:val="left"/>
      </w:pPr>
      <w:r>
        <w:rPr/>
        <w:t>公司董事会拟定</w:t>
      </w:r>
      <w:r>
        <w:rPr>
          <w:spacing w:val="-55"/>
        </w:rPr>
        <w:t> </w:t>
      </w:r>
      <w:r>
        <w:rPr/>
        <w:t>2008</w:t>
      </w:r>
      <w:r>
        <w:rPr>
          <w:spacing w:val="-54"/>
        </w:rPr>
        <w:t> </w:t>
      </w:r>
      <w:r>
        <w:rPr/>
        <w:t>年度不进行利润分配，也不进行公积金转增股本。</w:t>
      </w:r>
    </w:p>
    <w:p>
      <w:pPr>
        <w:pStyle w:val="BodyText"/>
        <w:spacing w:line="272" w:lineRule="exact" w:before="26"/>
        <w:ind w:right="103" w:firstLine="420"/>
        <w:jc w:val="left"/>
      </w:pPr>
      <w:r>
        <w:rPr/>
        <w:t>鉴于公司</w:t>
      </w:r>
      <w:r>
        <w:rPr>
          <w:spacing w:val="-53"/>
        </w:rPr>
        <w:t> </w:t>
      </w:r>
      <w:r>
        <w:rPr/>
        <w:t>2008</w:t>
      </w:r>
      <w:r>
        <w:rPr>
          <w:spacing w:val="-52"/>
        </w:rPr>
        <w:t> </w:t>
      </w:r>
      <w:r>
        <w:rPr>
          <w:spacing w:val="-7"/>
        </w:rPr>
        <w:t>年度亏损，为保证公司</w:t>
      </w:r>
      <w:r>
        <w:rPr>
          <w:spacing w:val="-53"/>
        </w:rPr>
        <w:t> </w:t>
      </w:r>
      <w:r>
        <w:rPr/>
        <w:t>2009</w:t>
      </w:r>
      <w:r>
        <w:rPr>
          <w:spacing w:val="-52"/>
        </w:rPr>
        <w:t> </w:t>
      </w:r>
      <w:r>
        <w:rPr>
          <w:spacing w:val="-5"/>
        </w:rPr>
        <w:t>年可持续性发展，公司董事会拟定</w:t>
      </w:r>
      <w:r>
        <w:rPr>
          <w:spacing w:val="-53"/>
        </w:rPr>
        <w:t> </w:t>
      </w:r>
      <w:r>
        <w:rPr/>
        <w:t>2008</w:t>
      </w:r>
      <w:r>
        <w:rPr>
          <w:spacing w:val="-52"/>
        </w:rPr>
        <w:t> </w:t>
      </w:r>
      <w:r>
        <w:rPr/>
        <w:t>年度不进行利</w:t>
      </w:r>
      <w:r>
        <w:rPr/>
        <w:t> 润分配，也不进行公积金转增股本。</w:t>
      </w:r>
    </w:p>
    <w:p>
      <w:pPr>
        <w:spacing w:line="240" w:lineRule="auto" w:before="11"/>
        <w:rPr>
          <w:rFonts w:ascii="宋体" w:hAnsi="宋体" w:cs="宋体" w:eastAsia="宋体" w:hint="default"/>
          <w:sz w:val="20"/>
          <w:szCs w:val="20"/>
        </w:rPr>
      </w:pPr>
    </w:p>
    <w:p>
      <w:pPr>
        <w:pStyle w:val="BodyText"/>
        <w:spacing w:line="272" w:lineRule="exact"/>
        <w:ind w:right="4509"/>
        <w:jc w:val="left"/>
      </w:pPr>
      <w:r>
        <w:rPr/>
        <w:t>(七)</w:t>
      </w:r>
      <w:r>
        <w:rPr>
          <w:spacing w:val="-1"/>
        </w:rPr>
        <w:t> </w:t>
      </w:r>
      <w:r>
        <w:rPr/>
        <w:t>其他披露事项</w:t>
      </w:r>
      <w:r>
        <w:rPr/>
        <w:t> 1、公司独立董事关于对外担保的专项说明及独立意见</w:t>
      </w:r>
    </w:p>
    <w:p>
      <w:pPr>
        <w:pStyle w:val="BodyText"/>
        <w:spacing w:line="272" w:lineRule="exact"/>
        <w:ind w:right="204" w:firstLine="420"/>
        <w:jc w:val="left"/>
      </w:pPr>
      <w:r>
        <w:rPr>
          <w:spacing w:val="-3"/>
        </w:rPr>
        <w:t>根据证监发（2003）56</w:t>
      </w:r>
      <w:r>
        <w:rPr>
          <w:spacing w:val="-66"/>
        </w:rPr>
        <w:t> </w:t>
      </w:r>
      <w:r>
        <w:rPr/>
        <w:t>号《关于规范上市公司与关联方资金往来及上市公司对外担保若干问题的</w:t>
      </w:r>
      <w:r>
        <w:rPr/>
        <w:t> 通知》及证监发（2005）120</w:t>
      </w:r>
      <w:r>
        <w:rPr>
          <w:spacing w:val="-54"/>
        </w:rPr>
        <w:t> </w:t>
      </w:r>
      <w:r>
        <w:rPr/>
        <w:t>号《关于规范上市公司对外担保行为的通知》，我们对公司的对外担保</w:t>
      </w:r>
    </w:p>
    <w:p>
      <w:pPr>
        <w:pStyle w:val="BodyText"/>
        <w:spacing w:line="246" w:lineRule="exact"/>
        <w:ind w:right="0"/>
        <w:jc w:val="both"/>
      </w:pPr>
      <w:r>
        <w:rPr/>
        <w:t>情况进行了核查，情况如下：</w:t>
      </w:r>
    </w:p>
    <w:p>
      <w:pPr>
        <w:pStyle w:val="BodyText"/>
        <w:spacing w:line="272" w:lineRule="exact"/>
        <w:ind w:left="351" w:right="103"/>
        <w:jc w:val="left"/>
      </w:pPr>
      <w:r>
        <w:rPr/>
        <w:t>（1）对外担保情况：</w:t>
      </w:r>
    </w:p>
    <w:p>
      <w:pPr>
        <w:pStyle w:val="BodyText"/>
        <w:spacing w:line="272" w:lineRule="exact"/>
        <w:ind w:left="455" w:right="103"/>
        <w:jc w:val="left"/>
      </w:pPr>
      <w:r>
        <w:rPr/>
        <w:t>①截止</w:t>
      </w:r>
      <w:r>
        <w:rPr>
          <w:spacing w:val="-58"/>
        </w:rPr>
        <w:t> </w:t>
      </w:r>
      <w:r>
        <w:rPr/>
        <w:t>2008</w:t>
      </w:r>
      <w:r>
        <w:rPr>
          <w:spacing w:val="-58"/>
        </w:rPr>
        <w:t> </w:t>
      </w:r>
      <w:r>
        <w:rPr/>
        <w:t>年</w:t>
      </w:r>
      <w:r>
        <w:rPr>
          <w:spacing w:val="-58"/>
        </w:rPr>
        <w:t> </w:t>
      </w:r>
      <w:r>
        <w:rPr/>
        <w:t>12</w:t>
      </w:r>
      <w:r>
        <w:rPr>
          <w:spacing w:val="-57"/>
        </w:rPr>
        <w:t> </w:t>
      </w:r>
      <w:r>
        <w:rPr/>
        <w:t>月</w:t>
      </w:r>
      <w:r>
        <w:rPr>
          <w:spacing w:val="-59"/>
        </w:rPr>
        <w:t> </w:t>
      </w:r>
      <w:r>
        <w:rPr/>
        <w:t>31</w:t>
      </w:r>
      <w:r>
        <w:rPr>
          <w:spacing w:val="-57"/>
        </w:rPr>
        <w:t> </w:t>
      </w:r>
      <w:r>
        <w:rPr/>
        <w:t>日，没有发现公司为控股股东和个人提供担保。</w:t>
      </w:r>
    </w:p>
    <w:p>
      <w:pPr>
        <w:pStyle w:val="BodyText"/>
        <w:spacing w:line="272" w:lineRule="exact"/>
        <w:ind w:left="455" w:right="103"/>
        <w:jc w:val="left"/>
      </w:pPr>
      <w:r>
        <w:rPr/>
        <w:t>②截止</w:t>
      </w:r>
      <w:r>
        <w:rPr>
          <w:spacing w:val="-58"/>
        </w:rPr>
        <w:t> </w:t>
      </w:r>
      <w:r>
        <w:rPr/>
        <w:t>2008</w:t>
      </w:r>
      <w:r>
        <w:rPr>
          <w:spacing w:val="-58"/>
        </w:rPr>
        <w:t> </w:t>
      </w:r>
      <w:r>
        <w:rPr/>
        <w:t>年</w:t>
      </w:r>
      <w:r>
        <w:rPr>
          <w:spacing w:val="-58"/>
        </w:rPr>
        <w:t> </w:t>
      </w:r>
      <w:r>
        <w:rPr/>
        <w:t>12</w:t>
      </w:r>
      <w:r>
        <w:rPr>
          <w:spacing w:val="-57"/>
        </w:rPr>
        <w:t> </w:t>
      </w:r>
      <w:r>
        <w:rPr/>
        <w:t>月</w:t>
      </w:r>
      <w:r>
        <w:rPr>
          <w:spacing w:val="-59"/>
        </w:rPr>
        <w:t> </w:t>
      </w:r>
      <w:r>
        <w:rPr/>
        <w:t>31</w:t>
      </w:r>
      <w:r>
        <w:rPr>
          <w:spacing w:val="-57"/>
        </w:rPr>
        <w:t> </w:t>
      </w:r>
      <w:r>
        <w:rPr/>
        <w:t>日，公司对外担保总额</w:t>
      </w:r>
      <w:r>
        <w:rPr>
          <w:spacing w:val="-58"/>
        </w:rPr>
        <w:t> </w:t>
      </w:r>
      <w:r>
        <w:rPr/>
        <w:t>12438</w:t>
      </w:r>
      <w:r>
        <w:rPr>
          <w:spacing w:val="-57"/>
        </w:rPr>
        <w:t> </w:t>
      </w:r>
      <w:r>
        <w:rPr/>
        <w:t>万元，其中为中国化工集团公司提供</w:t>
      </w:r>
      <w:r>
        <w:rPr>
          <w:spacing w:val="-58"/>
        </w:rPr>
        <w:t> </w:t>
      </w:r>
      <w:r>
        <w:rPr/>
        <w:t>10000</w:t>
      </w:r>
    </w:p>
    <w:p>
      <w:pPr>
        <w:pStyle w:val="BodyText"/>
        <w:spacing w:line="272" w:lineRule="exact"/>
        <w:ind w:right="0"/>
        <w:jc w:val="both"/>
      </w:pPr>
      <w:r>
        <w:rPr>
          <w:spacing w:val="-4"/>
        </w:rPr>
        <w:t>万元反担保，为齐齐哈尔德科化工有限公司担保 </w:t>
      </w:r>
      <w:r>
        <w:rPr/>
        <w:t>2000</w:t>
      </w:r>
      <w:r>
        <w:rPr>
          <w:spacing w:val="-80"/>
        </w:rPr>
        <w:t> </w:t>
      </w:r>
      <w:r>
        <w:rPr>
          <w:spacing w:val="-4"/>
        </w:rPr>
        <w:t>万元，为子公司黑化集团中美碧碧肥有限责任公</w:t>
      </w:r>
      <w:r>
        <w:rPr/>
      </w:r>
    </w:p>
    <w:p>
      <w:pPr>
        <w:pStyle w:val="BodyText"/>
        <w:spacing w:line="272" w:lineRule="exact"/>
        <w:ind w:right="0"/>
        <w:jc w:val="both"/>
      </w:pPr>
      <w:r>
        <w:rPr/>
        <w:t>司担保</w:t>
      </w:r>
      <w:r>
        <w:rPr>
          <w:spacing w:val="-53"/>
        </w:rPr>
        <w:t> </w:t>
      </w:r>
      <w:r>
        <w:rPr/>
        <w:t>438</w:t>
      </w:r>
      <w:r>
        <w:rPr>
          <w:spacing w:val="-53"/>
        </w:rPr>
        <w:t> </w:t>
      </w:r>
      <w:r>
        <w:rPr/>
        <w:t>万元。</w:t>
      </w:r>
    </w:p>
    <w:p>
      <w:pPr>
        <w:pStyle w:val="BodyText"/>
        <w:spacing w:line="272" w:lineRule="exact" w:before="26"/>
        <w:ind w:right="201" w:firstLine="262"/>
        <w:jc w:val="left"/>
      </w:pPr>
      <w:r>
        <w:rPr/>
        <w:t>③逾期担保情况：在上述担保额中，为子公司黑化集团中美碧碧肥有限责任公司担保</w:t>
      </w:r>
      <w:r>
        <w:rPr>
          <w:spacing w:val="-77"/>
        </w:rPr>
        <w:t> </w:t>
      </w:r>
      <w:r>
        <w:rPr/>
        <w:t>438</w:t>
      </w:r>
      <w:r>
        <w:rPr>
          <w:spacing w:val="-77"/>
        </w:rPr>
        <w:t> </w:t>
      </w:r>
      <w:r>
        <w:rPr/>
        <w:t>万元已经</w:t>
      </w:r>
      <w:r>
        <w:rPr/>
        <w:t> 逾期。</w:t>
      </w:r>
    </w:p>
    <w:p>
      <w:pPr>
        <w:pStyle w:val="BodyText"/>
        <w:spacing w:line="246" w:lineRule="exact"/>
        <w:ind w:left="351" w:right="103"/>
        <w:jc w:val="left"/>
      </w:pPr>
      <w:r>
        <w:rPr/>
        <w:t>（2）独董意见</w:t>
      </w:r>
    </w:p>
    <w:p>
      <w:pPr>
        <w:pStyle w:val="BodyText"/>
        <w:spacing w:line="272" w:lineRule="exact" w:before="26"/>
        <w:ind w:right="206" w:firstLine="420"/>
        <w:jc w:val="left"/>
      </w:pPr>
      <w:r>
        <w:rPr/>
        <w:t>我们认为：截止报告期末，公司对外担保累计金额为</w:t>
      </w:r>
      <w:r>
        <w:rPr>
          <w:spacing w:val="-71"/>
        </w:rPr>
        <w:t> </w:t>
      </w:r>
      <w:r>
        <w:rPr/>
        <w:t>12438</w:t>
      </w:r>
      <w:r>
        <w:rPr>
          <w:spacing w:val="-70"/>
        </w:rPr>
        <w:t> </w:t>
      </w:r>
      <w:r>
        <w:rPr/>
        <w:t>万元，占公司净资产的</w:t>
      </w:r>
      <w:r>
        <w:rPr>
          <w:spacing w:val="-71"/>
        </w:rPr>
        <w:t> </w:t>
      </w:r>
      <w:r>
        <w:rPr/>
        <w:t>14.65%，公司</w:t>
      </w:r>
      <w:r>
        <w:rPr/>
        <w:t> 担保风险控制在较低水平。</w:t>
      </w:r>
    </w:p>
    <w:p>
      <w:pPr>
        <w:pStyle w:val="BodyText"/>
        <w:spacing w:line="272" w:lineRule="exact"/>
        <w:ind w:right="103" w:firstLine="420"/>
        <w:jc w:val="left"/>
      </w:pPr>
      <w:r>
        <w:rPr>
          <w:spacing w:val="-3"/>
        </w:rPr>
        <w:t>2、公司选定的信息披露报刊为《中国证券报》、《上海证券报》，在报告期内没有变更信息披露</w:t>
      </w:r>
      <w:r>
        <w:rPr/>
        <w:t> 报刊。</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Heading1"/>
        <w:spacing w:line="274" w:lineRule="exact" w:before="35"/>
        <w:ind w:right="171"/>
        <w:jc w:val="left"/>
        <w:rPr>
          <w:b w:val="0"/>
          <w:bCs w:val="0"/>
        </w:rPr>
      </w:pPr>
      <w:bookmarkStart w:name="_bookmark6" w:id="7"/>
      <w:bookmarkEnd w:id="7"/>
      <w:r>
        <w:rPr>
          <w:b w:val="0"/>
          <w:bCs w:val="0"/>
        </w:rPr>
      </w:r>
      <w:r>
        <w:rPr/>
        <w:t>九、监事会报告</w:t>
      </w:r>
      <w:r>
        <w:rPr>
          <w:b w:val="0"/>
          <w:bCs w:val="0"/>
        </w:rPr>
      </w:r>
    </w:p>
    <w:p>
      <w:pPr>
        <w:pStyle w:val="BodyText"/>
        <w:spacing w:line="274" w:lineRule="exact"/>
        <w:ind w:right="171"/>
        <w:jc w:val="left"/>
      </w:pPr>
      <w:r>
        <w:rPr/>
        <w:t>(一)</w:t>
      </w:r>
      <w:r>
        <w:rPr>
          <w:spacing w:val="-2"/>
        </w:rPr>
        <w:t> </w:t>
      </w:r>
      <w:r>
        <w:rPr/>
        <w:t>监事会的工作情况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2" w:right="0"/>
              <w:jc w:val="left"/>
              <w:rPr>
                <w:rFonts w:ascii="宋体" w:hAnsi="宋体" w:cs="宋体" w:eastAsia="宋体" w:hint="default"/>
                <w:sz w:val="21"/>
                <w:szCs w:val="21"/>
              </w:rPr>
            </w:pPr>
            <w:r>
              <w:rPr>
                <w:rFonts w:ascii="宋体" w:hAnsi="宋体" w:cs="宋体" w:eastAsia="宋体" w:hint="default"/>
                <w:sz w:val="21"/>
                <w:szCs w:val="21"/>
              </w:rPr>
              <w:t>监事会会议召开情况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2" w:right="0"/>
              <w:jc w:val="left"/>
              <w:rPr>
                <w:rFonts w:ascii="宋体" w:hAnsi="宋体" w:cs="宋体" w:eastAsia="宋体" w:hint="default"/>
                <w:sz w:val="21"/>
                <w:szCs w:val="21"/>
              </w:rPr>
            </w:pPr>
            <w:r>
              <w:rPr>
                <w:rFonts w:ascii="宋体" w:hAnsi="宋体" w:cs="宋体" w:eastAsia="宋体" w:hint="default"/>
                <w:sz w:val="21"/>
                <w:szCs w:val="21"/>
              </w:rPr>
              <w:t>监事会会议议题内容</w:t>
            </w:r>
          </w:p>
        </w:tc>
      </w:tr>
      <w:tr>
        <w:trPr>
          <w:trHeight w:val="833"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公司第四届监事会第一次会议于</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16</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49"/>
                <w:sz w:val="21"/>
                <w:szCs w:val="21"/>
              </w:rPr>
              <w:t> </w:t>
            </w:r>
            <w:r>
              <w:rPr>
                <w:rFonts w:ascii="宋体" w:hAnsi="宋体" w:cs="宋体" w:eastAsia="宋体" w:hint="default"/>
                <w:spacing w:val="-9"/>
                <w:sz w:val="21"/>
                <w:szCs w:val="21"/>
              </w:rPr>
              <w:t>11：30</w:t>
            </w:r>
            <w:r>
              <w:rPr>
                <w:rFonts w:ascii="宋体" w:hAnsi="宋体" w:cs="宋体" w:eastAsia="宋体" w:hint="default"/>
                <w:spacing w:val="-48"/>
                <w:sz w:val="21"/>
                <w:szCs w:val="21"/>
              </w:rPr>
              <w:t> </w:t>
            </w:r>
            <w:r>
              <w:rPr>
                <w:rFonts w:ascii="宋体" w:hAnsi="宋体" w:cs="宋体" w:eastAsia="宋体" w:hint="default"/>
                <w:spacing w:val="-3"/>
                <w:sz w:val="21"/>
                <w:szCs w:val="21"/>
              </w:rPr>
              <w:t>时在公司三楼会议室召开，会议应出席</w:t>
            </w:r>
            <w:r>
              <w:rPr>
                <w:rFonts w:ascii="宋体" w:hAnsi="宋体" w:cs="宋体" w:eastAsia="宋体" w:hint="default"/>
                <w:sz w:val="21"/>
                <w:szCs w:val="21"/>
              </w:rPr>
              <w:t> 监事</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人，实到</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28"/>
              <w:jc w:val="left"/>
              <w:rPr>
                <w:rFonts w:ascii="宋体" w:hAnsi="宋体" w:cs="宋体" w:eastAsia="宋体" w:hint="default"/>
                <w:sz w:val="21"/>
                <w:szCs w:val="21"/>
              </w:rPr>
            </w:pPr>
            <w:r>
              <w:rPr>
                <w:rFonts w:ascii="宋体" w:hAnsi="宋体" w:cs="宋体" w:eastAsia="宋体" w:hint="default"/>
                <w:sz w:val="21"/>
                <w:szCs w:val="21"/>
              </w:rPr>
              <w:t>会议审议通过了如下决议:选举赵玉水先生为第 四届监事会主席。</w:t>
            </w:r>
          </w:p>
        </w:tc>
      </w:tr>
      <w:tr>
        <w:trPr>
          <w:trHeight w:val="278"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会议审议通过了如下决议:《公司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年年度报</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公司第四届监事会第二次会议于</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25</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告》及《年报摘要》、《公司</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年度监事会工</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pacing w:val="-5"/>
                <w:sz w:val="21"/>
                <w:szCs w:val="21"/>
              </w:rPr>
              <w:t>时在公司三楼会议室召开，会议应出席监事</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4"/>
              <w:jc w:val="left"/>
              <w:rPr>
                <w:rFonts w:ascii="宋体" w:hAnsi="宋体" w:cs="宋体" w:eastAsia="宋体" w:hint="default"/>
                <w:sz w:val="21"/>
                <w:szCs w:val="21"/>
              </w:rPr>
            </w:pPr>
            <w:r>
              <w:rPr>
                <w:rFonts w:ascii="宋体" w:hAnsi="宋体" w:cs="宋体" w:eastAsia="宋体" w:hint="default"/>
                <w:sz w:val="21"/>
                <w:szCs w:val="21"/>
              </w:rPr>
              <w:t>作报告</w:t>
            </w:r>
            <w:r>
              <w:rPr>
                <w:rFonts w:ascii="宋体" w:hAnsi="宋体" w:cs="宋体" w:eastAsia="宋体" w:hint="default"/>
                <w:spacing w:val="-100"/>
                <w:sz w:val="21"/>
                <w:szCs w:val="21"/>
              </w:rPr>
              <w:t>》</w:t>
            </w:r>
            <w:r>
              <w:rPr>
                <w:rFonts w:ascii="宋体" w:hAnsi="宋体" w:cs="宋体" w:eastAsia="宋体" w:hint="default"/>
                <w:spacing w:val="-197"/>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度</w:t>
            </w:r>
            <w:r>
              <w:rPr>
                <w:rFonts w:ascii="宋体" w:hAnsi="宋体" w:cs="宋体" w:eastAsia="宋体" w:hint="default"/>
                <w:spacing w:val="-1"/>
                <w:sz w:val="21"/>
                <w:szCs w:val="21"/>
              </w:rPr>
              <w:t>财务决算报告的议案</w:t>
            </w:r>
            <w:r>
              <w:rPr>
                <w:rFonts w:ascii="宋体" w:hAnsi="宋体" w:cs="宋体" w:eastAsia="宋体" w:hint="default"/>
                <w:spacing w:val="-99"/>
                <w:sz w:val="21"/>
                <w:szCs w:val="21"/>
              </w:rPr>
              <w:t>》</w:t>
            </w:r>
            <w:r>
              <w:rPr>
                <w:rFonts w:ascii="宋体" w:hAnsi="宋体" w:cs="宋体" w:eastAsia="宋体" w:hint="default"/>
                <w:sz w:val="21"/>
                <w:szCs w:val="21"/>
              </w:rPr>
              <w:t>、</w:t>
            </w:r>
          </w:p>
        </w:tc>
      </w:tr>
      <w:tr>
        <w:trPr>
          <w:trHeight w:val="27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人，实到</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3"/>
                <w:sz w:val="21"/>
                <w:szCs w:val="21"/>
              </w:rPr>
              <w:t> </w:t>
            </w: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年与黑化集团有限公司日常关联预</w:t>
            </w:r>
          </w:p>
        </w:tc>
      </w:tr>
      <w:tr>
        <w:trPr>
          <w:trHeight w:val="28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估金额的议案》。</w:t>
            </w:r>
          </w:p>
        </w:tc>
      </w:tr>
      <w:tr>
        <w:trPr>
          <w:trHeight w:val="83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公司第四届监事会第三次会议于</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25</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49"/>
                <w:sz w:val="21"/>
                <w:szCs w:val="21"/>
              </w:rPr>
              <w:t> </w:t>
            </w:r>
            <w:r>
              <w:rPr>
                <w:rFonts w:ascii="宋体" w:hAnsi="宋体" w:cs="宋体" w:eastAsia="宋体" w:hint="default"/>
                <w:spacing w:val="-9"/>
                <w:sz w:val="21"/>
                <w:szCs w:val="21"/>
              </w:rPr>
              <w:t>11：30</w:t>
            </w:r>
            <w:r>
              <w:rPr>
                <w:rFonts w:ascii="宋体" w:hAnsi="宋体" w:cs="宋体" w:eastAsia="宋体" w:hint="default"/>
                <w:spacing w:val="-48"/>
                <w:sz w:val="21"/>
                <w:szCs w:val="21"/>
              </w:rPr>
              <w:t> </w:t>
            </w:r>
            <w:r>
              <w:rPr>
                <w:rFonts w:ascii="宋体" w:hAnsi="宋体" w:cs="宋体" w:eastAsia="宋体" w:hint="default"/>
                <w:spacing w:val="-3"/>
                <w:sz w:val="21"/>
                <w:szCs w:val="21"/>
              </w:rPr>
              <w:t>时在公司三楼会议室召开，会议应出席</w:t>
            </w:r>
            <w:r>
              <w:rPr>
                <w:rFonts w:ascii="宋体" w:hAnsi="宋体" w:cs="宋体" w:eastAsia="宋体" w:hint="default"/>
                <w:sz w:val="21"/>
                <w:szCs w:val="21"/>
              </w:rPr>
              <w:t> 监事</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人，实到</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会议审议通过了如下决议:《公司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年第一季</w:t>
            </w:r>
            <w:r>
              <w:rPr>
                <w:rFonts w:ascii="宋体" w:hAnsi="宋体" w:cs="宋体" w:eastAsia="宋体" w:hint="default"/>
                <w:sz w:val="21"/>
                <w:szCs w:val="21"/>
              </w:rPr>
              <w:t> 度报告》。</w:t>
            </w:r>
          </w:p>
        </w:tc>
      </w:tr>
      <w:tr>
        <w:trPr>
          <w:trHeight w:val="833"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公司第四届监事会第四次会议于</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7</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pacing w:val="-5"/>
                <w:sz w:val="21"/>
                <w:szCs w:val="21"/>
              </w:rPr>
              <w:t>时在公司三楼会议室召开，会议应出席监事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人，实到</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1"/>
              <w:jc w:val="left"/>
              <w:rPr>
                <w:rFonts w:ascii="宋体" w:hAnsi="宋体" w:cs="宋体" w:eastAsia="宋体" w:hint="default"/>
                <w:sz w:val="21"/>
                <w:szCs w:val="21"/>
              </w:rPr>
            </w:pPr>
            <w:r>
              <w:rPr>
                <w:rFonts w:ascii="宋体" w:hAnsi="宋体" w:cs="宋体" w:eastAsia="宋体" w:hint="default"/>
                <w:sz w:val="21"/>
                <w:szCs w:val="21"/>
              </w:rPr>
              <w:t>会议审议通过了如下决议:《公司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年半年度</w:t>
            </w:r>
            <w:r>
              <w:rPr>
                <w:rFonts w:ascii="宋体" w:hAnsi="宋体" w:cs="宋体" w:eastAsia="宋体" w:hint="default"/>
                <w:sz w:val="21"/>
                <w:szCs w:val="21"/>
              </w:rPr>
              <w:t> 报告正文》及其摘要。</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公司第四届监事会第五次会议于</w:t>
            </w:r>
            <w:r>
              <w:rPr>
                <w:rFonts w:ascii="宋体" w:hAnsi="宋体" w:cs="宋体" w:eastAsia="宋体" w:hint="default"/>
                <w:spacing w:val="-63"/>
                <w:sz w:val="21"/>
                <w:szCs w:val="21"/>
              </w:rPr>
              <w:t> </w:t>
            </w:r>
            <w:r>
              <w:rPr>
                <w:rFonts w:ascii="宋体" w:hAnsi="宋体" w:cs="宋体" w:eastAsia="宋体" w:hint="default"/>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23</w:t>
            </w: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会议审议通过了如下决议:《公司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年第三季</w:t>
            </w:r>
          </w:p>
        </w:tc>
      </w:tr>
      <w:tr>
        <w:trPr>
          <w:trHeight w:val="281" w:hRule="exact"/>
        </w:trPr>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日以通讯表决方式召开，会议实际表决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度报告》。</w:t>
            </w:r>
          </w:p>
        </w:tc>
      </w:tr>
    </w:tbl>
    <w:p>
      <w:pPr>
        <w:spacing w:line="240" w:lineRule="auto" w:before="6"/>
        <w:rPr>
          <w:rFonts w:ascii="宋体" w:hAnsi="宋体" w:cs="宋体" w:eastAsia="宋体" w:hint="default"/>
          <w:sz w:val="15"/>
          <w:szCs w:val="15"/>
        </w:rPr>
      </w:pPr>
    </w:p>
    <w:p>
      <w:pPr>
        <w:pStyle w:val="BodyText"/>
        <w:spacing w:line="272" w:lineRule="exact" w:before="63"/>
        <w:ind w:left="560" w:right="164" w:hanging="420"/>
        <w:jc w:val="left"/>
      </w:pPr>
      <w:r>
        <w:rPr/>
        <w:t>(二)监事会对公司依法运作情况的独立意见 公司监事会依照有关法律法规，对公司股东大会、董事会的召开程序，决策事项、董事会对股东</w:t>
      </w:r>
    </w:p>
    <w:p>
      <w:pPr>
        <w:pStyle w:val="BodyText"/>
        <w:spacing w:line="245" w:lineRule="exact"/>
        <w:ind w:right="0"/>
        <w:jc w:val="left"/>
      </w:pPr>
      <w:r>
        <w:rPr/>
        <w:t>大会决议的执行情况、公司高级管理人员履行职责情况及公司内部管理制度的执行情况进行了监督，</w:t>
      </w:r>
    </w:p>
    <w:p>
      <w:pPr>
        <w:pStyle w:val="BodyText"/>
        <w:spacing w:line="272" w:lineRule="exact" w:before="26"/>
        <w:ind w:right="181"/>
        <w:jc w:val="both"/>
      </w:pPr>
      <w:r>
        <w:rPr/>
        <w:t>认为：报告期内，公司能够严格按照《公司法》、《证券法》、《公司章程》等法律法规的要求规范 运作，完善，公司董事、高级管理人员在执行职责时没有违反法律、法规、公司章程或损害公司利益 的行为。</w:t>
      </w:r>
    </w:p>
    <w:p>
      <w:pPr>
        <w:spacing w:line="240" w:lineRule="auto" w:before="11"/>
        <w:rPr>
          <w:rFonts w:ascii="宋体" w:hAnsi="宋体" w:cs="宋体" w:eastAsia="宋体" w:hint="default"/>
          <w:sz w:val="20"/>
          <w:szCs w:val="20"/>
        </w:rPr>
      </w:pPr>
    </w:p>
    <w:p>
      <w:pPr>
        <w:pStyle w:val="BodyText"/>
        <w:spacing w:line="272" w:lineRule="exact"/>
        <w:ind w:left="560" w:right="171" w:hanging="420"/>
        <w:jc w:val="left"/>
      </w:pPr>
      <w:r>
        <w:rPr/>
        <w:t>(三)监事会对检查公司财务情况的独立意见 </w:t>
      </w:r>
      <w:r>
        <w:rPr>
          <w:spacing w:val="-3"/>
        </w:rPr>
        <w:t>监事会在报告期内对公司的财务制度执行情况和财务状况进行了认真的检查，认为公司</w:t>
      </w:r>
      <w:r>
        <w:rPr>
          <w:spacing w:val="-49"/>
        </w:rPr>
        <w:t> </w:t>
      </w:r>
      <w:r>
        <w:rPr>
          <w:spacing w:val="-1"/>
        </w:rPr>
        <w:t>2008</w:t>
      </w:r>
      <w:r>
        <w:rPr>
          <w:spacing w:val="-48"/>
        </w:rPr>
        <w:t> </w:t>
      </w:r>
      <w:r>
        <w:rPr>
          <w:spacing w:val="-1"/>
        </w:rPr>
        <w:t>年度</w:t>
      </w:r>
    </w:p>
    <w:p>
      <w:pPr>
        <w:pStyle w:val="BodyText"/>
        <w:spacing w:line="272" w:lineRule="exact"/>
        <w:ind w:right="164"/>
        <w:jc w:val="left"/>
      </w:pPr>
      <w:r>
        <w:rPr/>
        <w:t>财务报告真实反映了公司的财务状况和经营成果，天职国际会计师事务所出具标准无保留意见的审计 报告是客观公正的。</w:t>
      </w:r>
    </w:p>
    <w:p>
      <w:pPr>
        <w:spacing w:line="240" w:lineRule="auto" w:before="10"/>
        <w:rPr>
          <w:rFonts w:ascii="宋体" w:hAnsi="宋体" w:cs="宋体" w:eastAsia="宋体" w:hint="default"/>
          <w:sz w:val="18"/>
          <w:szCs w:val="18"/>
        </w:rPr>
      </w:pPr>
    </w:p>
    <w:p>
      <w:pPr>
        <w:pStyle w:val="BodyText"/>
        <w:spacing w:line="274" w:lineRule="exact"/>
        <w:ind w:right="171"/>
        <w:jc w:val="left"/>
      </w:pPr>
      <w:r>
        <w:rPr/>
        <w:t>(四)</w:t>
      </w:r>
      <w:r>
        <w:rPr>
          <w:spacing w:val="-2"/>
        </w:rPr>
        <w:t> </w:t>
      </w:r>
      <w:r>
        <w:rPr/>
        <w:t>监事会对公司最近一次募集资金实际投入情况的独立意见</w:t>
      </w:r>
    </w:p>
    <w:p>
      <w:pPr>
        <w:pStyle w:val="BodyText"/>
        <w:spacing w:line="272" w:lineRule="exact" w:before="26"/>
        <w:ind w:right="171" w:firstLine="420"/>
        <w:jc w:val="left"/>
      </w:pPr>
      <w:r>
        <w:rPr/>
        <w:t>公司最近一次募集资金为</w:t>
      </w:r>
      <w:r>
        <w:rPr>
          <w:spacing w:val="-59"/>
        </w:rPr>
        <w:t> </w:t>
      </w:r>
      <w:r>
        <w:rPr/>
        <w:t>1998</w:t>
      </w:r>
      <w:r>
        <w:rPr>
          <w:spacing w:val="-58"/>
        </w:rPr>
        <w:t> </w:t>
      </w:r>
      <w:r>
        <w:rPr/>
        <w:t>年</w:t>
      </w:r>
      <w:r>
        <w:rPr>
          <w:spacing w:val="-60"/>
        </w:rPr>
        <w:t> </w:t>
      </w:r>
      <w:r>
        <w:rPr/>
        <w:t>9</w:t>
      </w:r>
      <w:r>
        <w:rPr>
          <w:spacing w:val="-59"/>
        </w:rPr>
        <w:t> </w:t>
      </w:r>
      <w:r>
        <w:rPr/>
        <w:t>月</w:t>
      </w:r>
      <w:r>
        <w:rPr>
          <w:spacing w:val="-59"/>
        </w:rPr>
        <w:t> </w:t>
      </w:r>
      <w:r>
        <w:rPr/>
        <w:t>22</w:t>
      </w:r>
      <w:r>
        <w:rPr>
          <w:spacing w:val="-58"/>
        </w:rPr>
        <w:t> </w:t>
      </w:r>
      <w:r>
        <w:rPr/>
        <w:t>日新股发行，募集资金实际投入项目和承诺投入项目一</w:t>
      </w:r>
      <w:r>
        <w:rPr>
          <w:spacing w:val="-1"/>
        </w:rPr>
        <w:t> </w:t>
      </w:r>
      <w:r>
        <w:rPr/>
        <w:t>致。</w:t>
      </w:r>
    </w:p>
    <w:p>
      <w:pPr>
        <w:spacing w:line="240" w:lineRule="auto" w:before="11"/>
        <w:rPr>
          <w:rFonts w:ascii="宋体" w:hAnsi="宋体" w:cs="宋体" w:eastAsia="宋体" w:hint="default"/>
          <w:sz w:val="20"/>
          <w:szCs w:val="20"/>
        </w:rPr>
      </w:pPr>
    </w:p>
    <w:p>
      <w:pPr>
        <w:pStyle w:val="BodyText"/>
        <w:spacing w:line="272" w:lineRule="exact"/>
        <w:ind w:left="560" w:right="164" w:hanging="420"/>
        <w:jc w:val="left"/>
      </w:pPr>
      <w:r>
        <w:rPr/>
        <w:t>(五)监事会对公司关联交易情况的独立意见 报告期内，公司与关联方发生的关联交易都采取了公允合理的定价原则、公正合法的决策程序，</w:t>
      </w:r>
    </w:p>
    <w:p>
      <w:pPr>
        <w:pStyle w:val="BodyText"/>
        <w:spacing w:line="248" w:lineRule="exact"/>
        <w:ind w:right="171"/>
        <w:jc w:val="left"/>
      </w:pPr>
      <w:r>
        <w:rPr/>
        <w:t>没有损害上市公司和中小投资者利益的情况。</w:t>
      </w:r>
    </w:p>
    <w:p>
      <w:pPr>
        <w:spacing w:line="240" w:lineRule="auto" w:before="8"/>
        <w:rPr>
          <w:rFonts w:ascii="宋体" w:hAnsi="宋体" w:cs="宋体" w:eastAsia="宋体" w:hint="default"/>
          <w:sz w:val="20"/>
          <w:szCs w:val="20"/>
        </w:rPr>
      </w:pPr>
    </w:p>
    <w:p>
      <w:pPr>
        <w:pStyle w:val="Heading1"/>
        <w:spacing w:line="274" w:lineRule="exact"/>
        <w:ind w:right="171"/>
        <w:jc w:val="left"/>
        <w:rPr>
          <w:b w:val="0"/>
          <w:bCs w:val="0"/>
        </w:rPr>
      </w:pPr>
      <w:r>
        <w:rPr/>
        <w:t>十、重要事项</w:t>
      </w:r>
      <w:r>
        <w:rPr>
          <w:b w:val="0"/>
          <w:bCs w:val="0"/>
        </w:rPr>
      </w:r>
    </w:p>
    <w:p>
      <w:pPr>
        <w:pStyle w:val="BodyText"/>
        <w:spacing w:line="272" w:lineRule="exact" w:before="26"/>
        <w:ind w:left="560" w:right="5624" w:hanging="420"/>
        <w:jc w:val="left"/>
      </w:pPr>
      <w:r>
        <w:rPr/>
        <w:t>(一)重大诉讼仲裁事项 本年度公司无重大诉讼、仲裁事项。</w:t>
      </w:r>
    </w:p>
    <w:p>
      <w:pPr>
        <w:spacing w:line="240" w:lineRule="auto" w:before="10"/>
        <w:rPr>
          <w:rFonts w:ascii="宋体" w:hAnsi="宋体" w:cs="宋体" w:eastAsia="宋体" w:hint="default"/>
          <w:sz w:val="20"/>
          <w:szCs w:val="20"/>
        </w:rPr>
      </w:pPr>
    </w:p>
    <w:p>
      <w:pPr>
        <w:pStyle w:val="BodyText"/>
        <w:spacing w:line="272" w:lineRule="exact"/>
        <w:ind w:left="560" w:right="5834" w:hanging="420"/>
        <w:jc w:val="left"/>
      </w:pPr>
      <w:r>
        <w:rPr/>
        <w:t>(二)破产重整相关事项 本年度公司无破产重整相关事项。</w:t>
      </w:r>
    </w:p>
    <w:p>
      <w:pPr>
        <w:spacing w:line="240" w:lineRule="auto" w:before="11"/>
        <w:rPr>
          <w:rFonts w:ascii="宋体" w:hAnsi="宋体" w:cs="宋体" w:eastAsia="宋体" w:hint="default"/>
          <w:sz w:val="20"/>
          <w:szCs w:val="20"/>
        </w:rPr>
      </w:pPr>
    </w:p>
    <w:p>
      <w:pPr>
        <w:pStyle w:val="BodyText"/>
        <w:spacing w:line="272" w:lineRule="exact"/>
        <w:ind w:left="560" w:right="2894" w:hanging="421"/>
        <w:jc w:val="left"/>
      </w:pPr>
      <w:r>
        <w:rPr/>
        <w:t>(三)</w:t>
      </w:r>
      <w:r>
        <w:rPr>
          <w:spacing w:val="-1"/>
        </w:rPr>
        <w:t> </w:t>
      </w:r>
      <w:r>
        <w:rPr/>
        <w:t>其他重大事项及其影响和解决方案的分析说明</w:t>
      </w:r>
      <w:r>
        <w:rPr/>
        <w:t> 本年度公司无持有其他上市公司股权、参股金融企业股权的情况。</w:t>
      </w:r>
    </w:p>
    <w:p>
      <w:pPr>
        <w:spacing w:line="240" w:lineRule="auto" w:before="10"/>
        <w:rPr>
          <w:rFonts w:ascii="宋体" w:hAnsi="宋体" w:cs="宋体" w:eastAsia="宋体" w:hint="default"/>
          <w:sz w:val="18"/>
          <w:szCs w:val="18"/>
        </w:rPr>
      </w:pPr>
    </w:p>
    <w:p>
      <w:pPr>
        <w:pStyle w:val="BodyText"/>
        <w:spacing w:line="240" w:lineRule="auto"/>
        <w:ind w:right="171"/>
        <w:jc w:val="left"/>
      </w:pPr>
      <w:r>
        <w:rPr/>
        <w:t>(四)</w:t>
      </w:r>
      <w:r>
        <w:rPr>
          <w:spacing w:val="-2"/>
        </w:rPr>
        <w:t> </w:t>
      </w:r>
      <w:r>
        <w:rPr/>
        <w:t>报告期内公司收购及出售资产、吸收合并事项</w:t>
      </w:r>
    </w:p>
    <w:p>
      <w:pPr>
        <w:spacing w:after="0" w:line="240" w:lineRule="auto"/>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left="560" w:right="171"/>
        <w:jc w:val="left"/>
      </w:pPr>
      <w:r>
        <w:rPr/>
        <w:t>本年度公司无收购及出售资产、吸收合并事项。</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right="-18"/>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3606" w:space="3641"/>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12"/>
        <w:gridCol w:w="798"/>
        <w:gridCol w:w="1002"/>
        <w:gridCol w:w="1099"/>
        <w:gridCol w:w="1697"/>
        <w:gridCol w:w="1702"/>
        <w:gridCol w:w="1099"/>
      </w:tblGrid>
      <w:tr>
        <w:trPr>
          <w:trHeight w:val="832"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2" w:lineRule="exact" w:before="26"/>
              <w:ind w:left="182" w:right="179"/>
              <w:jc w:val="left"/>
              <w:rPr>
                <w:rFonts w:ascii="宋体" w:hAnsi="宋体" w:cs="宋体" w:eastAsia="宋体" w:hint="default"/>
                <w:sz w:val="21"/>
                <w:szCs w:val="21"/>
              </w:rPr>
            </w:pPr>
            <w:r>
              <w:rPr>
                <w:rFonts w:ascii="宋体" w:hAnsi="宋体" w:cs="宋体" w:eastAsia="宋体" w:hint="default"/>
                <w:sz w:val="21"/>
                <w:szCs w:val="21"/>
              </w:rPr>
              <w:t>交易 类型</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8" w:right="176"/>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2" w:right="120" w:hanging="210"/>
              <w:jc w:val="left"/>
              <w:rPr>
                <w:rFonts w:ascii="宋体" w:hAnsi="宋体" w:cs="宋体" w:eastAsia="宋体" w:hint="default"/>
                <w:sz w:val="21"/>
                <w:szCs w:val="21"/>
              </w:rPr>
            </w:pPr>
            <w:r>
              <w:rPr>
                <w:rFonts w:ascii="宋体" w:hAnsi="宋体" w:cs="宋体" w:eastAsia="宋体" w:hint="default"/>
                <w:sz w:val="21"/>
                <w:szCs w:val="21"/>
              </w:rPr>
              <w:t>关联交易 价格</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0" w:right="107" w:hanging="263"/>
              <w:jc w:val="left"/>
              <w:rPr>
                <w:rFonts w:ascii="宋体" w:hAnsi="宋体" w:cs="宋体" w:eastAsia="宋体" w:hint="default"/>
                <w:sz w:val="21"/>
                <w:szCs w:val="21"/>
              </w:rPr>
            </w:pPr>
            <w:r>
              <w:rPr>
                <w:rFonts w:ascii="宋体" w:hAnsi="宋体" w:cs="宋体" w:eastAsia="宋体" w:hint="default"/>
                <w:sz w:val="21"/>
                <w:szCs w:val="21"/>
              </w:rPr>
              <w:t>占同类交易金额 的比例(%)</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2" w:right="120"/>
              <w:jc w:val="left"/>
              <w:rPr>
                <w:rFonts w:ascii="宋体" w:hAnsi="宋体" w:cs="宋体" w:eastAsia="宋体" w:hint="default"/>
                <w:sz w:val="21"/>
                <w:szCs w:val="21"/>
              </w:rPr>
            </w:pPr>
            <w:r>
              <w:rPr>
                <w:rFonts w:ascii="宋体" w:hAnsi="宋体" w:cs="宋体" w:eastAsia="宋体" w:hint="default"/>
                <w:sz w:val="21"/>
                <w:szCs w:val="21"/>
              </w:rPr>
              <w:t>关联交易 结算方式</w:t>
            </w:r>
          </w:p>
        </w:tc>
      </w:tr>
      <w:tr>
        <w:trPr>
          <w:trHeight w:val="56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成氨</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2,473.99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25,929,927.09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现款结算</w:t>
            </w:r>
          </w:p>
        </w:tc>
      </w:tr>
      <w:tr>
        <w:trPr>
          <w:trHeight w:val="832"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77" w:right="162" w:hanging="315"/>
              <w:jc w:val="left"/>
              <w:rPr>
                <w:rFonts w:ascii="宋体" w:hAnsi="宋体" w:cs="宋体" w:eastAsia="宋体" w:hint="default"/>
                <w:sz w:val="21"/>
                <w:szCs w:val="21"/>
              </w:rPr>
            </w:pPr>
            <w:r>
              <w:rPr>
                <w:rFonts w:ascii="宋体" w:hAnsi="宋体" w:cs="宋体" w:eastAsia="宋体" w:hint="default"/>
                <w:sz w:val="21"/>
                <w:szCs w:val="21"/>
              </w:rPr>
              <w:t>黑龙江黑化集团 有限公司</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0"/>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p>
            <w:pPr>
              <w:pStyle w:val="TableParagraph"/>
              <w:spacing w:line="272" w:lineRule="exact" w:before="26"/>
              <w:ind w:left="100" w:right="44"/>
              <w:jc w:val="left"/>
              <w:rPr>
                <w:rFonts w:ascii="宋体" w:hAnsi="宋体" w:cs="宋体" w:eastAsia="宋体" w:hint="default"/>
                <w:sz w:val="21"/>
                <w:szCs w:val="21"/>
              </w:rPr>
            </w:pPr>
            <w:r>
              <w:rPr>
                <w:rFonts w:ascii="宋体" w:hAnsi="宋体" w:cs="宋体" w:eastAsia="宋体" w:hint="default"/>
                <w:sz w:val="21"/>
                <w:szCs w:val="21"/>
              </w:rPr>
              <w:t>加工件、 台班费</w:t>
            </w:r>
          </w:p>
        </w:tc>
        <w:tc>
          <w:tcPr>
            <w:tcW w:w="1099"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12,687,069.62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58.20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0"/>
              <w:jc w:val="center"/>
              <w:rPr>
                <w:rFonts w:ascii="宋体" w:hAnsi="宋体" w:cs="宋体" w:eastAsia="宋体" w:hint="default"/>
                <w:sz w:val="21"/>
                <w:szCs w:val="21"/>
              </w:rPr>
            </w:pPr>
            <w:r>
              <w:rPr>
                <w:rFonts w:ascii="宋体" w:hAnsi="宋体" w:cs="宋体" w:eastAsia="宋体" w:hint="default"/>
                <w:sz w:val="21"/>
                <w:szCs w:val="21"/>
              </w:rPr>
              <w:t>现款结算</w:t>
            </w:r>
          </w:p>
        </w:tc>
      </w:tr>
      <w:tr>
        <w:trPr>
          <w:trHeight w:val="559"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炉气</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1.01</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108,764,472.24</w:t>
            </w:r>
            <w:r>
              <w:rPr>
                <w:rFonts w:ascii="宋体"/>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w w:val="95"/>
                <w:sz w:val="21"/>
              </w:rPr>
              <w:t>93.28</w:t>
            </w:r>
            <w:r>
              <w:rPr>
                <w:rFonts w:ascii="宋体"/>
                <w:w w:val="95"/>
                <w:sz w:val="21"/>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现款结算</w:t>
            </w:r>
          </w:p>
        </w:tc>
      </w:tr>
      <w:tr>
        <w:trPr>
          <w:trHeight w:val="56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电气</w:t>
            </w:r>
          </w:p>
        </w:tc>
        <w:tc>
          <w:tcPr>
            <w:tcW w:w="1099"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57,550,719.60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52.15</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0"/>
              <w:jc w:val="center"/>
              <w:rPr>
                <w:rFonts w:ascii="宋体" w:hAnsi="宋体" w:cs="宋体" w:eastAsia="宋体" w:hint="default"/>
                <w:sz w:val="21"/>
                <w:szCs w:val="21"/>
              </w:rPr>
            </w:pPr>
            <w:r>
              <w:rPr>
                <w:rFonts w:ascii="宋体" w:hAnsi="宋体" w:cs="宋体" w:eastAsia="宋体" w:hint="default"/>
                <w:sz w:val="21"/>
                <w:szCs w:val="21"/>
              </w:rPr>
              <w:t>现款结算</w:t>
            </w:r>
          </w:p>
        </w:tc>
      </w:tr>
      <w:tr>
        <w:trPr>
          <w:trHeight w:val="56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黑龙江黑化集团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料等</w:t>
            </w:r>
          </w:p>
        </w:tc>
        <w:tc>
          <w:tcPr>
            <w:tcW w:w="1099"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25,388,429.54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39.51</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0"/>
              <w:jc w:val="center"/>
              <w:rPr>
                <w:rFonts w:ascii="宋体" w:hAnsi="宋体" w:cs="宋体" w:eastAsia="宋体" w:hint="default"/>
                <w:sz w:val="21"/>
                <w:szCs w:val="21"/>
              </w:rPr>
            </w:pPr>
            <w:r>
              <w:rPr>
                <w:rFonts w:ascii="宋体" w:hAnsi="宋体" w:cs="宋体" w:eastAsia="宋体" w:hint="default"/>
                <w:sz w:val="21"/>
                <w:szCs w:val="21"/>
              </w:rPr>
              <w:t>现款结算</w:t>
            </w:r>
          </w:p>
        </w:tc>
      </w:tr>
    </w:tbl>
    <w:p>
      <w:pPr>
        <w:spacing w:line="240" w:lineRule="auto" w:before="6"/>
        <w:rPr>
          <w:rFonts w:ascii="宋体" w:hAnsi="宋体" w:cs="宋体" w:eastAsia="宋体" w:hint="default"/>
          <w:sz w:val="15"/>
          <w:szCs w:val="15"/>
        </w:rPr>
      </w:pPr>
    </w:p>
    <w:p>
      <w:pPr>
        <w:pStyle w:val="BodyText"/>
        <w:spacing w:line="237" w:lineRule="auto" w:before="37"/>
        <w:ind w:right="6781"/>
        <w:jc w:val="left"/>
      </w:pPr>
      <w:r>
        <w:rPr/>
        <w:t>(六)</w:t>
      </w:r>
      <w:r>
        <w:rPr>
          <w:spacing w:val="-2"/>
        </w:rPr>
        <w:t> </w:t>
      </w:r>
      <w:r>
        <w:rPr/>
        <w:t>重大合同及其履行情况</w:t>
      </w:r>
      <w:r>
        <w:rPr/>
        <w:t> 1、托管、承包、租赁事项 (1)</w:t>
      </w:r>
      <w:r>
        <w:rPr>
          <w:spacing w:val="-2"/>
        </w:rPr>
        <w:t> </w:t>
      </w:r>
      <w:r>
        <w:rPr/>
        <w:t>托管情况</w:t>
      </w:r>
    </w:p>
    <w:p>
      <w:pPr>
        <w:pStyle w:val="BodyText"/>
        <w:spacing w:line="273" w:lineRule="exact"/>
        <w:ind w:left="561" w:right="171"/>
        <w:jc w:val="left"/>
      </w:pPr>
      <w:r>
        <w:rPr/>
        <w:t>本年度公司无托管事项。</w:t>
      </w:r>
    </w:p>
    <w:p>
      <w:pPr>
        <w:spacing w:line="240" w:lineRule="auto" w:before="8"/>
        <w:rPr>
          <w:rFonts w:ascii="宋体" w:hAnsi="宋体" w:cs="宋体" w:eastAsia="宋体" w:hint="default"/>
          <w:sz w:val="20"/>
          <w:szCs w:val="20"/>
        </w:rPr>
      </w:pPr>
    </w:p>
    <w:p>
      <w:pPr>
        <w:pStyle w:val="BodyText"/>
        <w:spacing w:line="274" w:lineRule="exact"/>
        <w:ind w:right="171"/>
        <w:jc w:val="left"/>
      </w:pPr>
      <w:r>
        <w:rPr/>
        <w:t>(2)</w:t>
      </w:r>
      <w:r>
        <w:rPr>
          <w:spacing w:val="-2"/>
        </w:rPr>
        <w:t> </w:t>
      </w:r>
      <w:r>
        <w:rPr/>
        <w:t>承包情况</w:t>
      </w:r>
    </w:p>
    <w:p>
      <w:pPr>
        <w:pStyle w:val="BodyText"/>
        <w:spacing w:line="274" w:lineRule="exact"/>
        <w:ind w:left="561" w:right="171"/>
        <w:jc w:val="left"/>
      </w:pPr>
      <w:r>
        <w:rPr/>
        <w:t>本年度公司无承包事项。</w:t>
      </w:r>
    </w:p>
    <w:p>
      <w:pPr>
        <w:spacing w:line="240" w:lineRule="auto" w:before="8"/>
        <w:rPr>
          <w:rFonts w:ascii="宋体" w:hAnsi="宋体" w:cs="宋体" w:eastAsia="宋体" w:hint="default"/>
          <w:sz w:val="20"/>
          <w:szCs w:val="20"/>
        </w:rPr>
      </w:pPr>
    </w:p>
    <w:p>
      <w:pPr>
        <w:pStyle w:val="BodyText"/>
        <w:spacing w:line="274" w:lineRule="exact"/>
        <w:ind w:right="171"/>
        <w:jc w:val="left"/>
      </w:pPr>
      <w:r>
        <w:rPr/>
        <w:t>(3)</w:t>
      </w:r>
      <w:r>
        <w:rPr>
          <w:spacing w:val="-2"/>
        </w:rPr>
        <w:t> </w:t>
      </w:r>
      <w:r>
        <w:rPr/>
        <w:t>租赁情况</w:t>
      </w:r>
    </w:p>
    <w:p>
      <w:pPr>
        <w:pStyle w:val="BodyText"/>
        <w:spacing w:line="274" w:lineRule="exact"/>
        <w:ind w:left="561" w:right="171"/>
        <w:jc w:val="left"/>
      </w:pPr>
      <w:r>
        <w:rPr/>
        <w:t>本年度公司无租赁事项。</w:t>
      </w:r>
    </w:p>
    <w:p>
      <w:pPr>
        <w:spacing w:line="240" w:lineRule="auto" w:before="12"/>
        <w:rPr>
          <w:rFonts w:ascii="宋体" w:hAnsi="宋体" w:cs="宋体" w:eastAsia="宋体" w:hint="default"/>
          <w:sz w:val="17"/>
          <w:szCs w:val="17"/>
        </w:rPr>
      </w:pPr>
    </w:p>
    <w:p>
      <w:pPr>
        <w:pStyle w:val="BodyText"/>
        <w:spacing w:line="274" w:lineRule="exact" w:before="35"/>
        <w:ind w:right="171"/>
        <w:jc w:val="left"/>
      </w:pPr>
      <w:r>
        <w:rPr/>
        <w:t>2、担保情况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07"/>
        <w:gridCol w:w="800"/>
        <w:gridCol w:w="698"/>
        <w:gridCol w:w="864"/>
        <w:gridCol w:w="235"/>
        <w:gridCol w:w="862"/>
        <w:gridCol w:w="796"/>
        <w:gridCol w:w="846"/>
        <w:gridCol w:w="800"/>
        <w:gridCol w:w="701"/>
        <w:gridCol w:w="264"/>
        <w:gridCol w:w="236"/>
        <w:gridCol w:w="755"/>
        <w:gridCol w:w="235"/>
      </w:tblGrid>
      <w:tr>
        <w:trPr>
          <w:trHeight w:val="287"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42"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50"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担保方</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82" w:right="181"/>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2" w:right="129"/>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13" w:right="213"/>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235"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13" w:right="107" w:hanging="106"/>
              <w:jc w:val="left"/>
              <w:rPr>
                <w:rFonts w:ascii="宋体" w:hAnsi="宋体" w:cs="宋体" w:eastAsia="宋体" w:hint="default"/>
                <w:sz w:val="21"/>
                <w:szCs w:val="21"/>
              </w:rPr>
            </w:pPr>
            <w:r>
              <w:rPr>
                <w:rFonts w:ascii="宋体" w:hAnsi="宋体" w:cs="宋体" w:eastAsia="宋体" w:hint="default"/>
                <w:sz w:val="21"/>
                <w:szCs w:val="21"/>
              </w:rPr>
              <w:t>担保起 始日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80" w:right="179"/>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担保类 型</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2" w:right="181"/>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33" w:right="131"/>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2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9" w:right="158"/>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51"/>
              <w:jc w:val="both"/>
              <w:rPr>
                <w:rFonts w:ascii="宋体" w:hAnsi="宋体" w:cs="宋体" w:eastAsia="宋体" w:hint="default"/>
                <w:sz w:val="21"/>
                <w:szCs w:val="21"/>
              </w:rPr>
            </w:pPr>
            <w:r>
              <w:rPr>
                <w:rFonts w:ascii="宋体" w:hAnsi="宋体" w:cs="宋体" w:eastAsia="宋体" w:hint="default"/>
                <w:sz w:val="21"/>
                <w:szCs w:val="21"/>
              </w:rPr>
              <w:t>黑龙江黑 化股份有 限公司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63"/>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before="1"/>
              <w:ind w:left="100" w:right="161"/>
              <w:jc w:val="both"/>
              <w:rPr>
                <w:rFonts w:ascii="宋体" w:hAnsi="宋体" w:cs="宋体" w:eastAsia="宋体" w:hint="default"/>
                <w:sz w:val="21"/>
                <w:szCs w:val="21"/>
              </w:rPr>
            </w:pPr>
            <w:r>
              <w:rPr>
                <w:rFonts w:ascii="宋体" w:hAnsi="宋体" w:cs="宋体" w:eastAsia="宋体" w:hint="default"/>
                <w:sz w:val="21"/>
                <w:szCs w:val="21"/>
              </w:rPr>
              <w:t>化工 集团 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10,000</w:t>
            </w:r>
          </w:p>
        </w:tc>
        <w:tc>
          <w:tcPr>
            <w:tcW w:w="235"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sz w:val="21"/>
              </w:rPr>
              <w:t>2008</w:t>
            </w:r>
          </w:p>
          <w:p>
            <w:pPr>
              <w:pStyle w:val="TableParagraph"/>
              <w:spacing w:line="272" w:lineRule="exact" w:before="26"/>
              <w:ind w:left="100" w:right="60"/>
              <w:jc w:val="left"/>
              <w:rPr>
                <w:rFonts w:ascii="宋体" w:hAnsi="宋体" w:cs="宋体" w:eastAsia="宋体" w:hint="default"/>
                <w:sz w:val="21"/>
                <w:szCs w:val="21"/>
              </w:rPr>
            </w:pPr>
            <w:r>
              <w:rPr>
                <w:rFonts w:ascii="宋体" w:hAnsi="宋体" w:cs="宋体" w:eastAsia="宋体" w:hint="default"/>
                <w:spacing w:val="35"/>
                <w:sz w:val="21"/>
                <w:szCs w:val="21"/>
              </w:rPr>
              <w:t>年6月</w:t>
            </w:r>
            <w:r>
              <w:rPr>
                <w:rFonts w:ascii="宋体" w:hAnsi="宋体" w:cs="宋体" w:eastAsia="宋体" w:hint="default"/>
                <w:spacing w:val="-52"/>
                <w:sz w:val="21"/>
                <w:szCs w:val="21"/>
              </w:rPr>
              <w:t> </w:t>
            </w:r>
            <w:r>
              <w:rPr>
                <w:rFonts w:ascii="宋体" w:hAnsi="宋体" w:cs="宋体" w:eastAsia="宋体" w:hint="default"/>
                <w:spacing w:val="26"/>
                <w:sz w:val="21"/>
                <w:szCs w:val="21"/>
              </w:rPr>
              <w:t>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0" w:right="69"/>
              <w:jc w:val="left"/>
              <w:rPr>
                <w:rFonts w:ascii="宋体" w:hAnsi="宋体" w:cs="宋体" w:eastAsia="宋体" w:hint="default"/>
                <w:sz w:val="21"/>
                <w:szCs w:val="21"/>
              </w:rPr>
            </w:pPr>
            <w:r>
              <w:rPr>
                <w:rFonts w:ascii="宋体" w:hAnsi="宋体" w:cs="宋体" w:eastAsia="宋体" w:hint="default"/>
                <w:spacing w:val="18"/>
                <w:sz w:val="21"/>
                <w:szCs w:val="21"/>
              </w:rPr>
              <w:t>年6月</w:t>
            </w:r>
            <w:r>
              <w:rPr>
                <w:rFonts w:ascii="宋体" w:hAnsi="宋体" w:cs="宋体" w:eastAsia="宋体" w:hint="default"/>
                <w:spacing w:val="-78"/>
                <w:sz w:val="21"/>
                <w:szCs w:val="21"/>
              </w:rPr>
              <w:t> </w:t>
            </w:r>
            <w:r>
              <w:rPr>
                <w:rFonts w:ascii="宋体" w:hAnsi="宋体" w:cs="宋体" w:eastAsia="宋体" w:hint="default"/>
                <w:spacing w:val="26"/>
                <w:sz w:val="21"/>
                <w:szCs w:val="21"/>
              </w:rPr>
              <w:t>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207"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698"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w:t>
            </w:r>
          </w:p>
        </w:tc>
        <w:tc>
          <w:tcPr>
            <w:tcW w:w="864" w:type="dxa"/>
            <w:tcBorders>
              <w:top w:val="single" w:sz="6" w:space="0" w:color="000000"/>
              <w:left w:val="single" w:sz="6" w:space="0" w:color="000000"/>
              <w:bottom w:val="nil" w:sz="6" w:space="0" w:color="auto"/>
              <w:right w:val="single" w:sz="6" w:space="0" w:color="000000"/>
            </w:tcBorders>
          </w:tcPr>
          <w:p>
            <w:pPr/>
          </w:p>
        </w:tc>
        <w:tc>
          <w:tcPr>
            <w:tcW w:w="235" w:type="dxa"/>
            <w:vMerge w:val="restart"/>
            <w:tcBorders>
              <w:top w:val="single" w:sz="6" w:space="0" w:color="000000"/>
              <w:left w:val="single" w:sz="6" w:space="0" w:color="000000"/>
              <w:right w:val="single" w:sz="6" w:space="0" w:color="000000"/>
            </w:tcBorders>
          </w:tcPr>
          <w:p>
            <w:pPr/>
          </w:p>
        </w:tc>
        <w:tc>
          <w:tcPr>
            <w:tcW w:w="862" w:type="dxa"/>
            <w:tcBorders>
              <w:top w:val="single" w:sz="6" w:space="0" w:color="000000"/>
              <w:left w:val="single" w:sz="6" w:space="0" w:color="000000"/>
              <w:bottom w:val="nil" w:sz="6" w:space="0" w:color="auto"/>
              <w:right w:val="single" w:sz="6" w:space="0" w:color="000000"/>
            </w:tcBorders>
          </w:tcPr>
          <w:p>
            <w:pPr/>
          </w:p>
        </w:tc>
        <w:tc>
          <w:tcPr>
            <w:tcW w:w="7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701" w:type="dxa"/>
            <w:tcBorders>
              <w:top w:val="single" w:sz="6" w:space="0" w:color="000000"/>
              <w:left w:val="single" w:sz="6" w:space="0" w:color="000000"/>
              <w:bottom w:val="nil" w:sz="6" w:space="0" w:color="auto"/>
              <w:right w:val="single" w:sz="6" w:space="0" w:color="000000"/>
            </w:tcBorders>
          </w:tcPr>
          <w:p>
            <w:pPr/>
          </w:p>
        </w:tc>
        <w:tc>
          <w:tcPr>
            <w:tcW w:w="2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755" w:type="dxa"/>
            <w:tcBorders>
              <w:top w:val="single" w:sz="6" w:space="0" w:color="000000"/>
              <w:left w:val="single" w:sz="6" w:space="0" w:color="000000"/>
              <w:bottom w:val="nil" w:sz="6" w:space="0" w:color="auto"/>
              <w:right w:val="single" w:sz="6" w:space="0" w:color="000000"/>
            </w:tcBorders>
          </w:tcPr>
          <w:p>
            <w:pPr/>
          </w:p>
        </w:tc>
        <w:tc>
          <w:tcPr>
            <w:tcW w:w="235" w:type="dxa"/>
            <w:vMerge w:val="restart"/>
            <w:tcBorders>
              <w:top w:val="single" w:sz="6" w:space="0" w:color="000000"/>
              <w:left w:val="single" w:sz="6" w:space="0" w:color="000000"/>
              <w:right w:val="single" w:sz="6" w:space="0" w:color="000000"/>
            </w:tcBorders>
          </w:tcPr>
          <w:p>
            <w:pPr/>
          </w:p>
        </w:tc>
      </w:tr>
      <w:tr>
        <w:trPr>
          <w:trHeight w:val="1089" w:hRule="exact"/>
        </w:trPr>
        <w:tc>
          <w:tcPr>
            <w:tcW w:w="120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251"/>
              <w:jc w:val="both"/>
              <w:rPr>
                <w:rFonts w:ascii="宋体" w:hAnsi="宋体" w:cs="宋体" w:eastAsia="宋体" w:hint="default"/>
                <w:sz w:val="21"/>
                <w:szCs w:val="21"/>
              </w:rPr>
            </w:pPr>
            <w:r>
              <w:rPr>
                <w:rFonts w:ascii="宋体" w:hAnsi="宋体" w:cs="宋体" w:eastAsia="宋体" w:hint="default"/>
                <w:sz w:val="21"/>
                <w:szCs w:val="21"/>
              </w:rPr>
              <w:t>黑龙江黑 化股份有 限公司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263"/>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6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哈尔</w:t>
            </w:r>
          </w:p>
          <w:p>
            <w:pPr>
              <w:pStyle w:val="TableParagraph"/>
              <w:spacing w:line="272" w:lineRule="exact" w:before="26"/>
              <w:ind w:left="100" w:right="161"/>
              <w:jc w:val="both"/>
              <w:rPr>
                <w:rFonts w:ascii="宋体" w:hAnsi="宋体" w:cs="宋体" w:eastAsia="宋体" w:hint="default"/>
                <w:sz w:val="21"/>
                <w:szCs w:val="21"/>
              </w:rPr>
            </w:pPr>
            <w:r>
              <w:rPr>
                <w:rFonts w:ascii="宋体" w:hAnsi="宋体" w:cs="宋体" w:eastAsia="宋体" w:hint="default"/>
                <w:sz w:val="21"/>
                <w:szCs w:val="21"/>
              </w:rPr>
              <w:t>德科 化工 有限</w:t>
            </w:r>
          </w:p>
        </w:tc>
        <w:tc>
          <w:tcPr>
            <w:tcW w:w="86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w:t>
            </w:r>
          </w:p>
        </w:tc>
        <w:tc>
          <w:tcPr>
            <w:tcW w:w="235" w:type="dxa"/>
            <w:vMerge/>
            <w:tcBorders>
              <w:left w:val="single" w:sz="6" w:space="0" w:color="000000"/>
              <w:right w:val="single" w:sz="6" w:space="0" w:color="000000"/>
            </w:tcBorders>
          </w:tcPr>
          <w:p>
            <w:pPr/>
          </w:p>
        </w:tc>
        <w:tc>
          <w:tcPr>
            <w:tcW w:w="862"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sz w:val="21"/>
              </w:rPr>
              <w:t>2008</w:t>
            </w:r>
          </w:p>
          <w:p>
            <w:pPr>
              <w:pStyle w:val="TableParagraph"/>
              <w:spacing w:line="272" w:lineRule="exact" w:before="26"/>
              <w:ind w:left="100" w:right="60"/>
              <w:jc w:val="left"/>
              <w:rPr>
                <w:rFonts w:ascii="宋体" w:hAnsi="宋体" w:cs="宋体" w:eastAsia="宋体" w:hint="default"/>
                <w:sz w:val="21"/>
                <w:szCs w:val="21"/>
              </w:rPr>
            </w:pPr>
            <w:r>
              <w:rPr>
                <w:rFonts w:ascii="宋体" w:hAnsi="宋体" w:cs="宋体" w:eastAsia="宋体" w:hint="default"/>
                <w:spacing w:val="35"/>
                <w:sz w:val="21"/>
                <w:szCs w:val="21"/>
              </w:rPr>
              <w:t>年9月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6"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0" w:right="69"/>
              <w:jc w:val="left"/>
              <w:rPr>
                <w:rFonts w:ascii="宋体" w:hAnsi="宋体" w:cs="宋体" w:eastAsia="宋体" w:hint="default"/>
                <w:sz w:val="21"/>
                <w:szCs w:val="21"/>
              </w:rPr>
            </w:pPr>
            <w:r>
              <w:rPr>
                <w:rFonts w:ascii="宋体" w:hAnsi="宋体" w:cs="宋体" w:eastAsia="宋体" w:hint="default"/>
                <w:spacing w:val="18"/>
                <w:sz w:val="21"/>
                <w:szCs w:val="21"/>
              </w:rPr>
              <w:t>年8月</w:t>
            </w:r>
            <w:r>
              <w:rPr>
                <w:rFonts w:ascii="宋体" w:hAnsi="宋体" w:cs="宋体" w:eastAsia="宋体" w:hint="default"/>
                <w:spacing w:val="-78"/>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75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35" w:type="dxa"/>
            <w:vMerge/>
            <w:tcBorders>
              <w:left w:val="single" w:sz="6" w:space="0" w:color="000000"/>
              <w:right w:val="single" w:sz="6" w:space="0" w:color="000000"/>
            </w:tcBorders>
          </w:tcPr>
          <w:p>
            <w:pPr/>
          </w:p>
        </w:tc>
      </w:tr>
      <w:tr>
        <w:trPr>
          <w:trHeight w:val="280" w:hRule="exact"/>
        </w:trPr>
        <w:tc>
          <w:tcPr>
            <w:tcW w:w="1207"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6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64" w:type="dxa"/>
            <w:tcBorders>
              <w:top w:val="nil" w:sz="6" w:space="0" w:color="auto"/>
              <w:left w:val="single" w:sz="6" w:space="0" w:color="000000"/>
              <w:bottom w:val="single" w:sz="6" w:space="0" w:color="000000"/>
              <w:right w:val="single" w:sz="6" w:space="0" w:color="000000"/>
            </w:tcBorders>
          </w:tcPr>
          <w:p>
            <w:pPr/>
          </w:p>
        </w:tc>
        <w:tc>
          <w:tcPr>
            <w:tcW w:w="235" w:type="dxa"/>
            <w:vMerge/>
            <w:tcBorders>
              <w:left w:val="single" w:sz="6" w:space="0" w:color="000000"/>
              <w:bottom w:val="single" w:sz="6" w:space="0" w:color="000000"/>
              <w:right w:val="single" w:sz="6" w:space="0" w:color="000000"/>
            </w:tcBorders>
          </w:tcPr>
          <w:p>
            <w:pPr/>
          </w:p>
        </w:tc>
        <w:tc>
          <w:tcPr>
            <w:tcW w:w="862" w:type="dxa"/>
            <w:tcBorders>
              <w:top w:val="nil" w:sz="6" w:space="0" w:color="auto"/>
              <w:left w:val="single" w:sz="6" w:space="0" w:color="000000"/>
              <w:bottom w:val="single" w:sz="6" w:space="0" w:color="000000"/>
              <w:right w:val="single" w:sz="6" w:space="0" w:color="000000"/>
            </w:tcBorders>
          </w:tcPr>
          <w:p>
            <w:pPr/>
          </w:p>
        </w:tc>
        <w:tc>
          <w:tcPr>
            <w:tcW w:w="7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701" w:type="dxa"/>
            <w:tcBorders>
              <w:top w:val="nil" w:sz="6" w:space="0" w:color="auto"/>
              <w:left w:val="single" w:sz="6" w:space="0" w:color="000000"/>
              <w:bottom w:val="single" w:sz="6" w:space="0" w:color="000000"/>
              <w:right w:val="single" w:sz="6" w:space="0" w:color="000000"/>
            </w:tcBorders>
          </w:tcPr>
          <w:p>
            <w:pPr/>
          </w:p>
        </w:tc>
        <w:tc>
          <w:tcPr>
            <w:tcW w:w="2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755" w:type="dxa"/>
            <w:tcBorders>
              <w:top w:val="nil" w:sz="6" w:space="0" w:color="auto"/>
              <w:left w:val="single" w:sz="6" w:space="0" w:color="000000"/>
              <w:bottom w:val="single" w:sz="6" w:space="0" w:color="000000"/>
              <w:right w:val="single" w:sz="6" w:space="0" w:color="000000"/>
            </w:tcBorders>
          </w:tcPr>
          <w:p>
            <w:pPr/>
          </w:p>
        </w:tc>
        <w:tc>
          <w:tcPr>
            <w:tcW w:w="235" w:type="dxa"/>
            <w:vMerge/>
            <w:tcBorders>
              <w:left w:val="single" w:sz="6" w:space="0" w:color="000000"/>
              <w:bottom w:val="single" w:sz="6" w:space="0" w:color="000000"/>
              <w:right w:val="single" w:sz="6" w:space="0" w:color="000000"/>
            </w:tcBorders>
          </w:tcPr>
          <w:p>
            <w:pPr/>
          </w:p>
        </w:tc>
      </w:tr>
      <w:tr>
        <w:trPr>
          <w:trHeight w:val="288"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z w:val="21"/>
                <w:szCs w:val="21"/>
              </w:rPr>
              <w:t>黑龙江黑</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齐齐</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c>
          <w:tcPr>
            <w:tcW w:w="235"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连带责</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07"/>
        <w:gridCol w:w="800"/>
        <w:gridCol w:w="698"/>
        <w:gridCol w:w="864"/>
        <w:gridCol w:w="235"/>
        <w:gridCol w:w="862"/>
        <w:gridCol w:w="796"/>
        <w:gridCol w:w="846"/>
        <w:gridCol w:w="800"/>
        <w:gridCol w:w="701"/>
        <w:gridCol w:w="264"/>
        <w:gridCol w:w="236"/>
        <w:gridCol w:w="755"/>
        <w:gridCol w:w="235"/>
      </w:tblGrid>
      <w:tr>
        <w:trPr>
          <w:trHeight w:val="1376" w:hRule="exact"/>
        </w:trPr>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化股份有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哈尔</w:t>
            </w:r>
          </w:p>
          <w:p>
            <w:pPr>
              <w:pStyle w:val="TableParagraph"/>
              <w:spacing w:line="272" w:lineRule="exact" w:before="26"/>
              <w:ind w:left="100" w:right="161"/>
              <w:jc w:val="both"/>
              <w:rPr>
                <w:rFonts w:ascii="宋体" w:hAnsi="宋体" w:cs="宋体" w:eastAsia="宋体" w:hint="default"/>
                <w:sz w:val="21"/>
                <w:szCs w:val="21"/>
              </w:rPr>
            </w:pPr>
            <w:r>
              <w:rPr>
                <w:rFonts w:ascii="宋体" w:hAnsi="宋体" w:cs="宋体" w:eastAsia="宋体" w:hint="default"/>
                <w:sz w:val="21"/>
                <w:szCs w:val="21"/>
              </w:rPr>
              <w:t>德科 化工 有限 公司</w:t>
            </w:r>
          </w:p>
        </w:tc>
        <w:tc>
          <w:tcPr>
            <w:tcW w:w="864"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年9月</w:t>
            </w:r>
            <w:r>
              <w:rPr>
                <w:rFonts w:ascii="宋体" w:hAnsi="宋体" w:cs="宋体" w:eastAsia="宋体" w:hint="default"/>
                <w:spacing w:val="-5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年9月</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8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2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6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383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12,000</w:t>
            </w:r>
          </w:p>
        </w:tc>
      </w:tr>
      <w:tr>
        <w:trPr>
          <w:trHeight w:val="287" w:hRule="exact"/>
        </w:trPr>
        <w:tc>
          <w:tcPr>
            <w:tcW w:w="546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报告期末担保余额合计（不包括对子公司的担保）</w:t>
            </w:r>
          </w:p>
        </w:tc>
        <w:tc>
          <w:tcPr>
            <w:tcW w:w="383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12,000</w:t>
            </w:r>
          </w:p>
        </w:tc>
      </w:tr>
      <w:tr>
        <w:trPr>
          <w:trHeight w:val="288"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7" w:hRule="exact"/>
        </w:trPr>
        <w:tc>
          <w:tcPr>
            <w:tcW w:w="46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6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r>
        <w:trPr>
          <w:trHeight w:val="288" w:hRule="exact"/>
        </w:trPr>
        <w:tc>
          <w:tcPr>
            <w:tcW w:w="46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46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438</w:t>
            </w:r>
          </w:p>
        </w:tc>
      </w:tr>
      <w:tr>
        <w:trPr>
          <w:trHeight w:val="287"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7"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7" w:hRule="exact"/>
        </w:trPr>
        <w:tc>
          <w:tcPr>
            <w:tcW w:w="46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46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12,438</w:t>
            </w:r>
          </w:p>
        </w:tc>
      </w:tr>
      <w:tr>
        <w:trPr>
          <w:trHeight w:val="288" w:hRule="exact"/>
        </w:trPr>
        <w:tc>
          <w:tcPr>
            <w:tcW w:w="46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46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14.65</w:t>
            </w:r>
            <w:r>
              <w:rPr>
                <w:rFonts w:ascii="宋体"/>
                <w:sz w:val="21"/>
              </w:rPr>
            </w:r>
          </w:p>
        </w:tc>
      </w:tr>
      <w:tr>
        <w:trPr>
          <w:trHeight w:val="287"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8" w:hRule="exact"/>
        </w:trPr>
        <w:tc>
          <w:tcPr>
            <w:tcW w:w="46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46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r>
      <w:tr>
        <w:trPr>
          <w:trHeight w:val="559" w:hRule="exact"/>
        </w:trPr>
        <w:tc>
          <w:tcPr>
            <w:tcW w:w="46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68"/>
                <w:sz w:val="21"/>
                <w:szCs w:val="21"/>
              </w:rPr>
              <w:t> </w:t>
            </w:r>
            <w:r>
              <w:rPr>
                <w:rFonts w:ascii="宋体" w:hAnsi="宋体" w:cs="宋体" w:eastAsia="宋体" w:hint="default"/>
                <w:sz w:val="21"/>
                <w:szCs w:val="21"/>
              </w:rPr>
              <w:t>70％的被担保对象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提供的债务担保金额</w:t>
            </w:r>
          </w:p>
        </w:tc>
        <w:tc>
          <w:tcPr>
            <w:tcW w:w="46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r>
      <w:tr>
        <w:trPr>
          <w:trHeight w:val="288" w:hRule="exact"/>
        </w:trPr>
        <w:tc>
          <w:tcPr>
            <w:tcW w:w="46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46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r>
        <w:trPr>
          <w:trHeight w:val="288" w:hRule="exact"/>
        </w:trPr>
        <w:tc>
          <w:tcPr>
            <w:tcW w:w="46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463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15"/>
          <w:szCs w:val="15"/>
        </w:rPr>
      </w:pPr>
    </w:p>
    <w:p>
      <w:pPr>
        <w:pStyle w:val="BodyText"/>
        <w:spacing w:line="272" w:lineRule="exact" w:before="63"/>
        <w:ind w:left="561" w:right="6253" w:hanging="421"/>
        <w:jc w:val="left"/>
      </w:pPr>
      <w:r>
        <w:rPr/>
        <w:t>3、委托理财情况 本年度公司无委托理财事项。</w:t>
      </w:r>
    </w:p>
    <w:p>
      <w:pPr>
        <w:spacing w:line="240" w:lineRule="auto" w:before="10"/>
        <w:rPr>
          <w:rFonts w:ascii="宋体" w:hAnsi="宋体" w:cs="宋体" w:eastAsia="宋体" w:hint="default"/>
          <w:sz w:val="20"/>
          <w:szCs w:val="20"/>
        </w:rPr>
      </w:pPr>
    </w:p>
    <w:p>
      <w:pPr>
        <w:pStyle w:val="BodyText"/>
        <w:spacing w:line="272" w:lineRule="exact"/>
        <w:ind w:left="561" w:right="6253" w:hanging="421"/>
        <w:jc w:val="left"/>
      </w:pPr>
      <w:r>
        <w:rPr/>
        <w:t>4、其他重大合同 本年度公司无其他重大合同。</w:t>
      </w:r>
    </w:p>
    <w:p>
      <w:pPr>
        <w:spacing w:line="240" w:lineRule="auto" w:before="10"/>
        <w:rPr>
          <w:rFonts w:ascii="宋体" w:hAnsi="宋体" w:cs="宋体" w:eastAsia="宋体" w:hint="default"/>
          <w:sz w:val="18"/>
          <w:szCs w:val="18"/>
        </w:rPr>
      </w:pPr>
    </w:p>
    <w:p>
      <w:pPr>
        <w:pStyle w:val="BodyText"/>
        <w:spacing w:line="274" w:lineRule="exact"/>
        <w:ind w:right="171"/>
        <w:jc w:val="left"/>
      </w:pPr>
      <w:r>
        <w:rPr/>
        <w:t>(七)</w:t>
      </w:r>
      <w:r>
        <w:rPr>
          <w:spacing w:val="-2"/>
        </w:rPr>
        <w:t> </w:t>
      </w:r>
      <w:r>
        <w:rPr/>
        <w:t>承诺事项履行情况</w:t>
      </w:r>
    </w:p>
    <w:p>
      <w:pPr>
        <w:pStyle w:val="BodyText"/>
        <w:spacing w:line="274" w:lineRule="exact"/>
        <w:ind w:right="171"/>
        <w:jc w:val="left"/>
      </w:pPr>
      <w:r>
        <w:rPr/>
        <w:t>1、公司或持股</w:t>
      </w:r>
      <w:r>
        <w:rPr>
          <w:spacing w:val="-57"/>
        </w:rPr>
        <w:t> </w:t>
      </w:r>
      <w:r>
        <w:rPr/>
        <w:t>5%以上股东在报告期内或持续到报告期内的承诺事项</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3475"/>
        <w:gridCol w:w="3852"/>
      </w:tblGrid>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1104"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firstLine="210"/>
              <w:jc w:val="left"/>
              <w:rPr>
                <w:rFonts w:ascii="宋体" w:hAnsi="宋体" w:cs="宋体" w:eastAsia="宋体" w:hint="default"/>
                <w:sz w:val="21"/>
                <w:szCs w:val="21"/>
              </w:rPr>
            </w:pPr>
            <w:r>
              <w:rPr>
                <w:rFonts w:ascii="宋体" w:hAnsi="宋体" w:cs="宋体" w:eastAsia="宋体" w:hint="default"/>
                <w:spacing w:val="-7"/>
                <w:sz w:val="21"/>
                <w:szCs w:val="21"/>
              </w:rPr>
              <w:t>公司实施了股权分置改革方案。全</w:t>
            </w:r>
            <w:r>
              <w:rPr>
                <w:rFonts w:ascii="宋体" w:hAnsi="宋体" w:cs="宋体" w:eastAsia="宋体" w:hint="default"/>
                <w:sz w:val="21"/>
                <w:szCs w:val="21"/>
              </w:rPr>
              <w:t> 体非流通股股东未做出法定承诺以 外的特别承诺事项。</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报告期内，全体非流通股股东均严格按</w:t>
            </w:r>
          </w:p>
          <w:p>
            <w:pPr>
              <w:pStyle w:val="TableParagraph"/>
              <w:spacing w:line="272" w:lineRule="exact" w:before="26"/>
              <w:ind w:left="100" w:right="164"/>
              <w:jc w:val="both"/>
              <w:rPr>
                <w:rFonts w:ascii="宋体" w:hAnsi="宋体" w:cs="宋体" w:eastAsia="宋体" w:hint="default"/>
                <w:sz w:val="21"/>
                <w:szCs w:val="21"/>
              </w:rPr>
            </w:pPr>
            <w:r>
              <w:rPr>
                <w:rFonts w:ascii="宋体" w:hAnsi="宋体" w:cs="宋体" w:eastAsia="宋体" w:hint="default"/>
                <w:sz w:val="21"/>
                <w:szCs w:val="21"/>
              </w:rPr>
              <w:t>照《上市公司股权分置改革管理办法》 等法律法规的相关规定履行法定承诺义 务。</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(八)</w:t>
      </w:r>
      <w:r>
        <w:rPr>
          <w:spacing w:val="-2"/>
        </w:rPr>
        <w:t> </w:t>
      </w:r>
      <w:r>
        <w:rPr/>
        <w:t>聘任、解聘会计师事务所情况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天职国际会计师事务所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天职国际会计师事务所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6"/>
        <w:rPr>
          <w:rFonts w:ascii="宋体" w:hAnsi="宋体" w:cs="宋体" w:eastAsia="宋体" w:hint="default"/>
          <w:sz w:val="15"/>
          <w:szCs w:val="15"/>
        </w:rPr>
      </w:pPr>
    </w:p>
    <w:p>
      <w:pPr>
        <w:pStyle w:val="BodyText"/>
        <w:spacing w:line="272" w:lineRule="exact" w:before="63"/>
        <w:ind w:left="560" w:right="164" w:hanging="421"/>
        <w:jc w:val="left"/>
      </w:pPr>
      <w:r>
        <w:rPr/>
        <w:t>(九)</w:t>
      </w:r>
      <w:r>
        <w:rPr>
          <w:spacing w:val="-1"/>
        </w:rPr>
        <w:t> </w:t>
      </w:r>
      <w:r>
        <w:rPr/>
        <w:t>上市公司及其董事、监事、高级管理人员、公司股东、实际控制人处罚及整改情况</w:t>
      </w:r>
      <w:r>
        <w:rPr/>
        <w:t> 报告期内公司、公司董事会及董事、监事、高级管理人员、公司股东、实际控制人均未受中国证</w:t>
      </w:r>
    </w:p>
    <w:p>
      <w:pPr>
        <w:pStyle w:val="BodyText"/>
        <w:spacing w:line="248" w:lineRule="exact"/>
        <w:ind w:right="171"/>
        <w:jc w:val="left"/>
      </w:pPr>
      <w:r>
        <w:rPr/>
        <w:t>监会的稽查、行政处罚、通报批评及证券交易所的公开谴责。</w:t>
      </w:r>
    </w:p>
    <w:p>
      <w:pPr>
        <w:spacing w:line="240" w:lineRule="auto" w:before="10"/>
        <w:rPr>
          <w:rFonts w:ascii="宋体" w:hAnsi="宋体" w:cs="宋体" w:eastAsia="宋体" w:hint="default"/>
          <w:sz w:val="22"/>
          <w:szCs w:val="22"/>
        </w:rPr>
      </w:pPr>
    </w:p>
    <w:p>
      <w:pPr>
        <w:pStyle w:val="BodyText"/>
        <w:spacing w:line="272" w:lineRule="exact"/>
        <w:ind w:left="561" w:right="6253" w:hanging="421"/>
        <w:jc w:val="left"/>
      </w:pPr>
      <w:r>
        <w:rPr/>
        <w:t>(十)</w:t>
      </w:r>
      <w:r>
        <w:rPr>
          <w:spacing w:val="-1"/>
        </w:rPr>
        <w:t> </w:t>
      </w:r>
      <w:r>
        <w:rPr/>
        <w:t>其他重大事项的说明</w:t>
      </w:r>
      <w:r>
        <w:rPr/>
        <w:t> 本年度公司无其他重大事项。</w:t>
      </w:r>
    </w:p>
    <w:p>
      <w:pPr>
        <w:spacing w:line="240" w:lineRule="auto" w:before="10"/>
        <w:rPr>
          <w:rFonts w:ascii="宋体" w:hAnsi="宋体" w:cs="宋体" w:eastAsia="宋体" w:hint="default"/>
          <w:sz w:val="18"/>
          <w:szCs w:val="18"/>
        </w:rPr>
      </w:pPr>
    </w:p>
    <w:p>
      <w:pPr>
        <w:pStyle w:val="BodyText"/>
        <w:spacing w:line="240" w:lineRule="auto"/>
        <w:ind w:right="171"/>
        <w:jc w:val="left"/>
      </w:pPr>
      <w:r>
        <w:rPr/>
        <w:t>(十一)</w:t>
      </w:r>
      <w:r>
        <w:rPr>
          <w:spacing w:val="-2"/>
        </w:rPr>
        <w:t> </w:t>
      </w:r>
      <w:r>
        <w:rPr/>
        <w:t>信息披露索引</w:t>
      </w:r>
    </w:p>
    <w:p>
      <w:pPr>
        <w:spacing w:after="0" w:line="240" w:lineRule="auto"/>
        <w:jc w:val="left"/>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994"/>
        <w:gridCol w:w="2374"/>
        <w:gridCol w:w="1942"/>
        <w:gridCol w:w="2990"/>
      </w:tblGrid>
      <w:tr>
        <w:trPr>
          <w:trHeight w:val="287"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279" w:hRule="exact"/>
        </w:trPr>
        <w:tc>
          <w:tcPr>
            <w:tcW w:w="199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年第一次临时</w:t>
            </w:r>
          </w:p>
        </w:tc>
        <w:tc>
          <w:tcPr>
            <w:tcW w:w="2374" w:type="dxa"/>
            <w:tcBorders>
              <w:top w:val="single" w:sz="6" w:space="0" w:color="000000"/>
              <w:left w:val="single" w:sz="6" w:space="0" w:color="000000"/>
              <w:bottom w:val="nil" w:sz="6" w:space="0" w:color="auto"/>
              <w:right w:val="single" w:sz="6" w:space="0" w:color="000000"/>
            </w:tcBorders>
          </w:tcPr>
          <w:p>
            <w:pPr/>
          </w:p>
        </w:tc>
        <w:tc>
          <w:tcPr>
            <w:tcW w:w="1942" w:type="dxa"/>
            <w:tcBorders>
              <w:top w:val="single" w:sz="6" w:space="0" w:color="000000"/>
              <w:left w:val="single" w:sz="6" w:space="0" w:color="000000"/>
              <w:bottom w:val="nil" w:sz="6" w:space="0" w:color="auto"/>
              <w:right w:val="single" w:sz="6" w:space="0" w:color="000000"/>
            </w:tcBorders>
          </w:tcPr>
          <w:p>
            <w:pPr/>
          </w:p>
        </w:tc>
        <w:tc>
          <w:tcPr>
            <w:tcW w:w="299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w:t>
            </w:r>
          </w:p>
        </w:tc>
        <w:tc>
          <w:tcPr>
            <w:tcW w:w="2374" w:type="dxa"/>
            <w:tcBorders>
              <w:top w:val="nil" w:sz="6" w:space="0" w:color="auto"/>
              <w:left w:val="single" w:sz="6" w:space="0" w:color="000000"/>
              <w:bottom w:val="nil" w:sz="6" w:space="0" w:color="auto"/>
              <w:right w:val="single" w:sz="6" w:space="0" w:color="000000"/>
            </w:tcBorders>
          </w:tcPr>
          <w:p>
            <w:pPr/>
          </w:p>
        </w:tc>
        <w:tc>
          <w:tcPr>
            <w:tcW w:w="1942" w:type="dxa"/>
            <w:tcBorders>
              <w:top w:val="nil" w:sz="6" w:space="0" w:color="auto"/>
              <w:left w:val="single" w:sz="6" w:space="0" w:color="000000"/>
              <w:bottom w:val="nil" w:sz="6" w:space="0" w:color="auto"/>
              <w:right w:val="single" w:sz="6" w:space="0" w:color="000000"/>
            </w:tcBorders>
          </w:tcPr>
          <w:p>
            <w:pPr/>
          </w:p>
        </w:tc>
        <w:tc>
          <w:tcPr>
            <w:tcW w:w="2990"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告、四届董事会决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议公告、四届监事</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C11</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6"/>
                <w:sz w:val="21"/>
                <w:szCs w:val="21"/>
              </w:rPr>
              <w:t> </w:t>
            </w:r>
            <w:r>
              <w:rPr>
                <w:rFonts w:ascii="宋体" w:hAnsi="宋体" w:cs="宋体" w:eastAsia="宋体" w:hint="default"/>
                <w:sz w:val="21"/>
                <w:szCs w:val="21"/>
              </w:rPr>
              <w:t>D6</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272"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会第一次会议决议</w:t>
            </w:r>
          </w:p>
        </w:tc>
        <w:tc>
          <w:tcPr>
            <w:tcW w:w="2374" w:type="dxa"/>
            <w:tcBorders>
              <w:top w:val="nil" w:sz="6" w:space="0" w:color="auto"/>
              <w:left w:val="single" w:sz="6" w:space="0" w:color="000000"/>
              <w:bottom w:val="nil" w:sz="6" w:space="0" w:color="auto"/>
              <w:right w:val="single" w:sz="6" w:space="0" w:color="000000"/>
            </w:tcBorders>
          </w:tcPr>
          <w:p>
            <w:pPr/>
          </w:p>
        </w:tc>
        <w:tc>
          <w:tcPr>
            <w:tcW w:w="1942" w:type="dxa"/>
            <w:tcBorders>
              <w:top w:val="nil" w:sz="6" w:space="0" w:color="auto"/>
              <w:left w:val="single" w:sz="6" w:space="0" w:color="000000"/>
              <w:bottom w:val="nil" w:sz="6" w:space="0" w:color="auto"/>
              <w:right w:val="single" w:sz="6" w:space="0" w:color="000000"/>
            </w:tcBorders>
          </w:tcPr>
          <w:p>
            <w:pPr/>
          </w:p>
        </w:tc>
        <w:tc>
          <w:tcPr>
            <w:tcW w:w="299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99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942" w:type="dxa"/>
            <w:tcBorders>
              <w:top w:val="nil" w:sz="6" w:space="0" w:color="auto"/>
              <w:left w:val="single" w:sz="6" w:space="0" w:color="000000"/>
              <w:bottom w:val="single" w:sz="6" w:space="0" w:color="000000"/>
              <w:right w:val="single" w:sz="6" w:space="0" w:color="000000"/>
            </w:tcBorders>
          </w:tcPr>
          <w:p>
            <w:pPr/>
          </w:p>
        </w:tc>
        <w:tc>
          <w:tcPr>
            <w:tcW w:w="2990" w:type="dxa"/>
            <w:tcBorders>
              <w:top w:val="nil" w:sz="6" w:space="0" w:color="auto"/>
              <w:left w:val="single" w:sz="6" w:space="0" w:color="000000"/>
              <w:bottom w:val="single" w:sz="6" w:space="0" w:color="000000"/>
              <w:right w:val="single" w:sz="6" w:space="0" w:color="000000"/>
            </w:tcBorders>
          </w:tcPr>
          <w:p>
            <w:pPr/>
          </w:p>
        </w:tc>
      </w:tr>
      <w:tr>
        <w:trPr>
          <w:trHeight w:val="832"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公司四届董事会第</w:t>
            </w:r>
          </w:p>
          <w:p>
            <w:pPr>
              <w:pStyle w:val="TableParagraph"/>
              <w:spacing w:line="272" w:lineRule="exact" w:before="26"/>
              <w:ind w:left="100" w:right="407"/>
              <w:jc w:val="left"/>
              <w:rPr>
                <w:rFonts w:ascii="宋体" w:hAnsi="宋体" w:cs="宋体" w:eastAsia="宋体" w:hint="default"/>
                <w:sz w:val="21"/>
                <w:szCs w:val="21"/>
              </w:rPr>
            </w:pPr>
            <w:r>
              <w:rPr>
                <w:rFonts w:ascii="宋体" w:hAnsi="宋体" w:cs="宋体" w:eastAsia="宋体" w:hint="default"/>
                <w:sz w:val="21"/>
                <w:szCs w:val="21"/>
              </w:rPr>
              <w:t>二次会议决议公 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1"/>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D003</w:t>
            </w:r>
            <w:r>
              <w:rPr>
                <w:rFonts w:ascii="宋体" w:hAnsi="宋体" w:cs="宋体" w:eastAsia="宋体" w:hint="default"/>
                <w:spacing w:val="-56"/>
                <w:sz w:val="21"/>
                <w:szCs w:val="21"/>
              </w:rPr>
              <w:t> </w:t>
            </w:r>
            <w:r>
              <w:rPr>
                <w:rFonts w:ascii="宋体" w:hAnsi="宋体" w:cs="宋体" w:eastAsia="宋体" w:hint="default"/>
                <w:sz w:val="21"/>
                <w:szCs w:val="21"/>
              </w:rPr>
              <w:t>版、</w:t>
            </w:r>
            <w:r>
              <w:rPr>
                <w:rFonts w:ascii="宋体" w:hAnsi="宋体" w:cs="宋体" w:eastAsia="宋体" w:hint="default"/>
                <w:spacing w:val="-1"/>
                <w:sz w:val="21"/>
                <w:szCs w:val="21"/>
              </w:rPr>
              <w:t> </w:t>
            </w:r>
            <w:r>
              <w:rPr>
                <w:rFonts w:ascii="宋体" w:hAnsi="宋体" w:cs="宋体" w:eastAsia="宋体" w:hint="default"/>
                <w:sz w:val="21"/>
                <w:szCs w:val="21"/>
              </w:rPr>
              <w:t>上海证券报</w:t>
            </w:r>
            <w:r>
              <w:rPr>
                <w:rFonts w:ascii="宋体" w:hAnsi="宋体" w:cs="宋体" w:eastAsia="宋体" w:hint="default"/>
                <w:spacing w:val="-56"/>
                <w:sz w:val="21"/>
                <w:szCs w:val="21"/>
              </w:rPr>
              <w:t> </w:t>
            </w:r>
            <w:r>
              <w:rPr>
                <w:rFonts w:ascii="宋体" w:hAnsi="宋体" w:cs="宋体" w:eastAsia="宋体" w:hint="default"/>
                <w:sz w:val="21"/>
                <w:szCs w:val="21"/>
              </w:rPr>
              <w:t>D4</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667"/>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 http://www.sse.com.cn</w:t>
              </w:r>
            </w:hyperlink>
          </w:p>
        </w:tc>
      </w:tr>
      <w:tr>
        <w:trPr>
          <w:trHeight w:val="559"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公司股票交易异常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波动的公告。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B07</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公司国有法人股继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续冻结的公告。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8"/>
                <w:sz w:val="21"/>
                <w:szCs w:val="21"/>
              </w:rPr>
              <w:t> </w:t>
            </w:r>
            <w:r>
              <w:rPr>
                <w:rFonts w:ascii="宋体" w:hAnsi="宋体" w:cs="宋体" w:eastAsia="宋体" w:hint="default"/>
                <w:sz w:val="21"/>
                <w:szCs w:val="21"/>
              </w:rPr>
              <w:t>C040</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6"/>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279" w:hRule="exact"/>
        </w:trPr>
        <w:tc>
          <w:tcPr>
            <w:tcW w:w="199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年年度报</w:t>
            </w:r>
          </w:p>
        </w:tc>
        <w:tc>
          <w:tcPr>
            <w:tcW w:w="2374" w:type="dxa"/>
            <w:tcBorders>
              <w:top w:val="single" w:sz="6" w:space="0" w:color="000000"/>
              <w:left w:val="single" w:sz="6" w:space="0" w:color="000000"/>
              <w:bottom w:val="nil" w:sz="6" w:space="0" w:color="auto"/>
              <w:right w:val="single" w:sz="6" w:space="0" w:color="000000"/>
            </w:tcBorders>
          </w:tcPr>
          <w:p>
            <w:pPr/>
          </w:p>
        </w:tc>
        <w:tc>
          <w:tcPr>
            <w:tcW w:w="1942" w:type="dxa"/>
            <w:tcBorders>
              <w:top w:val="single" w:sz="6" w:space="0" w:color="000000"/>
              <w:left w:val="single" w:sz="6" w:space="0" w:color="000000"/>
              <w:bottom w:val="nil" w:sz="6" w:space="0" w:color="auto"/>
              <w:right w:val="single" w:sz="6" w:space="0" w:color="000000"/>
            </w:tcBorders>
          </w:tcPr>
          <w:p>
            <w:pPr/>
          </w:p>
        </w:tc>
        <w:tc>
          <w:tcPr>
            <w:tcW w:w="2990"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告及摘要、四届董</w:t>
            </w:r>
          </w:p>
          <w:p>
            <w:pPr>
              <w:pStyle w:val="TableParagraph"/>
              <w:spacing w:line="272" w:lineRule="exact" w:before="26"/>
              <w:ind w:left="100" w:right="197"/>
              <w:jc w:val="left"/>
              <w:rPr>
                <w:rFonts w:ascii="宋体" w:hAnsi="宋体" w:cs="宋体" w:eastAsia="宋体" w:hint="default"/>
                <w:sz w:val="21"/>
                <w:szCs w:val="21"/>
              </w:rPr>
            </w:pPr>
            <w:r>
              <w:rPr>
                <w:rFonts w:ascii="宋体" w:hAnsi="宋体" w:cs="宋体" w:eastAsia="宋体" w:hint="default"/>
                <w:sz w:val="21"/>
                <w:szCs w:val="21"/>
              </w:rPr>
              <w:t>事会三会议决议公 告、四届监事会二</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61"/>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D145</w:t>
            </w:r>
            <w:r>
              <w:rPr>
                <w:rFonts w:ascii="宋体" w:hAnsi="宋体" w:cs="宋体" w:eastAsia="宋体" w:hint="default"/>
                <w:spacing w:val="-56"/>
                <w:sz w:val="21"/>
                <w:szCs w:val="21"/>
              </w:rPr>
              <w:t> </w:t>
            </w:r>
            <w:r>
              <w:rPr>
                <w:rFonts w:ascii="宋体" w:hAnsi="宋体" w:cs="宋体" w:eastAsia="宋体" w:hint="default"/>
                <w:sz w:val="21"/>
                <w:szCs w:val="21"/>
              </w:rPr>
              <w:t>版、</w:t>
            </w:r>
            <w:r>
              <w:rPr>
                <w:rFonts w:ascii="宋体" w:hAnsi="宋体" w:cs="宋体" w:eastAsia="宋体" w:hint="default"/>
                <w:spacing w:val="-1"/>
                <w:sz w:val="21"/>
                <w:szCs w:val="21"/>
              </w:rPr>
              <w:t> </w:t>
            </w: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D15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667"/>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 http://www.sse.com.cn</w:t>
              </w:r>
            </w:hyperlink>
          </w:p>
        </w:tc>
      </w:tr>
      <w:tr>
        <w:trPr>
          <w:trHeight w:val="280" w:hRule="exact"/>
        </w:trPr>
        <w:tc>
          <w:tcPr>
            <w:tcW w:w="199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次会议决议公告。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942" w:type="dxa"/>
            <w:tcBorders>
              <w:top w:val="nil" w:sz="6" w:space="0" w:color="auto"/>
              <w:left w:val="single" w:sz="6" w:space="0" w:color="000000"/>
              <w:bottom w:val="single" w:sz="6" w:space="0" w:color="000000"/>
              <w:right w:val="single" w:sz="6" w:space="0" w:color="000000"/>
            </w:tcBorders>
          </w:tcPr>
          <w:p>
            <w:pPr/>
          </w:p>
        </w:tc>
        <w:tc>
          <w:tcPr>
            <w:tcW w:w="2990" w:type="dxa"/>
            <w:tcBorders>
              <w:top w:val="nil" w:sz="6" w:space="0" w:color="auto"/>
              <w:left w:val="single" w:sz="6" w:space="0" w:color="000000"/>
              <w:bottom w:val="single" w:sz="6" w:space="0" w:color="000000"/>
              <w:right w:val="single" w:sz="6" w:space="0" w:color="000000"/>
            </w:tcBorders>
          </w:tcPr>
          <w:p>
            <w:pPr/>
          </w:p>
        </w:tc>
      </w:tr>
      <w:tr>
        <w:trPr>
          <w:trHeight w:val="56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公司股票交易异常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波动的公告。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8"/>
                <w:sz w:val="21"/>
                <w:szCs w:val="21"/>
              </w:rPr>
              <w:t> </w:t>
            </w:r>
            <w:r>
              <w:rPr>
                <w:rFonts w:ascii="宋体" w:hAnsi="宋体" w:cs="宋体" w:eastAsia="宋体" w:hint="default"/>
                <w:sz w:val="21"/>
                <w:szCs w:val="21"/>
              </w:rPr>
              <w:t>D006</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D13</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公司股票交易异常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波动的公告。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8"/>
                <w:sz w:val="21"/>
                <w:szCs w:val="21"/>
              </w:rPr>
              <w:t> </w:t>
            </w:r>
            <w:r>
              <w:rPr>
                <w:rFonts w:ascii="宋体" w:hAnsi="宋体" w:cs="宋体" w:eastAsia="宋体" w:hint="default"/>
                <w:sz w:val="21"/>
                <w:szCs w:val="21"/>
              </w:rPr>
              <w:t>C010</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D44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279" w:hRule="exact"/>
        </w:trPr>
        <w:tc>
          <w:tcPr>
            <w:tcW w:w="199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年度股东</w:t>
            </w:r>
          </w:p>
        </w:tc>
        <w:tc>
          <w:tcPr>
            <w:tcW w:w="2374" w:type="dxa"/>
            <w:tcBorders>
              <w:top w:val="single" w:sz="6" w:space="0" w:color="000000"/>
              <w:left w:val="single" w:sz="6" w:space="0" w:color="000000"/>
              <w:bottom w:val="nil" w:sz="6" w:space="0" w:color="auto"/>
              <w:right w:val="single" w:sz="6" w:space="0" w:color="000000"/>
            </w:tcBorders>
          </w:tcPr>
          <w:p>
            <w:pPr/>
          </w:p>
        </w:tc>
        <w:tc>
          <w:tcPr>
            <w:tcW w:w="1942" w:type="dxa"/>
            <w:tcBorders>
              <w:top w:val="single" w:sz="6" w:space="0" w:color="000000"/>
              <w:left w:val="single" w:sz="6" w:space="0" w:color="000000"/>
              <w:bottom w:val="nil" w:sz="6" w:space="0" w:color="auto"/>
              <w:right w:val="single" w:sz="6" w:space="0" w:color="000000"/>
            </w:tcBorders>
          </w:tcPr>
          <w:p>
            <w:pPr/>
          </w:p>
        </w:tc>
        <w:tc>
          <w:tcPr>
            <w:tcW w:w="2990"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大会决议公告及法</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律意见书、公司 2008</w:t>
            </w:r>
            <w:r>
              <w:rPr>
                <w:rFonts w:ascii="宋体" w:hAnsi="宋体" w:cs="宋体" w:eastAsia="宋体" w:hint="default"/>
                <w:spacing w:val="-54"/>
                <w:sz w:val="21"/>
                <w:szCs w:val="21"/>
              </w:rPr>
              <w:t> </w:t>
            </w:r>
            <w:r>
              <w:rPr>
                <w:rFonts w:ascii="宋体" w:hAnsi="宋体" w:cs="宋体" w:eastAsia="宋体" w:hint="default"/>
                <w:sz w:val="21"/>
                <w:szCs w:val="21"/>
              </w:rPr>
              <w:t>年第一季度报</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61"/>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C006</w:t>
            </w:r>
            <w:r>
              <w:rPr>
                <w:rFonts w:ascii="宋体" w:hAnsi="宋体" w:cs="宋体" w:eastAsia="宋体" w:hint="default"/>
                <w:spacing w:val="-56"/>
                <w:sz w:val="21"/>
                <w:szCs w:val="21"/>
              </w:rPr>
              <w:t> </w:t>
            </w:r>
            <w:r>
              <w:rPr>
                <w:rFonts w:ascii="宋体" w:hAnsi="宋体" w:cs="宋体" w:eastAsia="宋体" w:hint="default"/>
                <w:sz w:val="21"/>
                <w:szCs w:val="21"/>
              </w:rPr>
              <w:t>版、</w:t>
            </w:r>
            <w:r>
              <w:rPr>
                <w:rFonts w:ascii="宋体" w:hAnsi="宋体" w:cs="宋体" w:eastAsia="宋体" w:hint="default"/>
                <w:spacing w:val="-1"/>
                <w:sz w:val="21"/>
                <w:szCs w:val="21"/>
              </w:rPr>
              <w:t> </w:t>
            </w:r>
            <w:r>
              <w:rPr>
                <w:rFonts w:ascii="宋体" w:hAnsi="宋体" w:cs="宋体" w:eastAsia="宋体" w:hint="default"/>
                <w:sz w:val="21"/>
                <w:szCs w:val="21"/>
              </w:rPr>
              <w:t>上海证券报</w:t>
            </w:r>
            <w:r>
              <w:rPr>
                <w:rFonts w:ascii="宋体" w:hAnsi="宋体" w:cs="宋体" w:eastAsia="宋体" w:hint="default"/>
                <w:spacing w:val="-56"/>
                <w:sz w:val="21"/>
                <w:szCs w:val="21"/>
              </w:rPr>
              <w:t> </w:t>
            </w:r>
            <w:r>
              <w:rPr>
                <w:rFonts w:ascii="宋体" w:hAnsi="宋体" w:cs="宋体" w:eastAsia="宋体" w:hint="default"/>
                <w:sz w:val="21"/>
                <w:szCs w:val="21"/>
              </w:rPr>
              <w:t>94</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4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667"/>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 http://www.sse.com.cn</w:t>
              </w:r>
            </w:hyperlink>
          </w:p>
        </w:tc>
      </w:tr>
      <w:tr>
        <w:trPr>
          <w:trHeight w:val="280" w:hRule="exact"/>
        </w:trPr>
        <w:tc>
          <w:tcPr>
            <w:tcW w:w="199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nil" w:sz="6" w:space="0" w:color="auto"/>
              <w:left w:val="single" w:sz="6" w:space="0" w:color="000000"/>
              <w:bottom w:val="single" w:sz="6" w:space="0" w:color="000000"/>
              <w:right w:val="single" w:sz="6" w:space="0" w:color="000000"/>
            </w:tcBorders>
          </w:tcPr>
          <w:p>
            <w:pPr/>
          </w:p>
        </w:tc>
        <w:tc>
          <w:tcPr>
            <w:tcW w:w="1942" w:type="dxa"/>
            <w:tcBorders>
              <w:top w:val="nil" w:sz="6" w:space="0" w:color="auto"/>
              <w:left w:val="single" w:sz="6" w:space="0" w:color="000000"/>
              <w:bottom w:val="single" w:sz="6" w:space="0" w:color="000000"/>
              <w:right w:val="single" w:sz="6" w:space="0" w:color="000000"/>
            </w:tcBorders>
          </w:tcPr>
          <w:p>
            <w:pPr/>
          </w:p>
        </w:tc>
        <w:tc>
          <w:tcPr>
            <w:tcW w:w="2990" w:type="dxa"/>
            <w:tcBorders>
              <w:top w:val="nil" w:sz="6" w:space="0" w:color="auto"/>
              <w:left w:val="single" w:sz="6" w:space="0" w:color="000000"/>
              <w:bottom w:val="single" w:sz="6" w:space="0" w:color="000000"/>
              <w:right w:val="single" w:sz="6" w:space="0" w:color="000000"/>
            </w:tcBorders>
          </w:tcPr>
          <w:p>
            <w:pPr/>
          </w:p>
        </w:tc>
      </w:tr>
      <w:tr>
        <w:trPr>
          <w:trHeight w:val="56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公司国有法人股继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续冻结的公告。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8"/>
                <w:sz w:val="21"/>
                <w:szCs w:val="21"/>
              </w:rPr>
              <w:t> </w:t>
            </w:r>
            <w:r>
              <w:rPr>
                <w:rFonts w:ascii="宋体" w:hAnsi="宋体" w:cs="宋体" w:eastAsia="宋体" w:hint="default"/>
                <w:sz w:val="21"/>
                <w:szCs w:val="21"/>
              </w:rPr>
              <w:t>D006</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D10</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832"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公司国有法人股继</w:t>
            </w:r>
          </w:p>
          <w:p>
            <w:pPr>
              <w:pStyle w:val="TableParagraph"/>
              <w:spacing w:line="272" w:lineRule="exact" w:before="26"/>
              <w:ind w:left="100" w:right="197"/>
              <w:jc w:val="left"/>
              <w:rPr>
                <w:rFonts w:ascii="宋体" w:hAnsi="宋体" w:cs="宋体" w:eastAsia="宋体" w:hint="default"/>
                <w:sz w:val="21"/>
                <w:szCs w:val="21"/>
              </w:rPr>
            </w:pPr>
            <w:r>
              <w:rPr>
                <w:rFonts w:ascii="宋体" w:hAnsi="宋体" w:cs="宋体" w:eastAsia="宋体" w:hint="default"/>
                <w:sz w:val="21"/>
                <w:szCs w:val="21"/>
              </w:rPr>
              <w:t>续冻结及轮候冻结 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65"/>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C12</w:t>
            </w:r>
            <w:r>
              <w:rPr>
                <w:rFonts w:ascii="宋体" w:hAnsi="宋体" w:cs="宋体" w:eastAsia="宋体" w:hint="default"/>
                <w:spacing w:val="-52"/>
                <w:sz w:val="21"/>
                <w:szCs w:val="21"/>
              </w:rPr>
              <w:t> </w:t>
            </w:r>
            <w:r>
              <w:rPr>
                <w:rFonts w:ascii="宋体" w:hAnsi="宋体" w:cs="宋体" w:eastAsia="宋体" w:hint="default"/>
                <w:sz w:val="21"/>
                <w:szCs w:val="21"/>
              </w:rPr>
              <w:t>版、</w:t>
            </w:r>
            <w:r>
              <w:rPr>
                <w:rFonts w:ascii="宋体" w:hAnsi="宋体" w:cs="宋体" w:eastAsia="宋体" w:hint="default"/>
                <w:sz w:val="21"/>
                <w:szCs w:val="21"/>
              </w:rPr>
              <w:t> 上海证券报</w:t>
            </w:r>
            <w:r>
              <w:rPr>
                <w:rFonts w:ascii="宋体" w:hAnsi="宋体" w:cs="宋体" w:eastAsia="宋体" w:hint="default"/>
                <w:spacing w:val="-56"/>
                <w:sz w:val="21"/>
                <w:szCs w:val="21"/>
              </w:rPr>
              <w:t> </w:t>
            </w:r>
            <w:r>
              <w:rPr>
                <w:rFonts w:ascii="宋体" w:hAnsi="宋体" w:cs="宋体" w:eastAsia="宋体" w:hint="default"/>
                <w:sz w:val="21"/>
                <w:szCs w:val="21"/>
              </w:rPr>
              <w:t>D4</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667"/>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 http://www.sse.com.cn</w:t>
              </w:r>
            </w:hyperlink>
          </w:p>
        </w:tc>
      </w:tr>
      <w:tr>
        <w:trPr>
          <w:trHeight w:val="278" w:hRule="exact"/>
        </w:trPr>
        <w:tc>
          <w:tcPr>
            <w:tcW w:w="199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公司董事会决议公</w:t>
            </w:r>
          </w:p>
        </w:tc>
        <w:tc>
          <w:tcPr>
            <w:tcW w:w="2374" w:type="dxa"/>
            <w:tcBorders>
              <w:top w:val="single" w:sz="6" w:space="0" w:color="000000"/>
              <w:left w:val="single" w:sz="6" w:space="0" w:color="000000"/>
              <w:bottom w:val="nil" w:sz="6" w:space="0" w:color="auto"/>
              <w:right w:val="single" w:sz="6" w:space="0" w:color="000000"/>
            </w:tcBorders>
          </w:tcPr>
          <w:p>
            <w:pPr/>
          </w:p>
        </w:tc>
        <w:tc>
          <w:tcPr>
            <w:tcW w:w="1942" w:type="dxa"/>
            <w:tcBorders>
              <w:top w:val="single" w:sz="6" w:space="0" w:color="000000"/>
              <w:left w:val="single" w:sz="6" w:space="0" w:color="000000"/>
              <w:bottom w:val="nil" w:sz="6" w:space="0" w:color="auto"/>
              <w:right w:val="single" w:sz="6" w:space="0" w:color="000000"/>
            </w:tcBorders>
          </w:tcPr>
          <w:p>
            <w:pPr/>
          </w:p>
        </w:tc>
        <w:tc>
          <w:tcPr>
            <w:tcW w:w="2990"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告、公司为中国化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工集团公司提供反</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B07</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D14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280" w:hRule="exact"/>
        </w:trPr>
        <w:tc>
          <w:tcPr>
            <w:tcW w:w="199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担保的公告。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942" w:type="dxa"/>
            <w:tcBorders>
              <w:top w:val="nil" w:sz="6" w:space="0" w:color="auto"/>
              <w:left w:val="single" w:sz="6" w:space="0" w:color="000000"/>
              <w:bottom w:val="single" w:sz="6" w:space="0" w:color="000000"/>
              <w:right w:val="single" w:sz="6" w:space="0" w:color="000000"/>
            </w:tcBorders>
          </w:tcPr>
          <w:p>
            <w:pPr/>
          </w:p>
        </w:tc>
        <w:tc>
          <w:tcPr>
            <w:tcW w:w="2990" w:type="dxa"/>
            <w:tcBorders>
              <w:top w:val="nil" w:sz="6" w:space="0" w:color="auto"/>
              <w:left w:val="single" w:sz="6" w:space="0" w:color="000000"/>
              <w:bottom w:val="single" w:sz="6" w:space="0" w:color="000000"/>
              <w:right w:val="single" w:sz="6" w:space="0" w:color="000000"/>
            </w:tcBorders>
          </w:tcPr>
          <w:p>
            <w:pPr/>
          </w:p>
        </w:tc>
      </w:tr>
      <w:tr>
        <w:trPr>
          <w:trHeight w:val="56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公司国有法人股轮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候冻结的公告。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B03</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D21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公司业绩预增公告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A03</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D22</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832"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年第二次临时</w:t>
            </w:r>
          </w:p>
          <w:p>
            <w:pPr>
              <w:pStyle w:val="TableParagraph"/>
              <w:spacing w:line="272" w:lineRule="exact" w:before="26"/>
              <w:ind w:left="100" w:right="407"/>
              <w:jc w:val="left"/>
              <w:rPr>
                <w:rFonts w:ascii="宋体" w:hAnsi="宋体" w:cs="宋体" w:eastAsia="宋体" w:hint="default"/>
                <w:sz w:val="21"/>
                <w:szCs w:val="21"/>
              </w:rPr>
            </w:pPr>
            <w:r>
              <w:rPr>
                <w:rFonts w:ascii="宋体" w:hAnsi="宋体" w:cs="宋体" w:eastAsia="宋体" w:hint="default"/>
                <w:sz w:val="21"/>
                <w:szCs w:val="21"/>
              </w:rPr>
              <w:t>股东大会决议公 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65"/>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A15</w:t>
            </w:r>
            <w:r>
              <w:rPr>
                <w:rFonts w:ascii="宋体" w:hAnsi="宋体" w:cs="宋体" w:eastAsia="宋体" w:hint="default"/>
                <w:spacing w:val="-52"/>
                <w:sz w:val="21"/>
                <w:szCs w:val="21"/>
              </w:rPr>
              <w:t> </w:t>
            </w:r>
            <w:r>
              <w:rPr>
                <w:rFonts w:ascii="宋体" w:hAnsi="宋体" w:cs="宋体" w:eastAsia="宋体" w:hint="default"/>
                <w:sz w:val="21"/>
                <w:szCs w:val="21"/>
              </w:rPr>
              <w:t>版、</w:t>
            </w:r>
            <w:r>
              <w:rPr>
                <w:rFonts w:ascii="宋体" w:hAnsi="宋体" w:cs="宋体" w:eastAsia="宋体" w:hint="default"/>
                <w:sz w:val="21"/>
                <w:szCs w:val="21"/>
              </w:rPr>
              <w:t> 上海证券报</w:t>
            </w:r>
            <w:r>
              <w:rPr>
                <w:rFonts w:ascii="宋体" w:hAnsi="宋体" w:cs="宋体" w:eastAsia="宋体" w:hint="default"/>
                <w:spacing w:val="-53"/>
                <w:sz w:val="21"/>
                <w:szCs w:val="21"/>
              </w:rPr>
              <w:t> </w:t>
            </w:r>
            <w:r>
              <w:rPr>
                <w:rFonts w:ascii="宋体" w:hAnsi="宋体" w:cs="宋体" w:eastAsia="宋体" w:hint="default"/>
                <w:sz w:val="21"/>
                <w:szCs w:val="21"/>
              </w:rPr>
              <w:t>D11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667"/>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 http://www.sse.com.cn</w:t>
              </w:r>
            </w:hyperlink>
          </w:p>
        </w:tc>
      </w:tr>
      <w:tr>
        <w:trPr>
          <w:trHeight w:val="279" w:hRule="exact"/>
        </w:trPr>
        <w:tc>
          <w:tcPr>
            <w:tcW w:w="199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公司四届董事会第</w:t>
            </w:r>
          </w:p>
        </w:tc>
        <w:tc>
          <w:tcPr>
            <w:tcW w:w="2374" w:type="dxa"/>
            <w:tcBorders>
              <w:top w:val="single" w:sz="6" w:space="0" w:color="000000"/>
              <w:left w:val="single" w:sz="6" w:space="0" w:color="000000"/>
              <w:bottom w:val="nil" w:sz="6" w:space="0" w:color="auto"/>
              <w:right w:val="single" w:sz="6" w:space="0" w:color="000000"/>
            </w:tcBorders>
          </w:tcPr>
          <w:p>
            <w:pPr/>
          </w:p>
        </w:tc>
        <w:tc>
          <w:tcPr>
            <w:tcW w:w="1942" w:type="dxa"/>
            <w:tcBorders>
              <w:top w:val="single" w:sz="6" w:space="0" w:color="000000"/>
              <w:left w:val="single" w:sz="6" w:space="0" w:color="000000"/>
              <w:bottom w:val="nil" w:sz="6" w:space="0" w:color="auto"/>
              <w:right w:val="single" w:sz="6" w:space="0" w:color="000000"/>
            </w:tcBorders>
          </w:tcPr>
          <w:p>
            <w:pPr/>
          </w:p>
        </w:tc>
        <w:tc>
          <w:tcPr>
            <w:tcW w:w="2990"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六次会议决议公</w:t>
            </w:r>
          </w:p>
          <w:p>
            <w:pPr>
              <w:pStyle w:val="TableParagraph"/>
              <w:spacing w:line="272" w:lineRule="exact" w:before="26"/>
              <w:ind w:left="100" w:right="197"/>
              <w:jc w:val="left"/>
              <w:rPr>
                <w:rFonts w:ascii="宋体" w:hAnsi="宋体" w:cs="宋体" w:eastAsia="宋体" w:hint="default"/>
                <w:sz w:val="21"/>
                <w:szCs w:val="21"/>
              </w:rPr>
            </w:pPr>
            <w:r>
              <w:rPr>
                <w:rFonts w:ascii="宋体" w:hAnsi="宋体" w:cs="宋体" w:eastAsia="宋体" w:hint="default"/>
                <w:sz w:val="21"/>
                <w:szCs w:val="21"/>
              </w:rPr>
              <w:t>告、半年度报告及 公司专项治理整改</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5"/>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BD019</w:t>
            </w:r>
            <w:r>
              <w:rPr>
                <w:rFonts w:ascii="宋体" w:hAnsi="宋体" w:cs="宋体" w:eastAsia="宋体" w:hint="default"/>
                <w:spacing w:val="-52"/>
                <w:sz w:val="21"/>
                <w:szCs w:val="21"/>
              </w:rPr>
              <w:t> </w:t>
            </w:r>
            <w:r>
              <w:rPr>
                <w:rFonts w:ascii="宋体" w:hAnsi="宋体" w:cs="宋体" w:eastAsia="宋体" w:hint="default"/>
                <w:sz w:val="21"/>
                <w:szCs w:val="21"/>
              </w:rPr>
              <w:t>版、</w:t>
            </w:r>
            <w:r>
              <w:rPr>
                <w:rFonts w:ascii="宋体" w:hAnsi="宋体" w:cs="宋体" w:eastAsia="宋体" w:hint="default"/>
                <w:sz w:val="21"/>
                <w:szCs w:val="21"/>
              </w:rPr>
              <w:t> 上海证券报</w:t>
            </w:r>
            <w:r>
              <w:rPr>
                <w:rFonts w:ascii="宋体" w:hAnsi="宋体" w:cs="宋体" w:eastAsia="宋体" w:hint="default"/>
                <w:spacing w:val="-56"/>
                <w:sz w:val="21"/>
                <w:szCs w:val="21"/>
              </w:rPr>
              <w:t> </w:t>
            </w:r>
            <w:r>
              <w:rPr>
                <w:rFonts w:ascii="宋体" w:hAnsi="宋体" w:cs="宋体" w:eastAsia="宋体" w:hint="default"/>
                <w:sz w:val="21"/>
                <w:szCs w:val="21"/>
              </w:rPr>
              <w:t>D6</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4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667"/>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9">
              <w:r>
                <w:rPr>
                  <w:rFonts w:ascii="宋体" w:hAnsi="宋体" w:cs="宋体" w:eastAsia="宋体" w:hint="default"/>
                  <w:sz w:val="21"/>
                  <w:szCs w:val="21"/>
                </w:rPr>
                <w:t> http://www.sse.com.cn</w:t>
              </w:r>
            </w:hyperlink>
          </w:p>
        </w:tc>
      </w:tr>
      <w:tr>
        <w:trPr>
          <w:trHeight w:val="281" w:hRule="exact"/>
        </w:trPr>
        <w:tc>
          <w:tcPr>
            <w:tcW w:w="199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2374" w:type="dxa"/>
            <w:tcBorders>
              <w:top w:val="nil" w:sz="6" w:space="0" w:color="auto"/>
              <w:left w:val="single" w:sz="6" w:space="0" w:color="000000"/>
              <w:bottom w:val="single" w:sz="6" w:space="0" w:color="000000"/>
              <w:right w:val="single" w:sz="6" w:space="0" w:color="000000"/>
            </w:tcBorders>
          </w:tcPr>
          <w:p>
            <w:pPr/>
          </w:p>
        </w:tc>
        <w:tc>
          <w:tcPr>
            <w:tcW w:w="1942" w:type="dxa"/>
            <w:tcBorders>
              <w:top w:val="nil" w:sz="6" w:space="0" w:color="auto"/>
              <w:left w:val="single" w:sz="6" w:space="0" w:color="000000"/>
              <w:bottom w:val="single" w:sz="6" w:space="0" w:color="000000"/>
              <w:right w:val="single" w:sz="6" w:space="0" w:color="000000"/>
            </w:tcBorders>
          </w:tcPr>
          <w:p>
            <w:pPr/>
          </w:p>
        </w:tc>
        <w:tc>
          <w:tcPr>
            <w:tcW w:w="2990" w:type="dxa"/>
            <w:tcBorders>
              <w:top w:val="nil" w:sz="6" w:space="0" w:color="auto"/>
              <w:left w:val="single" w:sz="6" w:space="0" w:color="000000"/>
              <w:bottom w:val="single" w:sz="6" w:space="0" w:color="000000"/>
              <w:right w:val="single" w:sz="6" w:space="0" w:color="000000"/>
            </w:tcBorders>
          </w:tcPr>
          <w:p>
            <w:pPr/>
          </w:p>
        </w:tc>
      </w:tr>
      <w:tr>
        <w:trPr>
          <w:trHeight w:val="56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公司四届董事会第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七次会议决议公告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C11</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6"/>
                <w:sz w:val="21"/>
                <w:szCs w:val="21"/>
              </w:rPr>
              <w:t> </w:t>
            </w:r>
            <w:r>
              <w:rPr>
                <w:rFonts w:ascii="宋体" w:hAnsi="宋体" w:cs="宋体" w:eastAsia="宋体" w:hint="default"/>
                <w:sz w:val="21"/>
                <w:szCs w:val="21"/>
              </w:rPr>
              <w:t>D4</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74"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994"/>
        <w:gridCol w:w="2374"/>
        <w:gridCol w:w="1942"/>
        <w:gridCol w:w="2990"/>
      </w:tblGrid>
      <w:tr>
        <w:trPr>
          <w:trHeight w:val="287"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及对外担保公告。</w:t>
            </w:r>
          </w:p>
        </w:tc>
        <w:tc>
          <w:tcPr>
            <w:tcW w:w="2374"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29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公司有限售条件的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流通股上市公告。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C10</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D18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公司国有法人股继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续冻结的公告。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8"/>
                <w:sz w:val="21"/>
                <w:szCs w:val="21"/>
              </w:rPr>
              <w:t> </w:t>
            </w:r>
            <w:r>
              <w:rPr>
                <w:rFonts w:ascii="宋体" w:hAnsi="宋体" w:cs="宋体" w:eastAsia="宋体" w:hint="default"/>
                <w:sz w:val="21"/>
                <w:szCs w:val="21"/>
              </w:rPr>
              <w:t>D007</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D07</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公司业绩预增公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8"/>
                <w:sz w:val="21"/>
                <w:szCs w:val="21"/>
              </w:rPr>
              <w:t> </w:t>
            </w:r>
            <w:r>
              <w:rPr>
                <w:rFonts w:ascii="宋体" w:hAnsi="宋体" w:cs="宋体" w:eastAsia="宋体" w:hint="default"/>
                <w:sz w:val="21"/>
                <w:szCs w:val="21"/>
              </w:rPr>
              <w:t>D006</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6"/>
                <w:sz w:val="21"/>
                <w:szCs w:val="21"/>
              </w:rPr>
              <w:t> </w:t>
            </w:r>
            <w:r>
              <w:rPr>
                <w:rFonts w:ascii="宋体" w:hAnsi="宋体" w:cs="宋体" w:eastAsia="宋体" w:hint="default"/>
                <w:sz w:val="21"/>
                <w:szCs w:val="21"/>
              </w:rPr>
              <w:t>14</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公司第三季度报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8"/>
                <w:sz w:val="21"/>
                <w:szCs w:val="21"/>
              </w:rPr>
              <w:t> </w:t>
            </w:r>
            <w:r>
              <w:rPr>
                <w:rFonts w:ascii="宋体" w:hAnsi="宋体" w:cs="宋体" w:eastAsia="宋体" w:hint="default"/>
                <w:sz w:val="21"/>
                <w:szCs w:val="21"/>
              </w:rPr>
              <w:t>C033</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D11</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公司国有法人股继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续冻结的公告。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C12</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D14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公司间接股东变更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8"/>
                <w:sz w:val="21"/>
                <w:szCs w:val="21"/>
              </w:rPr>
              <w:t> </w:t>
            </w:r>
            <w:r>
              <w:rPr>
                <w:rFonts w:ascii="宋体" w:hAnsi="宋体" w:cs="宋体" w:eastAsia="宋体" w:hint="default"/>
                <w:sz w:val="21"/>
                <w:szCs w:val="21"/>
              </w:rPr>
              <w:t>D003</w:t>
            </w:r>
            <w:r>
              <w:rPr>
                <w:rFonts w:ascii="宋体" w:hAnsi="宋体" w:cs="宋体" w:eastAsia="宋体" w:hint="default"/>
                <w:spacing w:val="-57"/>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9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74"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72" w:lineRule="exact"/>
        <w:ind w:left="560" w:right="204" w:hanging="420"/>
        <w:jc w:val="left"/>
      </w:pPr>
      <w:bookmarkStart w:name="_bookmark7" w:id="8"/>
      <w:bookmarkEnd w:id="8"/>
      <w:r>
        <w:rPr/>
      </w:r>
      <w:r>
        <w:rPr>
          <w:rFonts w:ascii="宋体" w:hAnsi="宋体" w:cs="宋体" w:eastAsia="宋体" w:hint="default"/>
          <w:b/>
          <w:bCs/>
        </w:rPr>
        <w:t>十一、财务会计报告</w:t>
      </w:r>
      <w:r>
        <w:rPr>
          <w:rFonts w:ascii="宋体" w:hAnsi="宋体" w:cs="宋体" w:eastAsia="宋体" w:hint="default"/>
          <w:b/>
          <w:bCs/>
          <w:spacing w:val="1"/>
          <w:w w:val="99"/>
        </w:rPr>
        <w:t> </w:t>
      </w:r>
      <w:r>
        <w:rPr/>
        <w:t>公司年度财务报告已经天职国际会计师事务所有限公司注册会计师匡敏、中国注册会计师汪吉军</w:t>
      </w:r>
    </w:p>
    <w:p>
      <w:pPr>
        <w:pStyle w:val="BodyText"/>
        <w:spacing w:line="272" w:lineRule="exact"/>
        <w:ind w:right="5244"/>
        <w:jc w:val="left"/>
      </w:pPr>
      <w:r>
        <w:rPr/>
        <w:t>审计，并出具了标准无保留意见的审计报告。 (一)</w:t>
      </w:r>
      <w:r>
        <w:rPr>
          <w:spacing w:val="-2"/>
        </w:rPr>
        <w:t> </w:t>
      </w:r>
      <w:r>
        <w:rPr/>
        <w:t>审计报告</w:t>
      </w:r>
    </w:p>
    <w:p>
      <w:pPr>
        <w:spacing w:after="0" w:line="272" w:lineRule="exact"/>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ind w:right="-20"/>
        <w:jc w:val="left"/>
      </w:pPr>
      <w:r>
        <w:rPr/>
        <w:t>黑龙江黑化股份有限公司全体股东：：</w:t>
      </w:r>
    </w:p>
    <w:p>
      <w:pPr>
        <w:spacing w:line="328" w:lineRule="exact" w:before="0"/>
        <w:ind w:left="140" w:right="0" w:firstLine="0"/>
        <w:jc w:val="left"/>
        <w:rPr>
          <w:rFonts w:ascii="宋体" w:hAnsi="宋体" w:cs="宋体" w:eastAsia="宋体" w:hint="default"/>
          <w:sz w:val="28"/>
          <w:szCs w:val="28"/>
        </w:rPr>
      </w:pPr>
      <w:r>
        <w:rPr>
          <w:w w:val="95"/>
        </w:rPr>
        <w:br w:type="column"/>
      </w:r>
      <w:r>
        <w:rPr>
          <w:rFonts w:ascii="宋体" w:hAnsi="宋体" w:cs="宋体" w:eastAsia="宋体" w:hint="default"/>
          <w:b/>
          <w:bCs/>
          <w:w w:val="95"/>
          <w:sz w:val="28"/>
          <w:szCs w:val="28"/>
        </w:rPr>
        <w:t>审计报告</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r>
        <w:rPr/>
        <w:br w:type="column"/>
      </w:r>
      <w:r>
        <w:rPr>
          <w:rFonts w:ascii="宋体"/>
          <w:b/>
          <w:sz w:val="25"/>
        </w:rPr>
      </w:r>
    </w:p>
    <w:p>
      <w:pPr>
        <w:pStyle w:val="BodyText"/>
        <w:spacing w:line="240" w:lineRule="auto"/>
        <w:ind w:right="0"/>
        <w:jc w:val="left"/>
      </w:pPr>
      <w:r>
        <w:rPr/>
        <w:t>天职京审字[2009]1676</w:t>
      </w:r>
      <w:r>
        <w:rPr>
          <w:spacing w:val="-66"/>
        </w:rPr>
        <w:t> </w:t>
      </w:r>
      <w:r>
        <w:rPr/>
        <w:t>号</w:t>
      </w:r>
    </w:p>
    <w:p>
      <w:pPr>
        <w:spacing w:after="0" w:line="240" w:lineRule="auto"/>
        <w:jc w:val="left"/>
        <w:sectPr>
          <w:type w:val="continuous"/>
          <w:pgSz w:w="11910" w:h="16840"/>
          <w:pgMar w:top="1600" w:bottom="280" w:left="1220" w:right="1080"/>
          <w:cols w:num="3" w:equalWidth="0">
            <w:col w:w="3711" w:space="347"/>
            <w:col w:w="1265" w:space="1558"/>
            <w:col w:w="2729"/>
          </w:cols>
        </w:sectPr>
      </w:pPr>
    </w:p>
    <w:p>
      <w:pPr>
        <w:pStyle w:val="BodyText"/>
        <w:spacing w:line="272" w:lineRule="exact" w:before="25"/>
        <w:ind w:right="221" w:firstLine="420"/>
        <w:jc w:val="both"/>
      </w:pPr>
      <w:r>
        <w:rPr/>
        <w:t>我们接受委托，审计了后附的黑龙江黑化股份有限公司（以下简称“黑化股份”）财务报表，包 括</w:t>
      </w:r>
      <w:r>
        <w:rPr>
          <w:spacing w:val="-58"/>
        </w:rPr>
        <w:t> </w:t>
      </w:r>
      <w:r>
        <w:rPr/>
        <w:t>2008</w:t>
      </w:r>
      <w:r>
        <w:rPr>
          <w:spacing w:val="-57"/>
        </w:rPr>
        <w:t> </w:t>
      </w:r>
      <w:r>
        <w:rPr/>
        <w:t>年</w:t>
      </w:r>
      <w:r>
        <w:rPr>
          <w:spacing w:val="-58"/>
        </w:rPr>
        <w:t> </w:t>
      </w:r>
      <w:r>
        <w:rPr/>
        <w:t>12</w:t>
      </w:r>
      <w:r>
        <w:rPr>
          <w:spacing w:val="-57"/>
        </w:rPr>
        <w:t> </w:t>
      </w:r>
      <w:r>
        <w:rPr/>
        <w:t>月</w:t>
      </w:r>
      <w:r>
        <w:rPr>
          <w:spacing w:val="-59"/>
        </w:rPr>
        <w:t> </w:t>
      </w:r>
      <w:r>
        <w:rPr/>
        <w:t>31</w:t>
      </w:r>
      <w:r>
        <w:rPr>
          <w:spacing w:val="-57"/>
        </w:rPr>
        <w:t> </w:t>
      </w:r>
      <w:r>
        <w:rPr/>
        <w:t>日的资产负债表和合并资产负债表，2008</w:t>
      </w:r>
      <w:r>
        <w:rPr>
          <w:spacing w:val="-57"/>
        </w:rPr>
        <w:t> </w:t>
      </w:r>
      <w:r>
        <w:rPr/>
        <w:t>年度的利润表和合并利润表、所有者权</w:t>
      </w:r>
      <w:r>
        <w:rPr>
          <w:spacing w:val="-1"/>
        </w:rPr>
        <w:t> </w:t>
      </w:r>
      <w:r>
        <w:rPr/>
        <w:t>益变动表和合并所有者权益变动表、现金流量表和合并现金流量表以及财务报表附注。</w:t>
      </w:r>
    </w:p>
    <w:p>
      <w:pPr>
        <w:pStyle w:val="BodyText"/>
        <w:spacing w:line="246" w:lineRule="exact"/>
        <w:ind w:left="665" w:right="103"/>
        <w:jc w:val="left"/>
      </w:pPr>
      <w:r>
        <w:rPr/>
        <w:t>一、管理层对财务报表的责任</w:t>
      </w:r>
    </w:p>
    <w:p>
      <w:pPr>
        <w:pStyle w:val="BodyText"/>
        <w:spacing w:line="272" w:lineRule="exact" w:before="26"/>
        <w:ind w:right="219" w:firstLine="420"/>
        <w:jc w:val="both"/>
      </w:pPr>
      <w:r>
        <w:rPr/>
        <w:t>按照财政部</w:t>
      </w:r>
      <w:r>
        <w:rPr>
          <w:spacing w:val="-54"/>
        </w:rPr>
        <w:t> </w:t>
      </w:r>
      <w:r>
        <w:rPr/>
        <w:t>2006</w:t>
      </w:r>
      <w:r>
        <w:rPr>
          <w:spacing w:val="-53"/>
        </w:rPr>
        <w:t> </w:t>
      </w:r>
      <w:r>
        <w:rPr>
          <w:spacing w:val="-4"/>
        </w:rPr>
        <w:t>年颁布的《企业会计准则》规定编制财务报表是黑化股份管理层的责任。这种责</w:t>
      </w:r>
      <w:r>
        <w:rPr/>
        <w:t> </w:t>
      </w:r>
      <w:r>
        <w:rPr>
          <w:spacing w:val="-4"/>
        </w:rPr>
        <w:t>任包括：（1）设计、实施和维护与财务报表编制相关的内部控制，以使财务报表不存在由于舞弊或错</w:t>
      </w:r>
      <w:r>
        <w:rPr>
          <w:spacing w:val="-70"/>
        </w:rPr>
        <w:t> </w:t>
      </w:r>
      <w:r>
        <w:rPr>
          <w:spacing w:val="-70"/>
        </w:rPr>
      </w:r>
      <w:r>
        <w:rPr/>
        <w:t>误而导致的重大错报；（2）选择和运用恰当的会计政策；（3）作出合理的会计估计。</w:t>
      </w:r>
    </w:p>
    <w:p>
      <w:pPr>
        <w:pStyle w:val="BodyText"/>
        <w:spacing w:line="272" w:lineRule="exact"/>
        <w:ind w:left="560" w:right="204"/>
        <w:jc w:val="left"/>
      </w:pPr>
      <w:r>
        <w:rPr/>
        <w:t>二、注册会计师的责任</w:t>
      </w:r>
      <w:r>
        <w:rPr>
          <w:spacing w:val="-1"/>
        </w:rPr>
        <w:t> </w:t>
      </w:r>
      <w:r>
        <w:rPr/>
        <w:t>我们的责任是在实施审计工作的基础上对财务报表发表审计意见。我们按照中国注册会计师审计</w:t>
      </w:r>
    </w:p>
    <w:p>
      <w:pPr>
        <w:pStyle w:val="BodyText"/>
        <w:spacing w:line="272" w:lineRule="exact"/>
        <w:ind w:right="221"/>
        <w:jc w:val="left"/>
      </w:pPr>
      <w:r>
        <w:rPr/>
        <w:t>准则的规定执行了审计工作。中国注册会计师审计准则要求我们遵守职业道德规范，计划和实施审计 工作以对财务报表是否不存在重大错报获取合理保证。 审计工作涉及实施审计程序，以获取有关财务报表金额和披露的审计证据。选择的审计程序取决于注 册会计师的判断，包括对由于舞弊或错误导致的财务报表重大错报风险的评估。在进行风险评估时， 我们考虑与财务报表编制相关的内部控制，以设计恰当的审计程序，但目的并非对内部控制的有效性 发表意见。审计工作还包括评价管理层选用会计政策的恰当性和作出会计估计的合理性，以及评价财 务报表的总体列报。 我们相信，我们获取的审计证据是充分、适当的，为发表审计意见提供了基础。</w:t>
      </w:r>
    </w:p>
    <w:p>
      <w:pPr>
        <w:pStyle w:val="BodyText"/>
        <w:spacing w:line="246" w:lineRule="exact"/>
        <w:ind w:left="560" w:right="103"/>
        <w:jc w:val="left"/>
      </w:pPr>
      <w:r>
        <w:rPr/>
        <w:t>我们认为，黑化股份财务报表已经按照财政部</w:t>
      </w:r>
      <w:r>
        <w:rPr>
          <w:spacing w:val="-67"/>
        </w:rPr>
        <w:t> </w:t>
      </w:r>
      <w:r>
        <w:rPr/>
        <w:t>2006</w:t>
      </w:r>
      <w:r>
        <w:rPr>
          <w:spacing w:val="-67"/>
        </w:rPr>
        <w:t> </w:t>
      </w:r>
      <w:r>
        <w:rPr>
          <w:spacing w:val="-4"/>
        </w:rPr>
        <w:t>年颁布的《企业会计准则》的规定编制，在所</w:t>
      </w:r>
    </w:p>
    <w:p>
      <w:pPr>
        <w:pStyle w:val="BodyText"/>
        <w:spacing w:line="273" w:lineRule="exact"/>
        <w:ind w:right="0"/>
        <w:jc w:val="left"/>
      </w:pPr>
      <w:r>
        <w:rPr/>
        <w:t>有重大方面公允反映了黑化股份</w:t>
      </w:r>
      <w:r>
        <w:rPr>
          <w:spacing w:val="-66"/>
        </w:rPr>
        <w:t> </w:t>
      </w:r>
      <w:r>
        <w:rPr/>
        <w:t>2008</w:t>
      </w:r>
      <w:r>
        <w:rPr>
          <w:spacing w:val="-65"/>
        </w:rPr>
        <w:t> </w:t>
      </w:r>
      <w:r>
        <w:rPr/>
        <w:t>年</w:t>
      </w:r>
      <w:r>
        <w:rPr>
          <w:spacing w:val="-66"/>
        </w:rPr>
        <w:t> </w:t>
      </w:r>
      <w:r>
        <w:rPr/>
        <w:t>12</w:t>
      </w:r>
      <w:r>
        <w:rPr>
          <w:spacing w:val="-65"/>
        </w:rPr>
        <w:t> </w:t>
      </w:r>
      <w:r>
        <w:rPr/>
        <w:t>月</w:t>
      </w:r>
      <w:r>
        <w:rPr>
          <w:spacing w:val="-67"/>
        </w:rPr>
        <w:t> </w:t>
      </w:r>
      <w:r>
        <w:rPr/>
        <w:t>31</w:t>
      </w:r>
      <w:r>
        <w:rPr>
          <w:spacing w:val="-66"/>
        </w:rPr>
        <w:t> </w:t>
      </w:r>
      <w:r>
        <w:rPr/>
        <w:t>日的财务状况以及</w:t>
      </w:r>
      <w:r>
        <w:rPr>
          <w:spacing w:val="-66"/>
        </w:rPr>
        <w:t> </w:t>
      </w:r>
      <w:r>
        <w:rPr/>
        <w:t>2008</w:t>
      </w:r>
      <w:r>
        <w:rPr>
          <w:spacing w:val="-66"/>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6492" w:val="left" w:leader="none"/>
          <w:tab w:pos="8645" w:val="left" w:leader="none"/>
        </w:tabs>
        <w:spacing w:line="272" w:lineRule="exact"/>
        <w:ind w:right="747"/>
        <w:jc w:val="left"/>
      </w:pPr>
      <w:r>
        <w:rPr>
          <w:spacing w:val="-1"/>
        </w:rPr>
        <w:t>天职国际会计师事务所有限公司</w:t>
        <w:tab/>
        <w:t>中国注册会计师：匡</w:t>
        <w:tab/>
      </w:r>
      <w:r>
        <w:rPr/>
        <w:t>敏</w:t>
      </w:r>
      <w:r>
        <w:rPr/>
        <w:t> 中国北京海淀区车公庄西路乙</w:t>
      </w:r>
      <w:r>
        <w:rPr>
          <w:spacing w:val="-57"/>
        </w:rPr>
        <w:t> </w:t>
      </w:r>
      <w:r>
        <w:rPr/>
        <w:t>19</w:t>
      </w:r>
      <w:r>
        <w:rPr>
          <w:spacing w:val="-57"/>
        </w:rPr>
        <w:t> </w:t>
      </w:r>
      <w:r>
        <w:rPr/>
        <w:t>号华通大厦</w:t>
      </w:r>
      <w:r>
        <w:rPr>
          <w:spacing w:val="-57"/>
        </w:rPr>
        <w:t> </w:t>
      </w:r>
      <w:r>
        <w:rPr/>
        <w:t>B</w:t>
      </w:r>
      <w:r>
        <w:rPr>
          <w:spacing w:val="-57"/>
        </w:rPr>
        <w:t> </w:t>
      </w:r>
      <w:r>
        <w:rPr/>
        <w:t>座</w:t>
      </w:r>
      <w:r>
        <w:rPr>
          <w:spacing w:val="-57"/>
        </w:rPr>
        <w:t> </w:t>
      </w:r>
      <w:r>
        <w:rPr/>
        <w:t>208</w:t>
        <w:tab/>
        <w:t>中国注册会计师：汪吉军</w:t>
      </w:r>
    </w:p>
    <w:p>
      <w:pPr>
        <w:pStyle w:val="BodyText"/>
        <w:spacing w:line="248" w:lineRule="exact"/>
        <w:ind w:left="0" w:right="1088"/>
        <w:jc w:val="right"/>
      </w:pPr>
      <w:r>
        <w:rPr>
          <w:spacing w:val="16"/>
        </w:rPr>
        <w:t>2009年4</w:t>
      </w:r>
      <w:r>
        <w:rPr>
          <w:spacing w:val="-51"/>
        </w:rPr>
        <w:t> </w:t>
      </w:r>
      <w:r>
        <w:rPr/>
        <w:t>月</w:t>
      </w:r>
      <w:r>
        <w:rPr>
          <w:spacing w:val="-53"/>
        </w:rPr>
        <w:t> </w:t>
      </w:r>
      <w:r>
        <w:rPr/>
        <w:t>27</w:t>
      </w:r>
      <w:r>
        <w:rPr>
          <w:spacing w:val="-51"/>
        </w:rPr>
        <w:t> </w:t>
      </w:r>
      <w:r>
        <w:rPr/>
        <w:t>日</w:t>
      </w:r>
    </w:p>
    <w:p>
      <w:pPr>
        <w:spacing w:after="0" w:line="248" w:lineRule="exact"/>
        <w:jc w:val="right"/>
        <w:sectPr>
          <w:type w:val="continuous"/>
          <w:pgSz w:w="11910" w:h="16840"/>
          <w:pgMar w:top="1600" w:bottom="280" w:left="1220" w:right="1080"/>
        </w:sectPr>
      </w:pPr>
    </w:p>
    <w:p>
      <w:pPr>
        <w:spacing w:line="240" w:lineRule="auto" w:before="1"/>
        <w:rPr>
          <w:rFonts w:ascii="宋体" w:hAnsi="宋体" w:cs="宋体" w:eastAsia="宋体" w:hint="default"/>
          <w:sz w:val="29"/>
          <w:szCs w:val="29"/>
        </w:rPr>
      </w:pPr>
    </w:p>
    <w:p>
      <w:pPr>
        <w:spacing w:before="35"/>
        <w:ind w:left="140" w:right="171"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right="-20"/>
        <w:jc w:val="left"/>
      </w:pPr>
      <w:r>
        <w:rPr/>
        <w:t>编制单位:黑龙江黑化股份有限公司</w:t>
      </w:r>
    </w:p>
    <w:p>
      <w:pPr>
        <w:spacing w:line="272" w:lineRule="exact" w:before="63"/>
        <w:ind w:left="140" w:right="-14"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3" w:equalWidth="0">
            <w:col w:w="3396" w:space="359"/>
            <w:col w:w="1873" w:space="1619"/>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145,095,025.49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28,726,246.36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40,630,672.62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9,000,000.00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266,103,594.13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222,094,986.43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23,235,163.67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38,480,133.66</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8,687,031.59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3,686,891.98</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243,269,896.02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154,156,365.64</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727,021,383.52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456,144,624.07</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1,236,337,723.08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1,281,650,299.25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10,400,906.81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8,231,915.87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八、9</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4,120,517.92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1,246,738,629.89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1,294,002,733.04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1,973,760,013.41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1,750,147,357.11</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333,580,000.00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334,580,000.00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181,130,000.00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334,442,001.71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257,638,854.33</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174,160,729.44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116,369,205.45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1,201,297.61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2,590,149.40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78,897,612.50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95,609,565.22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11,179,261.01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9,961,400.72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1,114,590,902.27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836,749,175.12</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4,380,000.00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4,380,000.00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4,380,000.00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4,380,000.00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1,118,970,902.27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841,129,175.12</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390,000,000.00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325,637,339.56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325,637,339.56</w:t>
            </w:r>
          </w:p>
        </w:tc>
      </w:tr>
    </w:tbl>
    <w:p>
      <w:pPr>
        <w:spacing w:after="0" w:line="267"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30,148,477.71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28,067,460.06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103,159,010.91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157,132,721.50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848,944,828.18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900,837,521.12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5,844,282.96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8,180,660.87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854,789,111.14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909,018,181.99</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1,973,760,013.41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1,750,147,357.11</w:t>
            </w:r>
            <w:r>
              <w:rPr>
                <w:rFonts w:ascii="宋体"/>
                <w:sz w:val="21"/>
              </w:rPr>
            </w:r>
          </w:p>
        </w:tc>
      </w:tr>
    </w:tbl>
    <w:p>
      <w:pPr>
        <w:pStyle w:val="BodyText"/>
        <w:tabs>
          <w:tab w:pos="3546" w:val="left" w:leader="none"/>
          <w:tab w:pos="7073" w:val="left" w:leader="none"/>
        </w:tabs>
        <w:spacing w:line="240" w:lineRule="exact"/>
        <w:ind w:right="0"/>
        <w:jc w:val="left"/>
      </w:pPr>
      <w:r>
        <w:rPr/>
        <w:t>公司法定代表人：王宏伟</w:t>
        <w:tab/>
        <w:t>主管会计工作负责人：刘亚芳</w:t>
        <w:tab/>
        <w:t>会计机构负责人：刘亚芳</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20"/>
        <w:jc w:val="left"/>
      </w:pPr>
      <w:r>
        <w:rPr/>
        <w:t>编制单位:黑龙江黑化股份有限公司</w:t>
      </w:r>
    </w:p>
    <w:p>
      <w:pPr>
        <w:spacing w:line="272" w:lineRule="exact" w:before="63"/>
        <w:ind w:left="140"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3" w:equalWidth="0">
            <w:col w:w="3396" w:space="359"/>
            <w:col w:w="1873" w:space="1619"/>
            <w:col w:w="2323"/>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144,086,648.40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27,453,364.99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40,630,672.62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9,000,000.00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九、1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266,045,038.92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216,896,524.91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21,214,652.67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36,614,689.16</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九、2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8,635,425.38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3,620,717.58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238,836,585.24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149,207,864.55</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719,449,023.23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442,793,161.19</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九、3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19,030,000.00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19,030,000.00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1,218,870,011.19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1,262,982,576.05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10,400,906.81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8,231,915.87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3,774,452.28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1,248,300,918.00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1,294,018,944.20</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1,967,749,941.23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1,736,812,105.39</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333,580,000.00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334,580,000.00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181,130,000.00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331,597,511.02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254,213,302.25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174,087,902.64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115,885,978.65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845,583.05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2,234,434.84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78,897,612.50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95,609,565.22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10,640,392.86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9,593,217.19</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1,110,779,002.07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832,116,498.15</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1,110,779,002.07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832,116,498.15</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390,000,000.00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390,000,000.00</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325,637,339.56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325,637,339.56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34,185,097.71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28,067,460.06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107,148,501.89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160,990,807.62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856,970,939.16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904,695,607.24</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1,967,749,941.23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1,736,812,105.39</w:t>
            </w:r>
            <w:r>
              <w:rPr>
                <w:rFonts w:ascii="宋体"/>
                <w:sz w:val="21"/>
              </w:rPr>
            </w:r>
          </w:p>
        </w:tc>
      </w:tr>
    </w:tbl>
    <w:p>
      <w:pPr>
        <w:pStyle w:val="BodyText"/>
        <w:tabs>
          <w:tab w:pos="3395" w:val="left" w:leader="none"/>
          <w:tab w:pos="6965" w:val="left" w:leader="none"/>
        </w:tabs>
        <w:spacing w:line="240" w:lineRule="exact"/>
        <w:ind w:right="171"/>
        <w:jc w:val="left"/>
      </w:pPr>
      <w:r>
        <w:rPr>
          <w:spacing w:val="-1"/>
        </w:rPr>
        <w:t>公司法定代表人：王宏伟</w:t>
        <w:tab/>
        <w:t>主管会计工作负责人：刘亚芳</w:t>
        <w:tab/>
      </w:r>
      <w:r>
        <w:rPr>
          <w:spacing w:val="-2"/>
        </w:rPr>
        <w:t>会计机构负责人：刘亚芳</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13"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1,780,641,423.11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1,328,022,343.46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八、23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1,780,641,423.11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1,328,022,343.46</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1,829,672,692.07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1,307,108,501.43</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1,678,425,818.50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1,204,842,180.03</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八、24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8,558,120.06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6,540,926.52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12,670,712.89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21,330,921.55</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47,896,692.54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40,612,460.97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29,589,255.07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28,274,007.36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八、25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52,532,093.01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5,508,005.00</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-49,031,268.96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20,913,842.03</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八、26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614,143.74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393,826.06</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八、27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22,805.43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5"/>
              <w:jc w:val="right"/>
              <w:rPr>
                <w:rFonts w:ascii="宋体" w:hAnsi="宋体" w:cs="宋体" w:eastAsia="宋体" w:hint="default"/>
                <w:sz w:val="21"/>
                <w:szCs w:val="21"/>
              </w:rPr>
            </w:pPr>
            <w:r>
              <w:rPr>
                <w:rFonts w:ascii="宋体"/>
                <w:spacing w:val="-1"/>
                <w:sz w:val="21"/>
              </w:rPr>
              <w:t>249,100.50</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-48,439,930.65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21,058,567.59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八、28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5,789,140.20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9,216,878.22</w:t>
            </w:r>
          </w:p>
        </w:tc>
      </w:tr>
    </w:tbl>
    <w:p>
      <w:pPr>
        <w:spacing w:after="0" w:line="267"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-54,229,070.85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11,841,689.37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-51,892,692.94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12,920,597.42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-2,336,377.91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-1,078,908.05</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-0.13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0.03</w:t>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-0.13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0.03</w:t>
            </w:r>
          </w:p>
        </w:tc>
      </w:tr>
    </w:tbl>
    <w:p>
      <w:pPr>
        <w:pStyle w:val="BodyText"/>
        <w:spacing w:line="238" w:lineRule="exact"/>
        <w:ind w:right="171"/>
        <w:jc w:val="left"/>
      </w:pPr>
      <w:r>
        <w:rPr/>
        <w:t>本期发生同一控制下企业合并的，被合并方在合并前实现的净利润为：-6,611,142.94</w:t>
      </w:r>
      <w:r>
        <w:rPr>
          <w:spacing w:val="-52"/>
        </w:rPr>
        <w:t> </w:t>
      </w:r>
      <w:r>
        <w:rPr/>
        <w:t>元。</w:t>
      </w:r>
    </w:p>
    <w:p>
      <w:pPr>
        <w:pStyle w:val="BodyText"/>
        <w:tabs>
          <w:tab w:pos="3395" w:val="left" w:leader="none"/>
          <w:tab w:pos="7070" w:val="left" w:leader="none"/>
        </w:tabs>
        <w:spacing w:line="274" w:lineRule="exact"/>
        <w:ind w:right="0"/>
        <w:jc w:val="left"/>
      </w:pPr>
      <w:r>
        <w:rPr>
          <w:spacing w:val="-1"/>
        </w:rPr>
        <w:t>公司法定代表人：王宏伟</w:t>
        <w:tab/>
        <w:t>主管会计工作负责人：刘亚芳</w:t>
        <w:tab/>
        <w:t>会计机构负责人：刘亚芳</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13"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1,773,521,596.98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1,322,602,915.69</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1,672,044,739.83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1,199,403,560.85</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8,506,107.01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6,505,555.97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12,550,973.15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21,217,848.67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45,851,974.57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39,366,825.47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29,600,893.44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28,207,892.94</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47,267,697.07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3,566,710.43</w:t>
            </w:r>
            <w:r>
              <w:rPr>
                <w:rFonts w:ascii="宋体"/>
                <w:sz w:val="21"/>
              </w:rPr>
            </w:r>
          </w:p>
        </w:tc>
      </w:tr>
      <w:tr>
        <w:trPr>
          <w:trHeight w:val="67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-42,300,788.09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24,334,521.36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42,000.00</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22,805.43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237,375.50</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-42,281,593.52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24,097,145.86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5,443,074.56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9,216,878.22</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-47,724,668.08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14,880,267.64</w:t>
            </w:r>
          </w:p>
        </w:tc>
      </w:tr>
    </w:tbl>
    <w:p>
      <w:pPr>
        <w:pStyle w:val="BodyText"/>
        <w:tabs>
          <w:tab w:pos="3290" w:val="left" w:leader="none"/>
          <w:tab w:pos="6967" w:val="left" w:leader="none"/>
        </w:tabs>
        <w:spacing w:line="240" w:lineRule="exact"/>
        <w:ind w:right="171"/>
        <w:jc w:val="left"/>
      </w:pPr>
      <w:r>
        <w:rPr/>
        <w:t>公司法定代表人：王宏伟</w:t>
        <w:tab/>
      </w:r>
      <w:r>
        <w:rPr>
          <w:spacing w:val="-1"/>
        </w:rPr>
        <w:t>主管会计工作负责人：刘亚芳</w:t>
        <w:tab/>
        <w:t>会计机构负责人：刘亚芳</w:t>
      </w:r>
    </w:p>
    <w:p>
      <w:pPr>
        <w:spacing w:after="0" w:line="240"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72" w:lineRule="exact" w:before="63"/>
        <w:ind w:left="4000" w:right="0" w:firstLine="23"/>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8"/>
          <w:w w:val="95"/>
          <w:sz w:val="21"/>
          <w:szCs w:val="21"/>
        </w:rPr>
        <w:t> </w:t>
      </w:r>
      <w:r>
        <w:rPr>
          <w:rFonts w:ascii="宋体" w:hAnsi="宋体" w:cs="宋体" w:eastAsia="宋体" w:hint="default"/>
          <w:b/>
          <w:bCs/>
          <w:spacing w:val="-78"/>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7"/>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1,204,906,403.99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561,815,137.75</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284,825.94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83"/>
              <w:jc w:val="right"/>
              <w:rPr>
                <w:rFonts w:ascii="宋体" w:hAnsi="宋体" w:cs="宋体" w:eastAsia="宋体" w:hint="default"/>
                <w:sz w:val="21"/>
                <w:szCs w:val="21"/>
              </w:rPr>
            </w:pPr>
            <w:r>
              <w:rPr>
                <w:rFonts w:ascii="宋体" w:hAnsi="宋体" w:cs="宋体" w:eastAsia="宋体" w:hint="default"/>
                <w:sz w:val="21"/>
                <w:szCs w:val="21"/>
              </w:rPr>
              <w:t>八、29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671,345.75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55,352.43</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1,205,577,749.74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562,155,316.12</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920,404,789.85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337,331,214.27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83,251,783.28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53,599,421.94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108,242,113.61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69,533,032.69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八、29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18,172,351.90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22,556,926.37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1,130,071,038.64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483,020,595.27</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75,506,711.10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79,134,720.85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7,000.00</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43,538,690.00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38,774,309.14</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43,538,690.00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38,774,309.14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-43,538,690.00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-38,767,309.14</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364,530,000.00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357,580,000.00</w:t>
            </w:r>
            <w:r>
              <w:rPr>
                <w:rFonts w:ascii="宋体"/>
                <w:sz w:val="21"/>
              </w:rPr>
            </w: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364,530,000.00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357,580,000.00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365,530,000.00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370,240,000.00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25,729,241.97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25,694,391.49</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391,259,241.97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395,934,391.49</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-26,729,241.97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-38,354,391.49</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5,238,779.13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2,013,020.22</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18,726,246.36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16,713,226.14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23,965,025.49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18,726,246.36</w:t>
            </w:r>
          </w:p>
        </w:tc>
      </w:tr>
    </w:tbl>
    <w:p>
      <w:pPr>
        <w:pStyle w:val="BodyText"/>
        <w:tabs>
          <w:tab w:pos="3395" w:val="left" w:leader="none"/>
          <w:tab w:pos="6965" w:val="left" w:leader="none"/>
        </w:tabs>
        <w:spacing w:line="240" w:lineRule="exact"/>
        <w:ind w:right="171"/>
        <w:jc w:val="left"/>
      </w:pPr>
      <w:r>
        <w:rPr>
          <w:spacing w:val="-1"/>
        </w:rPr>
        <w:t>公司法定代表人：王宏伟</w:t>
        <w:tab/>
        <w:t>主管会计工作负责人：刘亚芳</w:t>
        <w:tab/>
      </w:r>
      <w:r>
        <w:rPr>
          <w:spacing w:val="-2"/>
        </w:rPr>
        <w:t>会计机构负责人：刘亚芳</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18"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41"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606" w:space="40"/>
            <w:col w:w="39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1,195,775,617.58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557,224,874.27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658,950.20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50,918.19</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1,196,434,567.78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557,275,792.46</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912,253,754.42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333,805,429.07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82,301,228.56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52,870,133.19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108,152,794.61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69,444,269.47</w:t>
            </w: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17,955,574.81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22,186,741.03</w:t>
            </w:r>
          </w:p>
        </w:tc>
      </w:tr>
    </w:tbl>
    <w:p>
      <w:pPr>
        <w:spacing w:after="0" w:line="267"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1,120,663,352.40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478,306,572.76</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75,771,215.38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78,969,219.70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43,538,690.00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38,774,309.14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43,538,690.00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38,774,309.14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-43,538,690.00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-38,774,309.14</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364,530,000.00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357,580,000.00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364,530,000.00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357,580,000.00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365,530,000.00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370,240,000.00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25,729,241.97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25,694,391.49</w:t>
            </w: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支付其他与筹资活动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391,259,241.97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395,934,391.49</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-26,729,241.97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-38,354,391.49</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5,503,283.41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1,840,519.07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17,453,364.99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15,612,845.92</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22,956,648.40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17,453,364.99</w:t>
            </w:r>
          </w:p>
        </w:tc>
      </w:tr>
    </w:tbl>
    <w:p>
      <w:pPr>
        <w:pStyle w:val="BodyText"/>
        <w:tabs>
          <w:tab w:pos="3290" w:val="left" w:leader="none"/>
          <w:tab w:pos="6861" w:val="left" w:leader="none"/>
        </w:tabs>
        <w:spacing w:line="240" w:lineRule="exact"/>
        <w:ind w:right="171"/>
        <w:jc w:val="left"/>
      </w:pPr>
      <w:r>
        <w:rPr/>
        <w:t>公司法定代表人：王宏伟</w:t>
        <w:tab/>
        <w:t>主管会计工作负责人：刘亚芳</w:t>
        <w:tab/>
        <w:t>会计机构负责人：刘亚芳</w:t>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640" w:right="420"/>
        </w:sectPr>
      </w:pPr>
    </w:p>
    <w:p>
      <w:pPr>
        <w:spacing w:line="272" w:lineRule="exact" w:before="63"/>
        <w:ind w:left="4579"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110" w:right="0"/>
        <w:jc w:val="left"/>
      </w:pPr>
      <w:r>
        <w:rPr/>
        <w:t>单位:元</w:t>
      </w:r>
      <w:r>
        <w:rPr>
          <w:spacing w:val="-3"/>
        </w:rPr>
        <w:t> </w:t>
      </w:r>
      <w:r>
        <w:rPr/>
        <w:t>币种:人民币</w:t>
      </w:r>
    </w:p>
    <w:p>
      <w:pPr>
        <w:spacing w:after="0" w:line="240" w:lineRule="auto"/>
        <w:jc w:val="left"/>
        <w:sectPr>
          <w:type w:val="continuous"/>
          <w:pgSz w:w="11910" w:h="16840"/>
          <w:pgMar w:top="1600" w:bottom="280" w:left="640" w:right="420"/>
          <w:cols w:num="2" w:equalWidth="0">
            <w:col w:w="6396" w:space="40"/>
            <w:col w:w="4414"/>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08"/>
        <w:gridCol w:w="1499"/>
        <w:gridCol w:w="1498"/>
        <w:gridCol w:w="238"/>
        <w:gridCol w:w="1464"/>
        <w:gridCol w:w="236"/>
        <w:gridCol w:w="1564"/>
        <w:gridCol w:w="240"/>
        <w:gridCol w:w="1456"/>
        <w:gridCol w:w="1592"/>
      </w:tblGrid>
      <w:tr>
        <w:trPr>
          <w:trHeight w:val="248" w:hRule="exact"/>
        </w:trPr>
        <w:tc>
          <w:tcPr>
            <w:tcW w:w="80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786"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48" w:hRule="exact"/>
        </w:trPr>
        <w:tc>
          <w:tcPr>
            <w:tcW w:w="808" w:type="dxa"/>
            <w:vMerge/>
            <w:tcBorders>
              <w:left w:val="single" w:sz="6" w:space="0" w:color="000000"/>
              <w:right w:val="single" w:sz="6" w:space="0" w:color="000000"/>
            </w:tcBorders>
          </w:tcPr>
          <w:p>
            <w:pPr/>
          </w:p>
        </w:tc>
        <w:tc>
          <w:tcPr>
            <w:tcW w:w="6738"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56" w:type="dxa"/>
            <w:vMerge w:val="restart"/>
            <w:tcBorders>
              <w:top w:val="single" w:sz="6" w:space="0" w:color="000000"/>
              <w:left w:val="single" w:sz="6" w:space="0" w:color="000000"/>
              <w:right w:val="single" w:sz="6" w:space="0" w:color="000000"/>
            </w:tcBorders>
          </w:tcPr>
          <w:p>
            <w:pPr>
              <w:pStyle w:val="TableParagraph"/>
              <w:spacing w:line="240" w:lineRule="auto" w:before="87"/>
              <w:ind w:left="18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92" w:type="dxa"/>
            <w:vMerge w:val="restart"/>
            <w:tcBorders>
              <w:top w:val="single" w:sz="6" w:space="0" w:color="000000"/>
              <w:left w:val="single" w:sz="6" w:space="0" w:color="000000"/>
              <w:right w:val="single" w:sz="6" w:space="0" w:color="000000"/>
            </w:tcBorders>
          </w:tcPr>
          <w:p>
            <w:pPr>
              <w:pStyle w:val="TableParagraph"/>
              <w:spacing w:line="240" w:lineRule="auto" w:before="87"/>
              <w:ind w:left="15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808" w:type="dxa"/>
            <w:vMerge/>
            <w:tcBorders>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6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715"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w:t>
            </w:r>
          </w:p>
          <w:p>
            <w:pPr>
              <w:pStyle w:val="TableParagraph"/>
              <w:spacing w:line="240" w:lineRule="auto"/>
              <w:ind w:left="100" w:right="150"/>
              <w:jc w:val="left"/>
              <w:rPr>
                <w:rFonts w:ascii="宋体" w:hAnsi="宋体" w:cs="宋体" w:eastAsia="宋体" w:hint="default"/>
                <w:sz w:val="18"/>
                <w:szCs w:val="18"/>
              </w:rPr>
            </w:pPr>
            <w:r>
              <w:rPr>
                <w:rFonts w:ascii="宋体" w:hAnsi="宋体" w:cs="宋体" w:eastAsia="宋体" w:hint="default"/>
                <w:sz w:val="18"/>
                <w:szCs w:val="18"/>
              </w:rPr>
              <w:t>年年末 余额</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sz w:val="18"/>
              </w:rPr>
              <w:t>390,000,000.00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325,637,339.56</w:t>
            </w: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28,067,460.06</w:t>
            </w: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157,132,721.50</w:t>
            </w: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8,180,660.87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909,018,181.99</w:t>
            </w:r>
          </w:p>
        </w:tc>
      </w:tr>
      <w:tr>
        <w:trPr>
          <w:trHeight w:val="1696"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加：同</w:t>
            </w:r>
          </w:p>
          <w:p>
            <w:pPr>
              <w:pStyle w:val="TableParagraph"/>
              <w:spacing w:line="285" w:lineRule="auto" w:before="44"/>
              <w:ind w:left="100" w:right="150"/>
              <w:jc w:val="both"/>
              <w:rPr>
                <w:rFonts w:ascii="宋体" w:hAnsi="宋体" w:cs="宋体" w:eastAsia="宋体" w:hint="default"/>
                <w:sz w:val="18"/>
                <w:szCs w:val="18"/>
              </w:rPr>
            </w:pPr>
            <w:r>
              <w:rPr>
                <w:rFonts w:ascii="宋体" w:hAnsi="宋体" w:cs="宋体" w:eastAsia="宋体" w:hint="default"/>
                <w:sz w:val="18"/>
                <w:szCs w:val="18"/>
              </w:rPr>
              <w:t>一控制 下企业 合并产 生的追 溯调整</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856"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85" w:lineRule="auto"/>
              <w:ind w:left="100" w:right="150"/>
              <w:jc w:val="left"/>
              <w:rPr>
                <w:rFonts w:ascii="宋体" w:hAnsi="宋体" w:cs="宋体" w:eastAsia="宋体" w:hint="default"/>
                <w:sz w:val="18"/>
                <w:szCs w:val="18"/>
              </w:rPr>
            </w:pPr>
            <w:r>
              <w:rPr>
                <w:rFonts w:ascii="宋体" w:hAnsi="宋体" w:cs="宋体" w:eastAsia="宋体" w:hint="default"/>
                <w:sz w:val="18"/>
                <w:szCs w:val="18"/>
              </w:rPr>
              <w:t>计政策 变更</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856"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100" w:right="150"/>
              <w:jc w:val="left"/>
              <w:rPr>
                <w:rFonts w:ascii="宋体" w:hAnsi="宋体" w:cs="宋体" w:eastAsia="宋体" w:hint="default"/>
                <w:sz w:val="18"/>
                <w:szCs w:val="18"/>
              </w:rPr>
            </w:pPr>
            <w:r>
              <w:rPr>
                <w:rFonts w:ascii="宋体" w:hAnsi="宋体" w:cs="宋体" w:eastAsia="宋体" w:hint="default"/>
                <w:sz w:val="18"/>
                <w:szCs w:val="18"/>
              </w:rPr>
              <w:t>期差错 更正</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w:t>
            </w:r>
          </w:p>
          <w:p>
            <w:pPr>
              <w:pStyle w:val="TableParagraph"/>
              <w:spacing w:line="232" w:lineRule="exact" w:before="24"/>
              <w:ind w:left="100" w:right="150"/>
              <w:jc w:val="left"/>
              <w:rPr>
                <w:rFonts w:ascii="宋体" w:hAnsi="宋体" w:cs="宋体" w:eastAsia="宋体" w:hint="default"/>
                <w:sz w:val="18"/>
                <w:szCs w:val="18"/>
              </w:rPr>
            </w:pPr>
            <w:r>
              <w:rPr>
                <w:rFonts w:ascii="宋体" w:hAnsi="宋体" w:cs="宋体" w:eastAsia="宋体" w:hint="default"/>
                <w:sz w:val="18"/>
                <w:szCs w:val="18"/>
              </w:rPr>
              <w:t>年年初 余额</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sz w:val="18"/>
              </w:rPr>
              <w:t>390,000,000.00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325,637,339.56</w:t>
            </w: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28,067,460.06</w:t>
            </w: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157,132,721.50</w:t>
            </w: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8,180,660.87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909,018,181.99</w:t>
            </w:r>
          </w:p>
        </w:tc>
      </w:tr>
      <w:tr>
        <w:trPr>
          <w:trHeight w:val="1883"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w:t>
            </w:r>
          </w:p>
          <w:p>
            <w:pPr>
              <w:pStyle w:val="TableParagraph"/>
              <w:spacing w:line="237" w:lineRule="auto" w:before="1"/>
              <w:ind w:left="100" w:right="150"/>
              <w:jc w:val="left"/>
              <w:rPr>
                <w:rFonts w:ascii="宋体" w:hAnsi="宋体" w:cs="宋体" w:eastAsia="宋体" w:hint="default"/>
                <w:sz w:val="18"/>
                <w:szCs w:val="18"/>
              </w:rPr>
            </w:pPr>
            <w:r>
              <w:rPr>
                <w:rFonts w:ascii="宋体" w:hAnsi="宋体" w:cs="宋体" w:eastAsia="宋体" w:hint="default"/>
                <w:sz w:val="18"/>
                <w:szCs w:val="18"/>
              </w:rPr>
              <w:t>年增减 变动金 额（减 少以 “－” 号填 列）</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2,081,017.65</w:t>
            </w: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sz w:val="18"/>
              </w:rPr>
              <w:t>-53,973,710.59</w:t>
            </w: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-2,336,377.91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-54,229,070.85</w:t>
            </w:r>
          </w:p>
        </w:tc>
      </w:tr>
      <w:tr>
        <w:trPr>
          <w:trHeight w:val="482"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-51,892,692.94</w:t>
            </w: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-2,336,377.91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-54,229,070.85</w:t>
            </w:r>
          </w:p>
        </w:tc>
      </w:tr>
      <w:tr>
        <w:trPr>
          <w:trHeight w:val="1415"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0" w:right="150"/>
              <w:jc w:val="both"/>
              <w:rPr>
                <w:rFonts w:ascii="宋体" w:hAnsi="宋体" w:cs="宋体" w:eastAsia="宋体" w:hint="default"/>
                <w:sz w:val="18"/>
                <w:szCs w:val="18"/>
              </w:rPr>
            </w:pPr>
            <w:r>
              <w:rPr>
                <w:rFonts w:ascii="宋体" w:hAnsi="宋体" w:cs="宋体" w:eastAsia="宋体" w:hint="default"/>
                <w:sz w:val="18"/>
                <w:szCs w:val="18"/>
              </w:rPr>
              <w:t>直接计 入所有 者权益 的利得 和损失</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1416"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0"/>
                <w:sz w:val="18"/>
                <w:szCs w:val="18"/>
              </w:rPr>
              <w:t>1．可供</w:t>
            </w:r>
          </w:p>
          <w:p>
            <w:pPr>
              <w:pStyle w:val="TableParagraph"/>
              <w:spacing w:line="237" w:lineRule="auto" w:before="1"/>
              <w:ind w:left="100" w:right="150"/>
              <w:jc w:val="both"/>
              <w:rPr>
                <w:rFonts w:ascii="宋体" w:hAnsi="宋体" w:cs="宋体" w:eastAsia="宋体" w:hint="default"/>
                <w:sz w:val="18"/>
                <w:szCs w:val="18"/>
              </w:rPr>
            </w:pPr>
            <w:r>
              <w:rPr>
                <w:rFonts w:ascii="宋体" w:hAnsi="宋体" w:cs="宋体" w:eastAsia="宋体" w:hint="default"/>
                <w:sz w:val="18"/>
                <w:szCs w:val="18"/>
              </w:rPr>
              <w:t>出售金 融资产 公允价 值变动 净额</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1883"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0"/>
                <w:sz w:val="18"/>
                <w:szCs w:val="18"/>
              </w:rPr>
              <w:t>2．权益</w:t>
            </w:r>
          </w:p>
          <w:p>
            <w:pPr>
              <w:pStyle w:val="TableParagraph"/>
              <w:spacing w:line="237" w:lineRule="auto" w:before="1"/>
              <w:ind w:left="100" w:right="150"/>
              <w:jc w:val="both"/>
              <w:rPr>
                <w:rFonts w:ascii="宋体" w:hAnsi="宋体" w:cs="宋体" w:eastAsia="宋体" w:hint="default"/>
                <w:sz w:val="18"/>
                <w:szCs w:val="18"/>
              </w:rPr>
            </w:pPr>
            <w:r>
              <w:rPr>
                <w:rFonts w:ascii="宋体" w:hAnsi="宋体" w:cs="宋体" w:eastAsia="宋体" w:hint="default"/>
                <w:sz w:val="18"/>
                <w:szCs w:val="18"/>
              </w:rPr>
              <w:t>法下被 投资单 位其他 所有者 权益变 动的影 响</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640" w:right="4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808"/>
        <w:gridCol w:w="1499"/>
        <w:gridCol w:w="1498"/>
        <w:gridCol w:w="238"/>
        <w:gridCol w:w="1464"/>
        <w:gridCol w:w="236"/>
        <w:gridCol w:w="1564"/>
        <w:gridCol w:w="240"/>
        <w:gridCol w:w="1456"/>
        <w:gridCol w:w="1592"/>
      </w:tblGrid>
      <w:tr>
        <w:trPr>
          <w:trHeight w:val="241"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3．与计</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入所有</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项目相</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关的所</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得税影</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1"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8"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4．其他</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tcBorders>
              <w:top w:val="single" w:sz="6" w:space="0" w:color="000000"/>
              <w:left w:val="single" w:sz="6" w:space="0" w:color="000000"/>
              <w:bottom w:val="nil" w:sz="6" w:space="0" w:color="auto"/>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tcBorders>
              <w:top w:val="single" w:sz="6" w:space="0" w:color="000000"/>
              <w:left w:val="single" w:sz="6" w:space="0" w:color="000000"/>
              <w:bottom w:val="nil" w:sz="6" w:space="0" w:color="auto"/>
              <w:right w:val="single" w:sz="6" w:space="0" w:color="000000"/>
            </w:tcBorders>
          </w:tcPr>
          <w:p>
            <w:pPr/>
          </w:p>
        </w:tc>
        <w:tc>
          <w:tcPr>
            <w:tcW w:w="1592" w:type="dxa"/>
            <w:tcBorders>
              <w:top w:val="single" w:sz="6" w:space="0" w:color="000000"/>
              <w:left w:val="single" w:sz="6" w:space="0" w:color="000000"/>
              <w:bottom w:val="nil" w:sz="6" w:space="0" w:color="auto"/>
              <w:right w:val="single" w:sz="6" w:space="0" w:color="000000"/>
            </w:tcBorders>
          </w:tcPr>
          <w:p>
            <w:pPr/>
          </w:p>
        </w:tc>
      </w:tr>
      <w:tr>
        <w:trPr>
          <w:trHeight w:val="467"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和（二）</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-51,892,692.94</w:t>
            </w:r>
          </w:p>
        </w:tc>
        <w:tc>
          <w:tcPr>
            <w:tcW w:w="240" w:type="dxa"/>
            <w:vMerge/>
            <w:tcBorders>
              <w:left w:val="single" w:sz="6" w:space="0" w:color="000000"/>
              <w:right w:val="single" w:sz="6" w:space="0" w:color="000000"/>
            </w:tcBorders>
          </w:tcPr>
          <w:p>
            <w:pPr/>
          </w:p>
        </w:tc>
        <w:tc>
          <w:tcPr>
            <w:tcW w:w="1456"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170" w:right="0"/>
              <w:jc w:val="left"/>
              <w:rPr>
                <w:rFonts w:ascii="宋体" w:hAnsi="宋体" w:cs="宋体" w:eastAsia="宋体" w:hint="default"/>
                <w:sz w:val="18"/>
                <w:szCs w:val="18"/>
              </w:rPr>
            </w:pPr>
            <w:r>
              <w:rPr>
                <w:rFonts w:ascii="宋体"/>
                <w:sz w:val="18"/>
              </w:rPr>
              <w:t>-2,336,377.91</w:t>
            </w:r>
          </w:p>
        </w:tc>
        <w:tc>
          <w:tcPr>
            <w:tcW w:w="1592"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218" w:right="0"/>
              <w:jc w:val="left"/>
              <w:rPr>
                <w:rFonts w:ascii="宋体" w:hAnsi="宋体" w:cs="宋体" w:eastAsia="宋体" w:hint="default"/>
                <w:sz w:val="18"/>
                <w:szCs w:val="18"/>
              </w:rPr>
            </w:pPr>
            <w:r>
              <w:rPr>
                <w:rFonts w:ascii="宋体"/>
                <w:sz w:val="18"/>
              </w:rPr>
              <w:t>-54,229,070.85</w:t>
            </w:r>
          </w:p>
        </w:tc>
      </w:tr>
      <w:tr>
        <w:trPr>
          <w:trHeight w:val="242"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tcBorders>
              <w:top w:val="nil" w:sz="6" w:space="0" w:color="auto"/>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tcBorders>
              <w:top w:val="nil" w:sz="6" w:space="0" w:color="auto"/>
              <w:left w:val="single" w:sz="6" w:space="0" w:color="000000"/>
              <w:bottom w:val="single" w:sz="6" w:space="0" w:color="000000"/>
              <w:right w:val="single" w:sz="6" w:space="0" w:color="000000"/>
            </w:tcBorders>
          </w:tcPr>
          <w:p>
            <w:pPr/>
          </w:p>
        </w:tc>
        <w:tc>
          <w:tcPr>
            <w:tcW w:w="1592"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投入和</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2"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1"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1．所有</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1"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1"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2．股份</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支付计</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入所有</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1"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8"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3．其他</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利润分</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1"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1"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1．提取</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2"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0"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2．提取</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2"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0"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3．对所</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2"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8"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4．其他</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tcBorders>
              <w:top w:val="single" w:sz="6" w:space="0" w:color="000000"/>
              <w:left w:val="single" w:sz="6" w:space="0" w:color="000000"/>
              <w:bottom w:val="nil" w:sz="6" w:space="0" w:color="auto"/>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tcBorders>
              <w:top w:val="single" w:sz="6" w:space="0" w:color="000000"/>
              <w:left w:val="single" w:sz="6" w:space="0" w:color="000000"/>
              <w:bottom w:val="nil" w:sz="6" w:space="0" w:color="auto"/>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467"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权益内</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2,081,017.65</w:t>
            </w:r>
          </w:p>
        </w:tc>
        <w:tc>
          <w:tcPr>
            <w:tcW w:w="236" w:type="dxa"/>
            <w:vMerge/>
            <w:tcBorders>
              <w:left w:val="single" w:sz="6" w:space="0" w:color="000000"/>
              <w:right w:val="single" w:sz="6" w:space="0" w:color="000000"/>
            </w:tcBorders>
          </w:tcPr>
          <w:p>
            <w:pPr/>
          </w:p>
        </w:tc>
        <w:tc>
          <w:tcPr>
            <w:tcW w:w="156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-2,081,017.65</w:t>
            </w: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1"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tcBorders>
              <w:top w:val="nil" w:sz="6" w:space="0" w:color="auto"/>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tcBorders>
              <w:top w:val="nil" w:sz="6" w:space="0" w:color="auto"/>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1"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1．资本</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增资本</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4"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2"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0"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2．盈余</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增资本</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2"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0"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3．盈余</w:t>
            </w:r>
          </w:p>
        </w:tc>
        <w:tc>
          <w:tcPr>
            <w:tcW w:w="1499" w:type="dxa"/>
            <w:vMerge w:val="restart"/>
            <w:tcBorders>
              <w:top w:val="single" w:sz="6" w:space="0" w:color="000000"/>
              <w:left w:val="single" w:sz="6" w:space="0" w:color="000000"/>
              <w:right w:val="single" w:sz="6" w:space="0" w:color="000000"/>
            </w:tcBorders>
          </w:tcPr>
          <w:p>
            <w:pPr/>
          </w:p>
        </w:tc>
        <w:tc>
          <w:tcPr>
            <w:tcW w:w="1498" w:type="dxa"/>
            <w:vMerge w:val="restart"/>
            <w:tcBorders>
              <w:top w:val="single" w:sz="6" w:space="0" w:color="000000"/>
              <w:left w:val="single" w:sz="6" w:space="0" w:color="000000"/>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vMerge w:val="restart"/>
            <w:tcBorders>
              <w:top w:val="single" w:sz="6" w:space="0" w:color="000000"/>
              <w:left w:val="single" w:sz="6" w:space="0" w:color="000000"/>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vMerge w:val="restart"/>
            <w:tcBorders>
              <w:top w:val="single" w:sz="6" w:space="0" w:color="000000"/>
              <w:left w:val="single" w:sz="6" w:space="0" w:color="000000"/>
              <w:right w:val="single" w:sz="6" w:space="0" w:color="000000"/>
            </w:tcBorders>
          </w:tcPr>
          <w:p>
            <w:pPr/>
          </w:p>
        </w:tc>
        <w:tc>
          <w:tcPr>
            <w:tcW w:w="1592" w:type="dxa"/>
            <w:vMerge w:val="restart"/>
            <w:tcBorders>
              <w:top w:val="single" w:sz="6" w:space="0" w:color="000000"/>
              <w:left w:val="single" w:sz="6" w:space="0" w:color="000000"/>
              <w:right w:val="single" w:sz="6" w:space="0" w:color="000000"/>
            </w:tcBorders>
          </w:tcPr>
          <w:p>
            <w:pPr/>
          </w:p>
        </w:tc>
      </w:tr>
      <w:tr>
        <w:trPr>
          <w:trHeight w:val="233"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公积弥</w:t>
            </w:r>
          </w:p>
        </w:tc>
        <w:tc>
          <w:tcPr>
            <w:tcW w:w="1499" w:type="dxa"/>
            <w:vMerge/>
            <w:tcBorders>
              <w:left w:val="single" w:sz="6" w:space="0" w:color="000000"/>
              <w:right w:val="single" w:sz="6" w:space="0" w:color="000000"/>
            </w:tcBorders>
          </w:tcPr>
          <w:p>
            <w:pPr/>
          </w:p>
        </w:tc>
        <w:tc>
          <w:tcPr>
            <w:tcW w:w="1498" w:type="dxa"/>
            <w:vMerge/>
            <w:tcBorders>
              <w:left w:val="single" w:sz="6" w:space="0" w:color="000000"/>
              <w:right w:val="single" w:sz="6" w:space="0" w:color="000000"/>
            </w:tcBorders>
          </w:tcPr>
          <w:p>
            <w:pPr/>
          </w:p>
        </w:tc>
        <w:tc>
          <w:tcPr>
            <w:tcW w:w="238" w:type="dxa"/>
            <w:vMerge/>
            <w:tcBorders>
              <w:left w:val="single" w:sz="6" w:space="0" w:color="000000"/>
              <w:right w:val="single" w:sz="6" w:space="0" w:color="000000"/>
            </w:tcBorders>
          </w:tcPr>
          <w:p>
            <w:pPr/>
          </w:p>
        </w:tc>
        <w:tc>
          <w:tcPr>
            <w:tcW w:w="1464"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564" w:type="dxa"/>
            <w:vMerge/>
            <w:tcBorders>
              <w:left w:val="single" w:sz="6" w:space="0" w:color="000000"/>
              <w:right w:val="single" w:sz="6" w:space="0" w:color="000000"/>
            </w:tcBorders>
          </w:tcPr>
          <w:p>
            <w:pPr/>
          </w:p>
        </w:tc>
        <w:tc>
          <w:tcPr>
            <w:tcW w:w="240" w:type="dxa"/>
            <w:vMerge/>
            <w:tcBorders>
              <w:left w:val="single" w:sz="6" w:space="0" w:color="000000"/>
              <w:right w:val="single" w:sz="6" w:space="0" w:color="000000"/>
            </w:tcBorders>
          </w:tcPr>
          <w:p>
            <w:pPr/>
          </w:p>
        </w:tc>
        <w:tc>
          <w:tcPr>
            <w:tcW w:w="1456" w:type="dxa"/>
            <w:vMerge/>
            <w:tcBorders>
              <w:left w:val="single" w:sz="6" w:space="0" w:color="000000"/>
              <w:right w:val="single" w:sz="6" w:space="0" w:color="000000"/>
            </w:tcBorders>
          </w:tcPr>
          <w:p>
            <w:pPr/>
          </w:p>
        </w:tc>
        <w:tc>
          <w:tcPr>
            <w:tcW w:w="1592" w:type="dxa"/>
            <w:vMerge/>
            <w:tcBorders>
              <w:left w:val="single" w:sz="6" w:space="0" w:color="000000"/>
              <w:right w:val="single" w:sz="6" w:space="0" w:color="000000"/>
            </w:tcBorders>
          </w:tcPr>
          <w:p>
            <w:pPr/>
          </w:p>
        </w:tc>
      </w:tr>
      <w:tr>
        <w:trPr>
          <w:trHeight w:val="242"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499"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vMerge/>
            <w:tcBorders>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vMerge/>
            <w:tcBorders>
              <w:left w:val="single" w:sz="6" w:space="0" w:color="000000"/>
              <w:bottom w:val="single" w:sz="6" w:space="0" w:color="000000"/>
              <w:right w:val="single" w:sz="6" w:space="0" w:color="000000"/>
            </w:tcBorders>
          </w:tcPr>
          <w:p>
            <w:pPr/>
          </w:p>
        </w:tc>
        <w:tc>
          <w:tcPr>
            <w:tcW w:w="1592" w:type="dxa"/>
            <w:vMerge/>
            <w:tcBorders>
              <w:left w:val="single" w:sz="6" w:space="0" w:color="000000"/>
              <w:bottom w:val="single" w:sz="6" w:space="0" w:color="000000"/>
              <w:right w:val="single" w:sz="6" w:space="0" w:color="000000"/>
            </w:tcBorders>
          </w:tcPr>
          <w:p>
            <w:pPr/>
          </w:p>
        </w:tc>
      </w:tr>
      <w:tr>
        <w:trPr>
          <w:trHeight w:val="248"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4．其他</w:t>
            </w:r>
          </w:p>
        </w:tc>
        <w:tc>
          <w:tcPr>
            <w:tcW w:w="1499"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2,081,017.65</w:t>
            </w:r>
          </w:p>
        </w:tc>
        <w:tc>
          <w:tcPr>
            <w:tcW w:w="236"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-2,081,017.65</w:t>
            </w:r>
          </w:p>
        </w:tc>
        <w:tc>
          <w:tcPr>
            <w:tcW w:w="240"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640" w:right="4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808"/>
        <w:gridCol w:w="1499"/>
        <w:gridCol w:w="1498"/>
        <w:gridCol w:w="238"/>
        <w:gridCol w:w="1464"/>
        <w:gridCol w:w="236"/>
        <w:gridCol w:w="1564"/>
        <w:gridCol w:w="240"/>
        <w:gridCol w:w="1456"/>
        <w:gridCol w:w="1592"/>
      </w:tblGrid>
      <w:tr>
        <w:trPr>
          <w:trHeight w:val="240" w:hRule="exact"/>
        </w:trPr>
        <w:tc>
          <w:tcPr>
            <w:tcW w:w="80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w:t>
            </w:r>
          </w:p>
        </w:tc>
        <w:tc>
          <w:tcPr>
            <w:tcW w:w="1499" w:type="dxa"/>
            <w:tcBorders>
              <w:top w:val="single" w:sz="6" w:space="0" w:color="000000"/>
              <w:left w:val="single" w:sz="6" w:space="0" w:color="000000"/>
              <w:bottom w:val="nil" w:sz="6" w:space="0" w:color="auto"/>
              <w:right w:val="single" w:sz="6" w:space="0" w:color="000000"/>
            </w:tcBorders>
          </w:tcPr>
          <w:p>
            <w:pPr/>
          </w:p>
        </w:tc>
        <w:tc>
          <w:tcPr>
            <w:tcW w:w="1498" w:type="dxa"/>
            <w:tcBorders>
              <w:top w:val="single" w:sz="6" w:space="0" w:color="000000"/>
              <w:left w:val="single" w:sz="6" w:space="0" w:color="000000"/>
              <w:bottom w:val="nil" w:sz="6" w:space="0" w:color="auto"/>
              <w:right w:val="single" w:sz="6" w:space="0" w:color="000000"/>
            </w:tcBorders>
          </w:tcPr>
          <w:p>
            <w:pPr/>
          </w:p>
        </w:tc>
        <w:tc>
          <w:tcPr>
            <w:tcW w:w="238" w:type="dxa"/>
            <w:vMerge w:val="restart"/>
            <w:tcBorders>
              <w:top w:val="single" w:sz="6" w:space="0" w:color="000000"/>
              <w:left w:val="single" w:sz="6" w:space="0" w:color="000000"/>
              <w:right w:val="single" w:sz="6" w:space="0" w:color="000000"/>
            </w:tcBorders>
          </w:tcPr>
          <w:p>
            <w:pPr/>
          </w:p>
        </w:tc>
        <w:tc>
          <w:tcPr>
            <w:tcW w:w="1464" w:type="dxa"/>
            <w:tcBorders>
              <w:top w:val="single" w:sz="6" w:space="0" w:color="000000"/>
              <w:left w:val="single" w:sz="6" w:space="0" w:color="000000"/>
              <w:bottom w:val="nil" w:sz="6" w:space="0" w:color="auto"/>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564" w:type="dxa"/>
            <w:tcBorders>
              <w:top w:val="single" w:sz="6" w:space="0" w:color="000000"/>
              <w:left w:val="single" w:sz="6" w:space="0" w:color="000000"/>
              <w:bottom w:val="nil" w:sz="6" w:space="0" w:color="auto"/>
              <w:right w:val="single" w:sz="6" w:space="0" w:color="000000"/>
            </w:tcBorders>
          </w:tcPr>
          <w:p>
            <w:pPr/>
          </w:p>
        </w:tc>
        <w:tc>
          <w:tcPr>
            <w:tcW w:w="240" w:type="dxa"/>
            <w:vMerge w:val="restart"/>
            <w:tcBorders>
              <w:top w:val="single" w:sz="6" w:space="0" w:color="000000"/>
              <w:left w:val="single" w:sz="6" w:space="0" w:color="000000"/>
              <w:right w:val="single" w:sz="6" w:space="0" w:color="000000"/>
            </w:tcBorders>
          </w:tcPr>
          <w:p>
            <w:pPr/>
          </w:p>
        </w:tc>
        <w:tc>
          <w:tcPr>
            <w:tcW w:w="1456" w:type="dxa"/>
            <w:tcBorders>
              <w:top w:val="single" w:sz="6" w:space="0" w:color="000000"/>
              <w:left w:val="single" w:sz="6" w:space="0" w:color="000000"/>
              <w:bottom w:val="nil" w:sz="6" w:space="0" w:color="auto"/>
              <w:right w:val="single" w:sz="6" w:space="0" w:color="000000"/>
            </w:tcBorders>
          </w:tcPr>
          <w:p>
            <w:pPr/>
          </w:p>
        </w:tc>
        <w:tc>
          <w:tcPr>
            <w:tcW w:w="1592"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80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期期末</w:t>
            </w:r>
          </w:p>
        </w:tc>
        <w:tc>
          <w:tcPr>
            <w:tcW w:w="149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390,000,000.00</w:t>
            </w:r>
          </w:p>
        </w:tc>
        <w:tc>
          <w:tcPr>
            <w:tcW w:w="149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325,637,339.56</w:t>
            </w:r>
          </w:p>
        </w:tc>
        <w:tc>
          <w:tcPr>
            <w:tcW w:w="238" w:type="dxa"/>
            <w:vMerge/>
            <w:tcBorders>
              <w:left w:val="single" w:sz="6" w:space="0" w:color="000000"/>
              <w:right w:val="single" w:sz="6" w:space="0" w:color="000000"/>
            </w:tcBorders>
          </w:tcPr>
          <w:p>
            <w:pPr/>
          </w:p>
        </w:tc>
        <w:tc>
          <w:tcPr>
            <w:tcW w:w="14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78" w:right="0"/>
              <w:jc w:val="left"/>
              <w:rPr>
                <w:rFonts w:ascii="宋体" w:hAnsi="宋体" w:cs="宋体" w:eastAsia="宋体" w:hint="default"/>
                <w:sz w:val="18"/>
                <w:szCs w:val="18"/>
              </w:rPr>
            </w:pPr>
            <w:r>
              <w:rPr>
                <w:rFonts w:ascii="宋体"/>
                <w:sz w:val="18"/>
              </w:rPr>
              <w:t>30,148,477.71</w:t>
            </w:r>
          </w:p>
        </w:tc>
        <w:tc>
          <w:tcPr>
            <w:tcW w:w="236" w:type="dxa"/>
            <w:vMerge/>
            <w:tcBorders>
              <w:left w:val="single" w:sz="6" w:space="0" w:color="000000"/>
              <w:right w:val="single" w:sz="6" w:space="0" w:color="000000"/>
            </w:tcBorders>
          </w:tcPr>
          <w:p>
            <w:pPr/>
          </w:p>
        </w:tc>
        <w:tc>
          <w:tcPr>
            <w:tcW w:w="156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88" w:right="0"/>
              <w:jc w:val="left"/>
              <w:rPr>
                <w:rFonts w:ascii="宋体" w:hAnsi="宋体" w:cs="宋体" w:eastAsia="宋体" w:hint="default"/>
                <w:sz w:val="18"/>
                <w:szCs w:val="18"/>
              </w:rPr>
            </w:pPr>
            <w:r>
              <w:rPr>
                <w:rFonts w:ascii="宋体"/>
                <w:sz w:val="18"/>
              </w:rPr>
              <w:t>103,159,010.91</w:t>
            </w:r>
          </w:p>
        </w:tc>
        <w:tc>
          <w:tcPr>
            <w:tcW w:w="240" w:type="dxa"/>
            <w:vMerge/>
            <w:tcBorders>
              <w:left w:val="single" w:sz="6" w:space="0" w:color="000000"/>
              <w:right w:val="single" w:sz="6" w:space="0" w:color="000000"/>
            </w:tcBorders>
          </w:tcPr>
          <w:p>
            <w:pPr/>
          </w:p>
        </w:tc>
        <w:tc>
          <w:tcPr>
            <w:tcW w:w="14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60" w:right="0"/>
              <w:jc w:val="left"/>
              <w:rPr>
                <w:rFonts w:ascii="宋体" w:hAnsi="宋体" w:cs="宋体" w:eastAsia="宋体" w:hint="default"/>
                <w:sz w:val="18"/>
                <w:szCs w:val="18"/>
              </w:rPr>
            </w:pPr>
            <w:r>
              <w:rPr>
                <w:rFonts w:ascii="宋体"/>
                <w:sz w:val="18"/>
              </w:rPr>
              <w:t>5,844,282.96</w:t>
            </w:r>
          </w:p>
        </w:tc>
        <w:tc>
          <w:tcPr>
            <w:tcW w:w="159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18" w:right="0"/>
              <w:jc w:val="left"/>
              <w:rPr>
                <w:rFonts w:ascii="宋体" w:hAnsi="宋体" w:cs="宋体" w:eastAsia="宋体" w:hint="default"/>
                <w:sz w:val="18"/>
                <w:szCs w:val="18"/>
              </w:rPr>
            </w:pPr>
            <w:r>
              <w:rPr>
                <w:rFonts w:ascii="宋体"/>
                <w:sz w:val="18"/>
              </w:rPr>
              <w:t>854,789,111.14</w:t>
            </w:r>
          </w:p>
        </w:tc>
      </w:tr>
      <w:tr>
        <w:trPr>
          <w:trHeight w:val="242" w:hRule="exact"/>
        </w:trPr>
        <w:tc>
          <w:tcPr>
            <w:tcW w:w="80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99" w:type="dxa"/>
            <w:tcBorders>
              <w:top w:val="nil" w:sz="6" w:space="0" w:color="auto"/>
              <w:left w:val="single" w:sz="6" w:space="0" w:color="000000"/>
              <w:bottom w:val="single" w:sz="6" w:space="0" w:color="000000"/>
              <w:right w:val="single" w:sz="6" w:space="0" w:color="000000"/>
            </w:tcBorders>
          </w:tcPr>
          <w:p>
            <w:pPr/>
          </w:p>
        </w:tc>
        <w:tc>
          <w:tcPr>
            <w:tcW w:w="1498" w:type="dxa"/>
            <w:tcBorders>
              <w:top w:val="nil" w:sz="6" w:space="0" w:color="auto"/>
              <w:left w:val="single" w:sz="6" w:space="0" w:color="000000"/>
              <w:bottom w:val="single" w:sz="6" w:space="0" w:color="000000"/>
              <w:right w:val="single" w:sz="6" w:space="0" w:color="000000"/>
            </w:tcBorders>
          </w:tcPr>
          <w:p>
            <w:pPr/>
          </w:p>
        </w:tc>
        <w:tc>
          <w:tcPr>
            <w:tcW w:w="238" w:type="dxa"/>
            <w:vMerge/>
            <w:tcBorders>
              <w:left w:val="single" w:sz="6" w:space="0" w:color="000000"/>
              <w:bottom w:val="single" w:sz="6" w:space="0" w:color="000000"/>
              <w:right w:val="single" w:sz="6" w:space="0" w:color="000000"/>
            </w:tcBorders>
          </w:tcPr>
          <w:p>
            <w:pPr/>
          </w:p>
        </w:tc>
        <w:tc>
          <w:tcPr>
            <w:tcW w:w="1464" w:type="dxa"/>
            <w:tcBorders>
              <w:top w:val="nil" w:sz="6" w:space="0" w:color="auto"/>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564" w:type="dxa"/>
            <w:tcBorders>
              <w:top w:val="nil" w:sz="6" w:space="0" w:color="auto"/>
              <w:left w:val="single" w:sz="6" w:space="0" w:color="000000"/>
              <w:bottom w:val="single" w:sz="6" w:space="0" w:color="000000"/>
              <w:right w:val="single" w:sz="6" w:space="0" w:color="000000"/>
            </w:tcBorders>
          </w:tcPr>
          <w:p>
            <w:pPr/>
          </w:p>
        </w:tc>
        <w:tc>
          <w:tcPr>
            <w:tcW w:w="240" w:type="dxa"/>
            <w:vMerge/>
            <w:tcBorders>
              <w:left w:val="single" w:sz="6" w:space="0" w:color="000000"/>
              <w:bottom w:val="single" w:sz="6" w:space="0" w:color="000000"/>
              <w:right w:val="single" w:sz="6" w:space="0" w:color="000000"/>
            </w:tcBorders>
          </w:tcPr>
          <w:p>
            <w:pPr/>
          </w:p>
        </w:tc>
        <w:tc>
          <w:tcPr>
            <w:tcW w:w="1456" w:type="dxa"/>
            <w:tcBorders>
              <w:top w:val="nil" w:sz="6" w:space="0" w:color="auto"/>
              <w:left w:val="single" w:sz="6" w:space="0" w:color="000000"/>
              <w:bottom w:val="single" w:sz="6" w:space="0" w:color="000000"/>
              <w:right w:val="single" w:sz="6" w:space="0" w:color="000000"/>
            </w:tcBorders>
          </w:tcPr>
          <w:p>
            <w:pPr/>
          </w:p>
        </w:tc>
        <w:tc>
          <w:tcPr>
            <w:tcW w:w="1592" w:type="dxa"/>
            <w:tcBorders>
              <w:top w:val="nil" w:sz="6" w:space="0" w:color="auto"/>
              <w:left w:val="single" w:sz="6" w:space="0" w:color="000000"/>
              <w:bottom w:val="single" w:sz="6" w:space="0" w:color="000000"/>
              <w:right w:val="single" w:sz="6" w:space="0" w:color="000000"/>
            </w:tcBorders>
          </w:tcPr>
          <w:p>
            <w:pPr/>
          </w:p>
        </w:tc>
      </w:tr>
    </w:tbl>
    <w:p>
      <w:pPr>
        <w:spacing w:line="240" w:lineRule="auto" w:before="4"/>
        <w:rPr>
          <w:rFonts w:ascii="Times New Roman" w:hAnsi="Times New Roman" w:cs="Times New Roman" w:eastAsia="Times New Roman" w:hint="default"/>
          <w:sz w:val="14"/>
          <w:szCs w:val="14"/>
        </w:rPr>
      </w:pPr>
    </w:p>
    <w:p>
      <w:pPr>
        <w:spacing w:before="44"/>
        <w:ind w:left="0" w:right="1339"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28"/>
          <w:sz w:val="18"/>
          <w:szCs w:val="18"/>
        </w:rPr>
        <w:t> </w:t>
      </w:r>
      <w:r>
        <w:rPr>
          <w:rFonts w:ascii="宋体" w:hAnsi="宋体" w:cs="宋体" w:eastAsia="宋体" w:hint="default"/>
          <w:sz w:val="18"/>
          <w:szCs w:val="18"/>
        </w:rPr>
        <w:t>币种:人民币</w:t>
      </w:r>
    </w:p>
    <w:p>
      <w:pPr>
        <w:spacing w:line="240" w:lineRule="auto" w:before="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92"/>
        <w:gridCol w:w="1498"/>
        <w:gridCol w:w="1500"/>
        <w:gridCol w:w="236"/>
        <w:gridCol w:w="1465"/>
        <w:gridCol w:w="236"/>
        <w:gridCol w:w="1570"/>
        <w:gridCol w:w="246"/>
        <w:gridCol w:w="1454"/>
        <w:gridCol w:w="1502"/>
      </w:tblGrid>
      <w:tr>
        <w:trPr>
          <w:trHeight w:val="248" w:hRule="exact"/>
        </w:trPr>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708" w:type="dxa"/>
            <w:gridSpan w:val="9"/>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8" w:hRule="exact"/>
        </w:trPr>
        <w:tc>
          <w:tcPr>
            <w:tcW w:w="992" w:type="dxa"/>
            <w:vMerge/>
            <w:tcBorders>
              <w:left w:val="single" w:sz="6" w:space="0" w:color="000000"/>
              <w:right w:val="single" w:sz="6" w:space="0" w:color="000000"/>
            </w:tcBorders>
          </w:tcPr>
          <w:p>
            <w:pPr/>
          </w:p>
        </w:tc>
        <w:tc>
          <w:tcPr>
            <w:tcW w:w="6751"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54" w:type="dxa"/>
            <w:vMerge w:val="restart"/>
            <w:tcBorders>
              <w:top w:val="single" w:sz="6" w:space="0" w:color="000000"/>
              <w:left w:val="single" w:sz="6" w:space="0" w:color="000000"/>
              <w:right w:val="single" w:sz="6" w:space="0" w:color="000000"/>
            </w:tcBorders>
          </w:tcPr>
          <w:p>
            <w:pPr>
              <w:pStyle w:val="TableParagraph"/>
              <w:spacing w:line="240" w:lineRule="auto" w:before="87"/>
              <w:ind w:left="18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87"/>
              <w:ind w:left="1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992" w:type="dxa"/>
            <w:vMerge/>
            <w:tcBorders>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vMerge/>
            <w:tcBorders>
              <w:left w:val="single" w:sz="6" w:space="0" w:color="000000"/>
              <w:bottom w:val="single" w:sz="6" w:space="0" w:color="000000"/>
              <w:right w:val="single" w:sz="6" w:space="0" w:color="000000"/>
            </w:tcBorders>
          </w:tcPr>
          <w:p>
            <w:pPr/>
          </w:p>
        </w:tc>
        <w:tc>
          <w:tcPr>
            <w:tcW w:w="1502" w:type="dxa"/>
            <w:vMerge/>
            <w:tcBorders>
              <w:left w:val="single" w:sz="6" w:space="0" w:color="000000"/>
              <w:bottom w:val="single" w:sz="6" w:space="0" w:color="000000"/>
              <w:right w:val="single" w:sz="6" w:space="0" w:color="000000"/>
            </w:tcBorders>
          </w:tcPr>
          <w:p>
            <w:pPr/>
          </w:p>
        </w:tc>
      </w:tr>
      <w:tr>
        <w:trPr>
          <w:trHeight w:val="48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sz w:val="18"/>
              </w:rPr>
              <w:t>390,000,000.00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325,657,339.56</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25,772,318.97</w:t>
            </w: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141,438,983.04</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9,104,237.52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891,972,879.09</w:t>
            </w:r>
          </w:p>
        </w:tc>
      </w:tr>
      <w:tr>
        <w:trPr>
          <w:trHeight w:val="14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85" w:lineRule="auto" w:before="44"/>
              <w:ind w:left="100" w:right="155"/>
              <w:jc w:val="both"/>
              <w:rPr>
                <w:rFonts w:ascii="宋体" w:hAnsi="宋体" w:cs="宋体" w:eastAsia="宋体" w:hint="default"/>
                <w:sz w:val="18"/>
                <w:szCs w:val="18"/>
              </w:rPr>
            </w:pPr>
            <w:r>
              <w:rPr>
                <w:rFonts w:ascii="宋体" w:hAnsi="宋体" w:cs="宋体" w:eastAsia="宋体" w:hint="default"/>
                <w:sz w:val="18"/>
                <w:szCs w:val="18"/>
              </w:rPr>
              <w:t>同一控制 下企业合 并产生的 追溯调整</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85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85" w:lineRule="auto"/>
              <w:ind w:left="100" w:right="155"/>
              <w:jc w:val="left"/>
              <w:rPr>
                <w:rFonts w:ascii="宋体" w:hAnsi="宋体" w:cs="宋体" w:eastAsia="宋体" w:hint="default"/>
                <w:sz w:val="18"/>
                <w:szCs w:val="18"/>
              </w:rPr>
            </w:pPr>
            <w:r>
              <w:rPr>
                <w:rFonts w:ascii="宋体" w:hAnsi="宋体" w:cs="宋体" w:eastAsia="宋体" w:hint="default"/>
                <w:sz w:val="18"/>
                <w:szCs w:val="18"/>
              </w:rPr>
              <w:t>计政策变 更</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8"/>
                <w:szCs w:val="18"/>
              </w:rPr>
            </w:pPr>
            <w:r>
              <w:rPr>
                <w:rFonts w:ascii="宋体"/>
                <w:sz w:val="18"/>
              </w:rPr>
              <w:t>807,114.33</w:t>
            </w: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z w:val="18"/>
              </w:rPr>
              <w:t>4,261,167.80</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155,331.40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5,223,613.53</w:t>
            </w:r>
          </w:p>
        </w:tc>
      </w:tr>
      <w:tr>
        <w:trPr>
          <w:trHeight w:val="85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85" w:lineRule="auto"/>
              <w:ind w:left="100" w:right="155"/>
              <w:jc w:val="left"/>
              <w:rPr>
                <w:rFonts w:ascii="宋体" w:hAnsi="宋体" w:cs="宋体" w:eastAsia="宋体" w:hint="default"/>
                <w:sz w:val="18"/>
                <w:szCs w:val="18"/>
              </w:rPr>
            </w:pPr>
            <w:r>
              <w:rPr>
                <w:rFonts w:ascii="宋体" w:hAnsi="宋体" w:cs="宋体" w:eastAsia="宋体" w:hint="default"/>
                <w:sz w:val="18"/>
                <w:szCs w:val="18"/>
              </w:rPr>
              <w:t>期差错更 正</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sz w:val="18"/>
              </w:rPr>
              <w:t>390,000,000.00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325,657,339.56</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26,579,433.30</w:t>
            </w: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145,700,150.84</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9,259,568.92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897,196,492.62</w:t>
            </w:r>
          </w:p>
        </w:tc>
      </w:tr>
      <w:tr>
        <w:trPr>
          <w:trHeight w:val="118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z w:val="18"/>
                <w:szCs w:val="18"/>
              </w:rPr>
              <w:t>增减变动 金额（减 </w:t>
            </w:r>
            <w:r>
              <w:rPr>
                <w:rFonts w:ascii="宋体" w:hAnsi="宋体" w:cs="宋体" w:eastAsia="宋体" w:hint="default"/>
                <w:spacing w:val="-7"/>
                <w:sz w:val="18"/>
                <w:szCs w:val="18"/>
              </w:rPr>
              <w:t>少以“－”</w:t>
            </w:r>
            <w:r>
              <w:rPr>
                <w:rFonts w:ascii="宋体" w:hAnsi="宋体" w:cs="宋体" w:eastAsia="宋体" w:hint="default"/>
                <w:sz w:val="18"/>
                <w:szCs w:val="18"/>
              </w:rPr>
              <w:t> 号填列）</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-20,000.00</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1,488,026.76</w:t>
            </w: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11,432,570.66</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-1,078,908.05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11,821,689.37</w:t>
            </w:r>
          </w:p>
        </w:tc>
      </w:tr>
      <w:tr>
        <w:trPr>
          <w:trHeight w:val="48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12,920,597.42</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-1,078,908.05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11,841,689.37</w:t>
            </w:r>
          </w:p>
        </w:tc>
      </w:tr>
      <w:tr>
        <w:trPr>
          <w:trHeight w:val="118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（二）直</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接计入所 有者权益 的利得和 损失</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-20,000.00</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-20,000.00</w:t>
            </w:r>
          </w:p>
        </w:tc>
      </w:tr>
      <w:tr>
        <w:trPr>
          <w:trHeight w:val="118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1．可供出</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售金融资 产公允价 值变动净 额</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141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2．权益法</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下被投资 单位其他 所有者权 益变动的 影响</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3．与计入</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所有者权 益项目相 关的所得 税影响</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w:t>
            </w:r>
          </w:p>
        </w:tc>
      </w:tr>
      <w:tr>
        <w:trPr>
          <w:trHeight w:val="71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上述（一）</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和（二） 小计</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-20,000.00</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12,920,597.42</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-1,078,908.05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11,821,689.37</w:t>
            </w:r>
          </w:p>
        </w:tc>
      </w:tr>
    </w:tbl>
    <w:p>
      <w:pPr>
        <w:spacing w:after="0" w:line="240" w:lineRule="auto"/>
        <w:jc w:val="right"/>
        <w:rPr>
          <w:rFonts w:ascii="宋体" w:hAnsi="宋体" w:cs="宋体" w:eastAsia="宋体" w:hint="default"/>
          <w:sz w:val="18"/>
          <w:szCs w:val="18"/>
        </w:rPr>
        <w:sectPr>
          <w:pgSz w:w="11910" w:h="16840"/>
          <w:pgMar w:header="747" w:footer="727" w:top="980" w:bottom="920" w:left="640" w:right="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92"/>
        <w:gridCol w:w="1498"/>
        <w:gridCol w:w="1500"/>
        <w:gridCol w:w="236"/>
        <w:gridCol w:w="1465"/>
        <w:gridCol w:w="236"/>
        <w:gridCol w:w="1570"/>
        <w:gridCol w:w="246"/>
        <w:gridCol w:w="1454"/>
        <w:gridCol w:w="1502"/>
      </w:tblGrid>
      <w:tr>
        <w:trPr>
          <w:trHeight w:val="94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（三）所</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有者投入 和减少资 本</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2．股份支</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1,488,026.76</w:t>
            </w: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-1,488,026.76</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1．提取盈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1,488,026.76</w:t>
            </w: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-1,488,026.76</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2．提取一</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般风险准 备</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3．对所有</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者（或股 东）的分 配</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有者权益 内部结转</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1．资本公</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2．盈余公</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3．盈余公</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390,000,000.00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sz w:val="18"/>
              </w:rPr>
              <w:t>325,637,339.56</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28,067,460.06</w:t>
            </w:r>
          </w:p>
        </w:tc>
        <w:tc>
          <w:tcPr>
            <w:tcW w:w="23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157,132,721.50</w:t>
            </w:r>
          </w:p>
        </w:tc>
        <w:tc>
          <w:tcPr>
            <w:tcW w:w="246"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sz w:val="18"/>
              </w:rPr>
              <w:t>8,180,660.87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z w:val="18"/>
              </w:rPr>
              <w:t>909,018,181.99</w:t>
            </w:r>
          </w:p>
        </w:tc>
      </w:tr>
    </w:tbl>
    <w:p>
      <w:pPr>
        <w:tabs>
          <w:tab w:pos="4037" w:val="left" w:leader="none"/>
          <w:tab w:pos="7984" w:val="left" w:leader="none"/>
        </w:tabs>
        <w:spacing w:line="213" w:lineRule="exact" w:before="0"/>
        <w:ind w:left="720" w:right="0" w:firstLine="0"/>
        <w:jc w:val="left"/>
        <w:rPr>
          <w:rFonts w:ascii="宋体" w:hAnsi="宋体" w:cs="宋体" w:eastAsia="宋体" w:hint="default"/>
          <w:sz w:val="18"/>
          <w:szCs w:val="18"/>
        </w:rPr>
      </w:pPr>
      <w:r>
        <w:rPr>
          <w:rFonts w:ascii="宋体" w:hAnsi="宋体" w:cs="宋体" w:eastAsia="宋体" w:hint="default"/>
          <w:spacing w:val="-1"/>
          <w:sz w:val="18"/>
          <w:szCs w:val="18"/>
        </w:rPr>
        <w:t>公司法定代表人：王宏伟</w:t>
        <w:tab/>
      </w:r>
      <w:r>
        <w:rPr>
          <w:rFonts w:ascii="宋体" w:hAnsi="宋体" w:cs="宋体" w:eastAsia="宋体" w:hint="default"/>
          <w:sz w:val="18"/>
          <w:szCs w:val="18"/>
        </w:rPr>
        <w:t>主管会计工作负责人：刘亚芳</w:t>
        <w:tab/>
      </w:r>
      <w:r>
        <w:rPr>
          <w:rFonts w:ascii="宋体" w:hAnsi="宋体" w:cs="宋体" w:eastAsia="宋体" w:hint="default"/>
          <w:spacing w:val="-1"/>
          <w:sz w:val="18"/>
          <w:szCs w:val="18"/>
        </w:rPr>
        <w:t>会计机构负责人：刘亚芳</w:t>
      </w: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727" w:top="980" w:bottom="920" w:left="640" w:right="320"/>
        </w:sectPr>
      </w:pPr>
    </w:p>
    <w:p>
      <w:pPr>
        <w:spacing w:line="244" w:lineRule="auto" w:before="44"/>
        <w:ind w:left="4689" w:right="0" w:hanging="342"/>
        <w:jc w:val="left"/>
        <w:rPr>
          <w:rFonts w:ascii="宋体" w:hAnsi="宋体" w:cs="宋体" w:eastAsia="宋体" w:hint="default"/>
          <w:sz w:val="18"/>
          <w:szCs w:val="18"/>
        </w:rPr>
      </w:pPr>
      <w:r>
        <w:rPr>
          <w:rFonts w:ascii="宋体" w:hAnsi="宋体" w:cs="宋体" w:eastAsia="宋体" w:hint="default"/>
          <w:b/>
          <w:bCs/>
          <w:w w:val="95"/>
          <w:sz w:val="18"/>
          <w:szCs w:val="18"/>
        </w:rPr>
        <w:t>母公司所有者权益变动表</w:t>
      </w:r>
      <w:r>
        <w:rPr>
          <w:rFonts w:ascii="宋体" w:hAnsi="宋体" w:cs="宋体" w:eastAsia="宋体" w:hint="default"/>
          <w:b/>
          <w:bCs/>
          <w:spacing w:val="8"/>
          <w:w w:val="95"/>
          <w:sz w:val="18"/>
          <w:szCs w:val="18"/>
        </w:rPr>
        <w:t> </w:t>
      </w:r>
      <w:r>
        <w:rPr>
          <w:rFonts w:ascii="宋体" w:hAnsi="宋体" w:cs="宋体" w:eastAsia="宋体" w:hint="default"/>
          <w:b/>
          <w:bCs/>
          <w:spacing w:val="8"/>
          <w:w w:val="95"/>
          <w:sz w:val="18"/>
          <w:szCs w:val="18"/>
        </w:rPr>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2"/>
          <w:szCs w:val="22"/>
        </w:rPr>
      </w:pPr>
    </w:p>
    <w:p>
      <w:pPr>
        <w:spacing w:before="0"/>
        <w:ind w:left="1545" w:right="0"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28"/>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600" w:bottom="280" w:left="640" w:right="320"/>
          <w:cols w:num="2" w:equalWidth="0">
            <w:col w:w="6336" w:space="40"/>
            <w:col w:w="4574"/>
          </w:cols>
        </w:sectPr>
      </w:pPr>
    </w:p>
    <w:p>
      <w:pPr>
        <w:spacing w:line="240" w:lineRule="auto" w:before="2"/>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858"/>
        <w:gridCol w:w="1476"/>
        <w:gridCol w:w="1476"/>
        <w:gridCol w:w="236"/>
        <w:gridCol w:w="1386"/>
        <w:gridCol w:w="1476"/>
        <w:gridCol w:w="1500"/>
      </w:tblGrid>
      <w:tr>
        <w:trPr>
          <w:trHeight w:val="248" w:hRule="exact"/>
        </w:trPr>
        <w:tc>
          <w:tcPr>
            <w:tcW w:w="1858" w:type="dxa"/>
            <w:vMerge w:val="restart"/>
            <w:tcBorders>
              <w:top w:val="single" w:sz="6" w:space="0" w:color="000000"/>
              <w:left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50" w:type="dxa"/>
            <w:gridSpan w:val="6"/>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48" w:hRule="exact"/>
        </w:trPr>
        <w:tc>
          <w:tcPr>
            <w:tcW w:w="1858"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325,637,339.56</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28,067,460.06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160,990,807.62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5" w:right="0"/>
              <w:jc w:val="left"/>
              <w:rPr>
                <w:rFonts w:ascii="宋体" w:hAnsi="宋体" w:cs="宋体" w:eastAsia="宋体" w:hint="default"/>
                <w:sz w:val="18"/>
                <w:szCs w:val="18"/>
              </w:rPr>
            </w:pPr>
            <w:r>
              <w:rPr>
                <w:rFonts w:ascii="宋体"/>
                <w:sz w:val="18"/>
              </w:rPr>
              <w:t>904,695,607.24</w:t>
            </w:r>
          </w:p>
        </w:tc>
      </w:tr>
      <w:tr>
        <w:trPr>
          <w:trHeight w:val="575"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5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325,637,339.56</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28,067,460.06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160,990,807.62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5" w:right="0"/>
              <w:jc w:val="left"/>
              <w:rPr>
                <w:rFonts w:ascii="宋体" w:hAnsi="宋体" w:cs="宋体" w:eastAsia="宋体" w:hint="default"/>
                <w:sz w:val="18"/>
                <w:szCs w:val="18"/>
              </w:rPr>
            </w:pPr>
            <w:r>
              <w:rPr>
                <w:rFonts w:ascii="宋体"/>
                <w:sz w:val="18"/>
              </w:rPr>
              <w:t>904,695,607.24</w:t>
            </w:r>
          </w:p>
        </w:tc>
      </w:tr>
      <w:tr>
        <w:trPr>
          <w:trHeight w:val="240" w:hRule="exact"/>
        </w:trPr>
        <w:tc>
          <w:tcPr>
            <w:tcW w:w="185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w:t>
            </w: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236" w:type="dxa"/>
            <w:vMerge w:val="restart"/>
            <w:tcBorders>
              <w:top w:val="single" w:sz="6" w:space="0" w:color="000000"/>
              <w:left w:val="single" w:sz="6" w:space="0" w:color="000000"/>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00"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85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额（减少以“－”号</w:t>
            </w: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236" w:type="dxa"/>
            <w:vMerge/>
            <w:tcBorders>
              <w:left w:val="single" w:sz="6" w:space="0" w:color="000000"/>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89" w:right="0"/>
              <w:jc w:val="center"/>
              <w:rPr>
                <w:rFonts w:ascii="宋体" w:hAnsi="宋体" w:cs="宋体" w:eastAsia="宋体" w:hint="default"/>
                <w:sz w:val="18"/>
                <w:szCs w:val="18"/>
              </w:rPr>
            </w:pPr>
            <w:r>
              <w:rPr>
                <w:rFonts w:ascii="宋体"/>
                <w:sz w:val="18"/>
              </w:rPr>
              <w:t>6,117,637.65</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-53,842,305.73</w:t>
            </w:r>
          </w:p>
        </w:tc>
        <w:tc>
          <w:tcPr>
            <w:tcW w:w="15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25" w:right="0"/>
              <w:jc w:val="left"/>
              <w:rPr>
                <w:rFonts w:ascii="宋体" w:hAnsi="宋体" w:cs="宋体" w:eastAsia="宋体" w:hint="default"/>
                <w:sz w:val="18"/>
                <w:szCs w:val="18"/>
              </w:rPr>
            </w:pPr>
            <w:r>
              <w:rPr>
                <w:rFonts w:ascii="宋体"/>
                <w:sz w:val="18"/>
              </w:rPr>
              <w:t>-47,724,668.08</w:t>
            </w:r>
          </w:p>
        </w:tc>
      </w:tr>
      <w:tr>
        <w:trPr>
          <w:trHeight w:val="242" w:hRule="exact"/>
        </w:trPr>
        <w:tc>
          <w:tcPr>
            <w:tcW w:w="185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236" w:type="dxa"/>
            <w:vMerge/>
            <w:tcBorders>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00" w:type="dxa"/>
            <w:tcBorders>
              <w:top w:val="nil" w:sz="6" w:space="0" w:color="auto"/>
              <w:left w:val="single" w:sz="6" w:space="0" w:color="000000"/>
              <w:bottom w:val="single" w:sz="6" w:space="0" w:color="000000"/>
              <w:right w:val="single" w:sz="6" w:space="0" w:color="000000"/>
            </w:tcBorders>
          </w:tcPr>
          <w:p>
            <w:pP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-47,724,668.08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5" w:right="0"/>
              <w:jc w:val="left"/>
              <w:rPr>
                <w:rFonts w:ascii="宋体" w:hAnsi="宋体" w:cs="宋体" w:eastAsia="宋体" w:hint="default"/>
                <w:sz w:val="18"/>
                <w:szCs w:val="18"/>
              </w:rPr>
            </w:pPr>
            <w:r>
              <w:rPr>
                <w:rFonts w:ascii="宋体"/>
                <w:sz w:val="18"/>
              </w:rPr>
              <w:t>-47,724,668.08</w:t>
            </w:r>
          </w:p>
        </w:tc>
      </w:tr>
    </w:tbl>
    <w:p>
      <w:pPr>
        <w:spacing w:after="0" w:line="207" w:lineRule="exact"/>
        <w:jc w:val="left"/>
        <w:rPr>
          <w:rFonts w:ascii="宋体" w:hAnsi="宋体" w:cs="宋体" w:eastAsia="宋体" w:hint="default"/>
          <w:sz w:val="18"/>
          <w:szCs w:val="18"/>
        </w:rPr>
        <w:sectPr>
          <w:type w:val="continuous"/>
          <w:pgSz w:w="11910" w:h="16840"/>
          <w:pgMar w:top="1600" w:bottom="280" w:left="640" w:right="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58"/>
        <w:gridCol w:w="1476"/>
        <w:gridCol w:w="1476"/>
        <w:gridCol w:w="236"/>
        <w:gridCol w:w="1386"/>
        <w:gridCol w:w="1476"/>
        <w:gridCol w:w="1500"/>
      </w:tblGrid>
      <w:tr>
        <w:trPr>
          <w:trHeight w:val="482"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（二）直接计入所有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者权益的利得和损失</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1．可供出售金融资产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公允价值变动净额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2．权益法下被投资单</w:t>
            </w:r>
          </w:p>
          <w:p>
            <w:pPr>
              <w:pStyle w:val="TableParagraph"/>
              <w:spacing w:line="232" w:lineRule="exact" w:before="24"/>
              <w:ind w:left="100" w:right="120"/>
              <w:jc w:val="left"/>
              <w:rPr>
                <w:rFonts w:ascii="宋体" w:hAnsi="宋体" w:cs="宋体" w:eastAsia="宋体" w:hint="default"/>
                <w:sz w:val="18"/>
                <w:szCs w:val="18"/>
              </w:rPr>
            </w:pPr>
            <w:r>
              <w:rPr>
                <w:rFonts w:ascii="宋体" w:hAnsi="宋体" w:cs="宋体" w:eastAsia="宋体" w:hint="default"/>
                <w:sz w:val="18"/>
                <w:szCs w:val="18"/>
              </w:rPr>
              <w:t>位其他所有者权益变 动的影响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3．与计入所有者权益</w:t>
            </w:r>
          </w:p>
          <w:p>
            <w:pPr>
              <w:pStyle w:val="TableParagraph"/>
              <w:spacing w:line="232" w:lineRule="exact" w:before="24"/>
              <w:ind w:left="100" w:right="120"/>
              <w:jc w:val="left"/>
              <w:rPr>
                <w:rFonts w:ascii="宋体" w:hAnsi="宋体" w:cs="宋体" w:eastAsia="宋体" w:hint="default"/>
                <w:sz w:val="18"/>
                <w:szCs w:val="18"/>
              </w:rPr>
            </w:pPr>
            <w:r>
              <w:rPr>
                <w:rFonts w:ascii="宋体" w:hAnsi="宋体" w:cs="宋体" w:eastAsia="宋体" w:hint="default"/>
                <w:sz w:val="18"/>
                <w:szCs w:val="18"/>
              </w:rPr>
              <w:t>项目相关的所得税影 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-47,724,668.08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5" w:right="0"/>
              <w:jc w:val="left"/>
              <w:rPr>
                <w:rFonts w:ascii="宋体" w:hAnsi="宋体" w:cs="宋体" w:eastAsia="宋体" w:hint="default"/>
                <w:sz w:val="18"/>
                <w:szCs w:val="18"/>
              </w:rPr>
            </w:pPr>
            <w:r>
              <w:rPr>
                <w:rFonts w:ascii="宋体"/>
                <w:sz w:val="18"/>
              </w:rPr>
              <w:t>-47,724,668.08</w:t>
            </w:r>
          </w:p>
        </w:tc>
      </w:tr>
      <w:tr>
        <w:trPr>
          <w:trHeight w:val="481"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2．股份支付计入所有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7,839,951.05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-7,839,951.05</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7,839,951.05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-7,839,951.05</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对所有</w:t>
            </w:r>
            <w:r>
              <w:rPr>
                <w:rFonts w:ascii="宋体" w:hAnsi="宋体" w:cs="宋体" w:eastAsia="宋体" w:hint="default"/>
                <w:spacing w:val="-80"/>
                <w:sz w:val="18"/>
                <w:szCs w:val="18"/>
              </w:rPr>
              <w:t>者</w:t>
            </w:r>
            <w:r>
              <w:rPr>
                <w:rFonts w:ascii="宋体" w:hAnsi="宋体" w:cs="宋体" w:eastAsia="宋体" w:hint="default"/>
                <w:sz w:val="18"/>
                <w:szCs w:val="18"/>
              </w:rPr>
              <w:t>（</w:t>
            </w:r>
            <w:r>
              <w:rPr>
                <w:rFonts w:ascii="宋体" w:hAnsi="宋体" w:cs="宋体" w:eastAsia="宋体" w:hint="default"/>
                <w:spacing w:val="-2"/>
                <w:sz w:val="18"/>
                <w:szCs w:val="18"/>
              </w:rPr>
              <w:t>或</w:t>
            </w:r>
            <w:r>
              <w:rPr>
                <w:rFonts w:ascii="宋体" w:hAnsi="宋体" w:cs="宋体" w:eastAsia="宋体" w:hint="default"/>
                <w:sz w:val="18"/>
                <w:szCs w:val="18"/>
              </w:rPr>
              <w:t>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-1,722,313.40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9" w:right="0"/>
              <w:jc w:val="center"/>
              <w:rPr>
                <w:rFonts w:ascii="宋体" w:hAnsi="宋体" w:cs="宋体" w:eastAsia="宋体" w:hint="default"/>
                <w:sz w:val="18"/>
                <w:szCs w:val="18"/>
              </w:rPr>
            </w:pPr>
            <w:r>
              <w:rPr>
                <w:rFonts w:ascii="宋体"/>
                <w:sz w:val="18"/>
              </w:rPr>
              <w:t>1,722,313.40</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1．资本公积转增资本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2．盈余公积转增资本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3．盈余公积弥补亏损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-1,722,313.40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9" w:right="0"/>
              <w:jc w:val="center"/>
              <w:rPr>
                <w:rFonts w:ascii="宋体" w:hAnsi="宋体" w:cs="宋体" w:eastAsia="宋体" w:hint="default"/>
                <w:sz w:val="18"/>
                <w:szCs w:val="18"/>
              </w:rPr>
            </w:pPr>
            <w:r>
              <w:rPr>
                <w:rFonts w:ascii="宋体"/>
                <w:sz w:val="18"/>
              </w:rPr>
              <w:t>1,722,313.40</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390,000,000.00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325,637,339.56</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34,185,097.71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107,148,501.89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5" w:right="0"/>
              <w:jc w:val="left"/>
              <w:rPr>
                <w:rFonts w:ascii="宋体" w:hAnsi="宋体" w:cs="宋体" w:eastAsia="宋体" w:hint="default"/>
                <w:sz w:val="18"/>
                <w:szCs w:val="18"/>
              </w:rPr>
            </w:pPr>
            <w:r>
              <w:rPr>
                <w:rFonts w:ascii="宋体"/>
                <w:sz w:val="18"/>
              </w:rPr>
              <w:t>856,970,939.16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0" w:right="639"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28"/>
          <w:sz w:val="18"/>
          <w:szCs w:val="18"/>
        </w:rPr>
        <w:t> </w:t>
      </w:r>
      <w:r>
        <w:rPr>
          <w:rFonts w:ascii="宋体" w:hAnsi="宋体" w:cs="宋体" w:eastAsia="宋体" w:hint="default"/>
          <w:sz w:val="18"/>
          <w:szCs w:val="18"/>
        </w:rPr>
        <w:t>币种:人民币</w:t>
      </w:r>
    </w:p>
    <w:p>
      <w:pPr>
        <w:spacing w:line="240" w:lineRule="auto" w:before="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4"/>
        <w:gridCol w:w="1476"/>
        <w:gridCol w:w="1476"/>
        <w:gridCol w:w="236"/>
        <w:gridCol w:w="1386"/>
        <w:gridCol w:w="1476"/>
        <w:gridCol w:w="1494"/>
      </w:tblGrid>
      <w:tr>
        <w:trPr>
          <w:trHeight w:val="248" w:hRule="exact"/>
        </w:trPr>
        <w:tc>
          <w:tcPr>
            <w:tcW w:w="1864" w:type="dxa"/>
            <w:vMerge w:val="restart"/>
            <w:tcBorders>
              <w:top w:val="single" w:sz="6" w:space="0" w:color="000000"/>
              <w:left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44" w:type="dxa"/>
            <w:gridSpan w:val="6"/>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8" w:hRule="exact"/>
        </w:trPr>
        <w:tc>
          <w:tcPr>
            <w:tcW w:w="1864"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7"/>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325,657,339.56</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25,772,318.97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141,155,744.90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882,585,403.43</w:t>
            </w:r>
          </w:p>
        </w:tc>
      </w:tr>
      <w:tr>
        <w:trPr>
          <w:trHeight w:val="575"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807,114.33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79" w:right="0"/>
              <w:jc w:val="center"/>
              <w:rPr>
                <w:rFonts w:ascii="宋体" w:hAnsi="宋体" w:cs="宋体" w:eastAsia="宋体" w:hint="default"/>
                <w:sz w:val="18"/>
                <w:szCs w:val="18"/>
              </w:rPr>
            </w:pPr>
            <w:r>
              <w:rPr>
                <w:rFonts w:ascii="宋体"/>
                <w:sz w:val="18"/>
              </w:rPr>
              <w:t>6,442,821.84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7"/>
              <w:jc w:val="right"/>
              <w:rPr>
                <w:rFonts w:ascii="宋体" w:hAnsi="宋体" w:cs="宋体" w:eastAsia="宋体" w:hint="default"/>
                <w:sz w:val="18"/>
                <w:szCs w:val="18"/>
              </w:rPr>
            </w:pPr>
            <w:r>
              <w:rPr>
                <w:rFonts w:ascii="宋体"/>
                <w:sz w:val="18"/>
              </w:rPr>
              <w:t>7,249,936.17</w:t>
            </w:r>
          </w:p>
        </w:tc>
      </w:tr>
      <w:tr>
        <w:trPr>
          <w:trHeight w:val="575"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5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325,657,339.56</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26,579,433.30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147,598,566.74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889,835,339.60</w:t>
            </w:r>
          </w:p>
        </w:tc>
      </w:tr>
      <w:tr>
        <w:trPr>
          <w:trHeight w:val="715"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w:t>
            </w:r>
          </w:p>
          <w:p>
            <w:pPr>
              <w:pStyle w:val="TableParagraph"/>
              <w:spacing w:line="232" w:lineRule="exact" w:before="24"/>
              <w:ind w:left="100" w:right="126"/>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-20,000.00</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1,488,026.76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13,392,240.88</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14,860,267.64</w:t>
            </w:r>
          </w:p>
        </w:tc>
      </w:tr>
      <w:tr>
        <w:trPr>
          <w:trHeight w:val="25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14,880,267.64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14,880,267.64</w:t>
            </w:r>
          </w:p>
        </w:tc>
      </w:tr>
      <w:tr>
        <w:trPr>
          <w:trHeight w:val="48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（二）直接计入所有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者权益的利得和损失</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1．可供出售金融资产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公允价值变动净额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2．权益法下被投资单</w:t>
            </w:r>
          </w:p>
          <w:p>
            <w:pPr>
              <w:pStyle w:val="TableParagraph"/>
              <w:spacing w:line="240" w:lineRule="auto"/>
              <w:ind w:left="100" w:right="126"/>
              <w:jc w:val="left"/>
              <w:rPr>
                <w:rFonts w:ascii="宋体" w:hAnsi="宋体" w:cs="宋体" w:eastAsia="宋体" w:hint="default"/>
                <w:sz w:val="18"/>
                <w:szCs w:val="18"/>
              </w:rPr>
            </w:pPr>
            <w:r>
              <w:rPr>
                <w:rFonts w:ascii="宋体" w:hAnsi="宋体" w:cs="宋体" w:eastAsia="宋体" w:hint="default"/>
                <w:sz w:val="18"/>
                <w:szCs w:val="18"/>
              </w:rPr>
              <w:t>位其他所有者权益变 动的影响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3．与计入所有者权益</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4"/>
        <w:gridCol w:w="1476"/>
        <w:gridCol w:w="1476"/>
        <w:gridCol w:w="236"/>
        <w:gridCol w:w="1386"/>
        <w:gridCol w:w="1476"/>
        <w:gridCol w:w="1494"/>
      </w:tblGrid>
      <w:tr>
        <w:trPr>
          <w:trHeight w:val="48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项目相关的所得税影</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14,880,267.64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14,880,267.64</w:t>
            </w:r>
          </w:p>
        </w:tc>
      </w:tr>
      <w:tr>
        <w:trPr>
          <w:trHeight w:val="48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2．股份支付计入所有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1,488,026.76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-1,488,026.76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-20,000.00</w:t>
            </w: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1,488,026.76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-1,488,026.76</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对所有</w:t>
            </w:r>
            <w:r>
              <w:rPr>
                <w:rFonts w:ascii="宋体" w:hAnsi="宋体" w:cs="宋体" w:eastAsia="宋体" w:hint="default"/>
                <w:spacing w:val="-77"/>
                <w:sz w:val="18"/>
                <w:szCs w:val="18"/>
              </w:rPr>
              <w:t>者</w:t>
            </w:r>
            <w:r>
              <w:rPr>
                <w:rFonts w:ascii="宋体" w:hAnsi="宋体" w:cs="宋体" w:eastAsia="宋体" w:hint="default"/>
                <w:sz w:val="18"/>
                <w:szCs w:val="18"/>
              </w:rPr>
              <w:t>（或股东）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-20,000.00</w:t>
            </w:r>
          </w:p>
        </w:tc>
      </w:tr>
      <w:tr>
        <w:trPr>
          <w:trHeight w:val="48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1．资本公积转增资本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2．盈余公积转增资本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3．盈余公积弥补亏损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390,000,000.00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325,637,339.56</w:t>
            </w:r>
          </w:p>
        </w:tc>
        <w:tc>
          <w:tcPr>
            <w:tcW w:w="23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28,067,460.06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160,990,807.62</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904,695,607.24</w:t>
            </w:r>
          </w:p>
        </w:tc>
      </w:tr>
    </w:tbl>
    <w:p>
      <w:pPr>
        <w:tabs>
          <w:tab w:pos="3650" w:val="left" w:leader="none"/>
          <w:tab w:pos="7250" w:val="left" w:leader="none"/>
        </w:tabs>
        <w:spacing w:line="213" w:lineRule="exact" w:before="0"/>
        <w:ind w:left="140" w:right="163" w:firstLine="0"/>
        <w:jc w:val="left"/>
        <w:rPr>
          <w:rFonts w:ascii="宋体" w:hAnsi="宋体" w:cs="宋体" w:eastAsia="宋体" w:hint="default"/>
          <w:sz w:val="18"/>
          <w:szCs w:val="18"/>
        </w:rPr>
      </w:pPr>
      <w:r>
        <w:rPr>
          <w:rFonts w:ascii="宋体" w:hAnsi="宋体" w:cs="宋体" w:eastAsia="宋体" w:hint="default"/>
          <w:sz w:val="18"/>
          <w:szCs w:val="18"/>
        </w:rPr>
        <w:t>公司法定代表人：王宏伟</w:t>
        <w:tab/>
        <w:t>主管会计工作负责人：刘亚芳</w:t>
        <w:tab/>
        <w:t>会计机构负责人：刘亚芳</w:t>
      </w:r>
    </w:p>
    <w:p>
      <w:pPr>
        <w:spacing w:line="240" w:lineRule="auto" w:before="4"/>
        <w:rPr>
          <w:rFonts w:ascii="宋体" w:hAnsi="宋体" w:cs="宋体" w:eastAsia="宋体" w:hint="default"/>
          <w:sz w:val="22"/>
          <w:szCs w:val="22"/>
        </w:rPr>
      </w:pPr>
    </w:p>
    <w:p>
      <w:pPr>
        <w:pStyle w:val="BodyText"/>
        <w:spacing w:line="272" w:lineRule="exact"/>
        <w:ind w:right="7614"/>
        <w:jc w:val="left"/>
      </w:pPr>
      <w:r>
        <w:rPr/>
        <w:t>(三)</w:t>
      </w:r>
      <w:r>
        <w:rPr>
          <w:spacing w:val="-1"/>
        </w:rPr>
        <w:t> </w:t>
      </w:r>
      <w:r>
        <w:rPr/>
        <w:t>公司基本情况</w:t>
      </w:r>
      <w:r>
        <w:rPr/>
        <w:t> 一、公司的基本情况</w:t>
      </w:r>
    </w:p>
    <w:p>
      <w:pPr>
        <w:pStyle w:val="BodyText"/>
        <w:spacing w:line="246" w:lineRule="exact"/>
        <w:ind w:right="0"/>
        <w:jc w:val="left"/>
      </w:pPr>
      <w:r>
        <w:rPr/>
        <w:t>1.</w:t>
      </w:r>
      <w:r>
        <w:rPr>
          <w:spacing w:val="-30"/>
        </w:rPr>
        <w:t> </w:t>
      </w:r>
      <w:r>
        <w:rPr>
          <w:spacing w:val="-4"/>
        </w:rPr>
        <w:t>黑龙江黑化股份有限公司（以下简称“公司”或“本公司”）是经黑龙江省人民政府黑政函（1998）</w:t>
      </w:r>
    </w:p>
    <w:p>
      <w:pPr>
        <w:pStyle w:val="BodyText"/>
        <w:spacing w:line="272" w:lineRule="exact" w:before="26"/>
        <w:ind w:right="165"/>
        <w:jc w:val="left"/>
      </w:pPr>
      <w:r>
        <w:rPr/>
        <w:t>57</w:t>
      </w:r>
      <w:r>
        <w:rPr>
          <w:spacing w:val="-70"/>
        </w:rPr>
        <w:t> </w:t>
      </w:r>
      <w:r>
        <w:rPr/>
        <w:t>号文批准，由黑龙江黑化集团有限公司（以下简称“黑化集团”）作为独家发起人，并以募集方式</w:t>
      </w:r>
      <w:r>
        <w:rPr/>
        <w:t> </w:t>
      </w:r>
      <w:r>
        <w:rPr>
          <w:spacing w:val="-3"/>
        </w:rPr>
        <w:t>设立的股份有限公司。经中国证券监督管理委员会证监发字(1998)241</w:t>
      </w:r>
      <w:r>
        <w:rPr>
          <w:spacing w:val="-46"/>
        </w:rPr>
        <w:t> </w:t>
      </w:r>
      <w:r>
        <w:rPr>
          <w:spacing w:val="-1"/>
        </w:rPr>
        <w:t>号和证监发字(1998)242</w:t>
      </w:r>
      <w:r>
        <w:rPr>
          <w:spacing w:val="-46"/>
        </w:rPr>
        <w:t> </w:t>
      </w:r>
      <w:r>
        <w:rPr>
          <w:spacing w:val="-1"/>
        </w:rPr>
        <w:t>号批准,</w:t>
      </w:r>
      <w:r>
        <w:rPr/>
        <w:t> 公司于</w:t>
      </w:r>
      <w:r>
        <w:rPr>
          <w:spacing w:val="-57"/>
        </w:rPr>
        <w:t> </w:t>
      </w:r>
      <w:r>
        <w:rPr/>
        <w:t>1998</w:t>
      </w:r>
      <w:r>
        <w:rPr>
          <w:spacing w:val="-57"/>
        </w:rPr>
        <w:t> </w:t>
      </w:r>
      <w:r>
        <w:rPr/>
        <w:t>年</w:t>
      </w:r>
      <w:r>
        <w:rPr>
          <w:spacing w:val="-57"/>
        </w:rPr>
        <w:t> </w:t>
      </w:r>
      <w:r>
        <w:rPr/>
        <w:t>9</w:t>
      </w:r>
      <w:r>
        <w:rPr>
          <w:spacing w:val="-56"/>
        </w:rPr>
        <w:t> </w:t>
      </w:r>
      <w:r>
        <w:rPr/>
        <w:t>月</w:t>
      </w:r>
      <w:r>
        <w:rPr>
          <w:spacing w:val="-58"/>
        </w:rPr>
        <w:t> </w:t>
      </w:r>
      <w:r>
        <w:rPr/>
        <w:t>22</w:t>
      </w:r>
      <w:r>
        <w:rPr>
          <w:spacing w:val="-56"/>
        </w:rPr>
        <w:t> </w:t>
      </w:r>
      <w:r>
        <w:rPr/>
        <w:t>日向社会公开发行人民币普通股</w:t>
      </w:r>
      <w:r>
        <w:rPr>
          <w:spacing w:val="-57"/>
        </w:rPr>
        <w:t> </w:t>
      </w:r>
      <w:r>
        <w:rPr/>
        <w:t>10,000</w:t>
      </w:r>
      <w:r>
        <w:rPr>
          <w:spacing w:val="-56"/>
        </w:rPr>
        <w:t> </w:t>
      </w:r>
      <w:r>
        <w:rPr/>
        <w:t>万股。发行后公司总股本为</w:t>
      </w:r>
      <w:r>
        <w:rPr>
          <w:spacing w:val="-57"/>
        </w:rPr>
        <w:t> </w:t>
      </w:r>
      <w:r>
        <w:rPr/>
        <w:t>33,000</w:t>
      </w:r>
      <w:r>
        <w:rPr>
          <w:spacing w:val="-57"/>
        </w:rPr>
        <w:t> </w:t>
      </w:r>
      <w:r>
        <w:rPr/>
        <w:t>万</w:t>
      </w:r>
      <w:r>
        <w:rPr/>
        <w:t> </w:t>
      </w:r>
      <w:r>
        <w:rPr>
          <w:spacing w:val="-3"/>
        </w:rPr>
        <w:t>股，其中法人股</w:t>
      </w:r>
      <w:r>
        <w:rPr>
          <w:spacing w:val="-56"/>
        </w:rPr>
        <w:t> </w:t>
      </w:r>
      <w:r>
        <w:rPr/>
        <w:t>23,000</w:t>
      </w:r>
      <w:r>
        <w:rPr>
          <w:spacing w:val="-56"/>
        </w:rPr>
        <w:t> </w:t>
      </w:r>
      <w:r>
        <w:rPr>
          <w:spacing w:val="-3"/>
        </w:rPr>
        <w:t>万股，占总股本的</w:t>
      </w:r>
      <w:r>
        <w:rPr>
          <w:spacing w:val="-56"/>
        </w:rPr>
        <w:t> </w:t>
      </w:r>
      <w:r>
        <w:rPr/>
        <w:t>69.70%；社会公众股</w:t>
      </w:r>
      <w:r>
        <w:rPr>
          <w:spacing w:val="-56"/>
        </w:rPr>
        <w:t> </w:t>
      </w:r>
      <w:r>
        <w:rPr/>
        <w:t>10,000</w:t>
      </w:r>
      <w:r>
        <w:rPr>
          <w:spacing w:val="-55"/>
        </w:rPr>
        <w:t> </w:t>
      </w:r>
      <w:r>
        <w:rPr/>
        <w:t>万股,</w:t>
      </w:r>
      <w:r>
        <w:rPr>
          <w:spacing w:val="-56"/>
        </w:rPr>
        <w:t> </w:t>
      </w:r>
      <w:r>
        <w:rPr/>
        <w:t>占总股本的</w:t>
      </w:r>
      <w:r>
        <w:rPr>
          <w:spacing w:val="-56"/>
        </w:rPr>
        <w:t> </w:t>
      </w:r>
      <w:r>
        <w:rPr>
          <w:spacing w:val="-3"/>
        </w:rPr>
        <w:t>30.30%。根</w:t>
      </w:r>
      <w:r>
        <w:rPr/>
        <w:t> 据公司</w:t>
      </w:r>
      <w:r>
        <w:rPr>
          <w:spacing w:val="-64"/>
        </w:rPr>
        <w:t> </w:t>
      </w:r>
      <w:r>
        <w:rPr/>
        <w:t>2006</w:t>
      </w:r>
      <w:r>
        <w:rPr>
          <w:spacing w:val="-64"/>
        </w:rPr>
        <w:t> </w:t>
      </w:r>
      <w:r>
        <w:rPr/>
        <w:t>年第一次临时股东大会通过的股权分置改革方案，公司流通股股东每持有</w:t>
      </w:r>
      <w:r>
        <w:rPr>
          <w:spacing w:val="-64"/>
        </w:rPr>
        <w:t> </w:t>
      </w:r>
      <w:r>
        <w:rPr/>
        <w:t>10</w:t>
      </w:r>
      <w:r>
        <w:rPr>
          <w:spacing w:val="-63"/>
        </w:rPr>
        <w:t> </w:t>
      </w:r>
      <w:r>
        <w:rPr/>
        <w:t>股流通股股</w:t>
      </w:r>
    </w:p>
    <w:p>
      <w:pPr>
        <w:pStyle w:val="BodyText"/>
        <w:spacing w:line="246" w:lineRule="exact"/>
        <w:ind w:left="141" w:right="163"/>
        <w:jc w:val="left"/>
      </w:pPr>
      <w:r>
        <w:rPr/>
        <w:t>份将获得由资本公积定向转增</w:t>
      </w:r>
      <w:r>
        <w:rPr>
          <w:spacing w:val="-54"/>
        </w:rPr>
        <w:t> </w:t>
      </w:r>
      <w:r>
        <w:rPr/>
        <w:t>6</w:t>
      </w:r>
      <w:r>
        <w:rPr>
          <w:spacing w:val="-53"/>
        </w:rPr>
        <w:t> </w:t>
      </w:r>
      <w:r>
        <w:rPr/>
        <w:t>股股份，共计转增</w:t>
      </w:r>
      <w:r>
        <w:rPr>
          <w:spacing w:val="-54"/>
        </w:rPr>
        <w:t> </w:t>
      </w:r>
      <w:r>
        <w:rPr/>
        <w:t>6,000</w:t>
      </w:r>
      <w:r>
        <w:rPr>
          <w:spacing w:val="-54"/>
        </w:rPr>
        <w:t> </w:t>
      </w:r>
      <w:r>
        <w:rPr/>
        <w:t>万股，作为非流通股获取流通权的对价，转</w:t>
      </w:r>
    </w:p>
    <w:p>
      <w:pPr>
        <w:pStyle w:val="BodyText"/>
        <w:spacing w:line="272" w:lineRule="exact" w:before="26"/>
        <w:ind w:left="141" w:right="163"/>
        <w:jc w:val="left"/>
      </w:pPr>
      <w:r>
        <w:rPr>
          <w:spacing w:val="-1"/>
        </w:rPr>
        <w:t>增后公司总股本变更为</w:t>
      </w:r>
      <w:r>
        <w:rPr>
          <w:spacing w:val="-52"/>
        </w:rPr>
        <w:t> </w:t>
      </w:r>
      <w:r>
        <w:rPr>
          <w:spacing w:val="-1"/>
        </w:rPr>
        <w:t>39,000</w:t>
      </w:r>
      <w:r>
        <w:rPr>
          <w:spacing w:val="-51"/>
        </w:rPr>
        <w:t> </w:t>
      </w:r>
      <w:r>
        <w:rPr>
          <w:spacing w:val="-14"/>
        </w:rPr>
        <w:t>万股，其中法人股</w:t>
      </w:r>
      <w:r>
        <w:rPr>
          <w:spacing w:val="-52"/>
        </w:rPr>
        <w:t> </w:t>
      </w:r>
      <w:r>
        <w:rPr>
          <w:spacing w:val="-1"/>
        </w:rPr>
        <w:t>23,000</w:t>
      </w:r>
      <w:r>
        <w:rPr>
          <w:spacing w:val="-51"/>
        </w:rPr>
        <w:t> </w:t>
      </w:r>
      <w:r>
        <w:rPr>
          <w:spacing w:val="-14"/>
        </w:rPr>
        <w:t>万股，占总股本的</w:t>
      </w:r>
      <w:r>
        <w:rPr>
          <w:spacing w:val="-52"/>
        </w:rPr>
        <w:t> </w:t>
      </w:r>
      <w:r>
        <w:rPr>
          <w:spacing w:val="-9"/>
        </w:rPr>
        <w:t>58.97%；社会公众股</w:t>
      </w:r>
      <w:r>
        <w:rPr>
          <w:spacing w:val="-52"/>
        </w:rPr>
        <w:t> </w:t>
      </w:r>
      <w:r>
        <w:rPr/>
        <w:t>16,000</w:t>
      </w:r>
      <w:r>
        <w:rPr/>
        <w:t> 万股, 占总股本的</w:t>
      </w:r>
      <w:r>
        <w:rPr>
          <w:spacing w:val="-55"/>
        </w:rPr>
        <w:t> </w:t>
      </w:r>
      <w:r>
        <w:rPr/>
        <w:t>41.03%。</w:t>
      </w:r>
    </w:p>
    <w:p>
      <w:pPr>
        <w:pStyle w:val="BodyText"/>
        <w:spacing w:line="272" w:lineRule="exact"/>
        <w:ind w:left="141" w:right="266"/>
        <w:jc w:val="left"/>
      </w:pPr>
      <w:r>
        <w:rPr/>
        <w:t>公司经营范围：焦炭、化学肥料和粗苯、焦油等化工产品。 2.本公司注册地址是中国黑龙江省齐齐哈尔市富拉尔基区向阳大街</w:t>
      </w:r>
      <w:r>
        <w:rPr>
          <w:spacing w:val="-54"/>
        </w:rPr>
        <w:t> </w:t>
      </w:r>
      <w:r>
        <w:rPr/>
        <w:t>2</w:t>
      </w:r>
      <w:r>
        <w:rPr>
          <w:spacing w:val="-54"/>
        </w:rPr>
        <w:t> </w:t>
      </w:r>
      <w:r>
        <w:rPr/>
        <w:t>号，总部与注册地为同一地址，</w:t>
      </w:r>
      <w:r>
        <w:rPr/>
        <w:t> 组织形式为股份有限公司。 3.本公司母公司为黑龙江黑化集团有限公司，最终母公司为中国化工集团公司。</w:t>
      </w:r>
    </w:p>
    <w:p>
      <w:pPr>
        <w:pStyle w:val="BodyText"/>
        <w:spacing w:line="248" w:lineRule="exact"/>
        <w:ind w:left="141" w:right="529"/>
        <w:jc w:val="left"/>
      </w:pPr>
      <w:r>
        <w:rPr/>
        <w:t>4.本财务报告于</w:t>
      </w:r>
      <w:r>
        <w:rPr>
          <w:spacing w:val="-54"/>
        </w:rPr>
        <w:t> </w:t>
      </w:r>
      <w:r>
        <w:rPr/>
        <w:t>2009</w:t>
      </w:r>
      <w:r>
        <w:rPr>
          <w:spacing w:val="-53"/>
        </w:rPr>
        <w:t> </w:t>
      </w:r>
      <w:r>
        <w:rPr/>
        <w:t>年</w:t>
      </w:r>
      <w:r>
        <w:rPr>
          <w:spacing w:val="-55"/>
        </w:rPr>
        <w:t> </w:t>
      </w:r>
      <w:r>
        <w:rPr/>
        <w:t>4</w:t>
      </w:r>
      <w:r>
        <w:rPr>
          <w:spacing w:val="-53"/>
        </w:rPr>
        <w:t> </w:t>
      </w:r>
      <w:r>
        <w:rPr/>
        <w:t>月</w:t>
      </w:r>
      <w:r>
        <w:rPr>
          <w:spacing w:val="-55"/>
        </w:rPr>
        <w:t> </w:t>
      </w:r>
      <w:r>
        <w:rPr/>
        <w:t>27</w:t>
      </w:r>
      <w:r>
        <w:rPr>
          <w:spacing w:val="-53"/>
        </w:rPr>
        <w:t> </w:t>
      </w:r>
      <w:r>
        <w:rPr/>
        <w:t>日经公司第四届董事会第九次会议批准报出。</w:t>
      </w:r>
    </w:p>
    <w:p>
      <w:pPr>
        <w:spacing w:line="240" w:lineRule="auto" w:before="8"/>
        <w:rPr>
          <w:rFonts w:ascii="宋体" w:hAnsi="宋体" w:cs="宋体" w:eastAsia="宋体" w:hint="default"/>
          <w:sz w:val="22"/>
          <w:szCs w:val="22"/>
        </w:rPr>
      </w:pPr>
    </w:p>
    <w:p>
      <w:pPr>
        <w:pStyle w:val="BodyText"/>
        <w:spacing w:line="272" w:lineRule="exact"/>
        <w:ind w:left="141" w:right="4990"/>
        <w:jc w:val="left"/>
      </w:pPr>
      <w:r>
        <w:rPr/>
        <w:t>(四)</w:t>
      </w:r>
      <w:r>
        <w:rPr>
          <w:spacing w:val="-2"/>
        </w:rPr>
        <w:t> </w:t>
      </w:r>
      <w:r>
        <w:rPr/>
        <w:t>公司主要会计政策、会计估计和前期差错：</w:t>
      </w:r>
      <w:r>
        <w:rPr/>
        <w:t> 1、遵循企业会计准则的声明：</w:t>
      </w:r>
    </w:p>
    <w:p>
      <w:pPr>
        <w:pStyle w:val="BodyText"/>
        <w:spacing w:line="272" w:lineRule="exact"/>
        <w:ind w:left="141" w:right="163"/>
        <w:jc w:val="left"/>
      </w:pPr>
      <w:r>
        <w:rPr/>
        <w:t>本公司基于下述编制基础编制的财务报表符合财政部</w:t>
      </w:r>
      <w:r>
        <w:rPr>
          <w:spacing w:val="-57"/>
        </w:rPr>
        <w:t> </w:t>
      </w:r>
      <w:r>
        <w:rPr/>
        <w:t>2006</w:t>
      </w:r>
      <w:r>
        <w:rPr>
          <w:spacing w:val="-9"/>
        </w:rPr>
        <w:t> </w:t>
      </w:r>
      <w:r>
        <w:rPr/>
        <w:t>年</w:t>
      </w:r>
      <w:r>
        <w:rPr>
          <w:spacing w:val="-57"/>
        </w:rPr>
        <w:t> </w:t>
      </w:r>
      <w:r>
        <w:rPr/>
        <w:t>2</w:t>
      </w:r>
      <w:r>
        <w:rPr>
          <w:spacing w:val="-9"/>
        </w:rPr>
        <w:t> </w:t>
      </w:r>
      <w:r>
        <w:rPr/>
        <w:t>月</w:t>
      </w:r>
      <w:r>
        <w:rPr>
          <w:spacing w:val="-57"/>
        </w:rPr>
        <w:t> </w:t>
      </w:r>
      <w:r>
        <w:rPr/>
        <w:t>15</w:t>
      </w:r>
      <w:r>
        <w:rPr>
          <w:spacing w:val="-9"/>
        </w:rPr>
        <w:t> </w:t>
      </w:r>
      <w:r>
        <w:rPr/>
        <w:t>日颁布的《企业会计准则》的</w:t>
      </w:r>
      <w:r>
        <w:rPr>
          <w:spacing w:val="-1"/>
        </w:rPr>
        <w:t> </w:t>
      </w:r>
      <w:r>
        <w:rPr/>
        <w:t>要求，真实完整地反映了公司的财务状况、经营成果和现金流量等有关信息。</w:t>
      </w:r>
    </w:p>
    <w:p>
      <w:pPr>
        <w:spacing w:line="240" w:lineRule="auto" w:before="11"/>
        <w:rPr>
          <w:rFonts w:ascii="宋体" w:hAnsi="宋体" w:cs="宋体" w:eastAsia="宋体" w:hint="default"/>
          <w:sz w:val="20"/>
          <w:szCs w:val="20"/>
        </w:rPr>
      </w:pPr>
    </w:p>
    <w:p>
      <w:pPr>
        <w:pStyle w:val="BodyText"/>
        <w:spacing w:line="272" w:lineRule="exact"/>
        <w:ind w:left="141" w:right="263"/>
        <w:jc w:val="left"/>
      </w:pPr>
      <w:r>
        <w:rPr/>
        <w:t>2、财务报表的编制基础： 本公司财务报表以持续经营为编制基础。根据实际发生的交易事项，按照财政部</w:t>
      </w:r>
      <w:r>
        <w:rPr>
          <w:spacing w:val="-53"/>
        </w:rPr>
        <w:t> </w:t>
      </w:r>
      <w:r>
        <w:rPr/>
        <w:t>2006 年</w:t>
      </w:r>
      <w:r>
        <w:rPr>
          <w:spacing w:val="-54"/>
        </w:rPr>
        <w:t> </w:t>
      </w:r>
      <w:r>
        <w:rPr/>
        <w:t>2 月</w:t>
      </w:r>
      <w:r>
        <w:rPr>
          <w:spacing w:val="-54"/>
        </w:rPr>
        <w:t> </w:t>
      </w:r>
      <w:r>
        <w:rPr/>
        <w:t>15 日</w:t>
      </w:r>
      <w:r>
        <w:rPr/>
        <w:t> 颁布的《企业会计准则》及其应用指南的有关规定，并基于以下所述重要会计政策、会计估计进行编 制。</w:t>
      </w:r>
    </w:p>
    <w:p>
      <w:pPr>
        <w:spacing w:line="240" w:lineRule="auto" w:before="10"/>
        <w:rPr>
          <w:rFonts w:ascii="宋体" w:hAnsi="宋体" w:cs="宋体" w:eastAsia="宋体" w:hint="default"/>
          <w:sz w:val="18"/>
          <w:szCs w:val="18"/>
        </w:rPr>
      </w:pPr>
    </w:p>
    <w:p>
      <w:pPr>
        <w:pStyle w:val="BodyText"/>
        <w:spacing w:line="240" w:lineRule="auto"/>
        <w:ind w:left="141" w:right="529"/>
        <w:jc w:val="left"/>
      </w:pPr>
      <w:r>
        <w:rPr/>
        <w:t>3、会计年度：</w:t>
      </w:r>
    </w:p>
    <w:p>
      <w:pPr>
        <w:spacing w:after="0" w:line="240" w:lineRule="auto"/>
        <w:jc w:val="left"/>
        <w:sectPr>
          <w:pgSz w:w="11910" w:h="16840"/>
          <w:pgMar w:header="747" w:footer="727" w:top="980" w:bottom="920" w:left="1220" w:right="102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本公司会计年度自公历</w:t>
      </w:r>
      <w:r>
        <w:rPr>
          <w:spacing w:val="-56"/>
        </w:rPr>
        <w:t> </w:t>
      </w:r>
      <w:r>
        <w:rPr/>
        <w:t>1</w:t>
      </w:r>
      <w:r>
        <w:rPr>
          <w:spacing w:val="-55"/>
        </w:rPr>
        <w:t> </w:t>
      </w:r>
      <w:r>
        <w:rPr/>
        <w:t>月</w:t>
      </w:r>
      <w:r>
        <w:rPr>
          <w:spacing w:val="-57"/>
        </w:rPr>
        <w:t> </w:t>
      </w:r>
      <w:r>
        <w:rPr/>
        <w:t>1</w:t>
      </w:r>
      <w:r>
        <w:rPr>
          <w:spacing w:val="-55"/>
        </w:rPr>
        <w:t> </w:t>
      </w:r>
      <w:r>
        <w:rPr/>
        <w:t>日起至</w:t>
      </w:r>
      <w:r>
        <w:rPr>
          <w:spacing w:val="-56"/>
        </w:rPr>
        <w:t> </w:t>
      </w:r>
      <w:r>
        <w:rPr/>
        <w:t>12</w:t>
      </w:r>
      <w:r>
        <w:rPr>
          <w:spacing w:val="-55"/>
        </w:rPr>
        <w:t> </w:t>
      </w:r>
      <w:r>
        <w:rPr/>
        <w:t>月</w:t>
      </w:r>
      <w:r>
        <w:rPr>
          <w:spacing w:val="-56"/>
        </w:rPr>
        <w:t> </w:t>
      </w:r>
      <w:r>
        <w:rPr/>
        <w:t>31</w:t>
      </w:r>
      <w:r>
        <w:rPr>
          <w:spacing w:val="-56"/>
        </w:rPr>
        <w:t> </w:t>
      </w:r>
      <w:r>
        <w:rPr/>
        <w:t>日止。</w:t>
      </w:r>
    </w:p>
    <w:p>
      <w:pPr>
        <w:spacing w:line="240" w:lineRule="auto" w:before="10"/>
        <w:rPr>
          <w:rFonts w:ascii="宋体" w:hAnsi="宋体" w:cs="宋体" w:eastAsia="宋体" w:hint="default"/>
          <w:sz w:val="22"/>
          <w:szCs w:val="22"/>
        </w:rPr>
      </w:pPr>
    </w:p>
    <w:p>
      <w:pPr>
        <w:pStyle w:val="BodyText"/>
        <w:spacing w:line="272" w:lineRule="exact"/>
        <w:ind w:right="6424"/>
        <w:jc w:val="left"/>
      </w:pPr>
      <w:r>
        <w:rPr/>
        <w:t>4、记账本位币： 本公司的记账本位币为人民币。</w:t>
      </w:r>
    </w:p>
    <w:p>
      <w:pPr>
        <w:spacing w:line="240" w:lineRule="auto" w:before="11"/>
        <w:rPr>
          <w:rFonts w:ascii="宋体" w:hAnsi="宋体" w:cs="宋体" w:eastAsia="宋体" w:hint="default"/>
          <w:sz w:val="20"/>
          <w:szCs w:val="20"/>
        </w:rPr>
      </w:pPr>
    </w:p>
    <w:p>
      <w:pPr>
        <w:pStyle w:val="BodyText"/>
        <w:spacing w:line="272" w:lineRule="exact"/>
        <w:ind w:right="3169"/>
        <w:jc w:val="left"/>
      </w:pPr>
      <w:r>
        <w:rPr/>
        <w:t>5、计量属性在本期发生变化的报表项目及其本期采用的计量属性： (1)</w:t>
      </w:r>
      <w:r>
        <w:rPr>
          <w:spacing w:val="-2"/>
        </w:rPr>
        <w:t> </w:t>
      </w:r>
      <w:r>
        <w:rPr/>
        <w:t>计量属性</w:t>
      </w:r>
    </w:p>
    <w:p>
      <w:pPr>
        <w:pStyle w:val="BodyText"/>
        <w:spacing w:line="248" w:lineRule="exact"/>
        <w:ind w:right="0"/>
        <w:jc w:val="left"/>
      </w:pPr>
      <w:r>
        <w:rPr/>
        <w:t>本公司采用的计量属性包括历史成本、重置成本、可变现净值、现值和公允价值。</w:t>
      </w:r>
    </w:p>
    <w:p>
      <w:pPr>
        <w:spacing w:line="240" w:lineRule="auto" w:before="8"/>
        <w:rPr>
          <w:rFonts w:ascii="宋体" w:hAnsi="宋体" w:cs="宋体" w:eastAsia="宋体" w:hint="default"/>
          <w:sz w:val="20"/>
          <w:szCs w:val="20"/>
        </w:rPr>
      </w:pPr>
    </w:p>
    <w:p>
      <w:pPr>
        <w:pStyle w:val="BodyText"/>
        <w:spacing w:line="240" w:lineRule="auto"/>
        <w:ind w:right="0"/>
        <w:jc w:val="left"/>
      </w:pPr>
      <w:r>
        <w:rPr/>
        <w:t>(2)</w:t>
      </w:r>
      <w:r>
        <w:rPr>
          <w:spacing w:val="-2"/>
        </w:rPr>
        <w:t> </w:t>
      </w:r>
      <w:r>
        <w:rPr/>
        <w:t>本期报表项目的计量属性未发生变化。</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72" w:lineRule="exact"/>
        <w:ind w:right="124"/>
        <w:jc w:val="left"/>
      </w:pPr>
      <w:r>
        <w:rPr/>
        <w:t>6、现金及现金等价物的确定标准： 现金流量表的现金指企业库存现金及可以随时用于支付的存款。现金等价物指持有的期限短（一般是 指从购买日起三个月内到期）、流动性强、易于转换为已知金额现金、价值变动风险很小的投资。</w:t>
      </w:r>
    </w:p>
    <w:p>
      <w:pPr>
        <w:spacing w:line="240" w:lineRule="auto" w:before="11"/>
        <w:rPr>
          <w:rFonts w:ascii="宋体" w:hAnsi="宋体" w:cs="宋体" w:eastAsia="宋体" w:hint="default"/>
          <w:sz w:val="20"/>
          <w:szCs w:val="20"/>
        </w:rPr>
      </w:pPr>
    </w:p>
    <w:p>
      <w:pPr>
        <w:pStyle w:val="BodyText"/>
        <w:spacing w:line="272" w:lineRule="exact"/>
        <w:ind w:right="124"/>
        <w:jc w:val="left"/>
      </w:pPr>
      <w:r>
        <w:rPr/>
        <w:t>7、外币业务核算方法： 对发生的外币业务，采用交易发生日的即期汇率折合人民币记账。对各种外币账户的外币期末余额， 外币货币性项目按资产负债表日即期汇率折算，发生的差额计入当期损益；以历史成本计量的外币非 货币性项目仍采用交易发生日的即期汇率折算；以公允价值计量的外币非货币性项目，采用公允价值 确定日的即期汇率折算，差额作为公允价值变动损益。</w:t>
      </w:r>
    </w:p>
    <w:p>
      <w:pPr>
        <w:pStyle w:val="BodyText"/>
        <w:spacing w:line="272" w:lineRule="exact"/>
        <w:ind w:right="0"/>
        <w:jc w:val="left"/>
      </w:pPr>
      <w:r>
        <w:rPr/>
        <w:t>外币财务报表的折算遵循下列原则： (1)资产负债表中的资产和负债项目，采用资产负债表日的即期汇率折算； 所有者权益项目除“未分配利润”项目外，其他项目采用发生时的即期汇率折算； (2)利润表中的收入和费用项目，采用交易发生日的即期汇率折算； (3)按照上述折算产生的外币财务报表折算差额，在资产负债表中所有者权益项目下单独列示； </w:t>
      </w:r>
      <w:r>
        <w:rPr>
          <w:spacing w:val="-3"/>
        </w:rPr>
        <w:t>(4)现金流量表采用现金流量发生日的即期汇率折算。汇率变动对现金的影响额作为调节项目，在现金</w:t>
      </w:r>
      <w:r>
        <w:rPr>
          <w:spacing w:val="-73"/>
        </w:rPr>
        <w:t> </w:t>
      </w:r>
      <w:r>
        <w:rPr>
          <w:spacing w:val="-73"/>
        </w:rPr>
      </w:r>
      <w:r>
        <w:rPr/>
        <w:t>流量表中单独列示。</w:t>
      </w:r>
    </w:p>
    <w:p>
      <w:pPr>
        <w:spacing w:line="240" w:lineRule="auto" w:before="10"/>
        <w:rPr>
          <w:rFonts w:ascii="宋体" w:hAnsi="宋体" w:cs="宋体" w:eastAsia="宋体" w:hint="default"/>
          <w:sz w:val="18"/>
          <w:szCs w:val="18"/>
        </w:rPr>
      </w:pPr>
    </w:p>
    <w:p>
      <w:pPr>
        <w:pStyle w:val="BodyText"/>
        <w:spacing w:line="274" w:lineRule="exact"/>
        <w:ind w:right="0"/>
        <w:jc w:val="left"/>
      </w:pPr>
      <w:r>
        <w:rPr/>
        <w:t>8、金融资产和金融负债的核算方法：</w:t>
      </w:r>
    </w:p>
    <w:p>
      <w:pPr>
        <w:pStyle w:val="BodyText"/>
        <w:spacing w:line="272" w:lineRule="exact" w:before="26"/>
        <w:ind w:right="124"/>
        <w:jc w:val="left"/>
      </w:pPr>
      <w:r>
        <w:rPr/>
        <w:t>⑴.金融资产、金融负债的分类 管理层按照取得金融资产或承担金融负债的目的，将其划分为：以公允价值计量且变动计入当期损益 的金融资产或金融负债、持有至到期投资、贷款和应收款项、可供出售金融资产、其他金融负债。</w:t>
      </w:r>
    </w:p>
    <w:p>
      <w:pPr>
        <w:pStyle w:val="BodyText"/>
        <w:spacing w:line="246" w:lineRule="exact"/>
        <w:ind w:right="0"/>
        <w:jc w:val="left"/>
      </w:pPr>
      <w:r>
        <w:rPr/>
        <w:t>⑵.金融资产、金融负债的确认和计量方法</w:t>
      </w:r>
    </w:p>
    <w:p>
      <w:pPr>
        <w:pStyle w:val="BodyText"/>
        <w:spacing w:line="272" w:lineRule="exact" w:before="26"/>
        <w:ind w:right="124"/>
        <w:jc w:val="left"/>
      </w:pPr>
      <w:r>
        <w:rPr/>
        <w:t>①</w:t>
      </w:r>
      <w:r>
        <w:rPr>
          <w:spacing w:val="-1"/>
        </w:rPr>
        <w:t> </w:t>
      </w:r>
      <w:r>
        <w:rPr/>
        <w:t>以公允价值计量且其变动计入当期损益的金融资产或金融负债</w:t>
      </w:r>
      <w:r>
        <w:rPr/>
        <w:t> 该类金融资产或金融负债进一步分为交易性金融资产或金融负债和直接指定为以公允价值计量且其变 动计入当期损益的金融资产或金融负债。 取得时以公允价值作为初始确认金额，相关交易费用应当直接计入当期损益。 持有期间将取得的利息或现金股利，确认为投资收益。期末将公允价值变动计入当期损益。 处置时，其公允价值与初始入账金额之间的差额应确认为投资收益，同时调整公允价值变动损益。</w:t>
      </w:r>
    </w:p>
    <w:p>
      <w:pPr>
        <w:pStyle w:val="BodyText"/>
        <w:spacing w:line="272" w:lineRule="exact"/>
        <w:ind w:right="124"/>
        <w:jc w:val="left"/>
      </w:pPr>
      <w:r>
        <w:rPr/>
        <w:t>②</w:t>
      </w:r>
      <w:r>
        <w:rPr>
          <w:spacing w:val="-1"/>
        </w:rPr>
        <w:t> </w:t>
      </w:r>
      <w:r>
        <w:rPr/>
        <w:t>持有至到期投资</w:t>
      </w:r>
      <w:r>
        <w:rPr/>
        <w:t> 取得时以公允价值（扣除已到期或发放但尚未领取的债券利息、股利）和相关交易费用之和作为初始 确认金额。 持有期间按照摊余成本和实际利率计算确认利息收入，计入投资收益。实际利率在取得时确定，实际 利率与票面利率差别较小的，按票面利率计算利息收入。 处置时，将所取得价款与该投资账面价值之间的差额计入投资收益。</w:t>
      </w:r>
    </w:p>
    <w:p>
      <w:pPr>
        <w:pStyle w:val="BodyText"/>
        <w:spacing w:line="272" w:lineRule="exact"/>
        <w:ind w:right="124"/>
        <w:jc w:val="left"/>
      </w:pPr>
      <w:r>
        <w:rPr/>
        <w:t>③ 应收款项 公司对外销售商品或提供劳务形成的应收债权，以及持有的其他企业在活跃市场没有报价的债务工具 的债权（包括应收账款、应收票据、预付账款、其他应收款、长期应收款等），以向购货方或债务人 应收的合同或协议价款作为初始确认金额。 收回或处置时，应将取得的价款与该应收款项账面价值之间的差额计入当期损益。</w:t>
      </w:r>
    </w:p>
    <w:p>
      <w:pPr>
        <w:pStyle w:val="BodyText"/>
        <w:spacing w:line="248" w:lineRule="exact"/>
        <w:ind w:right="0"/>
        <w:jc w:val="left"/>
      </w:pPr>
      <w:r>
        <w:rPr/>
        <w:t>④</w:t>
      </w:r>
      <w:r>
        <w:rPr>
          <w:spacing w:val="-2"/>
        </w:rPr>
        <w:t> </w:t>
      </w:r>
      <w:r>
        <w:rPr/>
        <w:t>可供出售金融资产</w:t>
      </w:r>
    </w:p>
    <w:p>
      <w:pPr>
        <w:spacing w:after="0" w:line="248" w:lineRule="exact"/>
        <w:jc w:val="left"/>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right="204"/>
        <w:jc w:val="left"/>
      </w:pPr>
      <w:r>
        <w:rPr/>
        <w:t>取得时，按该金融资产的公允价值和相关交易费用之和作为初始确认金额。 持有期间取得的利息或现金股利，应当计入投资收益。资产负债表日，可供出售金融资产应当以公允 价值计量，且公允价值变动计入资本公积（其他资本公积）。 处置时，将取得的价款与账面价值之间的差额，计入投资损益；同时，将原直接计入所有者权益的公 允价值变动累计额对应处置部分的金额转出，计入投资损益。</w:t>
      </w:r>
    </w:p>
    <w:p>
      <w:pPr>
        <w:pStyle w:val="BodyText"/>
        <w:spacing w:line="272" w:lineRule="exact"/>
        <w:ind w:right="834"/>
        <w:jc w:val="left"/>
      </w:pPr>
      <w:r>
        <w:rPr/>
        <w:t>⑤</w:t>
      </w:r>
      <w:r>
        <w:rPr>
          <w:spacing w:val="-1"/>
        </w:rPr>
        <w:t> </w:t>
      </w:r>
      <w:r>
        <w:rPr/>
        <w:t>其他金融负债</w:t>
      </w:r>
      <w:r>
        <w:rPr/>
        <w:t> 取得时，按其公允价值和相关交易费用之和作为初始确认金额。采用摊余成本进行后续计量。</w:t>
      </w:r>
    </w:p>
    <w:p>
      <w:pPr>
        <w:pStyle w:val="BodyText"/>
        <w:spacing w:line="272" w:lineRule="exact"/>
        <w:ind w:right="204"/>
        <w:jc w:val="left"/>
      </w:pPr>
      <w:r>
        <w:rPr/>
        <w:t>⑶金融资产和金融负债的公允价值的确认 存在活跃市场的金融资产或金融负债，以活跃市场的报价确定其公允价值；不存在活跃市场的，采用 估值技术（包括参考熟悉情况并自愿交易的各方最近进行的市场交易中使用的价格、参照实质上相同</w:t>
      </w:r>
    </w:p>
    <w:p>
      <w:pPr>
        <w:pStyle w:val="BodyText"/>
        <w:spacing w:line="272" w:lineRule="exact"/>
        <w:ind w:right="204"/>
        <w:jc w:val="left"/>
      </w:pPr>
      <w:r>
        <w:rPr/>
        <w:t>的其他金融工具的当前公允价值、现金流量折现法和期权定价模型等。）确定其公允价值；初始取得 或源生的金融资产或承担的金融负债，以市场交易价格作为确定其公允价值的基础。</w:t>
      </w:r>
    </w:p>
    <w:p>
      <w:pPr>
        <w:pStyle w:val="BodyText"/>
        <w:spacing w:line="272" w:lineRule="exact"/>
        <w:ind w:right="103"/>
        <w:jc w:val="left"/>
      </w:pPr>
      <w:r>
        <w:rPr/>
        <w:t>⑷金融资产的终止确认 </w:t>
      </w:r>
      <w:r>
        <w:rPr>
          <w:spacing w:val="-3"/>
        </w:rPr>
        <w:t>满足下列条件之一的金融资产，予以终止确认：（1）收取该金融资产现金流量的合同权利终止；（2）</w:t>
      </w:r>
      <w:r>
        <w:rPr>
          <w:spacing w:val="-71"/>
        </w:rPr>
        <w:t> </w:t>
      </w:r>
      <w:r>
        <w:rPr>
          <w:spacing w:val="-71"/>
        </w:rPr>
      </w:r>
      <w:r>
        <w:rPr>
          <w:spacing w:val="-4"/>
        </w:rPr>
        <w:t>该金融资产已转移，已将金融资产所有权上几乎所有的风险和报酬转移给转入方；（3）金融资产已转</w:t>
      </w:r>
      <w:r>
        <w:rPr>
          <w:spacing w:val="-71"/>
        </w:rPr>
        <w:t> </w:t>
      </w:r>
      <w:r>
        <w:rPr>
          <w:spacing w:val="-71"/>
        </w:rPr>
      </w:r>
      <w:r>
        <w:rPr>
          <w:spacing w:val="-3"/>
        </w:rPr>
        <w:t>移，既没有转移也没有保留金融资产所有权上几乎所有的风险和报酬，但放弃了对该金融资产控制的。</w:t>
      </w:r>
    </w:p>
    <w:p>
      <w:pPr>
        <w:pStyle w:val="BodyText"/>
        <w:spacing w:line="272" w:lineRule="exact"/>
        <w:ind w:right="204"/>
        <w:jc w:val="left"/>
      </w:pPr>
      <w:r>
        <w:rPr/>
        <w:t>⑸金融资产减值 除了以公允价值计量且其变动计入当期损益的金融资产以外，公司在资产负债表日对其他金融资产的 账面价值进行检查，有客观证据表明该金融资产发生减值的，应当计提减值准备。</w:t>
      </w:r>
    </w:p>
    <w:p>
      <w:pPr>
        <w:pStyle w:val="BodyText"/>
        <w:spacing w:line="272" w:lineRule="exact"/>
        <w:ind w:right="204"/>
        <w:jc w:val="left"/>
      </w:pPr>
      <w:r>
        <w:rPr/>
        <w:t>①</w:t>
      </w:r>
      <w:r>
        <w:rPr>
          <w:spacing w:val="-1"/>
        </w:rPr>
        <w:t> </w:t>
      </w:r>
      <w:r>
        <w:rPr/>
        <w:t>可供出售金融资产减值</w:t>
      </w:r>
      <w:r>
        <w:rPr/>
        <w:t> 可供出售金融资产的公允价值发生较大幅度下降，或在综合考虑各种相关因素后，预期这种下降趋势 属于非暂时性的，可以认定该可供出售金融资产已发生减值，应当确认减值损失。如果该金融资产没 有终止确认，原直接计入所有者权益的因公允价值下降形成的累计损失，应当予以转出，计入当期损 益。该转出的累计损失，为可供出售金融资产的初始取得成本扣除已收回本金和已摊销金额、当前公 允价值和原已计入损益的减值损失后的余额。</w:t>
      </w:r>
    </w:p>
    <w:p>
      <w:pPr>
        <w:pStyle w:val="BodyText"/>
        <w:spacing w:line="272" w:lineRule="exact"/>
        <w:ind w:right="204"/>
        <w:jc w:val="left"/>
      </w:pPr>
      <w:r>
        <w:rPr/>
        <w:t>②</w:t>
      </w:r>
      <w:r>
        <w:rPr>
          <w:spacing w:val="-1"/>
        </w:rPr>
        <w:t> </w:t>
      </w:r>
      <w:r>
        <w:rPr/>
        <w:t>持有至到期投资减值</w:t>
      </w:r>
      <w:r>
        <w:rPr/>
        <w:t> 资产负债表日，有客观证据表明持有至到期投资发生减值，将该金融资产的账面价值减记至预计未来 现金流量现值，减记的金额确认为资产减值损失，计入当期损益。预计未来现金流量现值，按照该金 融资产的原实际利率折现确定。</w:t>
      </w:r>
    </w:p>
    <w:p>
      <w:pPr>
        <w:spacing w:line="240" w:lineRule="auto" w:before="12"/>
        <w:rPr>
          <w:rFonts w:ascii="宋体" w:hAnsi="宋体" w:cs="宋体" w:eastAsia="宋体" w:hint="default"/>
          <w:sz w:val="18"/>
          <w:szCs w:val="18"/>
        </w:rPr>
      </w:pPr>
    </w:p>
    <w:p>
      <w:pPr>
        <w:pStyle w:val="BodyText"/>
        <w:spacing w:line="237" w:lineRule="auto"/>
        <w:ind w:right="204"/>
        <w:jc w:val="left"/>
      </w:pPr>
      <w:r>
        <w:rPr/>
        <w:t>9、应收款项坏账准备的确认标准、计提方法： 坏账的确认标准：资产负债表日，有客观证据表明应收款项发生减值，将应收款项的账面价值减记至 预计未来现金流量现值，减记的金额确认为资产减值损失，计入当期损益。 短期应收款项的预计未来现金流量与其现值相差很小的，在确定相关减值损失时，不对其预计未来现 金流量进行折现。 年末对于单项重大的应收款项，单独进行减值测试。如果有客观证据表明已经发生减值，根据其未来 现金流量现值低于其账面价值的差额，确认减值损失，计提坏账准备。</w:t>
      </w:r>
    </w:p>
    <w:p>
      <w:pPr>
        <w:pStyle w:val="BodyText"/>
        <w:spacing w:line="272" w:lineRule="exact" w:before="25"/>
        <w:ind w:right="204"/>
        <w:jc w:val="left"/>
      </w:pPr>
      <w:r>
        <w:rPr/>
        <w:t>单项金额重大是指：余额</w:t>
      </w:r>
      <w:r>
        <w:rPr>
          <w:spacing w:val="-53"/>
        </w:rPr>
        <w:t> </w:t>
      </w:r>
      <w:r>
        <w:rPr/>
        <w:t>100</w:t>
      </w:r>
      <w:r>
        <w:rPr>
          <w:spacing w:val="-52"/>
        </w:rPr>
        <w:t> </w:t>
      </w:r>
      <w:r>
        <w:rPr/>
        <w:t>万元以上的应收款项。</w:t>
      </w:r>
      <w:r>
        <w:rPr/>
        <w:t> 年末对于单项金额非重大的应收款项与经单独测试后未减值的应收款项一起按类似信用风险特征划分 为若干组合，再按这些应收款项组合在年末帐面余额的一定比例计算确定减值损失，计提坏账准备。</w:t>
      </w:r>
    </w:p>
    <w:p>
      <w:pPr>
        <w:spacing w:line="240" w:lineRule="auto" w:before="11"/>
        <w:rPr>
          <w:rFonts w:ascii="宋体" w:hAnsi="宋体" w:cs="宋体" w:eastAsia="宋体" w:hint="default"/>
          <w:sz w:val="20"/>
          <w:szCs w:val="20"/>
        </w:rPr>
      </w:pPr>
    </w:p>
    <w:p>
      <w:pPr>
        <w:pStyle w:val="BodyText"/>
        <w:spacing w:line="272" w:lineRule="exact"/>
        <w:ind w:right="7554"/>
        <w:jc w:val="left"/>
      </w:pPr>
      <w:r>
        <w:rPr/>
        <w:t>10、存货核算方法： (1)</w:t>
      </w:r>
      <w:r>
        <w:rPr>
          <w:spacing w:val="-2"/>
        </w:rPr>
        <w:t> </w:t>
      </w:r>
      <w:r>
        <w:rPr/>
        <w:t>存货的分类</w:t>
      </w:r>
    </w:p>
    <w:p>
      <w:pPr>
        <w:pStyle w:val="BodyText"/>
        <w:spacing w:line="272" w:lineRule="exact"/>
        <w:ind w:right="204"/>
        <w:jc w:val="left"/>
      </w:pPr>
      <w:r>
        <w:rPr/>
        <w:t>存货包括在日常活动中持有以备出售的产成品或库存商品、处在生产过程中的在产品、在生产过程或 提供劳务过程中耗用的材料和物料等。</w:t>
      </w:r>
    </w:p>
    <w:p>
      <w:pPr>
        <w:spacing w:line="240" w:lineRule="auto" w:before="11"/>
        <w:rPr>
          <w:rFonts w:ascii="宋体" w:hAnsi="宋体" w:cs="宋体" w:eastAsia="宋体" w:hint="default"/>
          <w:sz w:val="20"/>
          <w:szCs w:val="20"/>
        </w:rPr>
      </w:pPr>
    </w:p>
    <w:p>
      <w:pPr>
        <w:pStyle w:val="BodyText"/>
        <w:spacing w:line="272" w:lineRule="exact"/>
        <w:ind w:right="7136"/>
        <w:jc w:val="left"/>
      </w:pPr>
      <w:r>
        <w:rPr/>
        <w:t>(2)</w:t>
      </w:r>
      <w:r>
        <w:rPr>
          <w:spacing w:val="-2"/>
        </w:rPr>
        <w:t> </w:t>
      </w:r>
      <w:r>
        <w:rPr/>
        <w:t>发出存货的计价方法</w:t>
      </w:r>
      <w:r>
        <w:rPr/>
        <w:t> 加权平均法</w:t>
      </w:r>
    </w:p>
    <w:p>
      <w:pPr>
        <w:spacing w:line="240" w:lineRule="auto" w:before="11"/>
        <w:rPr>
          <w:rFonts w:ascii="宋体" w:hAnsi="宋体" w:cs="宋体" w:eastAsia="宋体" w:hint="default"/>
          <w:sz w:val="20"/>
          <w:szCs w:val="20"/>
        </w:rPr>
      </w:pPr>
    </w:p>
    <w:p>
      <w:pPr>
        <w:pStyle w:val="BodyText"/>
        <w:spacing w:line="272" w:lineRule="exact"/>
        <w:ind w:right="204"/>
        <w:jc w:val="left"/>
      </w:pPr>
      <w:r>
        <w:rPr/>
        <w:t>(3)</w:t>
      </w:r>
      <w:r>
        <w:rPr>
          <w:spacing w:val="-1"/>
        </w:rPr>
        <w:t> </w:t>
      </w:r>
      <w:r>
        <w:rPr/>
        <w:t>存货可变现净值的确定依据及存货跌价准备的计提方法</w:t>
      </w:r>
      <w:r>
        <w:rPr/>
        <w:t> 资产负债表日，存货采用成本与可变现净值孰低计量，按照存货类别成本高于可变现净值的差额计提 存货跌价准备。产成品、库存商品和用于出售的材料等直接用于出售的商品存货，在正常生产经营过</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03"/>
        <w:jc w:val="left"/>
      </w:pPr>
      <w:r>
        <w:rPr/>
        <w:t>程中以该存货的估计售价减去估计的销售费用和相关税费后的金额确定其可变现净值；需要经过加工 </w:t>
      </w:r>
      <w:r>
        <w:rPr>
          <w:spacing w:val="-3"/>
        </w:rPr>
        <w:t>的材料存货，在正常生产经营过程中以所生产的产成品的估计售价减去至完工时估计将要发生的成本、</w:t>
      </w:r>
      <w:r>
        <w:rPr>
          <w:spacing w:val="-74"/>
        </w:rPr>
        <w:t> </w:t>
      </w:r>
      <w:r>
        <w:rPr>
          <w:spacing w:val="-74"/>
        </w:rPr>
      </w:r>
      <w:r>
        <w:rPr/>
        <w:t>估计的销售费用和相关税费后的金额确定其可变现净值；资产负债表日，同一项存货中一部分有合同 价格约定、其他部分不存在合同价格的，分别确定其可变现净值，并与其对应的成本进行比较，分别 确定存货跌价准备的计提或转回的金额。</w:t>
      </w:r>
    </w:p>
    <w:p>
      <w:pPr>
        <w:spacing w:line="240" w:lineRule="auto" w:before="11"/>
        <w:rPr>
          <w:rFonts w:ascii="宋体" w:hAnsi="宋体" w:cs="宋体" w:eastAsia="宋体" w:hint="default"/>
          <w:sz w:val="20"/>
          <w:szCs w:val="20"/>
        </w:rPr>
      </w:pPr>
    </w:p>
    <w:p>
      <w:pPr>
        <w:pStyle w:val="BodyText"/>
        <w:spacing w:line="272" w:lineRule="exact"/>
        <w:ind w:right="7556"/>
        <w:jc w:val="left"/>
      </w:pPr>
      <w:r>
        <w:rPr/>
        <w:t>(4)</w:t>
      </w:r>
      <w:r>
        <w:rPr>
          <w:spacing w:val="-2"/>
        </w:rPr>
        <w:t> </w:t>
      </w:r>
      <w:r>
        <w:rPr/>
        <w:t>存货的盘存制度</w:t>
      </w:r>
      <w:r>
        <w:rPr/>
        <w:t> 永续盘存制</w:t>
      </w:r>
    </w:p>
    <w:p>
      <w:pPr>
        <w:spacing w:line="240" w:lineRule="auto" w:before="10"/>
        <w:rPr>
          <w:rFonts w:ascii="宋体" w:hAnsi="宋体" w:cs="宋体" w:eastAsia="宋体" w:hint="default"/>
          <w:sz w:val="18"/>
          <w:szCs w:val="18"/>
        </w:rPr>
      </w:pPr>
    </w:p>
    <w:p>
      <w:pPr>
        <w:pStyle w:val="BodyText"/>
        <w:spacing w:line="274" w:lineRule="exact"/>
        <w:ind w:right="103"/>
        <w:jc w:val="left"/>
      </w:pPr>
      <w:r>
        <w:rPr/>
        <w:t>(5)</w:t>
      </w:r>
      <w:r>
        <w:rPr>
          <w:spacing w:val="-2"/>
        </w:rPr>
        <w:t> </w:t>
      </w:r>
      <w:r>
        <w:rPr/>
        <w:t>低值易耗品和包装物的摊销方法</w:t>
      </w:r>
    </w:p>
    <w:p>
      <w:pPr>
        <w:pStyle w:val="BodyText"/>
        <w:spacing w:line="272" w:lineRule="exact" w:before="26"/>
        <w:ind w:right="8081"/>
        <w:jc w:val="left"/>
      </w:pPr>
      <w:r>
        <w:rPr/>
        <w:t>1)</w:t>
      </w:r>
      <w:r>
        <w:rPr>
          <w:spacing w:val="-2"/>
        </w:rPr>
        <w:t> </w:t>
      </w:r>
      <w:r>
        <w:rPr/>
        <w:t>低值易耗品</w:t>
      </w:r>
      <w:r>
        <w:rPr/>
        <w:t> 一次摊销法</w:t>
      </w:r>
    </w:p>
    <w:p>
      <w:pPr>
        <w:spacing w:line="240" w:lineRule="auto" w:before="11"/>
        <w:rPr>
          <w:rFonts w:ascii="宋体" w:hAnsi="宋体" w:cs="宋体" w:eastAsia="宋体" w:hint="default"/>
          <w:sz w:val="20"/>
          <w:szCs w:val="20"/>
        </w:rPr>
      </w:pPr>
    </w:p>
    <w:p>
      <w:pPr>
        <w:pStyle w:val="BodyText"/>
        <w:spacing w:line="272" w:lineRule="exact"/>
        <w:ind w:right="8394"/>
        <w:jc w:val="left"/>
      </w:pPr>
      <w:r>
        <w:rPr/>
        <w:t>2) 包装物 一次摊销法</w:t>
      </w:r>
    </w:p>
    <w:p>
      <w:pPr>
        <w:spacing w:line="240" w:lineRule="auto" w:before="11"/>
        <w:rPr>
          <w:rFonts w:ascii="宋体" w:hAnsi="宋体" w:cs="宋体" w:eastAsia="宋体" w:hint="default"/>
          <w:sz w:val="20"/>
          <w:szCs w:val="20"/>
        </w:rPr>
      </w:pPr>
    </w:p>
    <w:p>
      <w:pPr>
        <w:pStyle w:val="BodyText"/>
        <w:spacing w:line="272" w:lineRule="exact"/>
        <w:ind w:left="245" w:right="5874" w:hanging="106"/>
        <w:jc w:val="left"/>
      </w:pPr>
      <w:r>
        <w:rPr/>
        <w:t>11、长期股权投资的核算方法： (1)长期股权投资初始投资成本的确定</w:t>
      </w:r>
    </w:p>
    <w:p>
      <w:pPr>
        <w:pStyle w:val="BodyText"/>
        <w:spacing w:line="246" w:lineRule="exact"/>
        <w:ind w:right="103"/>
        <w:jc w:val="left"/>
      </w:pPr>
      <w:r>
        <w:rPr/>
        <w:t>长期股权投资的初始投资成本按取得方式不同分别采用如下方式确认：</w:t>
      </w:r>
    </w:p>
    <w:p>
      <w:pPr>
        <w:pStyle w:val="BodyText"/>
        <w:spacing w:line="272" w:lineRule="exact" w:before="26"/>
        <w:ind w:right="103"/>
        <w:jc w:val="left"/>
      </w:pPr>
      <w:r>
        <w:rPr/>
        <w:t>①通过同一控制下的合并取得的长期股权投资，在合并日按照被合并方所有者权益账面价值的份额作 为长期股权投资的初始投资成本。长期股权投资初始投资成本与支付的现金、转让的非现金资产以及 </w:t>
      </w:r>
      <w:r>
        <w:rPr>
          <w:spacing w:val="-3"/>
        </w:rPr>
        <w:t>所承担债务账面价值或发行的权益性债券面值总额之间的差额，计入资本公积；资本公积不足冲减的，</w:t>
      </w:r>
      <w:r>
        <w:rPr>
          <w:spacing w:val="-74"/>
        </w:rPr>
        <w:t> </w:t>
      </w:r>
      <w:r>
        <w:rPr>
          <w:spacing w:val="-74"/>
        </w:rPr>
      </w:r>
      <w:r>
        <w:rPr/>
        <w:t>调整留存收益。</w:t>
      </w:r>
    </w:p>
    <w:p>
      <w:pPr>
        <w:pStyle w:val="BodyText"/>
        <w:spacing w:line="272" w:lineRule="exact"/>
        <w:ind w:right="103"/>
        <w:jc w:val="left"/>
      </w:pPr>
      <w:r>
        <w:rPr/>
        <w:t>②通过非同一控制下的合并取得的长期股权投资，按照确定的合并成本作为长期股权投资的初始投资 </w:t>
      </w:r>
      <w:r>
        <w:rPr>
          <w:spacing w:val="-3"/>
        </w:rPr>
        <w:t>成本。合并成本大于享有被购买方可辨认净资产公允价值份额的差额，在合并财务报表中确认为商誉；</w:t>
      </w:r>
      <w:r>
        <w:rPr>
          <w:spacing w:val="-74"/>
        </w:rPr>
        <w:t> </w:t>
      </w:r>
      <w:r>
        <w:rPr>
          <w:spacing w:val="-74"/>
        </w:rPr>
      </w:r>
      <w:r>
        <w:rPr/>
        <w:t>合并成本小于享有被购买方可辨认净资产公允价值份额的差额，计入当期损益。</w:t>
      </w:r>
    </w:p>
    <w:p>
      <w:pPr>
        <w:pStyle w:val="BodyText"/>
        <w:spacing w:line="272" w:lineRule="exact"/>
        <w:ind w:right="221"/>
        <w:jc w:val="both"/>
      </w:pPr>
      <w:r>
        <w:rPr/>
        <w:t>③除上述通过企业合并取得的长期股权投资外，通过支付的现金、付出的非货币性资产或发行的权益 性证券的方式取得的长期股权投资，以其公允价值作为长期股权投资的初始投资成本：长期股权投资 通过债务重组方式取得的长期股权投资，以债权转为股权所享有股份的公允价值作为长期股权投资的 初始投资成本；投资者投入的长期股权投资，以投资合同或协议约定的价值作为初始投资成本，但合 同或协议约定价值不公允时，则以投入股权的公允价值作为初始投资成本。实际支付的价款或对价中 包含的已宣告但尚未领取的现金股利，作为应收项目单独核算。</w:t>
      </w:r>
    </w:p>
    <w:p>
      <w:pPr>
        <w:spacing w:line="240" w:lineRule="auto" w:before="10"/>
        <w:rPr>
          <w:rFonts w:ascii="宋体" w:hAnsi="宋体" w:cs="宋体" w:eastAsia="宋体" w:hint="default"/>
          <w:sz w:val="20"/>
          <w:szCs w:val="20"/>
        </w:rPr>
      </w:pPr>
    </w:p>
    <w:p>
      <w:pPr>
        <w:pStyle w:val="BodyText"/>
        <w:spacing w:line="272" w:lineRule="exact"/>
        <w:ind w:right="204" w:firstLine="105"/>
        <w:jc w:val="left"/>
      </w:pPr>
      <w:r>
        <w:rPr/>
        <w:t>(2)</w:t>
      </w:r>
      <w:r>
        <w:rPr>
          <w:spacing w:val="-29"/>
        </w:rPr>
        <w:t> </w:t>
      </w:r>
      <w:r>
        <w:rPr>
          <w:spacing w:val="-2"/>
        </w:rPr>
        <w:t>长期股权投资的后续计量：公司对子公司的长期股权投资以及对被投资单位不具有共同控制或重</w:t>
      </w:r>
      <w:r>
        <w:rPr/>
        <w:t> 大影响并且在活跃市场中没有报价、公允价值不能可靠计量的长期股权投资，采用成本法核算；对被 投资单位具有共同控制或重大影响的长期股权投资，采用权益法核算。 共同控制是指按照合同约定对某项经济活动共有的控制。在确定是否构成共同控制时，一般考虑以下 情况作为确定基础：</w:t>
      </w:r>
    </w:p>
    <w:p>
      <w:pPr>
        <w:pStyle w:val="BodyText"/>
        <w:spacing w:line="246" w:lineRule="exact"/>
        <w:ind w:right="103"/>
        <w:jc w:val="left"/>
      </w:pPr>
      <w:r>
        <w:rPr/>
        <w:t>①任何一个合营方均不能单独控制合营企业的生产经营活动。</w:t>
      </w:r>
    </w:p>
    <w:p>
      <w:pPr>
        <w:pStyle w:val="BodyText"/>
        <w:spacing w:line="272" w:lineRule="exact"/>
        <w:ind w:right="103"/>
        <w:jc w:val="left"/>
      </w:pPr>
      <w:r>
        <w:rPr/>
        <w:t>②涉及合营企业基本经营活动的决策需要各合营方一致同意。</w:t>
      </w:r>
    </w:p>
    <w:p>
      <w:pPr>
        <w:pStyle w:val="BodyText"/>
        <w:spacing w:line="272" w:lineRule="exact" w:before="26"/>
        <w:ind w:right="204"/>
        <w:jc w:val="left"/>
      </w:pPr>
      <w:r>
        <w:rPr/>
        <w:t>③各合营方可能通过合同或协议的形式任命其中的一个合营方对合营企业的日常活动进行管理，但其 必须在各合营方已经一致同意的财务和经营政策范围内行使管理权。 重大影响是指对被投资单位的财务和经营政策有参与决策的权力，但并不能够控制或者与其他方一起 共同控制这些政策的制定。本公司一般以直接或通过子公司间接拥有被投资单位</w:t>
      </w:r>
      <w:r>
        <w:rPr>
          <w:spacing w:val="-62"/>
        </w:rPr>
        <w:t> </w:t>
      </w:r>
      <w:r>
        <w:rPr/>
        <w:t>20%以上但低于</w:t>
      </w:r>
      <w:r>
        <w:rPr>
          <w:spacing w:val="-62"/>
        </w:rPr>
        <w:t> </w:t>
      </w:r>
      <w:r>
        <w:rPr/>
        <w:t>50%</w:t>
      </w:r>
      <w:r>
        <w:rPr>
          <w:spacing w:val="-1"/>
        </w:rPr>
        <w:t> </w:t>
      </w:r>
      <w:r>
        <w:rPr/>
        <w:t>的表决权股份时，认为对被投资单位具有重大影响，但有明确的证据表明该种情况下不能参与被投资</w:t>
      </w:r>
      <w:r>
        <w:rPr/>
        <w:t> 单位的生产经营决策，不形成重大影响的除外。</w:t>
      </w:r>
    </w:p>
    <w:p>
      <w:pPr>
        <w:pStyle w:val="BodyText"/>
        <w:spacing w:line="272" w:lineRule="exact"/>
        <w:ind w:right="259"/>
        <w:jc w:val="left"/>
      </w:pPr>
      <w:r>
        <w:rPr/>
        <w:t>公司对被投资单位拥有表决权股份的比例低于</w:t>
      </w:r>
      <w:r>
        <w:rPr>
          <w:spacing w:val="-55"/>
        </w:rPr>
        <w:t> </w:t>
      </w:r>
      <w:r>
        <w:rPr/>
        <w:t>20%的，一般认为对被投资单位不具有重大影响，但存</w:t>
      </w:r>
      <w:r>
        <w:rPr/>
        <w:t> 在下列情形的除外：</w:t>
      </w:r>
    </w:p>
    <w:p>
      <w:pPr>
        <w:pStyle w:val="BodyText"/>
        <w:spacing w:line="246" w:lineRule="exact"/>
        <w:ind w:right="103"/>
        <w:jc w:val="left"/>
      </w:pPr>
      <w:r>
        <w:rPr/>
        <w:t>①在被投资单位的董事会或类似权力机构中派有代表。</w:t>
      </w:r>
    </w:p>
    <w:p>
      <w:pPr>
        <w:pStyle w:val="BodyText"/>
        <w:spacing w:line="272" w:lineRule="exact"/>
        <w:ind w:right="103"/>
        <w:jc w:val="left"/>
      </w:pPr>
      <w:r>
        <w:rPr/>
        <w:t>②参与被投资单位的政策制定过程，包括股利分配政策等的制定。</w:t>
      </w:r>
    </w:p>
    <w:p>
      <w:pPr>
        <w:pStyle w:val="BodyText"/>
        <w:spacing w:line="272" w:lineRule="exact"/>
        <w:ind w:right="103"/>
        <w:jc w:val="left"/>
      </w:pPr>
      <w:r>
        <w:rPr/>
        <w:t>③与被投资单位之间发生重要交易。</w:t>
      </w:r>
    </w:p>
    <w:p>
      <w:pPr>
        <w:pStyle w:val="BodyText"/>
        <w:spacing w:line="274" w:lineRule="exact"/>
        <w:ind w:right="103"/>
        <w:jc w:val="left"/>
      </w:pPr>
      <w:r>
        <w:rPr/>
        <w:t>④向被投资单位派出管理人员。</w:t>
      </w:r>
    </w:p>
    <w:p>
      <w:pPr>
        <w:spacing w:after="0" w:line="274"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right="103"/>
        <w:jc w:val="left"/>
      </w:pPr>
      <w:r>
        <w:rPr/>
        <w:t>⑤向被投资单位提供关键技术资料。</w:t>
      </w:r>
    </w:p>
    <w:p>
      <w:pPr>
        <w:spacing w:line="240" w:lineRule="auto" w:before="10"/>
        <w:rPr>
          <w:rFonts w:ascii="宋体" w:hAnsi="宋体" w:cs="宋体" w:eastAsia="宋体" w:hint="default"/>
          <w:sz w:val="22"/>
          <w:szCs w:val="22"/>
        </w:rPr>
      </w:pPr>
    </w:p>
    <w:p>
      <w:pPr>
        <w:pStyle w:val="BodyText"/>
        <w:spacing w:line="272" w:lineRule="exact"/>
        <w:ind w:right="103" w:firstLine="105"/>
        <w:jc w:val="left"/>
      </w:pPr>
      <w:r>
        <w:rPr/>
        <w:t>(3)</w:t>
      </w:r>
      <w:r>
        <w:rPr>
          <w:spacing w:val="-70"/>
        </w:rPr>
        <w:t> </w:t>
      </w:r>
      <w:r>
        <w:rPr/>
        <w:t>资产负债表日，以成本法核算的、在活跃市场中没有报价、公允价值不能可靠计量的长期股权投</w:t>
      </w:r>
      <w:r>
        <w:rPr/>
        <w:t> 资，有客观证据表明其发生减值的，按照类似投资当时市场收益率对预计未来现金流量折现确定的现 </w:t>
      </w:r>
      <w:r>
        <w:rPr>
          <w:spacing w:val="-3"/>
        </w:rPr>
        <w:t>值低于其账面价值之间的差额，计提长期投资减值准备；其他投资，当存在减值迹象时，按本附注四、</w:t>
      </w:r>
      <w:r>
        <w:rPr>
          <w:spacing w:val="-74"/>
        </w:rPr>
        <w:t> </w:t>
      </w:r>
      <w:r>
        <w:rPr>
          <w:spacing w:val="-74"/>
        </w:rPr>
      </w:r>
      <w:r>
        <w:rPr/>
        <w:t>15</w:t>
      </w:r>
      <w:r>
        <w:rPr>
          <w:spacing w:val="-54"/>
        </w:rPr>
        <w:t> </w:t>
      </w:r>
      <w:r>
        <w:rPr/>
        <w:t>所述方法计提长期投资减值准备。</w:t>
      </w:r>
    </w:p>
    <w:p>
      <w:pPr>
        <w:spacing w:line="240" w:lineRule="auto" w:before="10"/>
        <w:rPr>
          <w:rFonts w:ascii="宋体" w:hAnsi="宋体" w:cs="宋体" w:eastAsia="宋体" w:hint="default"/>
          <w:sz w:val="18"/>
          <w:szCs w:val="18"/>
        </w:rPr>
      </w:pPr>
    </w:p>
    <w:p>
      <w:pPr>
        <w:pStyle w:val="BodyText"/>
        <w:spacing w:line="240" w:lineRule="auto"/>
        <w:ind w:right="103"/>
        <w:jc w:val="left"/>
      </w:pPr>
      <w:r>
        <w:rPr/>
        <w:t>12、固定资产计价和折旧方法的计提方法：</w:t>
      </w:r>
    </w:p>
    <w:p>
      <w:pPr>
        <w:spacing w:line="240" w:lineRule="auto" w:before="11"/>
        <w:rPr>
          <w:rFonts w:ascii="宋体" w:hAnsi="宋体" w:cs="宋体" w:eastAsia="宋体" w:hint="default"/>
          <w:sz w:val="20"/>
          <w:szCs w:val="20"/>
        </w:rPr>
      </w:pPr>
    </w:p>
    <w:p>
      <w:pPr>
        <w:pStyle w:val="BodyText"/>
        <w:spacing w:line="237" w:lineRule="auto"/>
        <w:ind w:right="204"/>
        <w:jc w:val="left"/>
      </w:pPr>
      <w:r>
        <w:rPr>
          <w:spacing w:val="-3"/>
        </w:rPr>
        <w:t>(1)固定资产是指同时具有下列特征的有形资产：①为生产商品、提供劳务、出租或经营管理持有；②</w:t>
      </w:r>
      <w:r>
        <w:rPr>
          <w:spacing w:val="-73"/>
        </w:rPr>
        <w:t> </w:t>
      </w:r>
      <w:r>
        <w:rPr>
          <w:spacing w:val="-73"/>
        </w:rPr>
      </w:r>
      <w:r>
        <w:rPr/>
        <w:t>使用寿命超过一个会计年度。 </w:t>
      </w:r>
      <w:r>
        <w:rPr>
          <w:spacing w:val="-3"/>
        </w:rPr>
        <w:t>(2)固定资产同时满足下列条件的予以确认：①与该固定资产有关的经济利益很可能流入企业；②该固</w:t>
      </w:r>
      <w:r>
        <w:rPr>
          <w:spacing w:val="-73"/>
        </w:rPr>
        <w:t> </w:t>
      </w:r>
      <w:r>
        <w:rPr>
          <w:spacing w:val="-73"/>
        </w:rPr>
      </w:r>
      <w:r>
        <w:rPr/>
        <w:t>定资产的成本能够可靠地计量。与固定资产有关的后续支出，符合上述确认条件的，计入固定资产成 本；不符合上述确认条件的,发生时计入当期损益。</w:t>
      </w:r>
      <w:r>
        <w:rPr/>
        <w:t> </w:t>
      </w:r>
      <w:r>
        <w:rPr>
          <w:spacing w:val="-3"/>
        </w:rPr>
        <w:t>(3)固定资产按照成本进行初始计量。融资租入的固定资产，按租赁开始日租赁资产的公允价值与最低</w:t>
      </w:r>
      <w:r>
        <w:rPr>
          <w:spacing w:val="-73"/>
        </w:rPr>
        <w:t> </w:t>
      </w:r>
      <w:r>
        <w:rPr>
          <w:spacing w:val="-73"/>
        </w:rPr>
      </w:r>
      <w:r>
        <w:rPr/>
        <w:t>租赁付款额的现值中较低者入账，按自有固定资产的折旧政策计提折旧。</w:t>
      </w:r>
    </w:p>
    <w:p>
      <w:pPr>
        <w:pStyle w:val="BodyText"/>
        <w:spacing w:line="272" w:lineRule="exact" w:before="25"/>
        <w:ind w:right="204"/>
        <w:jc w:val="left"/>
      </w:pPr>
      <w:r>
        <w:rPr/>
        <w:t>(4)</w:t>
      </w:r>
      <w:r>
        <w:rPr>
          <w:spacing w:val="-2"/>
        </w:rPr>
        <w:t> </w:t>
      </w:r>
      <w:r>
        <w:rPr/>
        <w:t>公司对所有固定资产计提折旧，但已提足折旧继续使用和单独计价入账的土地除外。固定资产的</w:t>
      </w:r>
      <w:r>
        <w:rPr/>
        <w:t> 应计折旧额为固定资产原价扣除其预计净残值后的余额，已计提减值准备的固定资产，还应扣除已计 提的固定资产减值准备累计金额，固定资产的预计净残值为假定固定资产使用寿命已满并处于使用寿 命终了时的预期状态，目前从该资产处置中获得的扣除处置费用后的金额。 固定资产折旧采用年限平均法。各类固定资产的折旧年限、残值率和年折旧率如下：</w:t>
      </w:r>
    </w:p>
    <w:p>
      <w:pPr>
        <w:spacing w:line="240" w:lineRule="auto" w:before="6"/>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1896"/>
        <w:gridCol w:w="2563"/>
        <w:gridCol w:w="2374"/>
        <w:gridCol w:w="2467"/>
      </w:tblGrid>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6"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sz w:val="21"/>
              </w:rPr>
              <w:t>6.47-2.43</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10-28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sz w:val="21"/>
              </w:rPr>
              <w:t>9.70-3.46</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8.08</w:t>
            </w:r>
          </w:p>
        </w:tc>
      </w:tr>
    </w:tbl>
    <w:p>
      <w:pPr>
        <w:spacing w:line="240" w:lineRule="auto" w:before="6"/>
        <w:rPr>
          <w:rFonts w:ascii="宋体" w:hAnsi="宋体" w:cs="宋体" w:eastAsia="宋体" w:hint="default"/>
          <w:sz w:val="15"/>
          <w:szCs w:val="15"/>
        </w:rPr>
      </w:pPr>
    </w:p>
    <w:p>
      <w:pPr>
        <w:pStyle w:val="BodyText"/>
        <w:spacing w:line="272" w:lineRule="exact" w:before="63"/>
        <w:ind w:right="103"/>
        <w:jc w:val="left"/>
      </w:pPr>
      <w:r>
        <w:rPr>
          <w:spacing w:val="-5"/>
        </w:rPr>
        <w:t>(5)因开工不足、自然灾害等导致连续</w:t>
      </w:r>
      <w:r>
        <w:rPr>
          <w:spacing w:val="-45"/>
        </w:rPr>
        <w:t> </w:t>
      </w:r>
      <w:r>
        <w:rPr/>
        <w:t>6</w:t>
      </w:r>
      <w:r>
        <w:rPr>
          <w:spacing w:val="-45"/>
        </w:rPr>
        <w:t> </w:t>
      </w:r>
      <w:r>
        <w:rPr>
          <w:spacing w:val="-6"/>
        </w:rPr>
        <w:t>个月停用的固定资产确认为闲置固定资产（季节性停用除外）。</w:t>
      </w:r>
      <w:r>
        <w:rPr>
          <w:spacing w:val="-100"/>
        </w:rPr>
        <w:t> </w:t>
      </w:r>
      <w:r>
        <w:rPr>
          <w:spacing w:val="-100"/>
        </w:rPr>
      </w:r>
      <w:r>
        <w:rPr/>
        <w:t>闲置固定资产采用和其他同类别固定资产一致的折旧方法。 (6)资产负债表日，有迹象表明固定资产发生减值的，按本附注四、12</w:t>
      </w:r>
      <w:r>
        <w:rPr>
          <w:spacing w:val="-54"/>
        </w:rPr>
        <w:t> </w:t>
      </w:r>
      <w:r>
        <w:rPr/>
        <w:t>所述方法计提固定资产减值准</w:t>
      </w:r>
      <w:r>
        <w:rPr/>
        <w:t> 备。</w:t>
      </w:r>
    </w:p>
    <w:p>
      <w:pPr>
        <w:pStyle w:val="BodyText"/>
        <w:spacing w:line="272" w:lineRule="exact"/>
        <w:ind w:right="103"/>
        <w:jc w:val="left"/>
      </w:pPr>
      <w:r>
        <w:rPr>
          <w:spacing w:val="-3"/>
        </w:rPr>
        <w:t>（7）融资租入的固定资产，按租赁开始日租赁资产公允价值与最低租赁付款额现值两者中较低者作为</w:t>
      </w:r>
      <w:r>
        <w:rPr>
          <w:spacing w:val="-74"/>
        </w:rPr>
        <w:t> </w:t>
      </w:r>
      <w:r>
        <w:rPr>
          <w:spacing w:val="-74"/>
        </w:rPr>
      </w:r>
      <w:r>
        <w:rPr/>
        <w:t>入账价值，按自有固定资产的折旧政策计提折旧。</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13、在建工程核算方法：</w:t>
      </w:r>
    </w:p>
    <w:p>
      <w:pPr>
        <w:pStyle w:val="BodyText"/>
        <w:spacing w:line="272" w:lineRule="exact" w:before="26"/>
        <w:ind w:right="204"/>
        <w:jc w:val="left"/>
      </w:pPr>
      <w:r>
        <w:rPr/>
        <w:t>(1)</w:t>
      </w:r>
      <w:r>
        <w:rPr>
          <w:spacing w:val="-1"/>
        </w:rPr>
        <w:t> </w:t>
      </w:r>
      <w:r>
        <w:rPr/>
        <w:t>在建工程的类别：本公司在建工程包括自营工程和出包工程两类。</w:t>
      </w:r>
      <w:r>
        <w:rPr/>
        <w:t> </w:t>
      </w:r>
      <w:r>
        <w:rPr>
          <w:spacing w:val="-3"/>
        </w:rPr>
        <w:t>(2)在建工程同时满足经济利益很可能流入、成本能够可靠计量时予以确认。在建工程按建造该项资产</w:t>
      </w:r>
      <w:r>
        <w:rPr>
          <w:spacing w:val="-73"/>
        </w:rPr>
        <w:t> </w:t>
      </w:r>
      <w:r>
        <w:rPr>
          <w:spacing w:val="-73"/>
        </w:rPr>
      </w:r>
      <w:r>
        <w:rPr/>
        <w:t>达到预定可使用状态前所发生的实际成本计量。 </w:t>
      </w:r>
      <w:r>
        <w:rPr>
          <w:spacing w:val="-3"/>
        </w:rPr>
        <w:t>(3)在建工程达到预定可使用状态时，按工程实际成本转入固定资产。已达到预定可使用状态但尚未办</w:t>
      </w:r>
      <w:r>
        <w:rPr>
          <w:spacing w:val="-73"/>
        </w:rPr>
        <w:t> </w:t>
      </w:r>
      <w:r>
        <w:rPr>
          <w:spacing w:val="-73"/>
        </w:rPr>
      </w:r>
      <w:r>
        <w:rPr/>
        <w:t>理竣工结算的，先按估计价值转入固定资产，待办理竣工决算后再按实际成本调整原暂估价值，但不 再调整原已计提的折旧。</w:t>
      </w:r>
    </w:p>
    <w:p>
      <w:pPr>
        <w:pStyle w:val="BodyText"/>
        <w:spacing w:line="272" w:lineRule="exact"/>
        <w:ind w:right="259"/>
        <w:jc w:val="left"/>
      </w:pPr>
      <w:r>
        <w:rPr/>
        <w:t>(4)资产负债表日，有迹象表明在建工程发生减值的，按本附注四、15</w:t>
      </w:r>
      <w:r>
        <w:rPr>
          <w:spacing w:val="-55"/>
        </w:rPr>
        <w:t> </w:t>
      </w:r>
      <w:r>
        <w:rPr/>
        <w:t>所述方法计提在建工程减值准</w:t>
      </w:r>
      <w:r>
        <w:rPr/>
        <w:t> 备。</w:t>
      </w:r>
    </w:p>
    <w:p>
      <w:pPr>
        <w:spacing w:line="240" w:lineRule="auto" w:before="8"/>
        <w:rPr>
          <w:rFonts w:ascii="宋体" w:hAnsi="宋体" w:cs="宋体" w:eastAsia="宋体" w:hint="default"/>
          <w:sz w:val="18"/>
          <w:szCs w:val="18"/>
        </w:rPr>
      </w:pPr>
    </w:p>
    <w:p>
      <w:pPr>
        <w:pStyle w:val="BodyText"/>
        <w:spacing w:line="274" w:lineRule="exact"/>
        <w:ind w:right="103"/>
        <w:jc w:val="left"/>
      </w:pPr>
      <w:r>
        <w:rPr/>
        <w:t>14、无形资产的核算方法：</w:t>
      </w:r>
    </w:p>
    <w:p>
      <w:pPr>
        <w:pStyle w:val="BodyText"/>
        <w:spacing w:line="272" w:lineRule="exact"/>
        <w:ind w:right="103"/>
        <w:jc w:val="left"/>
      </w:pPr>
      <w:r>
        <w:rPr/>
        <w:t>（1）无形资产按成本进行初始计量。</w:t>
      </w:r>
    </w:p>
    <w:p>
      <w:pPr>
        <w:pStyle w:val="BodyText"/>
        <w:spacing w:line="272" w:lineRule="exact" w:before="26"/>
        <w:ind w:right="217"/>
        <w:jc w:val="both"/>
      </w:pPr>
      <w:r>
        <w:rPr>
          <w:spacing w:val="-3"/>
        </w:rPr>
        <w:t>（2）根据无形资产的合同性权利或其他法定权利、同行业情况、历史经验、相关专家论证等综合因素</w:t>
      </w:r>
      <w:r>
        <w:rPr>
          <w:spacing w:val="-76"/>
        </w:rPr>
        <w:t> </w:t>
      </w:r>
      <w:r>
        <w:rPr>
          <w:spacing w:val="-76"/>
        </w:rPr>
      </w:r>
      <w:r>
        <w:rPr/>
        <w:t>判断，能合理确定无形资产为公司带来经济利益期限的，作为使用寿命有限的无形资产；无法合理确 定无形资产为公司带来经济利益期限的，视为使用寿命不确定的无形资产。</w:t>
      </w:r>
    </w:p>
    <w:p>
      <w:pPr>
        <w:pStyle w:val="BodyText"/>
        <w:spacing w:line="272" w:lineRule="exact"/>
        <w:ind w:right="204"/>
        <w:jc w:val="left"/>
      </w:pPr>
      <w:r>
        <w:rPr>
          <w:spacing w:val="-3"/>
        </w:rPr>
        <w:t>（3）使用寿命有限的无形资产，在使用寿命内按照与该项无形资产有关的经济利益的预期实现方式系</w:t>
      </w:r>
      <w:r>
        <w:rPr>
          <w:spacing w:val="-74"/>
        </w:rPr>
        <w:t> </w:t>
      </w:r>
      <w:r>
        <w:rPr>
          <w:spacing w:val="-74"/>
        </w:rPr>
      </w:r>
      <w:r>
        <w:rPr/>
        <w:t>统合理地摊销，无法可靠确定预期实现方式的，采用直线法摊销，已计提减值准备的无形资产，还应</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04"/>
        <w:jc w:val="left"/>
      </w:pPr>
      <w:r>
        <w:rPr/>
        <w:t>扣除已计提的无形资产减值准备累计金额。使用寿命不确定的无形资产不摊销，但每年均对该无形资 产的使用寿命进行复核。</w:t>
      </w:r>
    </w:p>
    <w:p>
      <w:pPr>
        <w:pStyle w:val="BodyText"/>
        <w:spacing w:line="272" w:lineRule="exact"/>
        <w:ind w:right="103"/>
        <w:jc w:val="left"/>
      </w:pPr>
      <w:r>
        <w:rPr>
          <w:spacing w:val="-5"/>
        </w:rPr>
        <w:t>（4）资产负债表日，检查使用寿命有限的无形资产预计给公司带来未来经济利益的能力，按本附注四、</w:t>
      </w:r>
      <w:r>
        <w:rPr>
          <w:spacing w:val="-85"/>
        </w:rPr>
        <w:t> </w:t>
      </w:r>
      <w:r>
        <w:rPr>
          <w:spacing w:val="-85"/>
        </w:rPr>
      </w:r>
      <w:r>
        <w:rPr/>
        <w:t>12</w:t>
      </w:r>
      <w:r>
        <w:rPr>
          <w:spacing w:val="-2"/>
        </w:rPr>
        <w:t> </w:t>
      </w:r>
      <w:r>
        <w:rPr/>
        <w:t>所述方法计提无形资产减值准备。对于已计提减值准备的无形资产，</w:t>
      </w:r>
    </w:p>
    <w:p>
      <w:pPr>
        <w:pStyle w:val="BodyText"/>
        <w:spacing w:line="272" w:lineRule="exact"/>
        <w:ind w:right="204"/>
        <w:jc w:val="left"/>
      </w:pPr>
      <w:r>
        <w:rPr/>
        <w:t>（5）划分内部研究开发项目研究阶段支出和开发阶段支出的标准 公司对于内部研究开发项目，区分研究阶段与开发阶段分别进行处理。 研究阶段支出是指公司为获取并理解新的科学或技术知识而进行的独创性的有计划调查而发生的支 出。公司内部研究开发项目发生的研究阶段的支出，于发生时计入当期损益。 开发阶段支出是指在公司进行商业性生产或使用前，将研究成果或其他知识应用于某项计划或设计， 以生产出新的或具有实质性改进的材料、装置、产品等发生的支出。同时满足下列条件的开发阶段支</w:t>
      </w:r>
    </w:p>
    <w:p>
      <w:pPr>
        <w:pStyle w:val="BodyText"/>
        <w:spacing w:line="272" w:lineRule="exact"/>
        <w:ind w:right="204"/>
        <w:jc w:val="left"/>
      </w:pPr>
      <w:r>
        <w:rPr/>
        <w:t>出，才能确认为无形资产：完成该无形资产以使其能够使用或出售在技术上具有可行性；具有完成该 无形资产并使用或出售的意图；无形资产产生经济利益的方式，包括能够证明运用该无形资产生产的</w:t>
      </w:r>
    </w:p>
    <w:p>
      <w:pPr>
        <w:pStyle w:val="BodyText"/>
        <w:spacing w:line="272" w:lineRule="exact"/>
        <w:ind w:right="204"/>
        <w:jc w:val="left"/>
      </w:pPr>
      <w:r>
        <w:rPr/>
        <w:t>产品存在市场或无形资产自身存在市场，无形资产将在内部使用的，应当证明其有用性；有足够的技 术、财务资源和其他资源支持，以完成该无形资产的开发，并有能力使用或出售该无形资产；归属于 该无形资产开发阶段的支出能够可靠地计量。 公司对于无法区分研究阶段与开发阶段的支出，在发生时作为管理费用，全部计入当期损益。</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15、资产减值的核算方法：</w:t>
      </w:r>
    </w:p>
    <w:p>
      <w:pPr>
        <w:pStyle w:val="BodyText"/>
        <w:spacing w:line="272" w:lineRule="exact" w:before="26"/>
        <w:ind w:right="99"/>
        <w:jc w:val="left"/>
      </w:pPr>
      <w:r>
        <w:rPr/>
        <w:t>（1）在资产负债表日判断资产是否存在可能发生减值的迹象。有迹象表明一项资产可能发生减值的， 以单项资产为基础估计其可收回金额；难以对单项资产的可收回金额进行估计的，以该资产所属的资 产组或资产组组合为基础确定其可收回金额。</w:t>
      </w:r>
    </w:p>
    <w:p>
      <w:pPr>
        <w:pStyle w:val="BodyText"/>
        <w:spacing w:line="272" w:lineRule="exact"/>
        <w:ind w:right="103"/>
        <w:jc w:val="left"/>
      </w:pPr>
      <w:r>
        <w:rPr>
          <w:spacing w:val="-5"/>
        </w:rPr>
        <w:t>（2）可收回金额根据单项资产、资产组或资产组组合的公允价值减去处置费用后的净额与该单项资产、</w:t>
      </w:r>
      <w:r>
        <w:rPr>
          <w:spacing w:val="-85"/>
        </w:rPr>
        <w:t> </w:t>
      </w:r>
      <w:r>
        <w:rPr>
          <w:spacing w:val="-85"/>
        </w:rPr>
      </w:r>
      <w:r>
        <w:rPr/>
        <w:t>资产组或资产组组合的预计未来现金流量的现值两者之间较高者确定。</w:t>
      </w:r>
    </w:p>
    <w:p>
      <w:pPr>
        <w:pStyle w:val="BodyText"/>
        <w:spacing w:line="272" w:lineRule="exact"/>
        <w:ind w:right="218"/>
        <w:jc w:val="both"/>
      </w:pPr>
      <w:r>
        <w:rPr>
          <w:spacing w:val="-3"/>
        </w:rPr>
        <w:t>（3）单项资产的可收回金额低于其账面价值的，按单项资产的账面价值与可收回金额的差额计提相应</w:t>
      </w:r>
      <w:r>
        <w:rPr>
          <w:spacing w:val="-74"/>
        </w:rPr>
        <w:t> </w:t>
      </w:r>
      <w:r>
        <w:rPr>
          <w:spacing w:val="-74"/>
        </w:rPr>
      </w:r>
      <w:r>
        <w:rPr/>
        <w:t>的资产减值准备。资产组或资产组组合的可收回金额低于其账面价值的，确认其相应的减值损失，减 值损失金额先抵减分摊至资产组或资产组组合中商誉的账面价值，再根据资产组或资产组组合中除商 誉之外的其他各项资产的账面价值所占比重，按比例抵减其他各项资产的账面价值；以上资产账面价 值的抵减，作为各单项资产（包括商誉）的减值损失，计提各单项资产的减值准备。</w:t>
      </w:r>
    </w:p>
    <w:p>
      <w:pPr>
        <w:pStyle w:val="BodyText"/>
        <w:spacing w:line="248" w:lineRule="exact"/>
        <w:ind w:right="103"/>
        <w:jc w:val="left"/>
      </w:pPr>
      <w:r>
        <w:rPr/>
        <w:t>（4）上述资产减值损失一经确认，在以后会计期间不予转回。</w:t>
      </w:r>
    </w:p>
    <w:p>
      <w:pPr>
        <w:spacing w:line="240" w:lineRule="auto" w:before="8"/>
        <w:rPr>
          <w:rFonts w:ascii="宋体" w:hAnsi="宋体" w:cs="宋体" w:eastAsia="宋体" w:hint="default"/>
          <w:sz w:val="20"/>
          <w:szCs w:val="20"/>
        </w:rPr>
      </w:pPr>
    </w:p>
    <w:p>
      <w:pPr>
        <w:pStyle w:val="BodyText"/>
        <w:spacing w:line="274" w:lineRule="exact"/>
        <w:ind w:right="103"/>
        <w:jc w:val="left"/>
      </w:pPr>
      <w:r>
        <w:rPr/>
        <w:t>16、借款费用资本化的核算方法：</w:t>
      </w:r>
    </w:p>
    <w:p>
      <w:pPr>
        <w:pStyle w:val="BodyText"/>
        <w:spacing w:line="272" w:lineRule="exact" w:before="26"/>
        <w:ind w:right="103"/>
        <w:jc w:val="left"/>
      </w:pPr>
      <w:r>
        <w:rPr/>
        <w:t>（1）借款费用的范围 </w:t>
      </w:r>
      <w:r>
        <w:rPr>
          <w:spacing w:val="-3"/>
        </w:rPr>
        <w:t>公司的借款费用包括借款利息、折价或者溢价的摊销、辅助费用以及因外币借款而发生的汇兑差额等。</w:t>
      </w:r>
    </w:p>
    <w:p>
      <w:pPr>
        <w:pStyle w:val="BodyText"/>
        <w:spacing w:line="245" w:lineRule="exact"/>
        <w:ind w:right="103"/>
        <w:jc w:val="left"/>
      </w:pPr>
      <w:r>
        <w:rPr/>
        <w:t>（2）借款费用的确认原则</w:t>
      </w:r>
    </w:p>
    <w:p>
      <w:pPr>
        <w:pStyle w:val="BodyText"/>
        <w:spacing w:line="272" w:lineRule="exact" w:before="26"/>
        <w:ind w:right="204"/>
        <w:jc w:val="left"/>
      </w:pPr>
      <w:r>
        <w:rPr/>
        <w:t>公司发生的借款费用，可直接归属于符合资本化条件的资产的购建或者生产的，予以资本化，计入相 关资产成本；其他借款费用，在发生时根据其发生额确认为费用，计入当期损益。</w:t>
      </w:r>
    </w:p>
    <w:p>
      <w:pPr>
        <w:pStyle w:val="BodyText"/>
        <w:spacing w:line="246" w:lineRule="exact"/>
        <w:ind w:right="103"/>
        <w:jc w:val="left"/>
      </w:pPr>
      <w:r>
        <w:rPr/>
        <w:t>（3）借款费用资本化期间的确定</w:t>
      </w:r>
    </w:p>
    <w:p>
      <w:pPr>
        <w:pStyle w:val="BodyText"/>
        <w:spacing w:line="272" w:lineRule="exact" w:before="26"/>
        <w:ind w:right="204"/>
        <w:jc w:val="left"/>
      </w:pPr>
      <w:r>
        <w:rPr/>
        <w:t>①借款费用开始资本化时点的确定 在资产支出已经发生、借款费用已经发生且为使资产达到预定可使用或者可销售状态所必要的购建或 者生产活动已经开始时，借款费用开始资本化。</w:t>
      </w:r>
    </w:p>
    <w:p>
      <w:pPr>
        <w:pStyle w:val="BodyText"/>
        <w:spacing w:line="272" w:lineRule="exact"/>
        <w:ind w:right="204"/>
        <w:jc w:val="left"/>
      </w:pPr>
      <w:r>
        <w:rPr/>
        <w:t>②借款费用暂停资本化时间的确定 符合资本化条件的资产在购建或者生产过程中发生非正常中断、且中断时间连续超过</w:t>
      </w:r>
      <w:r>
        <w:rPr>
          <w:spacing w:val="-54"/>
        </w:rPr>
        <w:t> </w:t>
      </w:r>
      <w:r>
        <w:rPr/>
        <w:t>3</w:t>
      </w:r>
      <w:r>
        <w:rPr>
          <w:spacing w:val="-53"/>
        </w:rPr>
        <w:t> </w:t>
      </w:r>
      <w:r>
        <w:rPr/>
        <w:t>个月的，暂停</w:t>
      </w:r>
      <w:r>
        <w:rPr/>
        <w:t> 借款费用的资本化。公司将在中断期间发生的借款费用确认为费用，计入当期损益，直至资产的购建 或者生产活动重新开始。如果中断是所购建或者生产符合资本化条件的资产达到预定可使用或者可销 售状态必要的程序，借款费用的资本化继续进行。</w:t>
      </w:r>
    </w:p>
    <w:p>
      <w:pPr>
        <w:pStyle w:val="BodyText"/>
        <w:spacing w:line="272" w:lineRule="exact"/>
        <w:ind w:right="204"/>
        <w:jc w:val="left"/>
      </w:pPr>
      <w:r>
        <w:rPr/>
        <w:t>③借款费用停止资本化时点的确定 在购建或者生产符合资本化条件的资产达到预定可使用或者可销售状态时，停止借款费用的资本化。 在符合资本化条件的资产达到预定可使用或者可销售状态之后所发生的借款费用，在发生时根据其发 生额确认为费用，计入当期损益。</w:t>
      </w:r>
    </w:p>
    <w:p>
      <w:pPr>
        <w:pStyle w:val="BodyText"/>
        <w:spacing w:line="246" w:lineRule="exact"/>
        <w:ind w:right="103"/>
        <w:jc w:val="left"/>
      </w:pPr>
      <w:r>
        <w:rPr/>
        <w:t>（4）借款费用资本化金额的确定</w:t>
      </w:r>
    </w:p>
    <w:p>
      <w:pPr>
        <w:pStyle w:val="BodyText"/>
        <w:spacing w:line="272" w:lineRule="exact" w:before="26"/>
        <w:ind w:right="204"/>
        <w:jc w:val="left"/>
      </w:pPr>
      <w:r>
        <w:rPr/>
        <w:t>①借款利息资本化金额的确定 在资本化期间内，每一会计期间的利息（包括折价或溢价的摊销）资本化金额，按照下列规定确定：</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99"/>
        <w:jc w:val="left"/>
      </w:pPr>
      <w:r>
        <w:rPr>
          <w:spacing w:val="-3"/>
        </w:rPr>
        <w:t>A、为购建或者生产符合资本化条件的资产而借入专门借款的，公司以专门借款当期实际发生的利息费</w:t>
      </w:r>
      <w:r>
        <w:rPr>
          <w:spacing w:val="-74"/>
        </w:rPr>
        <w:t> </w:t>
      </w:r>
      <w:r>
        <w:rPr>
          <w:spacing w:val="-74"/>
        </w:rPr>
      </w:r>
      <w:r>
        <w:rPr/>
        <w:t>用，减去将尚未动用的借款资金存入银行取得的利息收入或进行暂时性投资取得的投资收益后的金额 确定。 </w:t>
      </w:r>
      <w:r>
        <w:rPr>
          <w:spacing w:val="-3"/>
        </w:rPr>
        <w:t>B、为购建或者生产符合资本化条件的资产而占用了一般借款的，公司根据累计资产支出超过专门借款</w:t>
      </w:r>
      <w:r>
        <w:rPr>
          <w:spacing w:val="-74"/>
        </w:rPr>
        <w:t> </w:t>
      </w:r>
      <w:r>
        <w:rPr>
          <w:spacing w:val="-74"/>
        </w:rPr>
      </w:r>
      <w:r>
        <w:rPr/>
        <w:t>部分的资产支出加权平均数乘以所占用一般借款的资本化率，计算确定一般借款应予资本化的利息金 额。资本化率根据一般借款加权平均利率计算确定。 </w:t>
      </w:r>
      <w:r>
        <w:rPr>
          <w:spacing w:val="-3"/>
        </w:rPr>
        <w:t>C、借款存在折价或者溢价的，公司按照实际利率法确定每一会计期间应摊销的折价或者溢价金额，调</w:t>
      </w:r>
      <w:r>
        <w:rPr>
          <w:spacing w:val="-75"/>
        </w:rPr>
        <w:t> </w:t>
      </w:r>
      <w:r>
        <w:rPr>
          <w:spacing w:val="-75"/>
        </w:rPr>
      </w:r>
      <w:r>
        <w:rPr/>
        <w:t>整每期利息金额。 D、在资本化期间内，每一会计期间的利息资本化金额，不能超过当期相关借款实际发生的利息金额。</w:t>
      </w:r>
    </w:p>
    <w:p>
      <w:pPr>
        <w:pStyle w:val="BodyText"/>
        <w:spacing w:line="246" w:lineRule="exact"/>
        <w:ind w:right="103"/>
        <w:jc w:val="left"/>
      </w:pPr>
      <w:r>
        <w:rPr/>
        <w:t>②借款辅助费用资本化金额的确定</w:t>
      </w:r>
    </w:p>
    <w:p>
      <w:pPr>
        <w:pStyle w:val="BodyText"/>
        <w:spacing w:line="237" w:lineRule="auto" w:before="1"/>
        <w:ind w:right="204"/>
        <w:jc w:val="left"/>
      </w:pPr>
      <w:r>
        <w:rPr>
          <w:spacing w:val="-3"/>
        </w:rPr>
        <w:t>A、专门借款发生的辅助费用，在所购建或者生产的符合资本化条件的资产达到预定可使用或者可销售</w:t>
      </w:r>
      <w:r>
        <w:rPr>
          <w:spacing w:val="-74"/>
        </w:rPr>
        <w:t> </w:t>
      </w:r>
      <w:r>
        <w:rPr>
          <w:spacing w:val="-74"/>
        </w:rPr>
      </w:r>
      <w:r>
        <w:rPr/>
        <w:t>状态之前发生的，在发生时根据其发生额予以资本化，计入符合资本化条件的资产的成本；在所购建 或者生产的符合资本化条件的资产达到预定可使用或者可销售状态之后发生的，在发生时根据其发生 额确认为费用，计入当期损益。 B、一般借款发生的辅助费用，在发生时根据其发生额确认为费用，计入当期损益。</w:t>
      </w:r>
    </w:p>
    <w:p>
      <w:pPr>
        <w:pStyle w:val="BodyText"/>
        <w:spacing w:line="272" w:lineRule="exact" w:before="25"/>
        <w:ind w:right="204"/>
        <w:jc w:val="left"/>
      </w:pPr>
      <w:r>
        <w:rPr/>
        <w:t>③汇兑差额资本化金额的确定 在资本化期间内，外币专门借款本金及利息的汇兑差额，予以资本化，计入符合资本化条件的资产的 成本。</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17、收入确认原则：</w:t>
      </w:r>
    </w:p>
    <w:p>
      <w:pPr>
        <w:pStyle w:val="BodyText"/>
        <w:spacing w:line="272" w:lineRule="exact" w:before="26"/>
        <w:ind w:right="204"/>
        <w:jc w:val="left"/>
      </w:pPr>
      <w:r>
        <w:rPr/>
        <w:t>（1）销售商品 销售商品在同时满足商品所有权上的主要风险和报酬转移给购货方；公司不再保留通常与所有权相联 系的继续管理权，也不再对已售出的商品实施有效控制；收入的金额能够可靠地计量；相关的经济利 益很可能流入；相关的已发生或将发生的成本能够可靠地计量时，确认商品销售收入的实现。</w:t>
      </w:r>
    </w:p>
    <w:p>
      <w:pPr>
        <w:pStyle w:val="BodyText"/>
        <w:spacing w:line="272" w:lineRule="exact"/>
        <w:ind w:right="204"/>
        <w:jc w:val="left"/>
      </w:pPr>
      <w:r>
        <w:rPr/>
        <w:t>（2）提供劳务 提供劳务交易的结果在资产负债表日能够可靠估计的，采用完工百分比法确认提供劳务的收入，并按 已完工作的比例测量完工进度。提供劳务交易的结果在资产负债表日不能够可靠估计的，若已经发生 的劳务成本预计能够得到补偿，按已经发生的劳务成本金额确认提供劳务收入，并按相同金额结转劳 务成本；若已经发生的劳务成本预计不能够得到补偿，将已经发生的劳务成本计入当期损益不确认劳 务收入。</w:t>
      </w:r>
    </w:p>
    <w:p>
      <w:pPr>
        <w:pStyle w:val="BodyText"/>
        <w:spacing w:line="272" w:lineRule="exact"/>
        <w:ind w:right="204"/>
        <w:jc w:val="left"/>
      </w:pPr>
      <w:r>
        <w:rPr/>
        <w:t>（3）让渡资产使用权 让渡资产使用权在同时满足相关的经济利益很可能流入、收入金额能够可靠计量时，确认让渡资产使</w:t>
      </w:r>
    </w:p>
    <w:p>
      <w:pPr>
        <w:pStyle w:val="BodyText"/>
        <w:spacing w:line="272" w:lineRule="exact"/>
        <w:ind w:right="204"/>
        <w:jc w:val="left"/>
      </w:pPr>
      <w:r>
        <w:rPr/>
        <w:t>用权的收入。利息收入按照他人使用本企业货币资金的时间和实际利率计算确定；使用费收入按有关 合同或协议约定的收费时间和方法计算确定。</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18、确认递延所得税资产的依据：</w:t>
      </w:r>
    </w:p>
    <w:p>
      <w:pPr>
        <w:pStyle w:val="BodyText"/>
        <w:spacing w:line="272" w:lineRule="exact"/>
        <w:ind w:right="103"/>
        <w:jc w:val="left"/>
      </w:pPr>
      <w:r>
        <w:rPr/>
        <w:t>（1）公司采用资产负债表债务法对企业所得税进行核算</w:t>
      </w:r>
    </w:p>
    <w:p>
      <w:pPr>
        <w:pStyle w:val="BodyText"/>
        <w:spacing w:line="272" w:lineRule="exact" w:before="26"/>
        <w:ind w:right="103"/>
        <w:jc w:val="left"/>
      </w:pPr>
      <w:r>
        <w:rPr>
          <w:spacing w:val="-3"/>
        </w:rPr>
        <w:t>（2）根据资产、负债的账面价值与其计税基础之间的差额，按照预期收回该资产或清偿该负债期间的</w:t>
      </w:r>
      <w:r>
        <w:rPr>
          <w:spacing w:val="-75"/>
        </w:rPr>
        <w:t> </w:t>
      </w:r>
      <w:r>
        <w:rPr>
          <w:spacing w:val="-75"/>
        </w:rPr>
      </w:r>
      <w:r>
        <w:rPr/>
        <w:t>适用税率计算确认递延所得税资产或递延所得税负债。</w:t>
      </w:r>
    </w:p>
    <w:p>
      <w:pPr>
        <w:pStyle w:val="BodyText"/>
        <w:spacing w:line="272" w:lineRule="exact"/>
        <w:ind w:right="218"/>
        <w:jc w:val="both"/>
      </w:pPr>
      <w:r>
        <w:rPr>
          <w:spacing w:val="-3"/>
        </w:rPr>
        <w:t>（3）确认递延所得税资产以很可能取得用来抵扣可抵扣暂时性差异的应纳税所得额为限。资产负债表</w:t>
      </w:r>
      <w:r>
        <w:rPr>
          <w:spacing w:val="-74"/>
        </w:rPr>
        <w:t> </w:t>
      </w:r>
      <w:r>
        <w:rPr>
          <w:spacing w:val="-74"/>
        </w:rPr>
      </w:r>
      <w:r>
        <w:rPr/>
        <w:t>日，有确凿证据表明未来期间很可能获得足够的应纳税所得额用来抵扣可抵扣暂时性差异的，确认以 前会计期间未确认的递延所得税资产。</w:t>
      </w:r>
    </w:p>
    <w:p>
      <w:pPr>
        <w:pStyle w:val="BodyText"/>
        <w:spacing w:line="272" w:lineRule="exact"/>
        <w:ind w:right="220"/>
        <w:jc w:val="both"/>
      </w:pPr>
      <w:r>
        <w:rPr>
          <w:spacing w:val="-3"/>
        </w:rPr>
        <w:t>（4）资产负债表日，对递延所得税资产的账面价值进行复核，如果未来期间很可能无法获得足够的应</w:t>
      </w:r>
      <w:r>
        <w:rPr>
          <w:spacing w:val="-75"/>
        </w:rPr>
        <w:t> </w:t>
      </w:r>
      <w:r>
        <w:rPr>
          <w:spacing w:val="-75"/>
        </w:rPr>
      </w:r>
      <w:r>
        <w:rPr/>
        <w:t>纳税所得额用以抵扣递延所得税资产的利益，则减记递延所得税资产的账面价值。在很可能获得足够 的应纳税所得额时，转回减记的金额。</w:t>
      </w:r>
    </w:p>
    <w:p>
      <w:pPr>
        <w:spacing w:line="240" w:lineRule="auto" w:before="11"/>
        <w:rPr>
          <w:rFonts w:ascii="宋体" w:hAnsi="宋体" w:cs="宋体" w:eastAsia="宋体" w:hint="default"/>
          <w:sz w:val="20"/>
          <w:szCs w:val="20"/>
        </w:rPr>
      </w:pPr>
    </w:p>
    <w:p>
      <w:pPr>
        <w:pStyle w:val="BodyText"/>
        <w:spacing w:line="272" w:lineRule="exact"/>
        <w:ind w:right="7659"/>
        <w:jc w:val="left"/>
      </w:pPr>
      <w:r>
        <w:rPr/>
        <w:t>(五) 税项： 1、主要税种及税率</w:t>
      </w: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分别按应纳增值税项目销售收</w:t>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入的</w:t>
            </w:r>
            <w:r>
              <w:rPr>
                <w:rFonts w:ascii="宋体" w:hAnsi="宋体" w:cs="宋体" w:eastAsia="宋体" w:hint="default"/>
                <w:spacing w:val="-51"/>
                <w:sz w:val="21"/>
                <w:szCs w:val="21"/>
              </w:rPr>
              <w:t> </w:t>
            </w:r>
            <w:r>
              <w:rPr>
                <w:rFonts w:ascii="宋体" w:hAnsi="宋体" w:cs="宋体" w:eastAsia="宋体" w:hint="default"/>
                <w:spacing w:val="-8"/>
                <w:sz w:val="21"/>
                <w:szCs w:val="21"/>
              </w:rPr>
              <w:t>17％、13%和</w:t>
            </w:r>
            <w:r>
              <w:rPr>
                <w:rFonts w:ascii="宋体" w:hAnsi="宋体" w:cs="宋体" w:eastAsia="宋体" w:hint="default"/>
                <w:spacing w:val="-52"/>
                <w:sz w:val="21"/>
                <w:szCs w:val="21"/>
              </w:rPr>
              <w:t> </w:t>
            </w:r>
            <w:r>
              <w:rPr>
                <w:rFonts w:ascii="宋体" w:hAnsi="宋体" w:cs="宋体" w:eastAsia="宋体" w:hint="default"/>
                <w:sz w:val="21"/>
                <w:szCs w:val="21"/>
              </w:rPr>
              <w:t>6%计算销项税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17％、13%和</w:t>
            </w:r>
            <w:r>
              <w:rPr>
                <w:rFonts w:ascii="宋体" w:hAnsi="宋体" w:cs="宋体" w:eastAsia="宋体" w:hint="default"/>
                <w:spacing w:val="-57"/>
                <w:sz w:val="21"/>
                <w:szCs w:val="21"/>
              </w:rPr>
              <w:t> </w:t>
            </w:r>
            <w:r>
              <w:rPr>
                <w:rFonts w:ascii="宋体" w:hAnsi="宋体" w:cs="宋体" w:eastAsia="宋体" w:hint="default"/>
                <w:sz w:val="21"/>
                <w:szCs w:val="21"/>
              </w:rPr>
              <w:t>6%</w:t>
            </w:r>
          </w:p>
        </w:tc>
      </w:tr>
      <w:tr>
        <w:trPr>
          <w:trHeight w:val="281"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额，扣除符合规定可以抵扣的进</w:t>
            </w:r>
          </w:p>
        </w:tc>
        <w:tc>
          <w:tcPr>
            <w:tcW w:w="310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项税后计算应缴增值税。</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公司按工程结算的</w:t>
            </w:r>
            <w:r>
              <w:rPr>
                <w:rFonts w:ascii="宋体" w:hAnsi="宋体" w:cs="宋体" w:eastAsia="宋体" w:hint="default"/>
                <w:spacing w:val="-55"/>
                <w:sz w:val="21"/>
                <w:szCs w:val="21"/>
              </w:rPr>
              <w:t> </w:t>
            </w:r>
            <w:r>
              <w:rPr>
                <w:rFonts w:ascii="宋体" w:hAnsi="宋体" w:cs="宋体" w:eastAsia="宋体" w:hint="default"/>
                <w:sz w:val="21"/>
                <w:szCs w:val="21"/>
              </w:rPr>
              <w:t>3%代扣代缴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以应纳流转税额的</w:t>
            </w:r>
            <w:r>
              <w:rPr>
                <w:rFonts w:ascii="宋体" w:hAnsi="宋体" w:cs="宋体" w:eastAsia="宋体" w:hint="default"/>
                <w:spacing w:val="-55"/>
                <w:sz w:val="21"/>
                <w:szCs w:val="21"/>
              </w:rPr>
              <w:t> </w:t>
            </w:r>
            <w:r>
              <w:rPr>
                <w:rFonts w:ascii="宋体" w:hAnsi="宋体" w:cs="宋体" w:eastAsia="宋体" w:hint="default"/>
                <w:sz w:val="21"/>
                <w:szCs w:val="21"/>
              </w:rPr>
              <w:t>7%计缴。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w:t>
            </w:r>
          </w:p>
        </w:tc>
      </w:tr>
      <w:tr>
        <w:trPr>
          <w:trHeight w:val="137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公司按应纳税所得额和当期适</w:t>
            </w:r>
          </w:p>
          <w:p>
            <w:pPr>
              <w:pStyle w:val="TableParagraph"/>
              <w:spacing w:line="272" w:lineRule="exact" w:before="26"/>
              <w:ind w:left="100" w:right="42"/>
              <w:jc w:val="left"/>
              <w:rPr>
                <w:rFonts w:ascii="宋体" w:hAnsi="宋体" w:cs="宋体" w:eastAsia="宋体" w:hint="default"/>
                <w:sz w:val="21"/>
                <w:szCs w:val="21"/>
              </w:rPr>
            </w:pPr>
            <w:r>
              <w:rPr>
                <w:rFonts w:ascii="宋体" w:hAnsi="宋体" w:cs="宋体" w:eastAsia="宋体" w:hint="default"/>
                <w:sz w:val="21"/>
                <w:szCs w:val="21"/>
              </w:rPr>
              <w:t>用的税率计算本期应缴所得税， 本期所得税税率为</w:t>
            </w:r>
            <w:r>
              <w:rPr>
                <w:rFonts w:ascii="宋体" w:hAnsi="宋体" w:cs="宋体" w:eastAsia="宋体" w:hint="default"/>
                <w:spacing w:val="-56"/>
                <w:sz w:val="21"/>
                <w:szCs w:val="21"/>
              </w:rPr>
              <w:t> </w:t>
            </w:r>
            <w:r>
              <w:rPr>
                <w:rFonts w:ascii="宋体" w:hAnsi="宋体" w:cs="宋体" w:eastAsia="宋体" w:hint="default"/>
                <w:sz w:val="21"/>
                <w:szCs w:val="21"/>
              </w:rPr>
              <w:t>25%。当期应</w:t>
            </w:r>
            <w:r>
              <w:rPr>
                <w:rFonts w:ascii="宋体" w:hAnsi="宋体" w:cs="宋体" w:eastAsia="宋体" w:hint="default"/>
                <w:sz w:val="21"/>
                <w:szCs w:val="21"/>
              </w:rPr>
              <w:t> 缴所得税和递延所得税之和作 为当期所得税费用。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25%</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教育费附加：以应纳流转税额的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3%计缴。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以应纳流转税额的</w:t>
            </w:r>
            <w:r>
              <w:rPr>
                <w:rFonts w:ascii="宋体" w:hAnsi="宋体" w:cs="宋体" w:eastAsia="宋体" w:hint="default"/>
                <w:spacing w:val="-55"/>
                <w:sz w:val="21"/>
                <w:szCs w:val="21"/>
              </w:rPr>
              <w:t> </w:t>
            </w:r>
            <w:r>
              <w:rPr>
                <w:rFonts w:ascii="宋体" w:hAnsi="宋体" w:cs="宋体" w:eastAsia="宋体" w:hint="default"/>
                <w:sz w:val="21"/>
                <w:szCs w:val="21"/>
              </w:rPr>
              <w:t>3%计缴。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3%</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房产税：按房产原值</w:t>
            </w:r>
            <w:r>
              <w:rPr>
                <w:rFonts w:ascii="宋体" w:hAnsi="宋体" w:cs="宋体" w:eastAsia="宋体" w:hint="default"/>
                <w:spacing w:val="-50"/>
                <w:sz w:val="21"/>
                <w:szCs w:val="21"/>
              </w:rPr>
              <w:t> </w:t>
            </w:r>
            <w:r>
              <w:rPr>
                <w:rFonts w:ascii="宋体" w:hAnsi="宋体" w:cs="宋体" w:eastAsia="宋体" w:hint="default"/>
                <w:sz w:val="21"/>
                <w:szCs w:val="21"/>
              </w:rPr>
              <w:t>70%的</w:t>
            </w:r>
            <w:r>
              <w:rPr>
                <w:rFonts w:ascii="宋体" w:hAnsi="宋体" w:cs="宋体" w:eastAsia="宋体" w:hint="default"/>
                <w:spacing w:val="-50"/>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按房产原值</w:t>
            </w:r>
            <w:r>
              <w:rPr>
                <w:rFonts w:ascii="宋体" w:hAnsi="宋体" w:cs="宋体" w:eastAsia="宋体" w:hint="default"/>
                <w:spacing w:val="-54"/>
                <w:sz w:val="21"/>
                <w:szCs w:val="21"/>
              </w:rPr>
              <w:t> </w:t>
            </w:r>
            <w:r>
              <w:rPr>
                <w:rFonts w:ascii="宋体" w:hAnsi="宋体" w:cs="宋体" w:eastAsia="宋体" w:hint="default"/>
                <w:sz w:val="21"/>
                <w:szCs w:val="21"/>
              </w:rPr>
              <w:t>70%的</w:t>
            </w:r>
            <w:r>
              <w:rPr>
                <w:rFonts w:ascii="宋体" w:hAnsi="宋体" w:cs="宋体" w:eastAsia="宋体" w:hint="default"/>
                <w:spacing w:val="-55"/>
                <w:sz w:val="21"/>
                <w:szCs w:val="21"/>
              </w:rPr>
              <w:t> </w:t>
            </w:r>
            <w:r>
              <w:rPr>
                <w:rFonts w:ascii="宋体" w:hAnsi="宋体" w:cs="宋体" w:eastAsia="宋体" w:hint="default"/>
                <w:sz w:val="21"/>
                <w:szCs w:val="21"/>
              </w:rPr>
              <w:t>1.2%计缴。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sz w:val="21"/>
              </w:rPr>
              <w:t>1.2%</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2、税收优惠及批文</w:t>
      </w:r>
    </w:p>
    <w:p>
      <w:pPr>
        <w:pStyle w:val="BodyText"/>
        <w:spacing w:line="272" w:lineRule="exact"/>
        <w:ind w:right="171"/>
        <w:jc w:val="left"/>
      </w:pPr>
      <w:r>
        <w:rPr/>
        <w:t>财税〔2005〕87</w:t>
      </w:r>
      <w:r>
        <w:rPr>
          <w:spacing w:val="-53"/>
        </w:rPr>
        <w:t> </w:t>
      </w:r>
      <w:r>
        <w:rPr/>
        <w:t>号文《财政部、国家税务总局关于暂免征收尿素产品增值税的通知》规定，自</w:t>
      </w:r>
      <w:r>
        <w:rPr>
          <w:spacing w:val="-54"/>
        </w:rPr>
        <w:t> </w:t>
      </w:r>
      <w:r>
        <w:rPr/>
        <w:t>2005</w:t>
      </w:r>
    </w:p>
    <w:p>
      <w:pPr>
        <w:pStyle w:val="BodyText"/>
        <w:spacing w:line="272" w:lineRule="exact" w:before="26"/>
        <w:ind w:right="171"/>
        <w:jc w:val="left"/>
      </w:pPr>
      <w:r>
        <w:rPr/>
        <w:t>年</w:t>
      </w:r>
      <w:r>
        <w:rPr>
          <w:spacing w:val="-60"/>
        </w:rPr>
        <w:t> </w:t>
      </w:r>
      <w:r>
        <w:rPr/>
        <w:t>7</w:t>
      </w:r>
      <w:r>
        <w:rPr>
          <w:spacing w:val="-59"/>
        </w:rPr>
        <w:t> </w:t>
      </w:r>
      <w:r>
        <w:rPr/>
        <w:t>月</w:t>
      </w:r>
      <w:r>
        <w:rPr>
          <w:spacing w:val="-61"/>
        </w:rPr>
        <w:t> </w:t>
      </w:r>
      <w:r>
        <w:rPr/>
        <w:t>1</w:t>
      </w:r>
      <w:r>
        <w:rPr>
          <w:spacing w:val="-59"/>
        </w:rPr>
        <w:t> </w:t>
      </w:r>
      <w:r>
        <w:rPr/>
        <w:t>日起，对国内企业生产销售的尿素产品增值税由先征后返</w:t>
      </w:r>
      <w:r>
        <w:rPr>
          <w:spacing w:val="-60"/>
        </w:rPr>
        <w:t> </w:t>
      </w:r>
      <w:r>
        <w:rPr/>
        <w:t>50%调整为暂免征收增值税。公司</w:t>
      </w:r>
      <w:r>
        <w:rPr>
          <w:spacing w:val="-1"/>
        </w:rPr>
        <w:t> </w:t>
      </w:r>
      <w:r>
        <w:rPr/>
        <w:t>本期尿素产品销售享受免征增值税政策。</w:t>
      </w:r>
    </w:p>
    <w:p>
      <w:pPr>
        <w:spacing w:line="240" w:lineRule="auto" w:before="11"/>
        <w:rPr>
          <w:rFonts w:ascii="宋体" w:hAnsi="宋体" w:cs="宋体" w:eastAsia="宋体" w:hint="default"/>
          <w:sz w:val="20"/>
          <w:szCs w:val="20"/>
        </w:rPr>
      </w:pPr>
    </w:p>
    <w:p>
      <w:pPr>
        <w:pStyle w:val="BodyText"/>
        <w:spacing w:line="272" w:lineRule="exact"/>
        <w:ind w:right="5834"/>
        <w:jc w:val="left"/>
      </w:pPr>
      <w:r>
        <w:rPr/>
        <w:t>3、其他说明 其他税项按国家和地方有关规定缴纳。</w:t>
      </w: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
        <w:jc w:val="left"/>
      </w:pPr>
      <w:r>
        <w:rPr/>
        <w:t>(六)</w:t>
      </w:r>
      <w:r>
        <w:rPr>
          <w:spacing w:val="-1"/>
        </w:rPr>
        <w:t> </w:t>
      </w:r>
      <w:r>
        <w:rPr/>
        <w:t>企业合并及合并财务报表</w:t>
      </w:r>
      <w:r>
        <w:rPr/>
        <w:t> </w:t>
      </w:r>
      <w:r>
        <w:rPr>
          <w:spacing w:val="-1"/>
        </w:rPr>
        <w:t>1、公司所控制的境内外重要子公司的情况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4025" w:space="3013"/>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6"/>
        <w:gridCol w:w="1402"/>
        <w:gridCol w:w="1400"/>
        <w:gridCol w:w="1202"/>
        <w:gridCol w:w="1099"/>
        <w:gridCol w:w="2490"/>
      </w:tblGrid>
      <w:tr>
        <w:trPr>
          <w:trHeight w:val="575"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0"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18" w:right="0"/>
              <w:jc w:val="left"/>
              <w:rPr>
                <w:rFonts w:ascii="宋体" w:hAnsi="宋体" w:cs="宋体" w:eastAsia="宋体" w:hint="default"/>
                <w:sz w:val="21"/>
                <w:szCs w:val="21"/>
              </w:rPr>
            </w:pPr>
            <w:r>
              <w:rPr>
                <w:rFonts w:ascii="宋体" w:hAnsi="宋体" w:cs="宋体" w:eastAsia="宋体" w:hint="default"/>
                <w:sz w:val="21"/>
                <w:szCs w:val="21"/>
              </w:rPr>
              <w:t>经营范围</w:t>
            </w:r>
          </w:p>
        </w:tc>
      </w:tr>
      <w:tr>
        <w:trPr>
          <w:trHeight w:val="560"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黑化集团中美碧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碧肥有限公司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3"/>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齐齐哈尔市</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生产企业</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2,943</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复合肥的生产、销售</w:t>
            </w:r>
          </w:p>
        </w:tc>
      </w:tr>
    </w:tbl>
    <w:p>
      <w:pPr>
        <w:spacing w:line="240" w:lineRule="auto" w:before="6"/>
        <w:rPr>
          <w:rFonts w:ascii="宋体" w:hAnsi="宋体" w:cs="宋体" w:eastAsia="宋体" w:hint="default"/>
          <w:sz w:val="15"/>
          <w:szCs w:val="15"/>
        </w:rPr>
      </w:pPr>
    </w:p>
    <w:p>
      <w:pPr>
        <w:pStyle w:val="BodyText"/>
        <w:spacing w:line="240" w:lineRule="auto" w:before="35"/>
        <w:ind w:left="0" w:right="178"/>
        <w:jc w:val="right"/>
      </w:pPr>
      <w:r>
        <w:rPr/>
        <w:t>单位:万元 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11"/>
        <w:gridCol w:w="1402"/>
        <w:gridCol w:w="1997"/>
        <w:gridCol w:w="1999"/>
      </w:tblGrid>
      <w:tr>
        <w:trPr>
          <w:trHeight w:val="326" w:hRule="exact"/>
        </w:trPr>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4"/>
              <w:jc w:val="center"/>
              <w:rPr>
                <w:rFonts w:ascii="宋体" w:hAnsi="宋体" w:cs="宋体" w:eastAsia="宋体" w:hint="default"/>
                <w:sz w:val="21"/>
                <w:szCs w:val="21"/>
              </w:rPr>
            </w:pPr>
            <w:r>
              <w:rPr>
                <w:rFonts w:ascii="宋体" w:hAnsi="宋体" w:cs="宋体" w:eastAsia="宋体" w:hint="default"/>
                <w:spacing w:val="-12"/>
                <w:sz w:val="21"/>
                <w:szCs w:val="21"/>
              </w:rPr>
              <w:t>持股比例（%）</w:t>
            </w:r>
            <w:r>
              <w:rPr>
                <w:rFonts w:ascii="宋体" w:hAnsi="宋体" w:cs="宋体" w:eastAsia="宋体" w:hint="default"/>
                <w:sz w:val="21"/>
                <w:szCs w:val="21"/>
              </w:rPr>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4"/>
                <w:szCs w:val="24"/>
              </w:rPr>
              <w:t>表决权比例</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是否合并报表</w:t>
            </w:r>
          </w:p>
        </w:tc>
      </w:tr>
      <w:tr>
        <w:trPr>
          <w:trHeight w:val="288" w:hRule="exact"/>
        </w:trPr>
        <w:tc>
          <w:tcPr>
            <w:tcW w:w="3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黑化集团中美碧碧肥有限公司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64.66</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64.66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2、各重要子公司中少数股东权益情况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08"/>
        <w:gridCol w:w="4200"/>
      </w:tblGrid>
      <w:tr>
        <w:trPr>
          <w:trHeight w:val="28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4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少数股东权益</w:t>
            </w:r>
          </w:p>
        </w:tc>
      </w:tr>
      <w:tr>
        <w:trPr>
          <w:trHeight w:val="28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黑化集团中美碧碧肥有限公司</w:t>
            </w:r>
          </w:p>
        </w:tc>
        <w:tc>
          <w:tcPr>
            <w:tcW w:w="4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584.43</w:t>
            </w:r>
          </w:p>
        </w:tc>
      </w:tr>
    </w:tbl>
    <w:p>
      <w:pPr>
        <w:spacing w:line="240" w:lineRule="auto" w:before="6"/>
        <w:rPr>
          <w:rFonts w:ascii="宋体" w:hAnsi="宋体" w:cs="宋体" w:eastAsia="宋体" w:hint="default"/>
          <w:sz w:val="15"/>
          <w:szCs w:val="15"/>
        </w:rPr>
      </w:pPr>
    </w:p>
    <w:p>
      <w:pPr>
        <w:pStyle w:val="BodyText"/>
        <w:spacing w:line="273" w:lineRule="exact" w:before="35"/>
        <w:ind w:right="171"/>
        <w:jc w:val="left"/>
      </w:pPr>
      <w:r>
        <w:rPr/>
        <w:t>3、企业合并及合并财务报表的说明：</w:t>
      </w:r>
    </w:p>
    <w:p>
      <w:pPr>
        <w:pStyle w:val="BodyText"/>
        <w:spacing w:line="272" w:lineRule="exact"/>
        <w:ind w:right="171"/>
        <w:jc w:val="left"/>
      </w:pPr>
      <w:r>
        <w:rPr/>
        <w:t>（1）企业合并</w:t>
      </w:r>
    </w:p>
    <w:p>
      <w:pPr>
        <w:pStyle w:val="BodyText"/>
        <w:spacing w:line="272" w:lineRule="exact" w:before="26"/>
        <w:ind w:right="1844"/>
        <w:jc w:val="left"/>
      </w:pPr>
      <w:r>
        <w:rPr/>
        <w:t>①同一控制下的企业合并 合并方在企业合并中取得的资产和负债，按照合并日在被合并方的账面价值计量。</w:t>
      </w:r>
    </w:p>
    <w:p>
      <w:pPr>
        <w:pStyle w:val="BodyText"/>
        <w:spacing w:line="272" w:lineRule="exact"/>
        <w:ind w:right="584"/>
        <w:jc w:val="left"/>
      </w:pPr>
      <w:r>
        <w:rPr/>
        <w:t>②非同一控制下的企业合并 购买方在购买日按照合并中取得的被购买方各项可辨认资产、负债的公允价值确计量。 购买方对合并成本大于合并中取得的被购买方可辨认净资产公允价值份额的差额，确认为商誉。 购买方对合并成本小于合并中取得的被购买方可辨认净资产公允价值份额的差额计入当期损益。</w:t>
      </w:r>
    </w:p>
    <w:p>
      <w:pPr>
        <w:pStyle w:val="BodyText"/>
        <w:spacing w:line="246" w:lineRule="exact"/>
        <w:ind w:right="171"/>
        <w:jc w:val="left"/>
      </w:pPr>
      <w:r>
        <w:rPr/>
        <w:t>（2）合并财务报表</w:t>
      </w:r>
    </w:p>
    <w:p>
      <w:pPr>
        <w:pStyle w:val="BodyText"/>
        <w:spacing w:line="272" w:lineRule="exact" w:before="26"/>
        <w:ind w:right="164"/>
        <w:jc w:val="left"/>
      </w:pPr>
      <w:r>
        <w:rPr/>
        <w:t>①合并范围的确定原则 本公司合并财务报表的合并范围以控制为基础予以确定，公司将其控制的所有子公司纳入合并财务报 表的合并范围。</w:t>
      </w:r>
    </w:p>
    <w:p>
      <w:pPr>
        <w:spacing w:after="0" w:line="272"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184"/>
        <w:jc w:val="left"/>
      </w:pPr>
      <w:r>
        <w:rPr/>
        <w:t>②合并财务报表的编制方法 合并财务报表以母公司和其子公司的财务报表为基础，根据其他有关资料，按照权益法调整对子公司 的长期股权投资，在抵销母公司与子公司、子公司之间发生的内部交易后，由母公司编制。子公司的 会计政策和会计期间与母公司保持一致。 子公司所有者权益中不属于母公司的份额，作为少数股东权益，在合并资产负债表中所有者权益项目 下以“少数股东权益”项目列示。子公司当期净损益中属于少数股东权益的份额，在合并利润表中净 利润项目下以“少数股东损益”项目列示。</w:t>
      </w:r>
    </w:p>
    <w:p>
      <w:pPr>
        <w:spacing w:line="240" w:lineRule="auto" w:before="11"/>
        <w:rPr>
          <w:rFonts w:ascii="宋体" w:hAnsi="宋体" w:cs="宋体" w:eastAsia="宋体" w:hint="default"/>
          <w:sz w:val="20"/>
          <w:szCs w:val="20"/>
        </w:rPr>
      </w:pPr>
    </w:p>
    <w:p>
      <w:pPr>
        <w:pStyle w:val="BodyText"/>
        <w:spacing w:line="272" w:lineRule="exact"/>
        <w:ind w:left="560" w:right="4174" w:hanging="421"/>
        <w:jc w:val="left"/>
      </w:pPr>
      <w:r>
        <w:rPr/>
        <w:t>4、合并报表范围发生变更的内容和原因： 报告期内，公司财务报表合并范围未发生重大变化。</w:t>
      </w:r>
    </w:p>
    <w:p>
      <w:pPr>
        <w:spacing w:line="240" w:lineRule="auto" w:before="10"/>
        <w:rPr>
          <w:rFonts w:ascii="宋体" w:hAnsi="宋体" w:cs="宋体" w:eastAsia="宋体" w:hint="default"/>
          <w:sz w:val="20"/>
          <w:szCs w:val="20"/>
        </w:rPr>
      </w:pPr>
    </w:p>
    <w:p>
      <w:pPr>
        <w:pStyle w:val="BodyText"/>
        <w:spacing w:line="272" w:lineRule="exact"/>
        <w:ind w:right="3124"/>
        <w:jc w:val="left"/>
      </w:pPr>
      <w:r>
        <w:rPr/>
        <w:t>(七)主要会计政策、会计估计的变更以及重大会计差错更正及其影响 (1)</w:t>
      </w:r>
      <w:r>
        <w:rPr>
          <w:spacing w:val="-2"/>
        </w:rPr>
        <w:t> </w:t>
      </w:r>
      <w:r>
        <w:rPr/>
        <w:t>会计政策变更</w:t>
      </w:r>
    </w:p>
    <w:p>
      <w:pPr>
        <w:pStyle w:val="BodyText"/>
        <w:spacing w:line="314" w:lineRule="auto" w:before="51"/>
        <w:ind w:right="198" w:firstLine="420"/>
        <w:jc w:val="both"/>
      </w:pPr>
      <w:r>
        <w:rPr>
          <w:spacing w:val="-3"/>
        </w:rPr>
        <w:t>根据《关于做好执行会计准则企业2008年年报工作的通知》（财会函[2008]60号）规定,提取的安</w:t>
      </w:r>
      <w:r>
        <w:rPr/>
        <w:t> 全生产费在所有者权益“盈余公积”项下以“专项储备”项目单独列报，不再作为负债列示。该变更 对本公司的期初留存收益影响为零。</w:t>
      </w:r>
    </w:p>
    <w:p>
      <w:pPr>
        <w:pStyle w:val="BodyText"/>
        <w:spacing w:line="272" w:lineRule="exact" w:before="89"/>
        <w:ind w:left="560" w:right="7746" w:hanging="420"/>
        <w:jc w:val="left"/>
      </w:pPr>
      <w:r>
        <w:rPr/>
        <w:t>(2)</w:t>
      </w:r>
      <w:r>
        <w:rPr>
          <w:spacing w:val="-2"/>
        </w:rPr>
        <w:t> </w:t>
      </w:r>
      <w:r>
        <w:rPr/>
        <w:t>会计估计变更</w:t>
      </w:r>
      <w:r>
        <w:rPr/>
        <w:t> 无</w:t>
      </w:r>
    </w:p>
    <w:p>
      <w:pPr>
        <w:spacing w:line="240" w:lineRule="auto" w:before="11"/>
        <w:rPr>
          <w:rFonts w:ascii="宋体" w:hAnsi="宋体" w:cs="宋体" w:eastAsia="宋体" w:hint="default"/>
          <w:sz w:val="20"/>
          <w:szCs w:val="20"/>
        </w:rPr>
      </w:pPr>
    </w:p>
    <w:p>
      <w:pPr>
        <w:pStyle w:val="BodyText"/>
        <w:spacing w:line="272" w:lineRule="exact"/>
        <w:ind w:left="560" w:right="7746" w:hanging="420"/>
        <w:jc w:val="left"/>
      </w:pPr>
      <w:r>
        <w:rPr/>
        <w:t>(3)</w:t>
      </w:r>
      <w:r>
        <w:rPr>
          <w:spacing w:val="-2"/>
        </w:rPr>
        <w:t> </w:t>
      </w:r>
      <w:r>
        <w:rPr/>
        <w:t>会计差错更正</w:t>
      </w:r>
      <w:r>
        <w:rPr/>
        <w:t> 无</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00"/>
        </w:sectPr>
      </w:pPr>
    </w:p>
    <w:p>
      <w:pPr>
        <w:pStyle w:val="BodyText"/>
        <w:spacing w:line="272" w:lineRule="exact" w:before="63"/>
        <w:ind w:right="-9" w:firstLine="105"/>
        <w:jc w:val="left"/>
      </w:pPr>
      <w:r>
        <w:rPr>
          <w:spacing w:val="-1"/>
        </w:rPr>
        <w:t>(八)合并会计报表附注</w:t>
      </w:r>
      <w:r>
        <w:rPr/>
        <w:t>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600" w:bottom="280" w:left="1220" w:right="1100"/>
          <w:cols w:num="2" w:equalWidth="0">
            <w:col w:w="2346" w:space="6057"/>
            <w:col w:w="118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38"/>
        <w:gridCol w:w="2831"/>
        <w:gridCol w:w="3031"/>
      </w:tblGrid>
      <w:tr>
        <w:trPr>
          <w:trHeight w:val="287"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1,975.81</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30,872.36</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23,895,249.68</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18,695,374.00</w:t>
            </w:r>
            <w:r>
              <w:rPr>
                <w:rFonts w:ascii="宋体"/>
                <w:sz w:val="21"/>
              </w:rPr>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121,197,800.00</w:t>
            </w:r>
            <w:r>
              <w:rPr>
                <w:rFonts w:ascii="宋体"/>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10,000,000.00</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145,095,025.49</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28,726,246.36</w:t>
            </w:r>
          </w:p>
        </w:tc>
      </w:tr>
    </w:tbl>
    <w:p>
      <w:pPr>
        <w:pStyle w:val="BodyText"/>
        <w:spacing w:line="238" w:lineRule="exact"/>
        <w:ind w:right="184"/>
        <w:jc w:val="left"/>
      </w:pPr>
      <w:r>
        <w:rPr/>
        <w:t>①其他货币资金为开出银行承兑汇票存入的保证金。</w:t>
      </w:r>
    </w:p>
    <w:p>
      <w:pPr>
        <w:pStyle w:val="BodyText"/>
        <w:spacing w:line="272" w:lineRule="exact" w:before="26"/>
        <w:ind w:right="184"/>
        <w:jc w:val="left"/>
      </w:pPr>
      <w:r>
        <w:rPr/>
        <w:t>②除上述银行承兑汇票保证金外，年末货币资金无外币及境外存款，不存在抵押、冻结等对变现有限 制的情形。</w:t>
      </w:r>
    </w:p>
    <w:p>
      <w:pPr>
        <w:pStyle w:val="BodyText"/>
        <w:spacing w:line="248" w:lineRule="exact"/>
        <w:ind w:right="184"/>
        <w:jc w:val="left"/>
      </w:pPr>
      <w:r>
        <w:rPr/>
        <w:t>③货币资金增加</w:t>
      </w:r>
      <w:r>
        <w:rPr>
          <w:spacing w:val="-77"/>
        </w:rPr>
        <w:t> </w:t>
      </w:r>
      <w:r>
        <w:rPr/>
        <w:t>116,368,779.13</w:t>
      </w:r>
      <w:r>
        <w:rPr>
          <w:spacing w:val="-76"/>
        </w:rPr>
        <w:t> </w:t>
      </w:r>
      <w:r>
        <w:rPr/>
        <w:t>元，原因为年末未到承兑期的应付银行承兑汇票保证金增加。</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1100"/>
        </w:sectPr>
      </w:pPr>
    </w:p>
    <w:p>
      <w:pPr>
        <w:pStyle w:val="BodyText"/>
        <w:spacing w:line="272" w:lineRule="exact" w:before="63"/>
        <w:ind w:right="-20"/>
        <w:jc w:val="left"/>
      </w:pPr>
      <w:r>
        <w:rPr/>
        <w:t>2、应收票据： 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00"/>
          <w:cols w:num="2" w:equalWidth="0">
            <w:col w:w="1506" w:space="5532"/>
            <w:col w:w="25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40,630,672.62</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9,000,000.00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40,630,672.62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9,000,000.00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①期末已背书未到期的应收票据总额为</w:t>
      </w:r>
      <w:r>
        <w:rPr>
          <w:spacing w:val="-58"/>
        </w:rPr>
        <w:t> </w:t>
      </w:r>
      <w:r>
        <w:rPr/>
        <w:t>204,266,781.56</w:t>
      </w:r>
      <w:r>
        <w:rPr>
          <w:spacing w:val="-57"/>
        </w:rPr>
        <w:t> </w:t>
      </w:r>
      <w:r>
        <w:rPr/>
        <w:t>元，到期日区间</w:t>
      </w:r>
      <w:r>
        <w:rPr>
          <w:spacing w:val="-58"/>
        </w:rPr>
        <w:t> </w:t>
      </w:r>
      <w:r>
        <w:rPr/>
        <w:t>2009</w:t>
      </w:r>
      <w:r>
        <w:rPr>
          <w:spacing w:val="-57"/>
        </w:rPr>
        <w:t> </w:t>
      </w:r>
      <w:r>
        <w:rPr/>
        <w:t>年</w:t>
      </w:r>
      <w:r>
        <w:rPr>
          <w:spacing w:val="-59"/>
        </w:rPr>
        <w:t> </w:t>
      </w:r>
      <w:r>
        <w:rPr/>
        <w:t>1</w:t>
      </w:r>
      <w:r>
        <w:rPr>
          <w:spacing w:val="-57"/>
        </w:rPr>
        <w:t> </w:t>
      </w:r>
      <w:r>
        <w:rPr/>
        <w:t>月至</w:t>
      </w:r>
      <w:r>
        <w:rPr>
          <w:spacing w:val="-58"/>
        </w:rPr>
        <w:t> </w:t>
      </w:r>
      <w:r>
        <w:rPr/>
        <w:t>2009</w:t>
      </w:r>
      <w:r>
        <w:rPr>
          <w:spacing w:val="-57"/>
        </w:rPr>
        <w:t> </w:t>
      </w:r>
      <w:r>
        <w:rPr/>
        <w:t>年</w:t>
      </w:r>
      <w:r>
        <w:rPr>
          <w:spacing w:val="-59"/>
        </w:rPr>
        <w:t> </w:t>
      </w:r>
      <w:r>
        <w:rPr/>
        <w:t>6</w:t>
      </w:r>
      <w:r>
        <w:rPr>
          <w:spacing w:val="-58"/>
        </w:rPr>
        <w:t> </w:t>
      </w:r>
      <w:r>
        <w:rPr/>
        <w:t>月。</w:t>
      </w:r>
    </w:p>
    <w:p>
      <w:pPr>
        <w:pStyle w:val="BodyText"/>
        <w:spacing w:line="274" w:lineRule="exact"/>
        <w:ind w:right="184"/>
        <w:jc w:val="left"/>
      </w:pPr>
      <w:r>
        <w:rPr/>
        <w:t>②应收票据增加</w:t>
      </w:r>
      <w:r>
        <w:rPr>
          <w:spacing w:val="-54"/>
        </w:rPr>
        <w:t> </w:t>
      </w:r>
      <w:r>
        <w:rPr/>
        <w:t>31,630,672.62</w:t>
      </w:r>
      <w:r>
        <w:rPr>
          <w:spacing w:val="-53"/>
        </w:rPr>
        <w:t> </w:t>
      </w:r>
      <w:r>
        <w:rPr/>
        <w:t>元，主要为客户以票据形式付款情况较多。</w:t>
      </w:r>
    </w:p>
    <w:p>
      <w:pPr>
        <w:spacing w:after="0" w:line="274" w:lineRule="exact"/>
        <w:jc w:val="left"/>
        <w:sectPr>
          <w:type w:val="continuous"/>
          <w:pgSz w:w="11910" w:h="16840"/>
          <w:pgMar w:top="1600" w:bottom="280" w:left="1220" w:right="110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880" w:right="820"/>
        </w:sectPr>
      </w:pPr>
    </w:p>
    <w:p>
      <w:pPr>
        <w:pStyle w:val="BodyText"/>
        <w:spacing w:line="272" w:lineRule="exact" w:before="63"/>
        <w:ind w:left="480" w:right="-20"/>
        <w:jc w:val="left"/>
      </w:pPr>
      <w:r>
        <w:rPr/>
        <w:t>3、应收账款: 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480" w:right="0"/>
        <w:jc w:val="left"/>
      </w:pPr>
      <w:r>
        <w:rPr/>
        <w:t>单位：元</w:t>
      </w:r>
      <w:r>
        <w:rPr>
          <w:spacing w:val="-2"/>
        </w:rPr>
        <w:t> </w:t>
      </w:r>
      <w:r>
        <w:rPr/>
        <w:t>币种：人民币</w:t>
      </w:r>
    </w:p>
    <w:p>
      <w:pPr>
        <w:spacing w:after="0" w:line="240" w:lineRule="auto"/>
        <w:jc w:val="left"/>
        <w:sectPr>
          <w:type w:val="continuous"/>
          <w:pgSz w:w="11910" w:h="16840"/>
          <w:pgMar w:top="1600" w:bottom="280" w:left="880" w:right="820"/>
          <w:cols w:num="2" w:equalWidth="0">
            <w:col w:w="2581" w:space="4457"/>
            <w:col w:w="3172"/>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62"/>
        <w:gridCol w:w="1686"/>
        <w:gridCol w:w="530"/>
        <w:gridCol w:w="1582"/>
        <w:gridCol w:w="740"/>
        <w:gridCol w:w="1686"/>
        <w:gridCol w:w="742"/>
        <w:gridCol w:w="1580"/>
        <w:gridCol w:w="742"/>
      </w:tblGrid>
      <w:tr>
        <w:trPr>
          <w:trHeight w:val="287" w:hRule="exact"/>
        </w:trPr>
        <w:tc>
          <w:tcPr>
            <w:tcW w:w="66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53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662" w:type="dxa"/>
            <w:vMerge/>
            <w:tcBorders>
              <w:left w:val="single" w:sz="6" w:space="0" w:color="000000"/>
              <w:right w:val="single" w:sz="6" w:space="0" w:color="000000"/>
            </w:tcBorders>
          </w:tcPr>
          <w:p>
            <w:pP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2" w:hRule="exact"/>
        </w:trPr>
        <w:tc>
          <w:tcPr>
            <w:tcW w:w="66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8"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5" w:right="150"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5" w:right="151"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5" w:right="151" w:hanging="52"/>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279" w:hRule="exact"/>
        </w:trPr>
        <w:tc>
          <w:tcPr>
            <w:tcW w:w="6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w:t>
            </w:r>
          </w:p>
        </w:tc>
        <w:tc>
          <w:tcPr>
            <w:tcW w:w="1686" w:type="dxa"/>
            <w:tcBorders>
              <w:top w:val="single" w:sz="6" w:space="0" w:color="000000"/>
              <w:left w:val="single" w:sz="6" w:space="0" w:color="000000"/>
              <w:bottom w:val="nil" w:sz="6" w:space="0" w:color="auto"/>
              <w:right w:val="single" w:sz="6" w:space="0" w:color="000000"/>
            </w:tcBorders>
          </w:tcPr>
          <w:p>
            <w:pPr/>
          </w:p>
        </w:tc>
        <w:tc>
          <w:tcPr>
            <w:tcW w:w="53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316,472,790.80</w:t>
            </w:r>
          </w:p>
        </w:tc>
        <w:tc>
          <w:tcPr>
            <w:tcW w:w="5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95</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52,327,349.11</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80.14</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70,660,057.25</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29.74</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3,533,002.86</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22.75</w:t>
            </w: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nil" w:sz="6" w:space="0" w:color="auto"/>
              <w:left w:val="single" w:sz="6" w:space="0" w:color="000000"/>
              <w:bottom w:val="single" w:sz="6" w:space="0" w:color="000000"/>
              <w:right w:val="single" w:sz="6" w:space="0" w:color="000000"/>
            </w:tcBorders>
          </w:tcPr>
          <w:p>
            <w:pPr/>
          </w:p>
        </w:tc>
        <w:tc>
          <w:tcPr>
            <w:tcW w:w="53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w:t>
            </w:r>
          </w:p>
        </w:tc>
        <w:tc>
          <w:tcPr>
            <w:tcW w:w="1686" w:type="dxa"/>
            <w:tcBorders>
              <w:top w:val="single" w:sz="6" w:space="0" w:color="000000"/>
              <w:left w:val="single" w:sz="6" w:space="0" w:color="000000"/>
              <w:bottom w:val="nil" w:sz="6" w:space="0" w:color="auto"/>
              <w:right w:val="single" w:sz="6" w:space="0" w:color="000000"/>
            </w:tcBorders>
          </w:tcPr>
          <w:p>
            <w:pPr/>
          </w:p>
        </w:tc>
        <w:tc>
          <w:tcPr>
            <w:tcW w:w="53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不重</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按信</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用风</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征组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合后</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12,861,557.78</w:t>
            </w:r>
          </w:p>
        </w:tc>
        <w:tc>
          <w:tcPr>
            <w:tcW w:w="5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12,861,557.78</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19.70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3,073,776.49</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1.29</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3,073,776.49</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19.80</w:t>
            </w: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合的</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nil" w:sz="6" w:space="0" w:color="auto"/>
              <w:left w:val="single" w:sz="6" w:space="0" w:color="000000"/>
              <w:bottom w:val="single" w:sz="6" w:space="0" w:color="000000"/>
              <w:right w:val="single" w:sz="6" w:space="0" w:color="000000"/>
            </w:tcBorders>
          </w:tcPr>
          <w:p>
            <w:pPr/>
          </w:p>
        </w:tc>
        <w:tc>
          <w:tcPr>
            <w:tcW w:w="53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nil" w:sz="6" w:space="0" w:color="auto"/>
              <w:right w:val="single" w:sz="6" w:space="0" w:color="000000"/>
            </w:tcBorders>
          </w:tcPr>
          <w:p>
            <w:pPr/>
          </w:p>
        </w:tc>
        <w:tc>
          <w:tcPr>
            <w:tcW w:w="53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不重</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大应</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2,061,213.10</w:t>
            </w:r>
            <w:r>
              <w:rPr>
                <w:rFonts w:ascii="宋体"/>
                <w:sz w:val="21"/>
              </w:rPr>
            </w:r>
          </w:p>
        </w:tc>
        <w:tc>
          <w:tcPr>
            <w:tcW w:w="53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103,060.66</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0.16</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163,887,752.61</w:t>
            </w:r>
            <w:r>
              <w:rPr>
                <w:rFonts w:ascii="宋体"/>
                <w:sz w:val="21"/>
              </w:rPr>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68.97</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8,919,820.57</w:t>
            </w:r>
            <w:r>
              <w:rPr>
                <w:rFonts w:ascii="宋体"/>
                <w:sz w:val="21"/>
              </w:rPr>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57.45</w:t>
            </w:r>
          </w:p>
        </w:tc>
      </w:tr>
      <w:tr>
        <w:trPr>
          <w:trHeight w:val="272" w:hRule="exact"/>
        </w:trPr>
        <w:tc>
          <w:tcPr>
            <w:tcW w:w="6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686" w:type="dxa"/>
            <w:tcBorders>
              <w:top w:val="nil" w:sz="6" w:space="0" w:color="auto"/>
              <w:left w:val="single" w:sz="6" w:space="0" w:color="000000"/>
              <w:bottom w:val="nil" w:sz="6" w:space="0" w:color="auto"/>
              <w:right w:val="single" w:sz="6" w:space="0" w:color="000000"/>
            </w:tcBorders>
          </w:tcPr>
          <w:p>
            <w:pPr/>
          </w:p>
        </w:tc>
        <w:tc>
          <w:tcPr>
            <w:tcW w:w="530"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nil" w:sz="6" w:space="0" w:color="auto"/>
              <w:left w:val="single" w:sz="6" w:space="0" w:color="000000"/>
              <w:bottom w:val="single" w:sz="6" w:space="0" w:color="000000"/>
              <w:right w:val="single" w:sz="6" w:space="0" w:color="000000"/>
            </w:tcBorders>
          </w:tcPr>
          <w:p>
            <w:pPr/>
          </w:p>
        </w:tc>
        <w:tc>
          <w:tcPr>
            <w:tcW w:w="53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331,395,561.68</w:t>
            </w:r>
            <w:r>
              <w:rPr>
                <w:rFonts w:ascii="宋体"/>
                <w:sz w:val="21"/>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65,291,967.55</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237,621,586.35</w:t>
            </w:r>
            <w:r>
              <w:rPr>
                <w:rFonts w:ascii="宋体"/>
                <w:sz w:val="21"/>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15,526,599.92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314" w:lineRule="auto" w:before="42"/>
        <w:ind w:left="480" w:right="481" w:firstLine="420"/>
        <w:jc w:val="both"/>
      </w:pPr>
      <w:r>
        <w:rPr/>
        <w:t>注：单项金额不重大但按信用风险特征组合后该组合的风险较大的应收款项，是指根据本公司对 债务人的清收催款工作以及日常业务发生情况，评价债务人的信用度，从而确定的可收回风险较大的 应收账款。</w:t>
      </w:r>
    </w:p>
    <w:p>
      <w:pPr>
        <w:pStyle w:val="BodyText"/>
        <w:tabs>
          <w:tab w:pos="7411" w:val="left" w:leader="none"/>
        </w:tabs>
        <w:spacing w:line="240" w:lineRule="auto" w:before="62"/>
        <w:ind w:left="480" w:right="0"/>
        <w:jc w:val="left"/>
      </w:pPr>
      <w:r>
        <w:rPr/>
        <w:t>(2)</w:t>
      </w:r>
      <w:r>
        <w:rPr>
          <w:spacing w:val="-2"/>
        </w:rPr>
        <w:t> </w:t>
      </w:r>
      <w:r>
        <w:rPr/>
        <w:t>期末单项金额重大或虽不重大但单独进行减值测试的应收款项计提：</w:t>
        <w:tab/>
        <w:t>单位：元</w:t>
      </w:r>
      <w:r>
        <w:rPr>
          <w:spacing w:val="-4"/>
        </w:rPr>
        <w:t> </w:t>
      </w:r>
      <w:r>
        <w:rPr/>
        <w:t>币种：人民币</w:t>
      </w:r>
    </w:p>
    <w:p>
      <w:pPr>
        <w:spacing w:line="240" w:lineRule="auto" w:before="7"/>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1860"/>
        <w:gridCol w:w="1860"/>
        <w:gridCol w:w="1860"/>
        <w:gridCol w:w="1229"/>
        <w:gridCol w:w="2491"/>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应收款项内容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中国第一重型机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械集团有限公司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1,045,309.11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1,045,309.11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47"/>
              <w:jc w:val="right"/>
              <w:rPr>
                <w:rFonts w:ascii="宋体" w:hAnsi="宋体" w:cs="宋体" w:eastAsia="宋体" w:hint="default"/>
                <w:sz w:val="21"/>
                <w:szCs w:val="21"/>
              </w:rPr>
            </w:pPr>
            <w:r>
              <w:rPr>
                <w:rFonts w:ascii="宋体"/>
                <w:sz w:val="21"/>
              </w:rPr>
              <w:t>100</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北满特殊钢股份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14,730,681.64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7,390,923.91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0"/>
              <w:jc w:val="right"/>
              <w:rPr>
                <w:rFonts w:ascii="宋体" w:hAnsi="宋体" w:cs="宋体" w:eastAsia="宋体" w:hint="default"/>
                <w:sz w:val="21"/>
                <w:szCs w:val="21"/>
              </w:rPr>
            </w:pPr>
            <w:r>
              <w:rPr>
                <w:rFonts w:ascii="宋体"/>
                <w:sz w:val="21"/>
              </w:rPr>
              <w:t>50</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债务人偿债能力不确定</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18,407,874.33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10,174,122.13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00"/>
              <w:jc w:val="right"/>
              <w:rPr>
                <w:rFonts w:ascii="宋体" w:hAnsi="宋体" w:cs="宋体" w:eastAsia="宋体" w:hint="default"/>
                <w:sz w:val="21"/>
                <w:szCs w:val="21"/>
              </w:rPr>
            </w:pPr>
            <w:r>
              <w:rPr>
                <w:rFonts w:ascii="宋体"/>
                <w:sz w:val="21"/>
              </w:rPr>
              <w:t>55</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黑龙江齐化化工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5,205,504.65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5,135,373.30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1"/>
              <w:jc w:val="right"/>
              <w:rPr>
                <w:rFonts w:ascii="宋体" w:hAnsi="宋体" w:cs="宋体" w:eastAsia="宋体" w:hint="default"/>
                <w:sz w:val="21"/>
                <w:szCs w:val="21"/>
              </w:rPr>
            </w:pPr>
            <w:r>
              <w:rPr>
                <w:rFonts w:ascii="宋体"/>
                <w:sz w:val="21"/>
              </w:rPr>
              <w:t>99</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齐市福来得电力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2,730,549.64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7"/>
              <w:jc w:val="right"/>
              <w:rPr>
                <w:rFonts w:ascii="宋体" w:hAnsi="宋体" w:cs="宋体" w:eastAsia="宋体" w:hint="default"/>
                <w:sz w:val="21"/>
                <w:szCs w:val="21"/>
              </w:rPr>
            </w:pPr>
            <w:r>
              <w:rPr>
                <w:rFonts w:ascii="宋体"/>
                <w:sz w:val="21"/>
              </w:rPr>
              <w:t>100</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bl>
    <w:p>
      <w:pPr>
        <w:spacing w:after="0" w:line="241" w:lineRule="exact"/>
        <w:jc w:val="left"/>
        <w:rPr>
          <w:rFonts w:ascii="宋体" w:hAnsi="宋体" w:cs="宋体" w:eastAsia="宋体" w:hint="default"/>
          <w:sz w:val="21"/>
          <w:szCs w:val="21"/>
        </w:rPr>
        <w:sectPr>
          <w:type w:val="continuous"/>
          <w:pgSz w:w="11910" w:h="16840"/>
          <w:pgMar w:top="1600" w:bottom="280" w:left="8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229"/>
        <w:gridCol w:w="2491"/>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机械公司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249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阿城市小岭钢铁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1,514,693.63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1,514,693.63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47"/>
              <w:jc w:val="right"/>
              <w:rPr>
                <w:rFonts w:ascii="宋体" w:hAnsi="宋体" w:cs="宋体" w:eastAsia="宋体" w:hint="default"/>
                <w:sz w:val="21"/>
                <w:szCs w:val="21"/>
              </w:rPr>
            </w:pPr>
            <w:r>
              <w:rPr>
                <w:rFonts w:ascii="宋体"/>
                <w:sz w:val="21"/>
              </w:rPr>
              <w:t>100</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1,774,325.45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7"/>
              <w:jc w:val="right"/>
              <w:rPr>
                <w:rFonts w:ascii="宋体" w:hAnsi="宋体" w:cs="宋体" w:eastAsia="宋体" w:hint="default"/>
                <w:sz w:val="21"/>
                <w:szCs w:val="21"/>
              </w:rPr>
            </w:pPr>
            <w:r>
              <w:rPr>
                <w:rFonts w:ascii="宋体"/>
                <w:sz w:val="21"/>
              </w:rPr>
              <w:t>100</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哈尔滨东金工贸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3,638,887.25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2,582,081.90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1"/>
              <w:jc w:val="right"/>
              <w:rPr>
                <w:rFonts w:ascii="宋体" w:hAnsi="宋体" w:cs="宋体" w:eastAsia="宋体" w:hint="default"/>
                <w:sz w:val="21"/>
                <w:szCs w:val="21"/>
              </w:rPr>
            </w:pPr>
            <w:r>
              <w:rPr>
                <w:rFonts w:ascii="宋体"/>
                <w:sz w:val="21"/>
              </w:rPr>
              <w:t>71</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哈尔滨东钢焦化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2,703,088.91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2,703,088.91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7"/>
              <w:jc w:val="right"/>
              <w:rPr>
                <w:rFonts w:ascii="宋体" w:hAnsi="宋体" w:cs="宋体" w:eastAsia="宋体" w:hint="default"/>
                <w:sz w:val="21"/>
                <w:szCs w:val="21"/>
              </w:rPr>
            </w:pPr>
            <w:r>
              <w:rPr>
                <w:rFonts w:ascii="宋体"/>
                <w:sz w:val="21"/>
              </w:rPr>
              <w:t>100</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辽原市恒汇工贸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1,425,739.74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47"/>
              <w:jc w:val="right"/>
              <w:rPr>
                <w:rFonts w:ascii="宋体" w:hAnsi="宋体" w:cs="宋体" w:eastAsia="宋体" w:hint="default"/>
                <w:sz w:val="21"/>
                <w:szCs w:val="21"/>
              </w:rPr>
            </w:pPr>
            <w:r>
              <w:rPr>
                <w:rFonts w:ascii="宋体"/>
                <w:sz w:val="21"/>
              </w:rPr>
              <w:t>100</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北京欣达利工贸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2,335,052.76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47"/>
              <w:jc w:val="right"/>
              <w:rPr>
                <w:rFonts w:ascii="宋体" w:hAnsi="宋体" w:cs="宋体" w:eastAsia="宋体" w:hint="default"/>
                <w:sz w:val="21"/>
                <w:szCs w:val="21"/>
              </w:rPr>
            </w:pPr>
            <w:r>
              <w:rPr>
                <w:rFonts w:ascii="宋体"/>
                <w:sz w:val="21"/>
              </w:rPr>
              <w:t>100</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55,511,707.11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38,811,260.48</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exact"/>
        <w:ind w:right="0"/>
        <w:jc w:val="left"/>
      </w:pPr>
      <w:r>
        <w:rPr/>
        <w:t>单项金额不重大但按信用风险特征组合后该组合的风险较大的应收账款：单位：元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93"/>
        <w:gridCol w:w="1582"/>
        <w:gridCol w:w="1135"/>
        <w:gridCol w:w="1632"/>
        <w:gridCol w:w="1478"/>
        <w:gridCol w:w="1090"/>
        <w:gridCol w:w="1499"/>
      </w:tblGrid>
      <w:tr>
        <w:trPr>
          <w:trHeight w:val="287" w:hRule="exact"/>
        </w:trPr>
        <w:tc>
          <w:tcPr>
            <w:tcW w:w="109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93" w:type="dxa"/>
            <w:vMerge/>
            <w:tcBorders>
              <w:left w:val="single" w:sz="6" w:space="0" w:color="000000"/>
              <w:right w:val="single" w:sz="6" w:space="0" w:color="000000"/>
            </w:tcBorders>
          </w:tcPr>
          <w:p>
            <w:pPr/>
          </w:p>
        </w:tc>
        <w:tc>
          <w:tcPr>
            <w:tcW w:w="27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32" w:type="dxa"/>
            <w:vMerge w:val="restart"/>
            <w:tcBorders>
              <w:top w:val="single" w:sz="6" w:space="0" w:color="000000"/>
              <w:left w:val="single" w:sz="6" w:space="0" w:color="000000"/>
              <w:right w:val="single" w:sz="6"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99" w:type="dxa"/>
            <w:vMerge w:val="restart"/>
            <w:tcBorders>
              <w:top w:val="single" w:sz="6" w:space="0" w:color="000000"/>
              <w:left w:val="single" w:sz="6" w:space="0" w:color="000000"/>
              <w:right w:val="single" w:sz="6" w:space="0" w:color="000000"/>
            </w:tcBorders>
          </w:tcPr>
          <w:p>
            <w:pPr>
              <w:pStyle w:val="TableParagraph"/>
              <w:spacing w:line="240" w:lineRule="auto" w:before="101"/>
              <w:ind w:left="32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093"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32" w:type="dxa"/>
            <w:vMerge/>
            <w:tcBorders>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99" w:type="dxa"/>
            <w:vMerge/>
            <w:tcBorders>
              <w:left w:val="single" w:sz="6" w:space="0" w:color="000000"/>
              <w:bottom w:val="single" w:sz="6" w:space="0" w:color="000000"/>
              <w:right w:val="single" w:sz="6" w:space="0" w:color="000000"/>
            </w:tcBorders>
          </w:tcPr>
          <w:p>
            <w:pPr/>
          </w:p>
        </w:tc>
      </w:tr>
      <w:tr>
        <w:trPr>
          <w:trHeight w:val="288" w:hRule="exact"/>
        </w:trPr>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12,861,557.78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12,861,557.78</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3,073,776.49</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3,073,776.49</w:t>
            </w:r>
          </w:p>
        </w:tc>
      </w:tr>
      <w:tr>
        <w:trPr>
          <w:trHeight w:val="288" w:hRule="exact"/>
        </w:trPr>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12,861,557.78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12,861,557.78</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3,073,776.49</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100</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3,073,776.49</w:t>
            </w:r>
          </w:p>
        </w:tc>
      </w:tr>
    </w:tbl>
    <w:p>
      <w:pPr>
        <w:pStyle w:val="BodyText"/>
        <w:spacing w:line="238" w:lineRule="exact"/>
        <w:ind w:right="0"/>
        <w:jc w:val="left"/>
      </w:pPr>
      <w:r>
        <w:rPr/>
        <w:t>①期末金额位列前五名的应收账款合计</w:t>
      </w:r>
      <w:r>
        <w:rPr>
          <w:spacing w:val="-55"/>
        </w:rPr>
        <w:t> </w:t>
      </w:r>
      <w:r>
        <w:rPr/>
        <w:t>182,978,412.00</w:t>
      </w:r>
      <w:r>
        <w:rPr>
          <w:spacing w:val="-54"/>
        </w:rPr>
        <w:t> </w:t>
      </w:r>
      <w:r>
        <w:rPr/>
        <w:t>元，占应收账款总额的比例为</w:t>
      </w:r>
      <w:r>
        <w:rPr>
          <w:spacing w:val="-55"/>
        </w:rPr>
        <w:t> </w:t>
      </w:r>
      <w:r>
        <w:rPr/>
        <w:t>55.21%，全部</w:t>
      </w:r>
    </w:p>
    <w:p>
      <w:pPr>
        <w:pStyle w:val="BodyText"/>
        <w:spacing w:line="272" w:lineRule="exact"/>
        <w:ind w:right="0"/>
        <w:jc w:val="left"/>
      </w:pPr>
      <w:r>
        <w:rPr/>
        <w:t>为一年以内。</w:t>
      </w:r>
    </w:p>
    <w:p>
      <w:pPr>
        <w:pStyle w:val="BodyText"/>
        <w:spacing w:line="272" w:lineRule="exact"/>
        <w:ind w:right="0"/>
        <w:jc w:val="left"/>
      </w:pPr>
      <w:r>
        <w:rPr/>
        <w:t>②应收款项中应收持公司</w:t>
      </w:r>
      <w:r>
        <w:rPr>
          <w:spacing w:val="-54"/>
        </w:rPr>
        <w:t> </w:t>
      </w:r>
      <w:r>
        <w:rPr/>
        <w:t>5%（含</w:t>
      </w:r>
      <w:r>
        <w:rPr>
          <w:spacing w:val="-54"/>
        </w:rPr>
        <w:t> </w:t>
      </w:r>
      <w:r>
        <w:rPr/>
        <w:t>5%）以上表决权股份的股东单位或关联方的情况见附注十。</w:t>
      </w:r>
    </w:p>
    <w:p>
      <w:pPr>
        <w:pStyle w:val="BodyText"/>
        <w:spacing w:line="272" w:lineRule="exact"/>
        <w:ind w:right="0"/>
        <w:jc w:val="left"/>
      </w:pPr>
      <w:r>
        <w:rPr/>
        <w:t>③期末应收账款较期初增加</w:t>
      </w:r>
      <w:r>
        <w:rPr>
          <w:spacing w:val="-54"/>
        </w:rPr>
        <w:t> </w:t>
      </w:r>
      <w:r>
        <w:rPr/>
        <w:t>44,008,607.70</w:t>
      </w:r>
      <w:r>
        <w:rPr>
          <w:spacing w:val="-53"/>
        </w:rPr>
        <w:t> </w:t>
      </w:r>
      <w:r>
        <w:rPr/>
        <w:t>元，原因为本年营业收入增加导致应收账款增加。</w:t>
      </w:r>
    </w:p>
    <w:p>
      <w:pPr>
        <w:pStyle w:val="BodyText"/>
        <w:spacing w:line="272" w:lineRule="exact" w:before="26"/>
        <w:ind w:right="642"/>
        <w:jc w:val="left"/>
      </w:pPr>
      <w:r>
        <w:rPr/>
        <w:t>④本期核销应收账款</w:t>
      </w:r>
      <w:r>
        <w:rPr>
          <w:spacing w:val="-67"/>
        </w:rPr>
        <w:t> </w:t>
      </w:r>
      <w:r>
        <w:rPr/>
        <w:t>191,822.00</w:t>
      </w:r>
      <w:r>
        <w:rPr>
          <w:spacing w:val="-66"/>
        </w:rPr>
        <w:t> </w:t>
      </w:r>
      <w:r>
        <w:rPr/>
        <w:t>元，原因为债务人已破产，部分款项不能收回。</w:t>
      </w:r>
      <w:r>
        <w:rPr>
          <w:spacing w:val="-1"/>
        </w:rPr>
        <w:t> </w:t>
      </w:r>
      <w:r>
        <w:rPr/>
        <w:t>4、其他应收款：</w:t>
      </w:r>
    </w:p>
    <w:p>
      <w:pPr>
        <w:pStyle w:val="BodyText"/>
        <w:spacing w:line="248" w:lineRule="exact"/>
        <w:ind w:right="0"/>
        <w:jc w:val="left"/>
      </w:pPr>
      <w:r>
        <w:rPr/>
        <w:t>(1) 其他应收账款按种类披露： 单位：元</w:t>
      </w:r>
      <w:r>
        <w:rPr>
          <w:spacing w:val="-6"/>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32"/>
        <w:gridCol w:w="1580"/>
        <w:gridCol w:w="565"/>
        <w:gridCol w:w="1477"/>
        <w:gridCol w:w="565"/>
        <w:gridCol w:w="1476"/>
        <w:gridCol w:w="565"/>
        <w:gridCol w:w="1477"/>
        <w:gridCol w:w="562"/>
      </w:tblGrid>
      <w:tr>
        <w:trPr>
          <w:trHeight w:val="288" w:hRule="exact"/>
        </w:trPr>
        <w:tc>
          <w:tcPr>
            <w:tcW w:w="10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8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032" w:type="dxa"/>
            <w:vMerge/>
            <w:tcBorders>
              <w:left w:val="single" w:sz="6" w:space="0" w:color="000000"/>
              <w:right w:val="single" w:sz="6" w:space="0" w:color="000000"/>
            </w:tcBorders>
          </w:tcPr>
          <w:p>
            <w:pPr/>
          </w:p>
        </w:tc>
        <w:tc>
          <w:tcPr>
            <w:tcW w:w="21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1032"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17" w:right="116"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17" w:right="115"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17" w:right="115" w:firstLine="52"/>
              <w:jc w:val="left"/>
              <w:rPr>
                <w:rFonts w:ascii="宋体" w:hAnsi="宋体" w:cs="宋体" w:eastAsia="宋体" w:hint="default"/>
                <w:sz w:val="21"/>
                <w:szCs w:val="21"/>
              </w:rPr>
            </w:pPr>
            <w:r>
              <w:rPr>
                <w:rFonts w:ascii="宋体" w:hAnsi="宋体" w:cs="宋体" w:eastAsia="宋体" w:hint="default"/>
                <w:sz w:val="21"/>
                <w:szCs w:val="21"/>
              </w:rPr>
              <w:t>例 (%)</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15" w:right="114" w:firstLine="52"/>
              <w:jc w:val="left"/>
              <w:rPr>
                <w:rFonts w:ascii="宋体" w:hAnsi="宋体" w:cs="宋体" w:eastAsia="宋体" w:hint="default"/>
                <w:sz w:val="21"/>
                <w:szCs w:val="21"/>
              </w:rPr>
            </w:pPr>
            <w:r>
              <w:rPr>
                <w:rFonts w:ascii="宋体" w:hAnsi="宋体" w:cs="宋体" w:eastAsia="宋体" w:hint="default"/>
                <w:sz w:val="21"/>
                <w:szCs w:val="21"/>
              </w:rPr>
              <w:t>例 (%)</w:t>
            </w:r>
          </w:p>
        </w:tc>
      </w:tr>
      <w:tr>
        <w:trPr>
          <w:trHeight w:val="27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284"/>
              <w:jc w:val="right"/>
              <w:rPr>
                <w:rFonts w:ascii="宋体" w:hAnsi="宋体" w:cs="宋体" w:eastAsia="宋体" w:hint="default"/>
                <w:sz w:val="21"/>
                <w:szCs w:val="21"/>
              </w:rPr>
            </w:pPr>
            <w:r>
              <w:rPr>
                <w:rFonts w:ascii="宋体" w:hAnsi="宋体" w:cs="宋体" w:eastAsia="宋体" w:hint="default"/>
                <w:sz w:val="21"/>
                <w:szCs w:val="21"/>
              </w:rPr>
              <w:t>其他不</w:t>
            </w:r>
          </w:p>
        </w:tc>
        <w:tc>
          <w:tcPr>
            <w:tcW w:w="1580" w:type="dxa"/>
            <w:tcBorders>
              <w:top w:val="single" w:sz="6" w:space="0" w:color="000000"/>
              <w:left w:val="single" w:sz="6" w:space="0" w:color="000000"/>
              <w:bottom w:val="nil" w:sz="6" w:space="0" w:color="auto"/>
              <w:right w:val="single" w:sz="6" w:space="0" w:color="000000"/>
            </w:tcBorders>
          </w:tcPr>
          <w:p>
            <w:pPr/>
          </w:p>
        </w:tc>
        <w:tc>
          <w:tcPr>
            <w:tcW w:w="565" w:type="dxa"/>
            <w:tcBorders>
              <w:top w:val="single" w:sz="6" w:space="0" w:color="000000"/>
              <w:left w:val="single" w:sz="6" w:space="0" w:color="000000"/>
              <w:bottom w:val="nil" w:sz="6" w:space="0" w:color="auto"/>
              <w:right w:val="single" w:sz="6" w:space="0" w:color="000000"/>
            </w:tcBorders>
          </w:tcPr>
          <w:p>
            <w:pPr/>
          </w:p>
        </w:tc>
        <w:tc>
          <w:tcPr>
            <w:tcW w:w="1477" w:type="dxa"/>
            <w:tcBorders>
              <w:top w:val="single" w:sz="6" w:space="0" w:color="000000"/>
              <w:left w:val="single" w:sz="6" w:space="0" w:color="000000"/>
              <w:bottom w:val="nil" w:sz="6" w:space="0" w:color="auto"/>
              <w:right w:val="single" w:sz="6" w:space="0" w:color="000000"/>
            </w:tcBorders>
          </w:tcPr>
          <w:p>
            <w:pPr/>
          </w:p>
        </w:tc>
        <w:tc>
          <w:tcPr>
            <w:tcW w:w="565"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65" w:type="dxa"/>
            <w:tcBorders>
              <w:top w:val="single" w:sz="6" w:space="0" w:color="000000"/>
              <w:left w:val="single" w:sz="6" w:space="0" w:color="000000"/>
              <w:bottom w:val="nil" w:sz="6" w:space="0" w:color="auto"/>
              <w:right w:val="single" w:sz="6" w:space="0" w:color="000000"/>
            </w:tcBorders>
          </w:tcPr>
          <w:p>
            <w:pPr/>
          </w:p>
        </w:tc>
        <w:tc>
          <w:tcPr>
            <w:tcW w:w="1477" w:type="dxa"/>
            <w:tcBorders>
              <w:top w:val="single" w:sz="6" w:space="0" w:color="000000"/>
              <w:left w:val="single" w:sz="6" w:space="0" w:color="000000"/>
              <w:bottom w:val="nil" w:sz="6" w:space="0" w:color="auto"/>
              <w:right w:val="single" w:sz="6" w:space="0" w:color="000000"/>
            </w:tcBorders>
          </w:tcPr>
          <w:p>
            <w:pPr/>
          </w:p>
        </w:tc>
        <w:tc>
          <w:tcPr>
            <w:tcW w:w="562"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11,093,522.51</w:t>
            </w:r>
          </w:p>
        </w:tc>
        <w:tc>
          <w:tcPr>
            <w:tcW w:w="5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2" w:right="0"/>
              <w:jc w:val="center"/>
              <w:rPr>
                <w:rFonts w:ascii="宋体" w:hAnsi="宋体" w:cs="宋体" w:eastAsia="宋体" w:hint="default"/>
                <w:sz w:val="21"/>
                <w:szCs w:val="21"/>
              </w:rPr>
            </w:pPr>
            <w:r>
              <w:rPr>
                <w:rFonts w:ascii="宋体"/>
                <w:sz w:val="21"/>
              </w:rPr>
              <w:t>100</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2,406,490.92</w:t>
            </w:r>
          </w:p>
        </w:tc>
        <w:tc>
          <w:tcPr>
            <w:tcW w:w="5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sz w:val="21"/>
              </w:rPr>
              <w:t>100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5,830,217.55</w:t>
            </w:r>
          </w:p>
        </w:tc>
        <w:tc>
          <w:tcPr>
            <w:tcW w:w="5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30" w:right="0"/>
              <w:jc w:val="center"/>
              <w:rPr>
                <w:rFonts w:ascii="宋体" w:hAnsi="宋体" w:cs="宋体" w:eastAsia="宋体" w:hint="default"/>
                <w:sz w:val="21"/>
                <w:szCs w:val="21"/>
              </w:rPr>
            </w:pPr>
            <w:r>
              <w:rPr>
                <w:rFonts w:ascii="宋体"/>
                <w:sz w:val="21"/>
              </w:rPr>
              <w:t>100</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2,143,325.57</w:t>
            </w:r>
          </w:p>
        </w:tc>
        <w:tc>
          <w:tcPr>
            <w:tcW w:w="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7" w:right="0"/>
              <w:jc w:val="center"/>
              <w:rPr>
                <w:rFonts w:ascii="宋体" w:hAnsi="宋体" w:cs="宋体" w:eastAsia="宋体" w:hint="default"/>
                <w:sz w:val="21"/>
                <w:szCs w:val="21"/>
              </w:rPr>
            </w:pPr>
            <w:r>
              <w:rPr>
                <w:rFonts w:ascii="宋体"/>
                <w:sz w:val="21"/>
              </w:rPr>
              <w:t>100</w:t>
            </w:r>
          </w:p>
        </w:tc>
      </w:tr>
      <w:tr>
        <w:trPr>
          <w:trHeight w:val="281"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284"/>
              <w:jc w:val="right"/>
              <w:rPr>
                <w:rFonts w:ascii="宋体" w:hAnsi="宋体" w:cs="宋体" w:eastAsia="宋体" w:hint="default"/>
                <w:sz w:val="21"/>
                <w:szCs w:val="21"/>
              </w:rPr>
            </w:pPr>
            <w:r>
              <w:rPr>
                <w:rFonts w:ascii="宋体" w:hAnsi="宋体" w:cs="宋体" w:eastAsia="宋体" w:hint="default"/>
                <w:sz w:val="21"/>
                <w:szCs w:val="21"/>
              </w:rPr>
              <w:t>收款项</w:t>
            </w:r>
          </w:p>
        </w:tc>
        <w:tc>
          <w:tcPr>
            <w:tcW w:w="1580" w:type="dxa"/>
            <w:tcBorders>
              <w:top w:val="nil" w:sz="6" w:space="0" w:color="auto"/>
              <w:left w:val="single" w:sz="6" w:space="0" w:color="000000"/>
              <w:bottom w:val="single" w:sz="6" w:space="0" w:color="000000"/>
              <w:right w:val="single" w:sz="6" w:space="0" w:color="000000"/>
            </w:tcBorders>
          </w:tcPr>
          <w:p>
            <w:pPr/>
          </w:p>
        </w:tc>
        <w:tc>
          <w:tcPr>
            <w:tcW w:w="565" w:type="dxa"/>
            <w:tcBorders>
              <w:top w:val="nil" w:sz="6" w:space="0" w:color="auto"/>
              <w:left w:val="single" w:sz="6" w:space="0" w:color="000000"/>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c>
          <w:tcPr>
            <w:tcW w:w="565"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65" w:type="dxa"/>
            <w:tcBorders>
              <w:top w:val="nil" w:sz="6" w:space="0" w:color="auto"/>
              <w:left w:val="single" w:sz="6" w:space="0" w:color="000000"/>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c>
          <w:tcPr>
            <w:tcW w:w="562"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6"/>
              <w:jc w:val="righ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11,093,522.51</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2,406,490.92</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5,830,217.55</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2,143,325.57</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w:t>
            </w:r>
          </w:p>
        </w:tc>
      </w:tr>
    </w:tbl>
    <w:p>
      <w:pPr>
        <w:pStyle w:val="BodyText"/>
        <w:spacing w:line="238" w:lineRule="exact"/>
        <w:ind w:right="0"/>
        <w:jc w:val="left"/>
      </w:pPr>
      <w:r>
        <w:rPr/>
        <w:t>①期末金额位列前五名的其他应收款合计</w:t>
      </w:r>
      <w:r>
        <w:rPr>
          <w:spacing w:val="-70"/>
        </w:rPr>
        <w:t> </w:t>
      </w:r>
      <w:r>
        <w:rPr/>
        <w:t>7,490,695.54</w:t>
      </w:r>
      <w:r>
        <w:rPr>
          <w:spacing w:val="-69"/>
        </w:rPr>
        <w:t> </w:t>
      </w:r>
      <w:r>
        <w:rPr/>
        <w:t>元，占其他应收款总额的比例为</w:t>
      </w:r>
      <w:r>
        <w:rPr>
          <w:spacing w:val="-70"/>
        </w:rPr>
        <w:t> </w:t>
      </w:r>
      <w:r>
        <w:rPr/>
        <w:t>67.52%，其</w:t>
      </w:r>
    </w:p>
    <w:p>
      <w:pPr>
        <w:pStyle w:val="BodyText"/>
        <w:spacing w:line="272" w:lineRule="exact"/>
        <w:ind w:right="0"/>
        <w:jc w:val="left"/>
      </w:pPr>
      <w:r>
        <w:rPr/>
        <w:t>中一年以内</w:t>
      </w:r>
      <w:r>
        <w:rPr>
          <w:spacing w:val="-62"/>
        </w:rPr>
        <w:t> </w:t>
      </w:r>
      <w:r>
        <w:rPr/>
        <w:t>5,305,227.07</w:t>
      </w:r>
      <w:r>
        <w:rPr>
          <w:spacing w:val="-62"/>
        </w:rPr>
        <w:t> </w:t>
      </w:r>
      <w:r>
        <w:rPr/>
        <w:t>元，三年以上</w:t>
      </w:r>
      <w:r>
        <w:rPr>
          <w:spacing w:val="-61"/>
        </w:rPr>
        <w:t> </w:t>
      </w:r>
      <w:r>
        <w:rPr/>
        <w:t>2,185,468.47</w:t>
      </w:r>
      <w:r>
        <w:rPr>
          <w:spacing w:val="-61"/>
        </w:rPr>
        <w:t> </w:t>
      </w:r>
      <w:r>
        <w:rPr/>
        <w:t>元。</w:t>
      </w:r>
    </w:p>
    <w:p>
      <w:pPr>
        <w:pStyle w:val="BodyText"/>
        <w:spacing w:line="274" w:lineRule="exact"/>
        <w:ind w:right="0"/>
        <w:jc w:val="left"/>
      </w:pPr>
      <w:r>
        <w:rPr/>
        <w:t>②本项目中无持公司</w:t>
      </w:r>
      <w:r>
        <w:rPr>
          <w:spacing w:val="-54"/>
        </w:rPr>
        <w:t> </w:t>
      </w:r>
      <w:r>
        <w:rPr/>
        <w:t>5%（含</w:t>
      </w:r>
      <w:r>
        <w:rPr>
          <w:spacing w:val="-54"/>
        </w:rPr>
        <w:t> </w:t>
      </w:r>
      <w:r>
        <w:rPr/>
        <w:t>5%）以上表决权股份的股东单位及关联方款项。</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920"/>
        </w:sectPr>
      </w:pPr>
    </w:p>
    <w:p>
      <w:pPr>
        <w:pStyle w:val="BodyText"/>
        <w:spacing w:line="274" w:lineRule="exact" w:before="35"/>
        <w:ind w:right="-17"/>
        <w:jc w:val="left"/>
      </w:pPr>
      <w:r>
        <w:rPr/>
        <w:t>5、预付账款：</w:t>
      </w:r>
    </w:p>
    <w:p>
      <w:pPr>
        <w:pStyle w:val="BodyText"/>
        <w:spacing w:line="274" w:lineRule="exact"/>
        <w:ind w:right="-17"/>
        <w:jc w:val="left"/>
      </w:pPr>
      <w:r>
        <w:rPr/>
        <w:t>(1)</w:t>
      </w:r>
      <w:r>
        <w:rPr>
          <w:spacing w:val="-2"/>
        </w:rPr>
        <w:t> </w:t>
      </w:r>
      <w:r>
        <w:rPr/>
        <w:t>预付账款账龄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920"/>
          <w:cols w:num="2" w:equalWidth="0">
            <w:col w:w="1822" w:space="5216"/>
            <w:col w:w="27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7"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8,377,119.60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36.05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19,434,476.04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50.50</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2,613,203.32</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11.25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3,182,455.23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8.27</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3,121,971.06</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13.44</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10,250,373.94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26.64</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9,122,869.69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39.26</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5,612,828.45</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14.59</w:t>
            </w:r>
            <w:r>
              <w:rPr>
                <w:rFonts w:ascii="宋体"/>
                <w:sz w:val="21"/>
              </w:rPr>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23,235,163.67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38,480,133.66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920"/>
        </w:sectPr>
      </w:pPr>
    </w:p>
    <w:p>
      <w:pPr>
        <w:spacing w:line="240" w:lineRule="auto" w:before="1"/>
        <w:rPr>
          <w:rFonts w:ascii="宋体" w:hAnsi="宋体" w:cs="宋体" w:eastAsia="宋体" w:hint="default"/>
          <w:sz w:val="29"/>
          <w:szCs w:val="29"/>
        </w:rPr>
      </w:pPr>
    </w:p>
    <w:p>
      <w:pPr>
        <w:pStyle w:val="BodyText"/>
        <w:spacing w:line="272" w:lineRule="exact" w:before="63"/>
        <w:ind w:left="560" w:right="1743" w:hanging="421"/>
        <w:jc w:val="left"/>
      </w:pPr>
      <w:r>
        <w:rPr/>
        <w:t>(2)</w:t>
      </w:r>
      <w:r>
        <w:rPr>
          <w:spacing w:val="-2"/>
        </w:rPr>
        <w:t> </w:t>
      </w:r>
      <w:r>
        <w:rPr/>
        <w:t>本报告期预付账款中持有公司</w:t>
      </w:r>
      <w:r>
        <w:rPr>
          <w:spacing w:val="-54"/>
        </w:rPr>
        <w:t> </w:t>
      </w:r>
      <w:r>
        <w:rPr/>
        <w:t>5%(含</w:t>
      </w:r>
      <w:r>
        <w:rPr>
          <w:spacing w:val="-55"/>
        </w:rPr>
        <w:t> </w:t>
      </w:r>
      <w:r>
        <w:rPr/>
        <w:t>5%)以上表决权股份的股东单位的欠款情况</w:t>
      </w:r>
      <w:r>
        <w:rPr/>
        <w:t> 本报告期预付账款中无持有公司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727" w:top="980" w:bottom="920" w:left="1220" w:right="1120"/>
        </w:sectPr>
      </w:pPr>
    </w:p>
    <w:p>
      <w:pPr>
        <w:pStyle w:val="BodyText"/>
        <w:spacing w:line="274" w:lineRule="exact" w:before="35"/>
        <w:ind w:right="-20"/>
        <w:jc w:val="left"/>
      </w:pPr>
      <w:r>
        <w:rPr/>
        <w:t>6、存货：</w:t>
      </w:r>
    </w:p>
    <w:p>
      <w:pPr>
        <w:pStyle w:val="BodyText"/>
        <w:spacing w:line="274" w:lineRule="exact"/>
        <w:ind w:left="456" w:right="-20"/>
        <w:jc w:val="left"/>
      </w:pP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297" w:space="5741"/>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54"/>
        <w:gridCol w:w="1686"/>
        <w:gridCol w:w="1476"/>
        <w:gridCol w:w="1686"/>
        <w:gridCol w:w="1686"/>
        <w:gridCol w:w="426"/>
        <w:gridCol w:w="1686"/>
      </w:tblGrid>
      <w:tr>
        <w:trPr>
          <w:trHeight w:val="287" w:hRule="exact"/>
        </w:trPr>
        <w:tc>
          <w:tcPr>
            <w:tcW w:w="654" w:type="dxa"/>
            <w:tcBorders>
              <w:top w:val="single" w:sz="6" w:space="0" w:color="000000"/>
              <w:left w:val="single" w:sz="6" w:space="0" w:color="000000"/>
              <w:bottom w:val="single" w:sz="6" w:space="0" w:color="000000"/>
              <w:right w:val="single" w:sz="6" w:space="0" w:color="000000"/>
            </w:tcBorders>
          </w:tcPr>
          <w:p>
            <w:pPr/>
          </w:p>
        </w:tc>
        <w:tc>
          <w:tcPr>
            <w:tcW w:w="48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104"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跌</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价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0"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97,988,885.52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97,988,885.52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120,220,841.69</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120,220,841.69</w:t>
            </w:r>
          </w:p>
        </w:tc>
      </w:tr>
      <w:tr>
        <w:trPr>
          <w:trHeight w:val="559"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147,592,748.53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2,311,738.03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145,281,010.50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33,935,523.95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center"/>
              <w:rPr>
                <w:rFonts w:ascii="宋体" w:hAnsi="宋体" w:cs="宋体" w:eastAsia="宋体" w:hint="default"/>
                <w:sz w:val="21"/>
                <w:szCs w:val="21"/>
              </w:rPr>
            </w:pPr>
            <w:r>
              <w:rPr>
                <w:rFonts w:ascii="宋体"/>
                <w:sz w:val="21"/>
              </w:rPr>
              <w:t>33,935,523.95</w:t>
            </w:r>
          </w:p>
        </w:tc>
      </w:tr>
      <w:tr>
        <w:trPr>
          <w:trHeight w:val="28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245,581,634.05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2,311,738.03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243,269,896.02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154,156,365.64</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154,156,365.64</w:t>
            </w:r>
          </w:p>
        </w:tc>
      </w:tr>
    </w:tbl>
    <w:p>
      <w:pPr>
        <w:pStyle w:val="BodyText"/>
        <w:spacing w:line="240" w:lineRule="auto" w:before="42"/>
        <w:ind w:left="560" w:right="171"/>
        <w:jc w:val="left"/>
      </w:pPr>
      <w:r>
        <w:rPr/>
        <w:t>期末存货较期初存货增加89,113,530.38元，主要原因为年末尿素产品库存增加所致。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600" w:bottom="280" w:left="1220" w:right="1120"/>
        </w:sectPr>
      </w:pPr>
    </w:p>
    <w:p>
      <w:pPr>
        <w:pStyle w:val="BodyText"/>
        <w:spacing w:line="274" w:lineRule="exact" w:before="35"/>
        <w:ind w:right="-18"/>
        <w:jc w:val="left"/>
      </w:pPr>
      <w:r>
        <w:rPr/>
        <w:t>7、固定资产:</w:t>
      </w:r>
    </w:p>
    <w:p>
      <w:pPr>
        <w:pStyle w:val="BodyText"/>
        <w:spacing w:line="274" w:lineRule="exact"/>
        <w:ind w:right="-18"/>
        <w:jc w:val="left"/>
      </w:pPr>
      <w:r>
        <w:rPr/>
        <w:t>(1)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36"/>
        <w:gridCol w:w="1896"/>
        <w:gridCol w:w="1836"/>
        <w:gridCol w:w="1836"/>
        <w:gridCol w:w="1896"/>
      </w:tblGrid>
      <w:tr>
        <w:trPr>
          <w:trHeight w:val="28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1,614,578,682.14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58,708,018.25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1,673,286,700.39</w:t>
            </w:r>
            <w:r>
              <w:rPr>
                <w:rFonts w:ascii="宋体"/>
                <w:sz w:val="21"/>
              </w:rPr>
            </w:r>
          </w:p>
        </w:tc>
      </w:tr>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385,236,715.73</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10,216,694.68</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395,453,410.41</w:t>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1,224,842,387.04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43,460,640.00</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1,268,303,027.04</w:t>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4,499,579.37</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5,030,683.57</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9,530,262.94</w:t>
            </w:r>
          </w:p>
        </w:tc>
      </w:tr>
      <w:tr>
        <w:trPr>
          <w:trHeight w:val="56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332,510,520.92</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104,020,594.42</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436,531,115.34</w:t>
            </w:r>
            <w:r>
              <w:rPr>
                <w:rFonts w:ascii="宋体"/>
                <w:sz w:val="21"/>
              </w:rPr>
            </w:r>
          </w:p>
        </w:tc>
      </w:tr>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111,780,664.30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10,577,881.13</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122,358,545.43</w:t>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218,882,328.11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92,818,739.81</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311,701,067.92</w:t>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1,847,528.51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623,973.48</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2,471,501.99</w:t>
            </w:r>
          </w:p>
        </w:tc>
      </w:tr>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三、固定资产净值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四、减值准备合计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417,861.97</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417,861.97</w:t>
            </w:r>
          </w:p>
        </w:tc>
      </w:tr>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417,861.97</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417,861.97</w:t>
            </w:r>
          </w:p>
        </w:tc>
      </w:tr>
      <w:tr>
        <w:trPr>
          <w:trHeight w:val="56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五、固定资产净额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1,281,650,299.25</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-45,312,576.17</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1,236,337,723.08</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36"/>
        <w:gridCol w:w="1896"/>
        <w:gridCol w:w="1836"/>
        <w:gridCol w:w="1836"/>
        <w:gridCol w:w="1896"/>
      </w:tblGrid>
      <w:tr>
        <w:trPr>
          <w:trHeight w:val="559"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273,456,051.43</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-361,186.45</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273,094,864.98</w:t>
            </w:r>
          </w:p>
        </w:tc>
      </w:tr>
      <w:tr>
        <w:trPr>
          <w:trHeight w:val="34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58"/>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1,005,960,058.93</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-49,358,099.81</w:t>
            </w:r>
            <w:r>
              <w:rPr>
                <w:rFonts w:ascii="宋体"/>
                <w:sz w:val="21"/>
              </w:rPr>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956,601,959.12</w:t>
            </w:r>
            <w:r>
              <w:rPr>
                <w:rFonts w:ascii="宋体"/>
                <w:sz w:val="21"/>
              </w:rPr>
            </w:r>
          </w:p>
        </w:tc>
      </w:tr>
      <w:tr>
        <w:trPr>
          <w:trHeight w:val="343"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58"/>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2,234,188.89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4,406,710.09</w:t>
            </w:r>
          </w:p>
        </w:tc>
        <w:tc>
          <w:tcPr>
            <w:tcW w:w="18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6,640,898.98</w:t>
            </w:r>
          </w:p>
        </w:tc>
      </w:tr>
    </w:tbl>
    <w:p>
      <w:pPr>
        <w:pStyle w:val="BodyText"/>
        <w:spacing w:line="240" w:lineRule="exact"/>
        <w:ind w:right="0"/>
        <w:jc w:val="left"/>
      </w:pPr>
      <w:r>
        <w:rPr/>
        <w:t>本期折旧额</w:t>
      </w:r>
      <w:r>
        <w:rPr>
          <w:spacing w:val="-63"/>
        </w:rPr>
        <w:t> </w:t>
      </w:r>
      <w:r>
        <w:rPr/>
        <w:t>104,020,594.42</w:t>
      </w:r>
      <w:r>
        <w:rPr>
          <w:spacing w:val="-62"/>
        </w:rPr>
        <w:t> </w:t>
      </w:r>
      <w:r>
        <w:rPr/>
        <w:t>元。</w:t>
      </w:r>
    </w:p>
    <w:p>
      <w:pPr>
        <w:spacing w:line="240" w:lineRule="auto" w:before="7"/>
        <w:rPr>
          <w:rFonts w:ascii="宋体" w:hAnsi="宋体" w:cs="宋体" w:eastAsia="宋体" w:hint="default"/>
          <w:sz w:val="20"/>
          <w:szCs w:val="20"/>
        </w:rPr>
      </w:pPr>
    </w:p>
    <w:p>
      <w:pPr>
        <w:pStyle w:val="BodyText"/>
        <w:spacing w:line="274" w:lineRule="exact"/>
        <w:ind w:right="0"/>
        <w:jc w:val="left"/>
      </w:pPr>
      <w:r>
        <w:rPr/>
        <w:t>（2）中国化工集团公司为本公司在民生银行大连分行提供最高额</w:t>
      </w:r>
      <w:r>
        <w:rPr>
          <w:spacing w:val="-79"/>
        </w:rPr>
        <w:t> </w:t>
      </w:r>
      <w:r>
        <w:rPr/>
        <w:t>10,000.00</w:t>
      </w:r>
      <w:r>
        <w:rPr>
          <w:spacing w:val="-78"/>
        </w:rPr>
        <w:t> </w:t>
      </w:r>
      <w:r>
        <w:rPr>
          <w:spacing w:val="-5"/>
        </w:rPr>
        <w:t>万元的借款担保，本公司</w:t>
      </w:r>
    </w:p>
    <w:p>
      <w:pPr>
        <w:pStyle w:val="BodyText"/>
        <w:spacing w:line="272" w:lineRule="exact"/>
        <w:ind w:right="0"/>
        <w:jc w:val="left"/>
      </w:pPr>
      <w:r>
        <w:rPr>
          <w:spacing w:val="-3"/>
        </w:rPr>
        <w:t>以固定资产作抵押为中国化工集团公司提供反担保。抵押资产账面原值</w:t>
      </w:r>
      <w:r>
        <w:rPr>
          <w:spacing w:val="-53"/>
        </w:rPr>
        <w:t> </w:t>
      </w:r>
      <w:r>
        <w:rPr/>
        <w:t>264,427,845.60</w:t>
      </w:r>
      <w:r>
        <w:rPr>
          <w:spacing w:val="-52"/>
        </w:rPr>
        <w:t> </w:t>
      </w:r>
      <w:r>
        <w:rPr>
          <w:spacing w:val="-10"/>
        </w:rPr>
        <w:t>元，账面净值</w:t>
      </w:r>
      <w:r>
        <w:rPr/>
      </w:r>
    </w:p>
    <w:p>
      <w:pPr>
        <w:pStyle w:val="BodyText"/>
        <w:spacing w:line="272" w:lineRule="exact"/>
        <w:ind w:right="0"/>
        <w:jc w:val="left"/>
      </w:pPr>
      <w:r>
        <w:rPr/>
        <w:t>232,795,154.52</w:t>
      </w:r>
      <w:r>
        <w:rPr>
          <w:spacing w:val="-64"/>
        </w:rPr>
        <w:t> </w:t>
      </w:r>
      <w:r>
        <w:rPr/>
        <w:t>元；本公司以账面原值</w:t>
      </w:r>
      <w:r>
        <w:rPr>
          <w:spacing w:val="-65"/>
        </w:rPr>
        <w:t> </w:t>
      </w:r>
      <w:r>
        <w:rPr/>
        <w:t>26,119,605.02</w:t>
      </w:r>
      <w:r>
        <w:rPr>
          <w:spacing w:val="-64"/>
        </w:rPr>
        <w:t> </w:t>
      </w:r>
      <w:r>
        <w:rPr/>
        <w:t>元，账面净值</w:t>
      </w:r>
      <w:r>
        <w:rPr>
          <w:spacing w:val="-65"/>
        </w:rPr>
        <w:t> </w:t>
      </w:r>
      <w:r>
        <w:rPr/>
        <w:t>8,771,861.00</w:t>
      </w:r>
      <w:r>
        <w:rPr>
          <w:spacing w:val="-64"/>
        </w:rPr>
        <w:t> </w:t>
      </w:r>
      <w:r>
        <w:rPr/>
        <w:t>元的机器设备为</w:t>
      </w:r>
    </w:p>
    <w:p>
      <w:pPr>
        <w:pStyle w:val="BodyText"/>
        <w:spacing w:line="274" w:lineRule="exact"/>
        <w:ind w:right="0"/>
        <w:jc w:val="left"/>
      </w:pPr>
      <w:r>
        <w:rPr/>
        <w:t>抵押物向齐齐哈尔市商业银行贷款</w:t>
      </w:r>
      <w:r>
        <w:rPr>
          <w:spacing w:val="-67"/>
        </w:rPr>
        <w:t> </w:t>
      </w:r>
      <w:r>
        <w:rPr/>
        <w:t>2,300,000.00</w:t>
      </w:r>
      <w:r>
        <w:rPr>
          <w:spacing w:val="-67"/>
        </w:rPr>
        <w:t> </w:t>
      </w:r>
      <w:r>
        <w:rPr/>
        <w:t>元。</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8、在建工程：</w:t>
      </w:r>
    </w:p>
    <w:p>
      <w:pPr>
        <w:pStyle w:val="BodyText"/>
        <w:spacing w:line="274" w:lineRule="exact"/>
        <w:ind w:left="0" w:right="24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01"/>
        <w:gridCol w:w="1580"/>
        <w:gridCol w:w="1093"/>
        <w:gridCol w:w="1582"/>
        <w:gridCol w:w="1476"/>
        <w:gridCol w:w="1092"/>
        <w:gridCol w:w="1476"/>
      </w:tblGrid>
      <w:tr>
        <w:trPr>
          <w:trHeight w:val="288" w:hRule="exact"/>
        </w:trPr>
        <w:tc>
          <w:tcPr>
            <w:tcW w:w="1001" w:type="dxa"/>
            <w:vMerge w:val="restart"/>
            <w:tcBorders>
              <w:top w:val="single" w:sz="6" w:space="0" w:color="000000"/>
              <w:left w:val="single" w:sz="6" w:space="0" w:color="000000"/>
              <w:right w:val="single" w:sz="6" w:space="0" w:color="000000"/>
            </w:tcBorders>
          </w:tcPr>
          <w:p>
            <w:pPr>
              <w:pStyle w:val="TableParagraph"/>
              <w:spacing w:line="240" w:lineRule="auto" w:before="101"/>
              <w:ind w:left="2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001"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账面净额</w:t>
            </w:r>
          </w:p>
        </w:tc>
      </w:tr>
      <w:tr>
        <w:trPr>
          <w:trHeight w:val="560"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10,400,906.81</w:t>
            </w:r>
          </w:p>
        </w:tc>
        <w:tc>
          <w:tcPr>
            <w:tcW w:w="1093"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10,400,906.81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8,231,915.87</w:t>
            </w:r>
          </w:p>
        </w:tc>
        <w:tc>
          <w:tcPr>
            <w:tcW w:w="109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8,231,915.87</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在建工程项目变动情况：</w:t>
      </w:r>
    </w:p>
    <w:p>
      <w:pPr>
        <w:pStyle w:val="BodyText"/>
        <w:spacing w:line="274" w:lineRule="exact"/>
        <w:ind w:left="0" w:right="2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56"/>
        <w:gridCol w:w="1555"/>
        <w:gridCol w:w="1555"/>
        <w:gridCol w:w="1555"/>
        <w:gridCol w:w="1554"/>
        <w:gridCol w:w="1583"/>
      </w:tblGrid>
      <w:tr>
        <w:trPr>
          <w:trHeight w:val="287"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生物膜法脱氨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氮改造</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 w:right="0"/>
              <w:jc w:val="center"/>
              <w:rPr>
                <w:rFonts w:ascii="宋体" w:hAnsi="宋体" w:cs="宋体" w:eastAsia="宋体" w:hint="default"/>
                <w:sz w:val="21"/>
                <w:szCs w:val="21"/>
              </w:rPr>
            </w:pPr>
            <w:r>
              <w:rPr>
                <w:rFonts w:ascii="宋体"/>
                <w:sz w:val="21"/>
              </w:rPr>
              <w:t>4,000,000.00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751,582.71</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1,890,778.72</w:t>
            </w:r>
            <w:r>
              <w:rPr>
                <w:rFonts w:ascii="宋体"/>
                <w:sz w:val="21"/>
              </w:rPr>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2,642,361.43</w:t>
            </w:r>
          </w:p>
        </w:tc>
      </w:tr>
      <w:tr>
        <w:trPr>
          <w:trHeight w:val="559"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空分车间办公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楼改造</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278,212.22</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278,212.22</w:t>
            </w:r>
          </w:p>
        </w:tc>
      </w:tr>
      <w:tr>
        <w:trPr>
          <w:trHeight w:val="560"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4#炉地下室水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泵改造</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8,950.50</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8,950.50</w:t>
            </w:r>
          </w:p>
        </w:tc>
      </w:tr>
      <w:tr>
        <w:trPr>
          <w:trHeight w:val="287"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号炉改造</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1,600,000.00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1,166,250.00</w:t>
            </w:r>
            <w:r>
              <w:rPr>
                <w:rFonts w:ascii="宋体"/>
                <w:sz w:val="21"/>
              </w:rPr>
            </w:r>
          </w:p>
        </w:tc>
        <w:tc>
          <w:tcPr>
            <w:tcW w:w="1555"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1,166,250.00</w:t>
            </w:r>
          </w:p>
        </w:tc>
      </w:tr>
      <w:tr>
        <w:trPr>
          <w:trHeight w:val="287"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培训中心</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7,650,000.00</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6,185,518.67</w:t>
            </w:r>
            <w:r>
              <w:rPr>
                <w:rFonts w:ascii="宋体"/>
                <w:sz w:val="21"/>
              </w:rPr>
            </w:r>
          </w:p>
        </w:tc>
        <w:tc>
          <w:tcPr>
            <w:tcW w:w="1555"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6,185,518.67</w:t>
            </w:r>
          </w:p>
        </w:tc>
      </w:tr>
      <w:tr>
        <w:trPr>
          <w:trHeight w:val="288"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干熄焦工程</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85,000.00</w:t>
            </w:r>
            <w:r>
              <w:rPr>
                <w:rFonts w:ascii="宋体"/>
                <w:sz w:val="21"/>
              </w:rPr>
            </w:r>
          </w:p>
        </w:tc>
        <w:tc>
          <w:tcPr>
            <w:tcW w:w="1555"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85,000.00</w:t>
            </w:r>
          </w:p>
        </w:tc>
      </w:tr>
      <w:tr>
        <w:trPr>
          <w:trHeight w:val="287"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西侧龙门吊</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34,613.99</w:t>
            </w:r>
            <w:r>
              <w:rPr>
                <w:rFonts w:ascii="宋体"/>
                <w:sz w:val="21"/>
              </w:rPr>
            </w:r>
          </w:p>
        </w:tc>
        <w:tc>
          <w:tcPr>
            <w:tcW w:w="1555" w:type="dxa"/>
            <w:tcBorders>
              <w:top w:val="single" w:sz="6" w:space="0" w:color="000000"/>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34,613.99</w:t>
            </w:r>
          </w:p>
        </w:tc>
      </w:tr>
      <w:tr>
        <w:trPr>
          <w:trHeight w:val="288"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8,231,915.87</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2,168,990.94</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10,400,906.81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060"/>
        </w:sectPr>
      </w:pPr>
    </w:p>
    <w:p>
      <w:pPr>
        <w:pStyle w:val="BodyText"/>
        <w:spacing w:line="272" w:lineRule="exact" w:before="63"/>
        <w:ind w:right="-20"/>
        <w:jc w:val="left"/>
      </w:pPr>
      <w:r>
        <w:rPr/>
        <w:t>9、递延所得税资产： (1)</w:t>
      </w:r>
      <w:r>
        <w:rPr>
          <w:spacing w:val="-2"/>
        </w:rPr>
        <w:t> </w:t>
      </w:r>
      <w:r>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60"/>
          <w:cols w:num="2" w:equalWidth="0">
            <w:col w:w="2136" w:space="4902"/>
            <w:col w:w="259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27"/>
        <w:gridCol w:w="3037"/>
        <w:gridCol w:w="3036"/>
      </w:tblGrid>
      <w:tr>
        <w:trPr>
          <w:trHeight w:val="28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1.应收款项坏账准备</w:t>
            </w:r>
          </w:p>
        </w:tc>
        <w:tc>
          <w:tcPr>
            <w:tcW w:w="3037"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4,016,052.43</w:t>
            </w:r>
          </w:p>
        </w:tc>
      </w:tr>
      <w:tr>
        <w:trPr>
          <w:trHeight w:val="28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2.固定资产</w:t>
            </w:r>
          </w:p>
        </w:tc>
        <w:tc>
          <w:tcPr>
            <w:tcW w:w="3037"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104,465.49</w:t>
            </w:r>
          </w:p>
        </w:tc>
      </w:tr>
      <w:tr>
        <w:trPr>
          <w:trHeight w:val="28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7"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4,120,517.92</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w:t>
      </w:r>
      <w:r>
        <w:rPr>
          <w:spacing w:val="-2"/>
        </w:rPr>
        <w:t> </w:t>
      </w:r>
      <w:r>
        <w:rPr/>
        <w:t>引起暂时性差异的资产项目对应的暂时性差异金额</w:t>
      </w:r>
    </w:p>
    <w:p>
      <w:pPr>
        <w:pStyle w:val="BodyText"/>
        <w:spacing w:line="274" w:lineRule="exact"/>
        <w:ind w:left="0" w:right="2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072"/>
        <w:gridCol w:w="4228"/>
      </w:tblGrid>
      <w:tr>
        <w:trPr>
          <w:trHeight w:val="28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17"/>
              <w:jc w:val="right"/>
              <w:rPr>
                <w:rFonts w:ascii="宋体" w:hAnsi="宋体" w:cs="宋体" w:eastAsia="宋体" w:hint="default"/>
                <w:sz w:val="21"/>
                <w:szCs w:val="21"/>
              </w:rPr>
            </w:pPr>
            <w:r>
              <w:rPr>
                <w:rFonts w:ascii="宋体" w:hAnsi="宋体" w:cs="宋体" w:eastAsia="宋体" w:hint="default"/>
                <w:sz w:val="21"/>
                <w:szCs w:val="21"/>
              </w:rPr>
              <w:t>项目</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1"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1.应收款项坏账准备</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17,669,925.59</w:t>
            </w:r>
          </w:p>
        </w:tc>
      </w:tr>
      <w:tr>
        <w:trPr>
          <w:trHeight w:val="28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2.固定资产</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417,861.97</w:t>
            </w:r>
          </w:p>
        </w:tc>
      </w:tr>
      <w:tr>
        <w:trPr>
          <w:trHeight w:val="28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16"/>
              <w:jc w:val="right"/>
              <w:rPr>
                <w:rFonts w:ascii="宋体" w:hAnsi="宋体" w:cs="宋体" w:eastAsia="宋体" w:hint="default"/>
                <w:sz w:val="21"/>
                <w:szCs w:val="21"/>
              </w:rPr>
            </w:pPr>
            <w:r>
              <w:rPr>
                <w:rFonts w:ascii="宋体" w:hAnsi="宋体" w:cs="宋体" w:eastAsia="宋体" w:hint="default"/>
                <w:sz w:val="21"/>
                <w:szCs w:val="21"/>
              </w:rPr>
              <w:t>合计</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18,087,787.56</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060"/>
        </w:sectPr>
      </w:pPr>
    </w:p>
    <w:p>
      <w:pPr>
        <w:spacing w:line="240" w:lineRule="auto" w:before="1"/>
        <w:rPr>
          <w:rFonts w:ascii="宋体" w:hAnsi="宋体" w:cs="宋体" w:eastAsia="宋体" w:hint="default"/>
          <w:sz w:val="29"/>
          <w:szCs w:val="29"/>
        </w:rPr>
      </w:pPr>
    </w:p>
    <w:p>
      <w:pPr>
        <w:pStyle w:val="BodyText"/>
        <w:spacing w:line="274" w:lineRule="exact" w:before="35"/>
        <w:ind w:right="171"/>
        <w:jc w:val="left"/>
      </w:pPr>
      <w:r>
        <w:rPr/>
        <w:t>10、资产减值准备明细: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40"/>
        <w:gridCol w:w="1580"/>
        <w:gridCol w:w="1582"/>
        <w:gridCol w:w="586"/>
        <w:gridCol w:w="1266"/>
        <w:gridCol w:w="1266"/>
        <w:gridCol w:w="1580"/>
      </w:tblGrid>
      <w:tr>
        <w:trPr>
          <w:trHeight w:val="287" w:hRule="exact"/>
        </w:trPr>
        <w:tc>
          <w:tcPr>
            <w:tcW w:w="144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31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5"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0" w:hRule="exact"/>
        </w:trPr>
        <w:tc>
          <w:tcPr>
            <w:tcW w:w="1440"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hAnsi="宋体" w:cs="宋体" w:eastAsia="宋体" w:hint="default"/>
                <w:sz w:val="21"/>
                <w:szCs w:val="21"/>
              </w:rPr>
              <w:t>转</w:t>
            </w:r>
          </w:p>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回</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vMerge/>
            <w:tcBorders>
              <w:left w:val="single" w:sz="6" w:space="0" w:color="000000"/>
              <w:bottom w:val="single" w:sz="6" w:space="0" w:color="000000"/>
              <w:right w:val="single" w:sz="6" w:space="0" w:color="000000"/>
            </w:tcBorders>
          </w:tcPr>
          <w:p>
            <w:pPr/>
          </w:p>
        </w:tc>
      </w:tr>
      <w:tr>
        <w:trPr>
          <w:trHeight w:val="287"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一、坏账准备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17,669,925.49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50,220,354.98</w:t>
            </w: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191,822.00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191,822.00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67,698,458.47</w:t>
            </w:r>
          </w:p>
        </w:tc>
      </w:tr>
      <w:tr>
        <w:trPr>
          <w:trHeight w:val="56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二、存货跌价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2,311,738.03</w:t>
            </w: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2,311,738.03</w:t>
            </w:r>
            <w:r>
              <w:rPr>
                <w:rFonts w:ascii="宋体"/>
                <w:sz w:val="21"/>
              </w:rPr>
            </w:r>
          </w:p>
        </w:tc>
      </w:tr>
      <w:tr>
        <w:trPr>
          <w:trHeight w:val="832"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三、可供出售</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金融资产减 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四、持有至到</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期投资减值 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五、长期股权</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投资减值准 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六、投资性房</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地产减值准 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七、固定资产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417,861.97</w:t>
            </w: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417,861.97</w:t>
            </w:r>
          </w:p>
        </w:tc>
      </w:tr>
      <w:tr>
        <w:trPr>
          <w:trHeight w:val="56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八、工程物资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九、在建工程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十、生产性生</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物资产减值 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其中：成熟生</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产性生物资 产减值准备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十一、油气资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十二、无形资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十三、商誉减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18,087,787.46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52,532,093.01</w:t>
            </w:r>
          </w:p>
        </w:tc>
        <w:tc>
          <w:tcPr>
            <w:tcW w:w="5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191,822.00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191,822.00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70,428,058.47</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left="245" w:right="-20" w:hanging="106"/>
        <w:jc w:val="left"/>
      </w:pPr>
      <w:r>
        <w:rPr/>
        <w:t>11、短期借款： 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716" w:space="532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1"/>
        <w:gridCol w:w="3098"/>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2,300,000.00</w:t>
            </w:r>
            <w:r>
              <w:rPr>
                <w:rFonts w:ascii="宋体"/>
                <w:sz w:val="21"/>
              </w:rPr>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52,300,000.00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331,280,000.00</w:t>
            </w:r>
            <w:r>
              <w:rPr>
                <w:rFonts w:ascii="宋体"/>
                <w:sz w:val="21"/>
              </w:rPr>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282,280,000.00</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333,580,000.00</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334,580,000.00</w:t>
            </w:r>
          </w:p>
        </w:tc>
      </w:tr>
    </w:tbl>
    <w:p>
      <w:pPr>
        <w:pStyle w:val="BodyText"/>
        <w:spacing w:line="238" w:lineRule="exact"/>
        <w:ind w:right="0"/>
        <w:jc w:val="left"/>
      </w:pPr>
      <w:r>
        <w:rPr/>
        <w:t>①抵押借款为本公司以账面原值</w:t>
      </w:r>
      <w:r>
        <w:rPr>
          <w:spacing w:val="-53"/>
        </w:rPr>
        <w:t> </w:t>
      </w:r>
      <w:r>
        <w:rPr/>
        <w:t>26,119,605.02</w:t>
      </w:r>
      <w:r>
        <w:rPr>
          <w:spacing w:val="-53"/>
        </w:rPr>
        <w:t> </w:t>
      </w:r>
      <w:r>
        <w:rPr/>
        <w:t>元</w:t>
      </w:r>
      <w:r>
        <w:rPr>
          <w:spacing w:val="-104"/>
        </w:rPr>
        <w:t>，</w:t>
      </w:r>
      <w:r>
        <w:rPr>
          <w:spacing w:val="-1"/>
        </w:rPr>
        <w:t>账面净</w:t>
      </w:r>
      <w:r>
        <w:rPr/>
        <w:t>值</w:t>
      </w:r>
      <w:r>
        <w:rPr>
          <w:spacing w:val="-53"/>
        </w:rPr>
        <w:t> </w:t>
      </w:r>
      <w:r>
        <w:rPr>
          <w:spacing w:val="-1"/>
        </w:rPr>
        <w:t>8,771,861.0</w:t>
      </w:r>
      <w:r>
        <w:rPr/>
        <w:t>0</w:t>
      </w:r>
      <w:r>
        <w:rPr>
          <w:spacing w:val="-52"/>
        </w:rPr>
        <w:t> </w:t>
      </w:r>
      <w:r>
        <w:rPr>
          <w:spacing w:val="-1"/>
        </w:rPr>
        <w:t>元的机器</w:t>
      </w:r>
      <w:r>
        <w:rPr>
          <w:spacing w:val="-2"/>
        </w:rPr>
        <w:t>设</w:t>
      </w:r>
      <w:r>
        <w:rPr>
          <w:spacing w:val="-1"/>
        </w:rPr>
        <w:t>备为抵押物向</w:t>
      </w:r>
      <w:r>
        <w:rPr/>
      </w:r>
    </w:p>
    <w:p>
      <w:pPr>
        <w:pStyle w:val="BodyText"/>
        <w:spacing w:line="272" w:lineRule="exact"/>
        <w:ind w:right="171"/>
        <w:jc w:val="left"/>
      </w:pPr>
      <w:r>
        <w:rPr/>
        <w:t>齐齐哈尔市商业银行贷款</w:t>
      </w:r>
      <w:r>
        <w:rPr>
          <w:spacing w:val="-65"/>
        </w:rPr>
        <w:t> </w:t>
      </w:r>
      <w:r>
        <w:rPr/>
        <w:t>2,300,000.00</w:t>
      </w:r>
      <w:r>
        <w:rPr>
          <w:spacing w:val="-64"/>
        </w:rPr>
        <w:t> </w:t>
      </w:r>
      <w:r>
        <w:rPr/>
        <w:t>元。</w:t>
      </w:r>
    </w:p>
    <w:p>
      <w:pPr>
        <w:pStyle w:val="BodyText"/>
        <w:spacing w:line="274" w:lineRule="exact"/>
        <w:ind w:right="171"/>
        <w:jc w:val="left"/>
      </w:pPr>
      <w:r>
        <w:rPr/>
        <w:t>②保证借款的担保事项详见附注十.4。</w:t>
      </w:r>
    </w:p>
    <w:p>
      <w:pPr>
        <w:spacing w:after="0" w:line="274" w:lineRule="exact"/>
        <w:jc w:val="left"/>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171"/>
        <w:jc w:val="left"/>
      </w:pPr>
      <w:r>
        <w:rPr/>
        <w:t>12、应付票据：</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1"/>
        <w:gridCol w:w="3098"/>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181,130,000.00</w:t>
            </w:r>
            <w:r>
              <w:rPr>
                <w:rFonts w:ascii="宋体"/>
                <w:sz w:val="21"/>
              </w:rPr>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181,130,000.00</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20,000,000.00</w:t>
            </w:r>
          </w:p>
        </w:tc>
      </w:tr>
    </w:tbl>
    <w:p>
      <w:pPr>
        <w:pStyle w:val="BodyText"/>
        <w:spacing w:line="238" w:lineRule="exact"/>
        <w:ind w:right="171"/>
        <w:jc w:val="left"/>
      </w:pPr>
      <w:r>
        <w:rPr/>
        <w:t>①应付票据期末余额增加</w:t>
      </w:r>
      <w:r>
        <w:rPr>
          <w:spacing w:val="-77"/>
        </w:rPr>
        <w:t> </w:t>
      </w:r>
      <w:r>
        <w:rPr/>
        <w:t>161,130,000.00</w:t>
      </w:r>
      <w:r>
        <w:rPr>
          <w:spacing w:val="-77"/>
        </w:rPr>
        <w:t> </w:t>
      </w:r>
      <w:r>
        <w:rPr/>
        <w:t>元，主要是由于期末未到承兑期的银行承兑汇票增加。</w:t>
      </w:r>
    </w:p>
    <w:p>
      <w:pPr>
        <w:pStyle w:val="BodyText"/>
        <w:spacing w:line="274" w:lineRule="exact"/>
        <w:ind w:right="171"/>
        <w:jc w:val="left"/>
      </w:pPr>
      <w:r>
        <w:rPr/>
        <w:t>②上述票据均于</w:t>
      </w:r>
      <w:r>
        <w:rPr>
          <w:spacing w:val="-60"/>
        </w:rPr>
        <w:t> </w:t>
      </w:r>
      <w:r>
        <w:rPr/>
        <w:t>2009</w:t>
      </w:r>
      <w:r>
        <w:rPr>
          <w:spacing w:val="-60"/>
        </w:rPr>
        <w:t> </w:t>
      </w:r>
      <w:r>
        <w:rPr/>
        <w:t>年到期。</w:t>
      </w:r>
    </w:p>
    <w:p>
      <w:pPr>
        <w:spacing w:line="240" w:lineRule="auto" w:before="8"/>
        <w:rPr>
          <w:rFonts w:ascii="宋体" w:hAnsi="宋体" w:cs="宋体" w:eastAsia="宋体" w:hint="default"/>
          <w:sz w:val="20"/>
          <w:szCs w:val="20"/>
        </w:rPr>
      </w:pPr>
    </w:p>
    <w:p>
      <w:pPr>
        <w:pStyle w:val="BodyText"/>
        <w:spacing w:line="274" w:lineRule="exact"/>
        <w:ind w:right="171"/>
        <w:jc w:val="left"/>
      </w:pPr>
      <w:r>
        <w:rPr/>
        <w:t>13、应付账款：</w:t>
      </w:r>
    </w:p>
    <w:p>
      <w:pPr>
        <w:pStyle w:val="BodyText"/>
        <w:spacing w:line="272" w:lineRule="exact" w:before="26"/>
        <w:ind w:left="560" w:right="484" w:hanging="421"/>
        <w:jc w:val="left"/>
      </w:pPr>
      <w:r>
        <w:rPr/>
        <w:t>(1)</w:t>
      </w:r>
      <w:r>
        <w:rPr>
          <w:spacing w:val="-2"/>
        </w:rPr>
        <w:t> </w:t>
      </w:r>
      <w:r>
        <w:rPr/>
        <w:t>本报告期应付账款中应付持有公司</w:t>
      </w:r>
      <w:r>
        <w:rPr>
          <w:spacing w:val="-54"/>
        </w:rPr>
        <w:t> </w:t>
      </w:r>
      <w:r>
        <w:rPr/>
        <w:t>5%(含</w:t>
      </w:r>
      <w:r>
        <w:rPr>
          <w:spacing w:val="-55"/>
        </w:rPr>
        <w:t> </w:t>
      </w:r>
      <w:r>
        <w:rPr/>
        <w:t>5%)以上表决权股份的股东单位或关联方的款项情况</w:t>
      </w:r>
      <w:r>
        <w:rPr/>
        <w:t> 本报告期应付账款中无应付持有公司</w:t>
      </w:r>
      <w:r>
        <w:rPr>
          <w:spacing w:val="-55"/>
        </w:rPr>
        <w:t> </w:t>
      </w:r>
      <w:r>
        <w:rPr/>
        <w:t>5%(含</w:t>
      </w:r>
      <w:r>
        <w:rPr>
          <w:spacing w:val="-55"/>
        </w:rPr>
        <w:t> </w:t>
      </w:r>
      <w:r>
        <w:rPr/>
        <w:t>5%)以上表决权股份的股东单位或关联方的款项。</w:t>
      </w:r>
    </w:p>
    <w:p>
      <w:pPr>
        <w:spacing w:line="240" w:lineRule="auto" w:before="10"/>
        <w:rPr>
          <w:rFonts w:ascii="宋体" w:hAnsi="宋体" w:cs="宋体" w:eastAsia="宋体" w:hint="default"/>
          <w:sz w:val="18"/>
          <w:szCs w:val="18"/>
        </w:rPr>
      </w:pPr>
    </w:p>
    <w:p>
      <w:pPr>
        <w:pStyle w:val="BodyText"/>
        <w:spacing w:line="274" w:lineRule="exact"/>
        <w:ind w:right="171"/>
        <w:jc w:val="left"/>
      </w:pPr>
      <w:r>
        <w:rPr/>
        <w:t>14、预收账款：</w:t>
      </w:r>
    </w:p>
    <w:p>
      <w:pPr>
        <w:pStyle w:val="BodyText"/>
        <w:spacing w:line="272" w:lineRule="exact" w:before="26"/>
        <w:ind w:left="560" w:right="276" w:hanging="421"/>
        <w:jc w:val="left"/>
      </w:pPr>
      <w:r>
        <w:rPr/>
        <w:t>(1)</w:t>
      </w:r>
      <w:r>
        <w:rPr>
          <w:spacing w:val="-2"/>
        </w:rPr>
        <w:t> </w:t>
      </w:r>
      <w:r>
        <w:rPr/>
        <w:t>本报告期预收账款中预收持有公司</w:t>
      </w:r>
      <w:r>
        <w:rPr>
          <w:spacing w:val="-54"/>
        </w:rPr>
        <w:t> </w:t>
      </w:r>
      <w:r>
        <w:rPr/>
        <w:t>5%(含</w:t>
      </w:r>
      <w:r>
        <w:rPr>
          <w:spacing w:val="-55"/>
        </w:rPr>
        <w:t> </w:t>
      </w:r>
      <w:r>
        <w:rPr/>
        <w:t>5%)以上表决权股份的股东单位或关联方的款项情况：</w:t>
      </w:r>
      <w:r>
        <w:rPr/>
        <w:t> 本报告期预收账款中无预收持有公司</w:t>
      </w:r>
      <w:r>
        <w:rPr>
          <w:spacing w:val="-55"/>
        </w:rPr>
        <w:t> </w:t>
      </w:r>
      <w:r>
        <w:rPr/>
        <w:t>5%(含</w:t>
      </w:r>
      <w:r>
        <w:rPr>
          <w:spacing w:val="-55"/>
        </w:rPr>
        <w:t> </w:t>
      </w:r>
      <w:r>
        <w:rPr/>
        <w:t>5%)以上表决权股份的股东单位或关联方的款项。</w:t>
      </w:r>
    </w:p>
    <w:p>
      <w:pPr>
        <w:spacing w:line="240" w:lineRule="auto" w:before="0"/>
        <w:rPr>
          <w:rFonts w:ascii="宋体" w:hAnsi="宋体" w:cs="宋体" w:eastAsia="宋体" w:hint="default"/>
          <w:sz w:val="16"/>
          <w:szCs w:val="16"/>
        </w:rPr>
      </w:pPr>
    </w:p>
    <w:p>
      <w:pPr>
        <w:pStyle w:val="BodyText"/>
        <w:spacing w:line="274" w:lineRule="exact" w:before="35"/>
        <w:ind w:right="171"/>
        <w:jc w:val="left"/>
      </w:pPr>
      <w:r>
        <w:rPr/>
        <w:t>15、应付职工薪酬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76"/>
        <w:gridCol w:w="1476"/>
        <w:gridCol w:w="1686"/>
        <w:gridCol w:w="1686"/>
        <w:gridCol w:w="1476"/>
      </w:tblGrid>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本期支付额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80,185,887.49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80,185,887.49</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3,593,090.03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3,593,090.03</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235,056.16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24,553,713.28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24,553,713.28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235,056.16</w:t>
            </w:r>
          </w:p>
        </w:tc>
      </w:tr>
      <w:tr>
        <w:trPr>
          <w:trHeight w:val="342"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其中：1．医疗保险费</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3,806,508.76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3,806,508.76</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pacing w:val="-9"/>
                <w:sz w:val="21"/>
                <w:szCs w:val="21"/>
              </w:rPr>
              <w:t>2．基本养老保险费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214,157.43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18,883,747.98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18,883,747.98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214,157.43</w:t>
            </w:r>
          </w:p>
        </w:tc>
      </w:tr>
      <w:tr>
        <w:trPr>
          <w:trHeight w:val="341"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3．年金缴费</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4．失业保险费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20,898.73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1,046,431.31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1,046,431.31</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20,898.73</w:t>
            </w:r>
            <w:r>
              <w:rPr>
                <w:rFonts w:ascii="宋体"/>
                <w:sz w:val="21"/>
              </w:rPr>
            </w:r>
          </w:p>
        </w:tc>
      </w:tr>
      <w:tr>
        <w:trPr>
          <w:trHeight w:val="342"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5．工伤保险费</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687,998.84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687,998.84</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6．生育保险费</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129,026.39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129,026.39</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2,234,434.84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5,808,298.16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8,042,733.00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2,793,825.93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2,201,093.33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592,732.60</w:t>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六、工会经费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120,658.40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1,846,166.31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1,593,315.86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373,508.85</w:t>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七、非货币性福利</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2,590,149.40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118,780,981.20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120,169,832.99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1,201,297.61</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16、应交税费：</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843" w:right="0"/>
              <w:jc w:val="left"/>
              <w:rPr>
                <w:rFonts w:ascii="宋体" w:hAnsi="宋体" w:cs="宋体" w:eastAsia="宋体" w:hint="default"/>
                <w:sz w:val="21"/>
                <w:szCs w:val="21"/>
              </w:rPr>
            </w:pPr>
            <w:r>
              <w:rPr>
                <w:rFonts w:ascii="宋体"/>
                <w:sz w:val="21"/>
              </w:rPr>
              <w:t>45,505,902.79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843" w:right="0"/>
              <w:jc w:val="left"/>
              <w:rPr>
                <w:rFonts w:ascii="宋体" w:hAnsi="宋体" w:cs="宋体" w:eastAsia="宋体" w:hint="default"/>
                <w:sz w:val="21"/>
                <w:szCs w:val="21"/>
              </w:rPr>
            </w:pPr>
            <w:r>
              <w:rPr>
                <w:rFonts w:ascii="宋体"/>
                <w:sz w:val="21"/>
              </w:rPr>
              <w:t>61,734,726.97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分别按应纳增值税项目</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销售收入的</w:t>
            </w:r>
            <w:r>
              <w:rPr>
                <w:rFonts w:ascii="宋体" w:hAnsi="宋体" w:cs="宋体" w:eastAsia="宋体" w:hint="default"/>
                <w:spacing w:val="-53"/>
                <w:sz w:val="21"/>
                <w:szCs w:val="21"/>
              </w:rPr>
              <w:t> </w:t>
            </w:r>
            <w:r>
              <w:rPr>
                <w:rFonts w:ascii="宋体" w:hAnsi="宋体" w:cs="宋体" w:eastAsia="宋体" w:hint="default"/>
                <w:sz w:val="21"/>
                <w:szCs w:val="21"/>
              </w:rPr>
              <w:t>17％、13%</w:t>
            </w:r>
            <w:r>
              <w:rPr>
                <w:rFonts w:ascii="宋体" w:hAnsi="宋体" w:cs="宋体" w:eastAsia="宋体" w:hint="default"/>
                <w:sz w:val="21"/>
                <w:szCs w:val="21"/>
              </w:rPr>
              <w:t> 和</w:t>
            </w:r>
            <w:r>
              <w:rPr>
                <w:rFonts w:ascii="宋体" w:hAnsi="宋体" w:cs="宋体" w:eastAsia="宋体" w:hint="default"/>
                <w:spacing w:val="-51"/>
                <w:sz w:val="21"/>
                <w:szCs w:val="21"/>
              </w:rPr>
              <w:t> </w:t>
            </w:r>
            <w:r>
              <w:rPr>
                <w:rFonts w:ascii="宋体" w:hAnsi="宋体" w:cs="宋体" w:eastAsia="宋体" w:hint="default"/>
                <w:spacing w:val="-5"/>
                <w:sz w:val="21"/>
                <w:szCs w:val="21"/>
              </w:rPr>
              <w:t>6%计算销项税额，扣</w:t>
            </w:r>
            <w:r>
              <w:rPr>
                <w:rFonts w:ascii="宋体" w:hAnsi="宋体" w:cs="宋体" w:eastAsia="宋体" w:hint="default"/>
                <w:sz w:val="21"/>
                <w:szCs w:val="21"/>
              </w:rPr>
              <w:t> 除符合规定可以抵扣的 进项税后计算应缴增值 税。</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公司按工程结算的</w:t>
            </w:r>
            <w:r>
              <w:rPr>
                <w:rFonts w:ascii="宋体" w:hAnsi="宋体" w:cs="宋体" w:eastAsia="宋体" w:hint="default"/>
                <w:spacing w:val="-53"/>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代扣代缴营业税。</w:t>
            </w: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43" w:right="0"/>
              <w:jc w:val="left"/>
              <w:rPr>
                <w:rFonts w:ascii="宋体" w:hAnsi="宋体" w:cs="宋体" w:eastAsia="宋体" w:hint="default"/>
                <w:sz w:val="21"/>
                <w:szCs w:val="21"/>
              </w:rPr>
            </w:pPr>
            <w:r>
              <w:rPr>
                <w:rFonts w:ascii="宋体"/>
                <w:sz w:val="21"/>
              </w:rPr>
              <w:t>19,031,873.25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43" w:right="0"/>
              <w:jc w:val="left"/>
              <w:rPr>
                <w:rFonts w:ascii="宋体" w:hAnsi="宋体" w:cs="宋体" w:eastAsia="宋体" w:hint="default"/>
                <w:sz w:val="21"/>
                <w:szCs w:val="21"/>
              </w:rPr>
            </w:pPr>
            <w:r>
              <w:rPr>
                <w:rFonts w:ascii="宋体"/>
                <w:sz w:val="21"/>
              </w:rPr>
              <w:t>23,882,208.98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公司按应纳税所得额和</w:t>
            </w:r>
          </w:p>
          <w:p>
            <w:pPr>
              <w:pStyle w:val="TableParagraph"/>
              <w:spacing w:line="272" w:lineRule="exact" w:before="26"/>
              <w:ind w:left="100" w:right="107"/>
              <w:jc w:val="left"/>
              <w:rPr>
                <w:rFonts w:ascii="宋体" w:hAnsi="宋体" w:cs="宋体" w:eastAsia="宋体" w:hint="default"/>
                <w:sz w:val="21"/>
                <w:szCs w:val="21"/>
              </w:rPr>
            </w:pPr>
            <w:r>
              <w:rPr>
                <w:rFonts w:ascii="宋体" w:hAnsi="宋体" w:cs="宋体" w:eastAsia="宋体" w:hint="default"/>
                <w:sz w:val="21"/>
                <w:szCs w:val="21"/>
              </w:rPr>
              <w:t>当期适用的税率计算本 期应缴所得税，本期所</w:t>
            </w:r>
          </w:p>
        </w:tc>
      </w:tr>
    </w:tbl>
    <w:p>
      <w:pPr>
        <w:spacing w:after="0" w:line="272"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1104"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得税税率为</w:t>
            </w:r>
            <w:r>
              <w:rPr>
                <w:rFonts w:ascii="宋体" w:hAnsi="宋体" w:cs="宋体" w:eastAsia="宋体" w:hint="default"/>
                <w:spacing w:val="-53"/>
                <w:sz w:val="21"/>
                <w:szCs w:val="21"/>
              </w:rPr>
              <w:t> </w:t>
            </w:r>
            <w:r>
              <w:rPr>
                <w:rFonts w:ascii="宋体" w:hAnsi="宋体" w:cs="宋体" w:eastAsia="宋体" w:hint="default"/>
                <w:sz w:val="21"/>
                <w:szCs w:val="21"/>
              </w:rPr>
              <w:t>25%。当期</w:t>
            </w:r>
          </w:p>
          <w:p>
            <w:pPr>
              <w:pStyle w:val="TableParagraph"/>
              <w:spacing w:line="272" w:lineRule="exact" w:before="26"/>
              <w:ind w:left="100" w:right="107"/>
              <w:jc w:val="both"/>
              <w:rPr>
                <w:rFonts w:ascii="宋体" w:hAnsi="宋体" w:cs="宋体" w:eastAsia="宋体" w:hint="default"/>
                <w:sz w:val="21"/>
                <w:szCs w:val="21"/>
              </w:rPr>
            </w:pPr>
            <w:r>
              <w:rPr>
                <w:rFonts w:ascii="宋体" w:hAnsi="宋体" w:cs="宋体" w:eastAsia="宋体" w:hint="default"/>
                <w:sz w:val="21"/>
                <w:szCs w:val="21"/>
              </w:rPr>
              <w:t>应缴所得税和递延所得 税之和作为当期所得税 费用。</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9,865.15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27,317.73</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6,447,572.99</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4,378,020.59</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以应纳流转税额的</w:t>
            </w:r>
            <w:r>
              <w:rPr>
                <w:rFonts w:ascii="宋体" w:hAnsi="宋体" w:cs="宋体" w:eastAsia="宋体" w:hint="default"/>
                <w:spacing w:val="-53"/>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计缴。</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1,445,014.94</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1,290,646.26</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6,457,383.38</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4,296,644.69</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78,897,612.50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95,609,565.22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17、其他应付款：</w:t>
      </w:r>
    </w:p>
    <w:p>
      <w:pPr>
        <w:pStyle w:val="BodyText"/>
        <w:spacing w:line="272" w:lineRule="exact" w:before="26"/>
        <w:ind w:left="560" w:right="274" w:hanging="421"/>
        <w:jc w:val="left"/>
      </w:pPr>
      <w:r>
        <w:rPr/>
        <w:t>(1)</w:t>
      </w:r>
      <w:r>
        <w:rPr>
          <w:spacing w:val="-2"/>
        </w:rPr>
        <w:t> </w:t>
      </w:r>
      <w:r>
        <w:rPr/>
        <w:t>本报告期其他应付款中应付持有公司</w:t>
      </w:r>
      <w:r>
        <w:rPr>
          <w:spacing w:val="-54"/>
        </w:rPr>
        <w:t> </w:t>
      </w:r>
      <w:r>
        <w:rPr/>
        <w:t>5%(含</w:t>
      </w:r>
      <w:r>
        <w:rPr>
          <w:spacing w:val="-54"/>
        </w:rPr>
        <w:t> </w:t>
      </w:r>
      <w:r>
        <w:rPr/>
        <w:t>5%)以上表决权股份的股东单位或关联方的款项情况</w:t>
      </w:r>
      <w:r>
        <w:rPr/>
        <w:t> 本报告期其他应付款中无应付持有公司</w:t>
      </w:r>
      <w:r>
        <w:rPr>
          <w:spacing w:val="-55"/>
        </w:rPr>
        <w:t> </w:t>
      </w:r>
      <w:r>
        <w:rPr/>
        <w:t>5%(含</w:t>
      </w:r>
      <w:r>
        <w:rPr>
          <w:spacing w:val="-55"/>
        </w:rPr>
        <w:t> </w:t>
      </w:r>
      <w:r>
        <w:rPr/>
        <w:t>5%)以上表决权股份的股东单位或关联方的款项。</w:t>
      </w:r>
    </w:p>
    <w:p>
      <w:pPr>
        <w:spacing w:line="240" w:lineRule="auto" w:before="0"/>
        <w:rPr>
          <w:rFonts w:ascii="宋体" w:hAnsi="宋体" w:cs="宋体" w:eastAsia="宋体" w:hint="default"/>
          <w:sz w:val="16"/>
          <w:szCs w:val="16"/>
        </w:rPr>
      </w:pPr>
    </w:p>
    <w:p>
      <w:pPr>
        <w:pStyle w:val="BodyText"/>
        <w:spacing w:line="274" w:lineRule="exact" w:before="35"/>
        <w:ind w:right="171"/>
        <w:jc w:val="left"/>
      </w:pPr>
      <w:r>
        <w:rPr/>
        <w:t>18、长期应付款：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70"/>
        <w:gridCol w:w="1268"/>
        <w:gridCol w:w="1476"/>
        <w:gridCol w:w="1271"/>
        <w:gridCol w:w="1270"/>
        <w:gridCol w:w="1476"/>
        <w:gridCol w:w="1270"/>
      </w:tblGrid>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初始金额</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借款条件</w:t>
            </w:r>
          </w:p>
        </w:tc>
      </w:tr>
      <w:tr>
        <w:trPr>
          <w:trHeight w:val="5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中国信达资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产管理公司</w:t>
            </w:r>
          </w:p>
        </w:tc>
        <w:tc>
          <w:tcPr>
            <w:tcW w:w="12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4,380,000.00</w:t>
            </w:r>
          </w:p>
        </w:tc>
        <w:tc>
          <w:tcPr>
            <w:tcW w:w="1271"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4,380,000.00</w:t>
            </w:r>
          </w:p>
        </w:tc>
        <w:tc>
          <w:tcPr>
            <w:tcW w:w="12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171"/>
        <w:jc w:val="left"/>
      </w:pPr>
      <w:r>
        <w:rPr/>
        <w:t>19、股本：</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94"/>
        <w:gridCol w:w="1372"/>
        <w:gridCol w:w="846"/>
        <w:gridCol w:w="773"/>
        <w:gridCol w:w="894"/>
        <w:gridCol w:w="800"/>
        <w:gridCol w:w="704"/>
        <w:gridCol w:w="800"/>
        <w:gridCol w:w="1370"/>
        <w:gridCol w:w="846"/>
      </w:tblGrid>
      <w:tr>
        <w:trPr>
          <w:trHeight w:val="287" w:hRule="exact"/>
        </w:trPr>
        <w:tc>
          <w:tcPr>
            <w:tcW w:w="894" w:type="dxa"/>
            <w:vMerge w:val="restart"/>
            <w:tcBorders>
              <w:top w:val="single" w:sz="6" w:space="0" w:color="000000"/>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97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变动增减</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833" w:hRule="exact"/>
        </w:trPr>
        <w:tc>
          <w:tcPr>
            <w:tcW w:w="894" w:type="dxa"/>
            <w:vMerge/>
            <w:tcBorders>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57"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9" w:right="167"/>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6"/>
              <w:ind w:left="288" w:right="181" w:hanging="106"/>
              <w:jc w:val="left"/>
              <w:rPr>
                <w:rFonts w:ascii="宋体" w:hAnsi="宋体" w:cs="宋体" w:eastAsia="宋体" w:hint="default"/>
                <w:sz w:val="21"/>
                <w:szCs w:val="21"/>
              </w:rPr>
            </w:pPr>
            <w:r>
              <w:rPr>
                <w:rFonts w:ascii="宋体" w:hAnsi="宋体" w:cs="宋体" w:eastAsia="宋体" w:hint="default"/>
                <w:sz w:val="21"/>
                <w:szCs w:val="21"/>
              </w:rPr>
              <w:t>金转 股</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58"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560" w:hRule="exact"/>
        </w:trPr>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390,000,000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100.00</w:t>
            </w:r>
          </w:p>
        </w:tc>
        <w:tc>
          <w:tcPr>
            <w:tcW w:w="773" w:type="dxa"/>
            <w:tcBorders>
              <w:top w:val="single" w:sz="6" w:space="0" w:color="000000"/>
              <w:left w:val="single" w:sz="6" w:space="0" w:color="000000"/>
              <w:bottom w:val="single" w:sz="6" w:space="0" w:color="000000"/>
              <w:right w:val="single" w:sz="6" w:space="0" w:color="000000"/>
            </w:tcBorders>
          </w:tcPr>
          <w:p>
            <w:pPr/>
          </w:p>
        </w:tc>
        <w:tc>
          <w:tcPr>
            <w:tcW w:w="89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390,000,000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100.00</w:t>
            </w:r>
          </w:p>
        </w:tc>
      </w:tr>
    </w:tbl>
    <w:p>
      <w:pPr>
        <w:pStyle w:val="BodyText"/>
        <w:spacing w:line="238" w:lineRule="exact"/>
        <w:ind w:left="560" w:right="0"/>
        <w:jc w:val="left"/>
      </w:pPr>
      <w:r>
        <w:rPr/>
        <w:t>①2008</w:t>
      </w:r>
      <w:r>
        <w:rPr>
          <w:spacing w:val="-45"/>
        </w:rPr>
        <w:t> </w:t>
      </w:r>
      <w:r>
        <w:rPr/>
        <w:t>年国有法人股减少</w:t>
      </w:r>
      <w:r>
        <w:rPr>
          <w:spacing w:val="-46"/>
        </w:rPr>
        <w:t> </w:t>
      </w:r>
      <w:r>
        <w:rPr/>
        <w:t>4,360,000</w:t>
      </w:r>
      <w:r>
        <w:rPr>
          <w:spacing w:val="-45"/>
        </w:rPr>
        <w:t> </w:t>
      </w:r>
      <w:r>
        <w:rPr>
          <w:spacing w:val="-3"/>
        </w:rPr>
        <w:t>万股，原因是持股股东黑化集团与债权人发生债务纠纷，法</w:t>
      </w:r>
    </w:p>
    <w:p>
      <w:pPr>
        <w:pStyle w:val="BodyText"/>
        <w:spacing w:line="272" w:lineRule="exact"/>
        <w:ind w:right="171"/>
        <w:jc w:val="left"/>
      </w:pPr>
      <w:r>
        <w:rPr/>
        <w:t>院强制拍卖黑化集团持有的本公司股权进行还债。</w:t>
      </w:r>
    </w:p>
    <w:p>
      <w:pPr>
        <w:pStyle w:val="BodyText"/>
        <w:spacing w:line="272" w:lineRule="exact" w:before="26"/>
        <w:ind w:right="328" w:firstLine="420"/>
        <w:jc w:val="left"/>
      </w:pPr>
      <w:r>
        <w:rPr/>
        <w:t>②本期境内法人股减少</w:t>
      </w:r>
      <w:r>
        <w:rPr>
          <w:spacing w:val="-55"/>
        </w:rPr>
        <w:t> </w:t>
      </w:r>
      <w:r>
        <w:rPr/>
        <w:t>474,740</w:t>
      </w:r>
      <w:r>
        <w:rPr>
          <w:spacing w:val="-54"/>
        </w:rPr>
        <w:t> </w:t>
      </w:r>
      <w:r>
        <w:rPr/>
        <w:t>股，原因是根据股权分置改革的规定该部分股份流通权于</w:t>
      </w:r>
      <w:r>
        <w:rPr>
          <w:spacing w:val="-55"/>
        </w:rPr>
        <w:t> </w:t>
      </w:r>
      <w:r>
        <w:rPr/>
        <w:t>2008</w:t>
      </w:r>
      <w:r>
        <w:rPr/>
        <w:t> 年解禁可以上市流通。</w:t>
      </w:r>
    </w:p>
    <w:p>
      <w:pPr>
        <w:spacing w:line="240" w:lineRule="auto" w:before="12"/>
        <w:rPr>
          <w:rFonts w:ascii="宋体" w:hAnsi="宋体" w:cs="宋体" w:eastAsia="宋体" w:hint="default"/>
          <w:sz w:val="15"/>
          <w:szCs w:val="15"/>
        </w:rPr>
      </w:pPr>
    </w:p>
    <w:p>
      <w:pPr>
        <w:pStyle w:val="BodyText"/>
        <w:spacing w:line="274" w:lineRule="exact" w:before="35"/>
        <w:ind w:right="171"/>
        <w:jc w:val="left"/>
      </w:pPr>
      <w:r>
        <w:rPr/>
        <w:t>20、资本公积：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84"/>
        <w:gridCol w:w="1686"/>
        <w:gridCol w:w="1811"/>
        <w:gridCol w:w="1810"/>
        <w:gridCol w:w="1810"/>
      </w:tblGrid>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资本溢价（股本溢价）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297,766,293.68</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297,766,293.68</w:t>
            </w:r>
            <w:r>
              <w:rPr>
                <w:rFonts w:ascii="宋体"/>
                <w:sz w:val="21"/>
              </w:rPr>
            </w:r>
          </w:p>
        </w:tc>
      </w:tr>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27,871,045.88</w:t>
            </w:r>
          </w:p>
        </w:tc>
        <w:tc>
          <w:tcPr>
            <w:tcW w:w="1811"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27,871,045.88</w:t>
            </w:r>
          </w:p>
        </w:tc>
      </w:tr>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325,637,339.56</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325,637,339.56</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21、盈余公积：</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28,067,460.06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sz w:val="21"/>
              </w:rPr>
              <w:t>2,081,017.65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2,081,017.65</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sz w:val="21"/>
              </w:rPr>
              <w:t>2,081,017.65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30,148,477.71</w:t>
            </w:r>
          </w:p>
        </w:tc>
      </w:tr>
    </w:tbl>
    <w:p>
      <w:pPr>
        <w:pStyle w:val="BodyText"/>
        <w:spacing w:line="238" w:lineRule="exact"/>
        <w:ind w:right="0"/>
        <w:jc w:val="left"/>
      </w:pPr>
      <w:r>
        <w:rPr/>
        <w:t>根据财政部财会函[2008]60</w:t>
      </w:r>
      <w:r>
        <w:rPr>
          <w:spacing w:val="-61"/>
        </w:rPr>
        <w:t> </w:t>
      </w:r>
      <w:r>
        <w:rPr>
          <w:spacing w:val="-5"/>
        </w:rPr>
        <w:t>的规定，安全生产费按收入的比例计提，在盈余公积—专项储备项目核算,</w:t>
      </w:r>
    </w:p>
    <w:p>
      <w:pPr>
        <w:pStyle w:val="BodyText"/>
        <w:spacing w:line="274" w:lineRule="exact"/>
        <w:ind w:right="171"/>
        <w:jc w:val="left"/>
      </w:pPr>
      <w:r>
        <w:rPr/>
        <w:t>按规定使用。</w:t>
      </w:r>
    </w:p>
    <w:p>
      <w:pPr>
        <w:spacing w:after="0" w:line="274"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22、未分配利润：</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157,132,721.50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157,132,721.50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-51,892,692.94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34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减：提取专项储备</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2,081,017.65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103,159,010.91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080"/>
        </w:sectPr>
      </w:pPr>
    </w:p>
    <w:p>
      <w:pPr>
        <w:pStyle w:val="BodyText"/>
        <w:spacing w:line="272" w:lineRule="exact" w:before="63"/>
        <w:ind w:right="-20"/>
        <w:jc w:val="left"/>
      </w:pPr>
      <w:r>
        <w:rPr/>
        <w:t>23、营业收入： (1)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1611" w:space="5427"/>
            <w:col w:w="257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1,577,095,353.61</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1,194,922,666.52</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203,546,069.50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133,099,676.94</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1,780,641,423.11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1,328,022,343.46</w:t>
            </w:r>
          </w:p>
        </w:tc>
      </w:tr>
    </w:tbl>
    <w:p>
      <w:pPr>
        <w:spacing w:line="240" w:lineRule="auto" w:before="6"/>
        <w:rPr>
          <w:rFonts w:ascii="宋体" w:hAnsi="宋体" w:cs="宋体" w:eastAsia="宋体" w:hint="default"/>
          <w:sz w:val="15"/>
          <w:szCs w:val="15"/>
        </w:rPr>
      </w:pPr>
    </w:p>
    <w:p>
      <w:pPr>
        <w:pStyle w:val="BodyText"/>
        <w:spacing w:line="273" w:lineRule="exact" w:before="35"/>
        <w:ind w:right="103"/>
        <w:jc w:val="left"/>
      </w:pPr>
      <w:r>
        <w:rPr/>
        <w:t>(2)</w:t>
      </w:r>
      <w:r>
        <w:rPr>
          <w:spacing w:val="-2"/>
        </w:rPr>
        <w:t> </w:t>
      </w:r>
      <w:r>
        <w:rPr/>
        <w:t>主营业务（分产品）</w:t>
      </w:r>
    </w:p>
    <w:p>
      <w:pPr>
        <w:pStyle w:val="BodyText"/>
        <w:spacing w:line="273" w:lineRule="exact"/>
        <w:ind w:left="0" w:right="22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896"/>
        <w:gridCol w:w="1896"/>
        <w:gridCol w:w="1896"/>
        <w:gridCol w:w="1896"/>
      </w:tblGrid>
      <w:tr>
        <w:trPr>
          <w:trHeight w:val="288"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171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45,204,550.19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45,215,924.07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53,440,487.23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37,524,395.26</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52,519,295.72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50,157,530.90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61,883,760.64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42,894,122.39</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1,455,503.77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1,446,614.76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615,041.55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387,558.26</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1,022,604,581.99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885,198,286.57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582,578,966.97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434,000,811.58</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116,598,043.15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120,818,560.37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129,371,737.20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128,155,693.04</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68,669,825.86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80,819,261.50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65,714,619.43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62,518,407.16</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6,351,828.77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13,670,170.99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4,914,199.11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7,137,560.32</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255,714,412.43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273,886,826.18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290,717,332.59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345,799,737.31</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813,937.60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813,937.60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267,094.03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267,093.77</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7,163,374.13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6,424,626.67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5,419,427.77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5,438,619.18</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1,577,095,353.61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1,478,451,739.61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1,194,922,666.52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1,064,123,998.27</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①公司前五名客户的销售收入总额</w:t>
      </w:r>
      <w:r>
        <w:rPr>
          <w:spacing w:val="-62"/>
        </w:rPr>
        <w:t> </w:t>
      </w:r>
      <w:r>
        <w:rPr/>
        <w:t>759,730,111.03</w:t>
      </w:r>
      <w:r>
        <w:rPr>
          <w:spacing w:val="-62"/>
        </w:rPr>
        <w:t> </w:t>
      </w:r>
      <w:r>
        <w:rPr/>
        <w:t>元，占公司主营业务收入的比例</w:t>
      </w:r>
      <w:r>
        <w:rPr>
          <w:spacing w:val="-62"/>
        </w:rPr>
        <w:t> </w:t>
      </w:r>
      <w:r>
        <w:rPr/>
        <w:t>48.17%。</w:t>
      </w:r>
    </w:p>
    <w:p>
      <w:pPr>
        <w:pStyle w:val="BodyText"/>
        <w:spacing w:line="274" w:lineRule="exact"/>
        <w:ind w:right="0"/>
        <w:jc w:val="left"/>
      </w:pPr>
      <w:r>
        <w:rPr/>
        <w:t>②本期营业收入较上期有较大幅度波动主要是因为焦炭价格本年大幅度上涨</w:t>
      </w:r>
      <w:r>
        <w:rPr>
          <w:spacing w:val="-104"/>
        </w:rPr>
        <w:t>，</w:t>
      </w:r>
      <w:r>
        <w:rPr/>
        <w:t>使得焦炭收入增长较大。</w:t>
      </w:r>
    </w:p>
    <w:p>
      <w:pPr>
        <w:spacing w:line="240" w:lineRule="auto" w:before="12"/>
        <w:rPr>
          <w:rFonts w:ascii="宋体" w:hAnsi="宋体" w:cs="宋体" w:eastAsia="宋体" w:hint="default"/>
          <w:sz w:val="17"/>
          <w:szCs w:val="17"/>
        </w:rPr>
      </w:pPr>
    </w:p>
    <w:p>
      <w:pPr>
        <w:pStyle w:val="BodyText"/>
        <w:spacing w:line="274" w:lineRule="exact" w:before="35"/>
        <w:ind w:left="141" w:right="103"/>
        <w:jc w:val="left"/>
      </w:pPr>
      <w:r>
        <w:rPr/>
        <w:t>24、营业税金及附加：</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5,990,684.05</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4,578,648.57</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以应纳流转税额的</w:t>
            </w:r>
            <w:r>
              <w:rPr>
                <w:rFonts w:ascii="宋体" w:hAnsi="宋体" w:cs="宋体" w:eastAsia="宋体" w:hint="default"/>
                <w:spacing w:val="-53"/>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计缴。</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2,567,436.01</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1,962,277.95</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3"/>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8,558,120.06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6,540,926.52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25、资产减值损失：</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50,220,354.98</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3" w:right="0"/>
              <w:jc w:val="left"/>
              <w:rPr>
                <w:rFonts w:ascii="宋体" w:hAnsi="宋体" w:cs="宋体" w:eastAsia="宋体" w:hint="default"/>
                <w:sz w:val="21"/>
                <w:szCs w:val="21"/>
              </w:rPr>
            </w:pPr>
            <w:r>
              <w:rPr>
                <w:rFonts w:ascii="宋体"/>
                <w:sz w:val="21"/>
              </w:rPr>
              <w:t>5,508,005.00</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2,311,738.03</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08" w:right="0"/>
              <w:jc w:val="left"/>
              <w:rPr>
                <w:rFonts w:ascii="宋体" w:hAnsi="宋体" w:cs="宋体" w:eastAsia="宋体" w:hint="default"/>
                <w:sz w:val="21"/>
                <w:szCs w:val="21"/>
              </w:rPr>
            </w:pPr>
            <w:r>
              <w:rPr>
                <w:rFonts w:ascii="宋体"/>
                <w:sz w:val="21"/>
              </w:rPr>
              <w:t>52,532,093.01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3" w:right="0"/>
              <w:jc w:val="left"/>
              <w:rPr>
                <w:rFonts w:ascii="宋体" w:hAnsi="宋体" w:cs="宋体" w:eastAsia="宋体" w:hint="default"/>
                <w:sz w:val="21"/>
                <w:szCs w:val="21"/>
              </w:rPr>
            </w:pPr>
            <w:r>
              <w:rPr>
                <w:rFonts w:ascii="宋体"/>
                <w:sz w:val="21"/>
              </w:rPr>
              <w:t>5,508,005.00</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26、营业外收入：</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补偿收入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614,143.74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393,826.06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614,143.74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393,826.06</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27、营业外支出：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11,725.00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22,805.43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37,375.50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22,805.43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249,100.50</w:t>
            </w:r>
          </w:p>
        </w:tc>
      </w:tr>
    </w:tbl>
    <w:p>
      <w:pPr>
        <w:pStyle w:val="BodyText"/>
        <w:spacing w:line="240" w:lineRule="exact"/>
        <w:ind w:right="171"/>
        <w:jc w:val="left"/>
      </w:pPr>
      <w:r>
        <w:rPr/>
        <w:t>营业外支出同比减少</w:t>
      </w:r>
      <w:r>
        <w:rPr>
          <w:spacing w:val="-71"/>
        </w:rPr>
        <w:t> </w:t>
      </w:r>
      <w:r>
        <w:rPr/>
        <w:t>226,295.07</w:t>
      </w:r>
      <w:r>
        <w:rPr>
          <w:spacing w:val="-71"/>
        </w:rPr>
        <w:t> </w:t>
      </w:r>
      <w:r>
        <w:rPr/>
        <w:t>元，原因为上年度公益性捐赠支出的影响</w:t>
      </w:r>
    </w:p>
    <w:p>
      <w:pPr>
        <w:spacing w:line="240" w:lineRule="auto" w:before="12"/>
        <w:rPr>
          <w:rFonts w:ascii="宋体" w:hAnsi="宋体" w:cs="宋体" w:eastAsia="宋体" w:hint="default"/>
          <w:sz w:val="17"/>
          <w:szCs w:val="17"/>
        </w:rPr>
      </w:pPr>
    </w:p>
    <w:p>
      <w:pPr>
        <w:pStyle w:val="BodyText"/>
        <w:spacing w:line="274" w:lineRule="exact" w:before="35"/>
        <w:ind w:right="171"/>
        <w:jc w:val="left"/>
      </w:pPr>
      <w:r>
        <w:rPr/>
        <w:t>28、所得税费用：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按《企业所得税法》等规定的当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1,668,622.28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7,612,149.03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4,120,517.92</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1,604,729.19</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5,789,140.20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9,216,878.22</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7"/>
        <w:jc w:val="left"/>
      </w:pPr>
      <w:r>
        <w:rPr/>
        <w:t>29、现金流量表项目注释：</w:t>
      </w:r>
    </w:p>
    <w:p>
      <w:pPr>
        <w:pStyle w:val="BodyText"/>
        <w:spacing w:line="274" w:lineRule="exact"/>
        <w:ind w:right="-17"/>
        <w:jc w:val="left"/>
      </w:pPr>
      <w:r>
        <w:rPr/>
        <w:t>(1)</w:t>
      </w:r>
      <w:r>
        <w:rPr>
          <w:spacing w:val="-2"/>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922" w:space="311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40"/>
        <w:gridCol w:w="5260"/>
      </w:tblGrid>
      <w:tr>
        <w:trPr>
          <w:trHeight w:val="287"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01"/>
              <w:jc w:val="right"/>
              <w:rPr>
                <w:rFonts w:ascii="宋体" w:hAnsi="宋体" w:cs="宋体" w:eastAsia="宋体" w:hint="default"/>
                <w:sz w:val="21"/>
                <w:szCs w:val="21"/>
              </w:rPr>
            </w:pPr>
            <w:r>
              <w:rPr>
                <w:rFonts w:ascii="宋体" w:hAnsi="宋体" w:cs="宋体" w:eastAsia="宋体" w:hint="default"/>
                <w:sz w:val="21"/>
                <w:szCs w:val="21"/>
              </w:rPr>
              <w:t>项目</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671,345.75</w:t>
            </w:r>
          </w:p>
        </w:tc>
      </w:tr>
      <w:tr>
        <w:trPr>
          <w:trHeight w:val="287"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00"/>
              <w:jc w:val="right"/>
              <w:rPr>
                <w:rFonts w:ascii="宋体" w:hAnsi="宋体" w:cs="宋体" w:eastAsia="宋体" w:hint="default"/>
                <w:sz w:val="21"/>
                <w:szCs w:val="21"/>
              </w:rPr>
            </w:pPr>
            <w:r>
              <w:rPr>
                <w:rFonts w:ascii="宋体" w:hAnsi="宋体" w:cs="宋体" w:eastAsia="宋体" w:hint="default"/>
                <w:sz w:val="21"/>
                <w:szCs w:val="21"/>
              </w:rPr>
              <w:t>合计</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671,345.75</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(2)</w:t>
      </w:r>
      <w:r>
        <w:rPr>
          <w:spacing w:val="-2"/>
        </w:rPr>
        <w:t> </w:t>
      </w:r>
      <w:r>
        <w:rPr/>
        <w:t>支付的其他与经营活动有关的现金：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16"/>
        <w:gridCol w:w="4884"/>
      </w:tblGrid>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其中：业务招待费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2,655,046.88</w:t>
            </w:r>
            <w:r>
              <w:rPr>
                <w:rFonts w:ascii="宋体"/>
                <w:sz w:val="21"/>
              </w:rPr>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4,368,400.39</w:t>
            </w:r>
            <w:r>
              <w:rPr>
                <w:rFonts w:ascii="宋体"/>
                <w:sz w:val="21"/>
              </w:rPr>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1,118,593.78</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416"/>
        <w:gridCol w:w="4884"/>
      </w:tblGrid>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1,122,580.20</w:t>
            </w:r>
            <w:r>
              <w:rPr>
                <w:rFonts w:ascii="宋体"/>
                <w:sz w:val="21"/>
              </w:rPr>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1,580,000.00</w:t>
            </w:r>
            <w:r>
              <w:rPr>
                <w:rFonts w:ascii="宋体"/>
                <w:sz w:val="21"/>
              </w:rPr>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tabs>
                <w:tab w:pos="1150" w:val="left" w:leader="none"/>
              </w:tabs>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7,327,730.65</w:t>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18,172,351.90</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30、现金流量表补充资料：</w:t>
      </w:r>
    </w:p>
    <w:p>
      <w:pPr>
        <w:pStyle w:val="BodyText"/>
        <w:spacing w:line="274" w:lineRule="exact"/>
        <w:ind w:left="0" w:right="104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-54,229,070.85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11,841,689.37</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52,532,093.01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738,553.78</w:t>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104,020,594.42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78,003,791.43</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6,975.00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29,933,928.34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25,694,391.49</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4,120,517.92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1,604,729.19</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-89,113,530.38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32,511,822.07</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-129,469,548.51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-55,491,484.22</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157,711,727.15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-15,775,747.26</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75,506,711.10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79,134,720.85</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23,965,025.49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18,726,246.36</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18,726,246.36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16,713,226.14</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5,238,779.13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2,013,020.22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7" w:footer="727" w:top="980" w:bottom="920" w:left="1220" w:right="260"/>
        </w:sectPr>
      </w:pPr>
    </w:p>
    <w:p>
      <w:pPr>
        <w:pStyle w:val="BodyText"/>
        <w:spacing w:line="272" w:lineRule="exact" w:before="63"/>
        <w:ind w:right="87"/>
        <w:jc w:val="left"/>
      </w:pPr>
      <w:r>
        <w:rPr/>
        <w:t>(九)</w:t>
      </w:r>
      <w:r>
        <w:rPr>
          <w:spacing w:val="-2"/>
        </w:rPr>
        <w:t> </w:t>
      </w:r>
      <w:r>
        <w:rPr/>
        <w:t>母公司会计报表附注</w:t>
      </w:r>
      <w:r>
        <w:rPr/>
        <w:t> 1、应收账款：</w:t>
      </w:r>
    </w:p>
    <w:p>
      <w:pPr>
        <w:pStyle w:val="BodyText"/>
        <w:spacing w:line="248"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260"/>
          <w:cols w:num="2" w:equalWidth="0">
            <w:col w:w="2661" w:space="4377"/>
            <w:col w:w="3392"/>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61"/>
        <w:gridCol w:w="1686"/>
        <w:gridCol w:w="742"/>
        <w:gridCol w:w="1580"/>
        <w:gridCol w:w="742"/>
        <w:gridCol w:w="1686"/>
        <w:gridCol w:w="742"/>
        <w:gridCol w:w="1582"/>
        <w:gridCol w:w="740"/>
      </w:tblGrid>
      <w:tr>
        <w:trPr>
          <w:trHeight w:val="288" w:hRule="exact"/>
        </w:trPr>
        <w:tc>
          <w:tcPr>
            <w:tcW w:w="66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7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661" w:type="dxa"/>
            <w:vMerge/>
            <w:tcBorders>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661"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560"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316,472,790.80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97.31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52,327,349.11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88.42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70,660,057.25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30.54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3,533,002.86</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24.38</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661"/>
        <w:gridCol w:w="1686"/>
        <w:gridCol w:w="742"/>
        <w:gridCol w:w="1580"/>
        <w:gridCol w:w="742"/>
        <w:gridCol w:w="1686"/>
        <w:gridCol w:w="742"/>
        <w:gridCol w:w="1582"/>
        <w:gridCol w:w="740"/>
      </w:tblGrid>
      <w:tr>
        <w:trPr>
          <w:trHeight w:val="279" w:hRule="exact"/>
        </w:trPr>
        <w:tc>
          <w:tcPr>
            <w:tcW w:w="66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w:t>
            </w:r>
          </w:p>
        </w:tc>
        <w:tc>
          <w:tcPr>
            <w:tcW w:w="1686" w:type="dxa"/>
            <w:vMerge w:val="restart"/>
            <w:tcBorders>
              <w:top w:val="single" w:sz="6" w:space="0" w:color="000000"/>
              <w:left w:val="single" w:sz="6" w:space="0" w:color="000000"/>
              <w:right w:val="single" w:sz="6" w:space="0" w:color="000000"/>
            </w:tcBorders>
          </w:tcPr>
          <w:p>
            <w:pPr/>
          </w:p>
        </w:tc>
        <w:tc>
          <w:tcPr>
            <w:tcW w:w="74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742"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c>
          <w:tcPr>
            <w:tcW w:w="742"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740" w:type="dxa"/>
            <w:vMerge w:val="restart"/>
            <w:tcBorders>
              <w:top w:val="single" w:sz="6" w:space="0" w:color="000000"/>
              <w:left w:val="single" w:sz="6" w:space="0" w:color="000000"/>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w:t>
            </w:r>
          </w:p>
        </w:tc>
        <w:tc>
          <w:tcPr>
            <w:tcW w:w="1686" w:type="dxa"/>
            <w:vMerge/>
            <w:tcBorders>
              <w:left w:val="single" w:sz="6" w:space="0" w:color="000000"/>
              <w:right w:val="single" w:sz="6" w:space="0" w:color="000000"/>
            </w:tcBorders>
          </w:tcPr>
          <w:p>
            <w:pPr/>
          </w:p>
        </w:tc>
        <w:tc>
          <w:tcPr>
            <w:tcW w:w="74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742"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742"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686" w:type="dxa"/>
            <w:vMerge/>
            <w:tcBorders>
              <w:left w:val="single" w:sz="6" w:space="0" w:color="000000"/>
              <w:right w:val="single" w:sz="6" w:space="0" w:color="000000"/>
            </w:tcBorders>
          </w:tcPr>
          <w:p>
            <w:pPr/>
          </w:p>
        </w:tc>
        <w:tc>
          <w:tcPr>
            <w:tcW w:w="74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742" w:type="dxa"/>
            <w:vMerge/>
            <w:tcBorders>
              <w:left w:val="single" w:sz="6" w:space="0" w:color="000000"/>
              <w:right w:val="single" w:sz="6" w:space="0" w:color="000000"/>
            </w:tcBorders>
          </w:tcPr>
          <w:p>
            <w:pPr/>
          </w:p>
        </w:tc>
        <w:tc>
          <w:tcPr>
            <w:tcW w:w="1686" w:type="dxa"/>
            <w:vMerge/>
            <w:tcBorders>
              <w:left w:val="single" w:sz="6" w:space="0" w:color="000000"/>
              <w:right w:val="single" w:sz="6" w:space="0" w:color="000000"/>
            </w:tcBorders>
          </w:tcPr>
          <w:p>
            <w:pPr/>
          </w:p>
        </w:tc>
        <w:tc>
          <w:tcPr>
            <w:tcW w:w="742"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740" w:type="dxa"/>
            <w:vMerge/>
            <w:tcBorders>
              <w:left w:val="single" w:sz="6" w:space="0" w:color="000000"/>
              <w:right w:val="single" w:sz="6" w:space="0" w:color="000000"/>
            </w:tcBorders>
          </w:tcPr>
          <w:p>
            <w:pPr/>
          </w:p>
        </w:tc>
      </w:tr>
      <w:tr>
        <w:trPr>
          <w:trHeight w:val="280" w:hRule="exact"/>
        </w:trPr>
        <w:tc>
          <w:tcPr>
            <w:tcW w:w="66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vMerge/>
            <w:tcBorders>
              <w:left w:val="single" w:sz="6" w:space="0" w:color="000000"/>
              <w:bottom w:val="single" w:sz="6" w:space="0" w:color="000000"/>
              <w:right w:val="single" w:sz="6" w:space="0" w:color="000000"/>
            </w:tcBorders>
          </w:tcPr>
          <w:p>
            <w:pPr/>
          </w:p>
        </w:tc>
        <w:tc>
          <w:tcPr>
            <w:tcW w:w="74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742"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742"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740" w:type="dxa"/>
            <w:vMerge/>
            <w:tcBorders>
              <w:left w:val="single" w:sz="6" w:space="0" w:color="000000"/>
              <w:bottom w:val="single" w:sz="6" w:space="0" w:color="000000"/>
              <w:right w:val="single" w:sz="6" w:space="0" w:color="000000"/>
            </w:tcBorders>
          </w:tcPr>
          <w:p>
            <w:pPr/>
          </w:p>
        </w:tc>
      </w:tr>
      <w:tr>
        <w:trPr>
          <w:trHeight w:val="279" w:hRule="exact"/>
        </w:trPr>
        <w:tc>
          <w:tcPr>
            <w:tcW w:w="66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w:t>
            </w:r>
          </w:p>
        </w:tc>
        <w:tc>
          <w:tcPr>
            <w:tcW w:w="168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不重</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大但</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按信</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用风</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险特</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征组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合后</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6,754,082.21</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2.08</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6,754,082.21</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11.41</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3,073,776.49</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1.33</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3,073,776.49</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21.21</w:t>
            </w: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该组</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合的</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较大</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6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6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不重</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大应</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1,999,576.03</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0.61</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99,978.80</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0.17</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157,652,074.24</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68.13</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7,882,603.72</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54.41</w:t>
            </w:r>
          </w:p>
        </w:tc>
      </w:tr>
      <w:tr>
        <w:trPr>
          <w:trHeight w:val="272" w:hRule="exact"/>
        </w:trPr>
        <w:tc>
          <w:tcPr>
            <w:tcW w:w="6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w:t>
            </w: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4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6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325,226,449.04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59,181,410.12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231,385,907.98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14,489,383.07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tabs>
          <w:tab w:pos="7196" w:val="left" w:leader="none"/>
        </w:tabs>
        <w:spacing w:line="240" w:lineRule="auto" w:before="35"/>
        <w:ind w:right="0"/>
        <w:jc w:val="left"/>
      </w:pPr>
      <w:r>
        <w:rPr/>
        <w:t>(2)</w:t>
      </w:r>
      <w:r>
        <w:rPr>
          <w:spacing w:val="-19"/>
        </w:rPr>
        <w:t> </w:t>
      </w:r>
      <w:r>
        <w:rPr/>
        <w:t>期末单项金额重大或虽不重大但单独进行减值测试的应收款项计提：</w:t>
        <w:tab/>
        <w:t>单位：元</w:t>
      </w:r>
      <w:r>
        <w:rPr>
          <w:spacing w:val="-21"/>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08"/>
        <w:gridCol w:w="2036"/>
        <w:gridCol w:w="1800"/>
        <w:gridCol w:w="1001"/>
        <w:gridCol w:w="2500"/>
      </w:tblGrid>
      <w:tr>
        <w:trPr>
          <w:trHeight w:val="560"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66" w:right="0"/>
              <w:jc w:val="left"/>
              <w:rPr>
                <w:rFonts w:ascii="宋体" w:hAnsi="宋体" w:cs="宋体" w:eastAsia="宋体" w:hint="default"/>
                <w:sz w:val="21"/>
                <w:szCs w:val="21"/>
              </w:rPr>
            </w:pPr>
            <w:r>
              <w:rPr>
                <w:rFonts w:ascii="宋体" w:hAnsi="宋体" w:cs="宋体" w:eastAsia="宋体" w:hint="default"/>
                <w:sz w:val="21"/>
                <w:szCs w:val="21"/>
              </w:rPr>
              <w:t>应收款项内容</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9" w:right="0" w:hanging="5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229" w:right="0"/>
              <w:jc w:val="left"/>
              <w:rPr>
                <w:rFonts w:ascii="宋体" w:hAnsi="宋体" w:cs="宋体" w:eastAsia="宋体" w:hint="default"/>
                <w:sz w:val="21"/>
                <w:szCs w:val="21"/>
              </w:rPr>
            </w:pPr>
            <w:r>
              <w:rPr>
                <w:rFonts w:ascii="宋体" w:hAnsi="宋体" w:cs="宋体" w:eastAsia="宋体" w:hint="default"/>
                <w:sz w:val="21"/>
                <w:szCs w:val="21"/>
              </w:rPr>
              <w:t>例(%)</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中国第一重型机械集团有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1,045,309.11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1,045,309.11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100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7"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北满特殊钢股份有限公司</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14,730,681.64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7,390,923.91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债务人偿债能力不确定</w:t>
            </w:r>
          </w:p>
        </w:tc>
      </w:tr>
      <w:tr>
        <w:trPr>
          <w:trHeight w:val="288"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18,407,874.33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10,174,122.13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7"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黑龙江齐化化工有限公司</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5,205,504.65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5,135,373.30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99</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8"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齐市福来得电力机械公司</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2,730,549.64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2,730,549.64</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7"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阿城市小岭钢铁厂</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1,514,693.63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1,514,693.63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8"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1,774,325.45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1,774,325.45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7"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哈尔滨东金工贸有限公司</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3,638,887.25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2,582,081.90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288"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哈尔滨东钢焦化</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2,703,088.91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2,703,088.91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债务人财务状况恶化</w:t>
            </w:r>
          </w:p>
        </w:tc>
      </w:tr>
      <w:tr>
        <w:trPr>
          <w:trHeight w:val="559"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辽原市恒汇工贸有限责任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1,425,739.74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1,425,739.74</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100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287"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北京欣达利工贸有限公司</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2,335,052.76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2,335,052.76</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560"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其他单项金额重大款项</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260,961,083.69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13,516,088.63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5.18</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公司以前的坏账损失率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为基础估计</w:t>
            </w:r>
          </w:p>
        </w:tc>
      </w:tr>
      <w:tr>
        <w:trPr>
          <w:trHeight w:val="288" w:hRule="exact"/>
        </w:trPr>
        <w:tc>
          <w:tcPr>
            <w:tcW w:w="2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316,472,790.80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52,327,349.11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747" w:footer="727" w:top="980" w:bottom="920" w:left="1220" w:right="260"/>
        </w:sectPr>
      </w:pPr>
    </w:p>
    <w:p>
      <w:pPr>
        <w:spacing w:line="240" w:lineRule="auto" w:before="1"/>
        <w:rPr>
          <w:rFonts w:ascii="宋体" w:hAnsi="宋体" w:cs="宋体" w:eastAsia="宋体" w:hint="default"/>
          <w:sz w:val="29"/>
          <w:szCs w:val="29"/>
        </w:rPr>
      </w:pPr>
    </w:p>
    <w:p>
      <w:pPr>
        <w:pStyle w:val="BodyText"/>
        <w:tabs>
          <w:tab w:pos="7176" w:val="left" w:leader="none"/>
        </w:tabs>
        <w:spacing w:line="240" w:lineRule="auto" w:before="35"/>
        <w:ind w:right="0"/>
        <w:jc w:val="left"/>
      </w:pPr>
      <w:r>
        <w:rPr/>
        <w:t>单项金额不重大但按信用风险特征组合后该组合的风险较大的应收账款：</w:t>
        <w:tab/>
        <w:t>单位：元</w:t>
      </w:r>
      <w:r>
        <w:rPr>
          <w:spacing w:val="-4"/>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69"/>
        <w:gridCol w:w="1476"/>
        <w:gridCol w:w="1258"/>
        <w:gridCol w:w="1476"/>
        <w:gridCol w:w="1476"/>
        <w:gridCol w:w="1069"/>
        <w:gridCol w:w="1476"/>
      </w:tblGrid>
      <w:tr>
        <w:trPr>
          <w:trHeight w:val="287" w:hRule="exact"/>
        </w:trPr>
        <w:tc>
          <w:tcPr>
            <w:tcW w:w="106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69" w:type="dxa"/>
            <w:vMerge/>
            <w:tcBorders>
              <w:left w:val="single" w:sz="6" w:space="0" w:color="000000"/>
              <w:right w:val="single" w:sz="6" w:space="0" w:color="000000"/>
            </w:tcBorders>
          </w:tcPr>
          <w:p>
            <w:pPr/>
          </w:p>
        </w:tc>
        <w:tc>
          <w:tcPr>
            <w:tcW w:w="27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069"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7"/>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r>
      <w:tr>
        <w:trPr>
          <w:trHeight w:val="288"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6,754,082.21</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6,754,082.21</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3,073,776.49</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3,073,776.49</w:t>
            </w:r>
          </w:p>
        </w:tc>
      </w:tr>
      <w:tr>
        <w:trPr>
          <w:trHeight w:val="288" w:hRule="exact"/>
        </w:trPr>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6,754,082.21</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6,754,082.21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3,073,776.49</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3,073,776.49</w:t>
            </w:r>
          </w:p>
        </w:tc>
      </w:tr>
    </w:tbl>
    <w:p>
      <w:pPr>
        <w:pStyle w:val="BodyText"/>
        <w:spacing w:line="238" w:lineRule="exact"/>
        <w:ind w:right="171"/>
        <w:jc w:val="left"/>
      </w:pPr>
      <w:r>
        <w:rPr/>
        <w:t>(3)</w:t>
      </w:r>
      <w:r>
        <w:rPr>
          <w:spacing w:val="-2"/>
        </w:rPr>
        <w:t> </w:t>
      </w:r>
      <w:r>
        <w:rPr/>
        <w:t>金额较大的其他应收款项的性质或内容</w:t>
      </w:r>
    </w:p>
    <w:p>
      <w:pPr>
        <w:pStyle w:val="BodyText"/>
        <w:spacing w:line="272" w:lineRule="exact" w:before="26"/>
        <w:ind w:right="171" w:firstLine="420"/>
        <w:jc w:val="left"/>
      </w:pPr>
      <w:r>
        <w:rPr/>
        <w:t>期末金额位列前五名的应收账款合计</w:t>
      </w:r>
      <w:r>
        <w:rPr>
          <w:spacing w:val="-59"/>
        </w:rPr>
        <w:t> </w:t>
      </w:r>
      <w:r>
        <w:rPr/>
        <w:t>182,978,412.00</w:t>
      </w:r>
      <w:r>
        <w:rPr>
          <w:spacing w:val="-58"/>
        </w:rPr>
        <w:t> </w:t>
      </w:r>
      <w:r>
        <w:rPr>
          <w:spacing w:val="-7"/>
        </w:rPr>
        <w:t>元，全部为一年以内，占应收账款总额的比</w:t>
      </w:r>
      <w:r>
        <w:rPr>
          <w:spacing w:val="-1"/>
        </w:rPr>
        <w:t> </w:t>
      </w:r>
      <w:r>
        <w:rPr/>
        <w:t>例为</w:t>
      </w:r>
      <w:r>
        <w:rPr>
          <w:spacing w:val="-56"/>
        </w:rPr>
        <w:t> </w:t>
      </w:r>
      <w:r>
        <w:rPr/>
        <w:t>56.26%。</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3" w:lineRule="exact" w:before="35"/>
        <w:ind w:right="-18"/>
        <w:jc w:val="left"/>
      </w:pPr>
      <w:r>
        <w:rPr/>
        <w:t>2、其他应收款：</w:t>
      </w:r>
    </w:p>
    <w:p>
      <w:pPr>
        <w:pStyle w:val="BodyText"/>
        <w:spacing w:line="273" w:lineRule="exact"/>
        <w:ind w:right="-18"/>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081" w:space="395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123"/>
        <w:gridCol w:w="1476"/>
        <w:gridCol w:w="659"/>
        <w:gridCol w:w="1266"/>
        <w:gridCol w:w="658"/>
        <w:gridCol w:w="1476"/>
        <w:gridCol w:w="846"/>
        <w:gridCol w:w="1266"/>
        <w:gridCol w:w="530"/>
      </w:tblGrid>
      <w:tr>
        <w:trPr>
          <w:trHeight w:val="288" w:hRule="exact"/>
        </w:trPr>
        <w:tc>
          <w:tcPr>
            <w:tcW w:w="11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23" w:type="dxa"/>
            <w:vMerge/>
            <w:tcBorders>
              <w:left w:val="single" w:sz="6" w:space="0" w:color="000000"/>
              <w:right w:val="single" w:sz="6" w:space="0" w:color="000000"/>
            </w:tcBorders>
          </w:tcPr>
          <w:p>
            <w:pPr/>
          </w:p>
        </w:tc>
        <w:tc>
          <w:tcPr>
            <w:tcW w:w="21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1123"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3" w:right="110"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3" w:right="109"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58"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01" w:right="98" w:firstLine="52"/>
              <w:jc w:val="left"/>
              <w:rPr>
                <w:rFonts w:ascii="宋体" w:hAnsi="宋体" w:cs="宋体" w:eastAsia="宋体" w:hint="default"/>
                <w:sz w:val="21"/>
                <w:szCs w:val="21"/>
              </w:rPr>
            </w:pPr>
            <w:r>
              <w:rPr>
                <w:rFonts w:ascii="宋体" w:hAnsi="宋体" w:cs="宋体" w:eastAsia="宋体" w:hint="default"/>
                <w:sz w:val="21"/>
                <w:szCs w:val="21"/>
              </w:rPr>
              <w:t>例 (%)</w:t>
            </w:r>
          </w:p>
        </w:tc>
      </w:tr>
      <w:tr>
        <w:trPr>
          <w:trHeight w:val="832"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其他不重</w:t>
            </w:r>
          </w:p>
          <w:p>
            <w:pPr>
              <w:pStyle w:val="TableParagraph"/>
              <w:spacing w:line="272" w:lineRule="exact" w:before="26"/>
              <w:ind w:left="100" w:right="167"/>
              <w:jc w:val="left"/>
              <w:rPr>
                <w:rFonts w:ascii="宋体" w:hAnsi="宋体" w:cs="宋体" w:eastAsia="宋体" w:hint="default"/>
                <w:sz w:val="21"/>
                <w:szCs w:val="21"/>
              </w:rPr>
            </w:pPr>
            <w:r>
              <w:rPr>
                <w:rFonts w:ascii="宋体" w:hAnsi="宋体" w:cs="宋体" w:eastAsia="宋体" w:hint="default"/>
                <w:sz w:val="21"/>
                <w:szCs w:val="21"/>
              </w:rPr>
              <w:t>大的其他 应收款项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9,089,921.45</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sz w:val="21"/>
              </w:rPr>
              <w:t>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454,496.07</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sz w:val="21"/>
              </w:rPr>
              <w:t>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3,811,281.66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190,564.08</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r>
      <w:tr>
        <w:trPr>
          <w:trHeight w:val="288" w:hRule="exact"/>
        </w:trPr>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9,089,921.45</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454,496.07</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3,811,281.66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190,564.08</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560" w:right="1324" w:hanging="421"/>
        <w:jc w:val="left"/>
      </w:pPr>
      <w:r>
        <w:rPr/>
        <w:t>(2)</w:t>
      </w:r>
      <w:r>
        <w:rPr>
          <w:spacing w:val="-1"/>
        </w:rPr>
        <w:t> </w:t>
      </w:r>
      <w:r>
        <w:rPr/>
        <w:t>本报告期其他应收款中持有公司</w:t>
      </w:r>
      <w:r>
        <w:rPr>
          <w:spacing w:val="-54"/>
        </w:rPr>
        <w:t> </w:t>
      </w:r>
      <w:r>
        <w:rPr/>
        <w:t>5%(含</w:t>
      </w:r>
      <w:r>
        <w:rPr>
          <w:spacing w:val="-55"/>
        </w:rPr>
        <w:t> </w:t>
      </w:r>
      <w:r>
        <w:rPr/>
        <w:t>5%)以上表决权股份的股东单位的欠款情况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1120"/>
        </w:sectPr>
      </w:pPr>
    </w:p>
    <w:p>
      <w:pPr>
        <w:pStyle w:val="BodyText"/>
        <w:spacing w:line="272" w:lineRule="exact" w:before="63"/>
        <w:ind w:left="456" w:right="-20" w:hanging="316"/>
        <w:jc w:val="left"/>
      </w:pPr>
      <w:r>
        <w:rPr/>
        <w:t>3、长期股权投资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717" w:space="5321"/>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1"/>
        <w:gridCol w:w="1501"/>
        <w:gridCol w:w="1402"/>
        <w:gridCol w:w="1297"/>
        <w:gridCol w:w="1600"/>
        <w:gridCol w:w="1698"/>
      </w:tblGrid>
      <w:tr>
        <w:trPr>
          <w:trHeight w:val="559"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3"/>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1"/>
              <w:jc w:val="left"/>
              <w:rPr>
                <w:rFonts w:ascii="宋体" w:hAnsi="宋体" w:cs="宋体" w:eastAsia="宋体" w:hint="default"/>
                <w:sz w:val="21"/>
                <w:szCs w:val="21"/>
              </w:rPr>
            </w:pPr>
            <w:r>
              <w:rPr>
                <w:rFonts w:ascii="宋体" w:hAnsi="宋体" w:cs="宋体" w:eastAsia="宋体" w:hint="default"/>
                <w:sz w:val="21"/>
                <w:szCs w:val="21"/>
              </w:rPr>
              <w:t>在被投资单位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在被投资单位表</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决权比例（％）</w:t>
            </w:r>
          </w:p>
        </w:tc>
      </w:tr>
      <w:tr>
        <w:trPr>
          <w:trHeight w:val="560"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黑化集团中美碧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碧肥有限公司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19,030,000</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6" w:right="0"/>
              <w:jc w:val="left"/>
              <w:rPr>
                <w:rFonts w:ascii="宋体" w:hAnsi="宋体" w:cs="宋体" w:eastAsia="宋体" w:hint="default"/>
                <w:sz w:val="21"/>
                <w:szCs w:val="21"/>
              </w:rPr>
            </w:pPr>
            <w:r>
              <w:rPr>
                <w:rFonts w:ascii="宋体"/>
                <w:sz w:val="21"/>
              </w:rPr>
              <w:t>19,030,000</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 w:right="0"/>
              <w:jc w:val="center"/>
              <w:rPr>
                <w:rFonts w:ascii="宋体" w:hAnsi="宋体" w:cs="宋体" w:eastAsia="宋体" w:hint="default"/>
                <w:sz w:val="21"/>
                <w:szCs w:val="21"/>
              </w:rPr>
            </w:pPr>
            <w:r>
              <w:rPr>
                <w:rFonts w:ascii="宋体"/>
                <w:sz w:val="21"/>
              </w:rPr>
              <w:t>19,030,000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58" w:right="0"/>
              <w:jc w:val="left"/>
              <w:rPr>
                <w:rFonts w:ascii="宋体" w:hAnsi="宋体" w:cs="宋体" w:eastAsia="宋体" w:hint="default"/>
                <w:sz w:val="21"/>
                <w:szCs w:val="21"/>
              </w:rPr>
            </w:pPr>
            <w:r>
              <w:rPr>
                <w:rFonts w:ascii="宋体"/>
                <w:sz w:val="21"/>
              </w:rPr>
              <w:t>64.66</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7" w:right="0"/>
              <w:jc w:val="left"/>
              <w:rPr>
                <w:rFonts w:ascii="宋体" w:hAnsi="宋体" w:cs="宋体" w:eastAsia="宋体" w:hint="default"/>
                <w:sz w:val="21"/>
                <w:szCs w:val="21"/>
              </w:rPr>
            </w:pPr>
            <w:r>
              <w:rPr>
                <w:rFonts w:ascii="宋体"/>
                <w:sz w:val="21"/>
              </w:rPr>
              <w:t>64.66</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2" w:lineRule="exact" w:before="63"/>
        <w:ind w:right="-20"/>
        <w:jc w:val="left"/>
      </w:pPr>
      <w:r>
        <w:rPr/>
        <w:t>4、营业收入： (1)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506" w:space="553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1,569,975,527.48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1,189,503,238.75</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203,546,069.50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133,099,676.94</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1,773,521,596.98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1,322,602,915.69</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(2)</w:t>
      </w:r>
      <w:r>
        <w:rPr>
          <w:spacing w:val="-2"/>
        </w:rPr>
        <w:t> </w:t>
      </w:r>
      <w:r>
        <w:rPr/>
        <w:t>主营业务（分产品）</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6"/>
        <w:gridCol w:w="1896"/>
        <w:gridCol w:w="1896"/>
        <w:gridCol w:w="1896"/>
        <w:gridCol w:w="1896"/>
      </w:tblGrid>
      <w:tr>
        <w:trPr>
          <w:trHeight w:val="287" w:hRule="exact"/>
        </w:trPr>
        <w:tc>
          <w:tcPr>
            <w:tcW w:w="1716" w:type="dxa"/>
            <w:vMerge w:val="restart"/>
            <w:tcBorders>
              <w:top w:val="single" w:sz="6" w:space="0" w:color="000000"/>
              <w:left w:val="single" w:sz="6" w:space="0" w:color="000000"/>
              <w:right w:val="single" w:sz="6" w:space="0" w:color="000000"/>
            </w:tcBorders>
          </w:tcPr>
          <w:p>
            <w:pPr>
              <w:pStyle w:val="TableParagraph"/>
              <w:spacing w:line="240" w:lineRule="auto" w:before="101"/>
              <w:ind w:left="43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171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45,204,550.19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45,215,924.07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53,440,487.23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37,524,395.26</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52,519,295.72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50,157,530.90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61,883,760.64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42,894,122.39</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1,455,503.77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1,446,614.76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615,041.55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387,558.26</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1,022,604,581.99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885,198,286.57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582,578,966.97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434,000,811.58</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716"/>
        <w:gridCol w:w="1896"/>
        <w:gridCol w:w="1896"/>
        <w:gridCol w:w="1896"/>
        <w:gridCol w:w="1896"/>
      </w:tblGrid>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116,598,043.15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120,818,560.37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129,371,737.20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128,155,693.04</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68,669,825.86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80,819,261.50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65,714,619.43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62,518,407.16</w:t>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6,351,828.77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13,670,170.99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4,914,199.11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7,137,560.32</w:t>
            </w:r>
            <w:r>
              <w:rPr>
                <w:rFonts w:ascii="宋体"/>
                <w:sz w:val="21"/>
              </w:rPr>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255,714,412.43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273,886,826.18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290,717,332.59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345,799,737.31</w:t>
            </w:r>
            <w:r>
              <w:rPr>
                <w:rFonts w:ascii="宋体"/>
                <w:sz w:val="21"/>
              </w:rPr>
            </w:r>
          </w:p>
        </w:tc>
      </w:tr>
      <w:tr>
        <w:trPr>
          <w:trHeight w:val="28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813,937.60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813,937.60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267,094.03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267,093.77</w:t>
            </w: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硫磺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43,548.00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43,548.00</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1,569,975,527.48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1,472,070,660.94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1,189,503,238.75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1,058,685,379.09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①公司前五名客户的销售收入总额</w:t>
      </w:r>
      <w:r>
        <w:rPr>
          <w:spacing w:val="-62"/>
        </w:rPr>
        <w:t> </w:t>
      </w:r>
      <w:r>
        <w:rPr/>
        <w:t>759,730,111.03</w:t>
      </w:r>
      <w:r>
        <w:rPr>
          <w:spacing w:val="-62"/>
        </w:rPr>
        <w:t> </w:t>
      </w:r>
      <w:r>
        <w:rPr/>
        <w:t>元，占公司主营业务收入的比例</w:t>
      </w:r>
      <w:r>
        <w:rPr>
          <w:spacing w:val="-62"/>
        </w:rPr>
        <w:t> </w:t>
      </w:r>
      <w:r>
        <w:rPr/>
        <w:t>48.39%。</w:t>
      </w:r>
    </w:p>
    <w:p>
      <w:pPr>
        <w:pStyle w:val="BodyText"/>
        <w:spacing w:line="274" w:lineRule="exact"/>
        <w:ind w:right="0"/>
        <w:jc w:val="left"/>
      </w:pPr>
      <w:r>
        <w:rPr/>
        <w:t>②本期营业收入较上期有较大幅度波动主要是因为焦炭价格本年大幅度上涨</w:t>
      </w:r>
      <w:r>
        <w:rPr>
          <w:spacing w:val="-104"/>
        </w:rPr>
        <w:t>，</w:t>
      </w:r>
      <w:r>
        <w:rPr/>
        <w:t>使得焦炭收入增长较大。</w:t>
      </w:r>
    </w:p>
    <w:p>
      <w:pPr>
        <w:spacing w:line="240" w:lineRule="auto" w:before="11"/>
        <w:rPr>
          <w:rFonts w:ascii="宋体" w:hAnsi="宋体" w:cs="宋体" w:eastAsia="宋体" w:hint="default"/>
          <w:sz w:val="17"/>
          <w:szCs w:val="17"/>
        </w:rPr>
      </w:pPr>
    </w:p>
    <w:p>
      <w:pPr>
        <w:pStyle w:val="BodyText"/>
        <w:spacing w:line="274" w:lineRule="exact" w:before="35"/>
        <w:ind w:left="141" w:right="103"/>
        <w:jc w:val="left"/>
      </w:pPr>
      <w:r>
        <w:rPr/>
        <w:t>5、现金流量表补充资料：</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-47,724,668.08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14,880,267.64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47,267,697.07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-1,202,740.79</w:t>
            </w:r>
            <w:r>
              <w:rPr>
                <w:rFonts w:ascii="宋体"/>
                <w:sz w:val="21"/>
              </w:rPr>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102,810,383.11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76,786,348.33</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29,933,928.34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25,694,391.49</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3,774,452.28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1,604,729.19</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-89,628,720.69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31,167,683.46</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-128,928,928.98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-52,997,485.72</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158,267,072.33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-16,963,973.90</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75,771,215.38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78,969,219.70</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5,503,283.41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1,840,519.07</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20"/>
        <w:jc w:val="left"/>
      </w:pPr>
      <w:r>
        <w:rPr/>
        <w:t>(十)</w:t>
      </w:r>
      <w:r>
        <w:rPr>
          <w:spacing w:val="-2"/>
        </w:rPr>
        <w:t> </w:t>
      </w:r>
      <w:r>
        <w:rPr/>
        <w:t>关联方及关联交易</w:t>
      </w:r>
      <w:r>
        <w:rPr/>
        <w:t> 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2346" w:space="469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70"/>
        <w:gridCol w:w="866"/>
        <w:gridCol w:w="1376"/>
        <w:gridCol w:w="1099"/>
        <w:gridCol w:w="1302"/>
        <w:gridCol w:w="1194"/>
        <w:gridCol w:w="1302"/>
        <w:gridCol w:w="1298"/>
      </w:tblGrid>
      <w:tr>
        <w:trPr>
          <w:trHeight w:val="1104"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17" w:right="110" w:hanging="105"/>
              <w:jc w:val="left"/>
              <w:rPr>
                <w:rFonts w:ascii="宋体" w:hAnsi="宋体" w:cs="宋体" w:eastAsia="宋体" w:hint="default"/>
                <w:sz w:val="21"/>
                <w:szCs w:val="21"/>
              </w:rPr>
            </w:pPr>
            <w:r>
              <w:rPr>
                <w:rFonts w:ascii="宋体" w:hAnsi="宋体" w:cs="宋体" w:eastAsia="宋体" w:hint="default"/>
                <w:sz w:val="21"/>
                <w:szCs w:val="21"/>
              </w:rPr>
              <w:t>母公司 名称</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0" w:right="109"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70" w:right="167"/>
              <w:jc w:val="center"/>
              <w:rPr>
                <w:rFonts w:ascii="宋体" w:hAnsi="宋体" w:cs="宋体" w:eastAsia="宋体" w:hint="default"/>
                <w:sz w:val="21"/>
                <w:szCs w:val="21"/>
              </w:rPr>
            </w:pPr>
            <w:r>
              <w:rPr>
                <w:rFonts w:ascii="宋体" w:hAnsi="宋体" w:cs="宋体" w:eastAsia="宋体" w:hint="default"/>
                <w:sz w:val="21"/>
                <w:szCs w:val="21"/>
              </w:rPr>
              <w:t>本企业的 持股比例 (%)</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7" w:right="118"/>
              <w:jc w:val="both"/>
              <w:rPr>
                <w:rFonts w:ascii="宋体" w:hAnsi="宋体" w:cs="宋体" w:eastAsia="宋体" w:hint="default"/>
                <w:sz w:val="21"/>
                <w:szCs w:val="21"/>
              </w:rPr>
            </w:pPr>
            <w:r>
              <w:rPr>
                <w:rFonts w:ascii="宋体" w:hAnsi="宋体" w:cs="宋体" w:eastAsia="宋体" w:hint="default"/>
                <w:sz w:val="21"/>
                <w:szCs w:val="21"/>
              </w:rPr>
              <w:t>母公司对本 企业的表决 权比例(%)</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6" w:right="115" w:hanging="210"/>
              <w:jc w:val="left"/>
              <w:rPr>
                <w:rFonts w:ascii="宋体" w:hAnsi="宋体" w:cs="宋体" w:eastAsia="宋体" w:hint="default"/>
                <w:sz w:val="21"/>
                <w:szCs w:val="21"/>
              </w:rPr>
            </w:pPr>
            <w:r>
              <w:rPr>
                <w:rFonts w:ascii="宋体" w:hAnsi="宋体" w:cs="宋体" w:eastAsia="宋体" w:hint="default"/>
                <w:sz w:val="21"/>
                <w:szCs w:val="21"/>
              </w:rPr>
              <w:t>本企业最终 控制方</w:t>
            </w:r>
          </w:p>
        </w:tc>
      </w:tr>
      <w:tr>
        <w:trPr>
          <w:trHeight w:val="1378"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2"/>
              <w:jc w:val="both"/>
              <w:rPr>
                <w:rFonts w:ascii="宋体" w:hAnsi="宋体" w:cs="宋体" w:eastAsia="宋体" w:hint="default"/>
                <w:sz w:val="21"/>
                <w:szCs w:val="21"/>
              </w:rPr>
            </w:pPr>
            <w:r>
              <w:rPr>
                <w:rFonts w:ascii="宋体" w:hAnsi="宋体" w:cs="宋体" w:eastAsia="宋体" w:hint="default"/>
                <w:sz w:val="21"/>
                <w:szCs w:val="21"/>
              </w:rPr>
              <w:t>黑龙江 黑化集 团有限 公司</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19"/>
              <w:jc w:val="left"/>
              <w:rPr>
                <w:rFonts w:ascii="宋体" w:hAnsi="宋体" w:cs="宋体" w:eastAsia="宋体" w:hint="default"/>
                <w:sz w:val="21"/>
                <w:szCs w:val="21"/>
              </w:rPr>
            </w:pPr>
            <w:r>
              <w:rPr>
                <w:rFonts w:ascii="宋体" w:hAnsi="宋体" w:cs="宋体" w:eastAsia="宋体" w:hint="default"/>
                <w:sz w:val="21"/>
                <w:szCs w:val="21"/>
              </w:rPr>
              <w:t>国有独 资公司</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8"/>
              <w:jc w:val="both"/>
              <w:rPr>
                <w:rFonts w:ascii="宋体" w:hAnsi="宋体" w:cs="宋体" w:eastAsia="宋体" w:hint="default"/>
                <w:sz w:val="21"/>
                <w:szCs w:val="21"/>
              </w:rPr>
            </w:pPr>
            <w:r>
              <w:rPr>
                <w:rFonts w:ascii="宋体" w:hAnsi="宋体" w:cs="宋体" w:eastAsia="宋体" w:hint="default"/>
                <w:sz w:val="21"/>
                <w:szCs w:val="21"/>
              </w:rPr>
              <w:t>黑龙江省齐 齐哈尔市富 拉尔基区向 阳大街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硝酸铵、</w:t>
            </w:r>
          </w:p>
          <w:p>
            <w:pPr>
              <w:pStyle w:val="TableParagraph"/>
              <w:spacing w:line="272" w:lineRule="exact" w:before="26"/>
              <w:ind w:left="100" w:right="141"/>
              <w:jc w:val="both"/>
              <w:rPr>
                <w:rFonts w:ascii="宋体" w:hAnsi="宋体" w:cs="宋体" w:eastAsia="宋体" w:hint="default"/>
                <w:sz w:val="21"/>
                <w:szCs w:val="21"/>
              </w:rPr>
            </w:pPr>
            <w:r>
              <w:rPr>
                <w:rFonts w:ascii="宋体" w:hAnsi="宋体" w:cs="宋体" w:eastAsia="宋体" w:hint="default"/>
                <w:sz w:val="21"/>
                <w:szCs w:val="21"/>
              </w:rPr>
              <w:t>双氧水等 化工产品 的生产销 售</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36,000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7" w:right="0"/>
              <w:jc w:val="left"/>
              <w:rPr>
                <w:rFonts w:ascii="宋体" w:hAnsi="宋体" w:cs="宋体" w:eastAsia="宋体" w:hint="default"/>
                <w:sz w:val="21"/>
                <w:szCs w:val="21"/>
              </w:rPr>
            </w:pPr>
            <w:r>
              <w:rPr>
                <w:rFonts w:ascii="宋体"/>
                <w:sz w:val="21"/>
              </w:rPr>
              <w:t>49.94</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宋体" w:hAnsi="宋体" w:cs="宋体" w:eastAsia="宋体" w:hint="default"/>
                <w:sz w:val="21"/>
                <w:szCs w:val="21"/>
              </w:rPr>
            </w:pPr>
            <w:r>
              <w:rPr>
                <w:rFonts w:ascii="宋体"/>
                <w:sz w:val="21"/>
              </w:rPr>
              <w:t>49.94</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341"/>
              <w:jc w:val="left"/>
              <w:rPr>
                <w:rFonts w:ascii="宋体" w:hAnsi="宋体" w:cs="宋体" w:eastAsia="宋体" w:hint="default"/>
                <w:sz w:val="21"/>
                <w:szCs w:val="21"/>
              </w:rPr>
            </w:pPr>
            <w:r>
              <w:rPr>
                <w:rFonts w:ascii="宋体" w:hAnsi="宋体" w:cs="宋体" w:eastAsia="宋体" w:hint="default"/>
                <w:sz w:val="21"/>
                <w:szCs w:val="21"/>
              </w:rPr>
              <w:t>中国化工 集团公司</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2、本企业的子公司情况</w:t>
      </w:r>
    </w:p>
    <w:p>
      <w:pPr>
        <w:pStyle w:val="BodyText"/>
        <w:spacing w:line="274" w:lineRule="exact"/>
        <w:ind w:left="0" w:right="178"/>
        <w:jc w:val="right"/>
      </w:pPr>
      <w:r>
        <w:rPr/>
        <w:t>单位: 万元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09"/>
        <w:gridCol w:w="1400"/>
        <w:gridCol w:w="1301"/>
        <w:gridCol w:w="1800"/>
        <w:gridCol w:w="1300"/>
        <w:gridCol w:w="1298"/>
      </w:tblGrid>
      <w:tr>
        <w:trPr>
          <w:trHeight w:val="559"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72"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74" w:lineRule="exact"/>
              <w:ind w:right="1"/>
              <w:jc w:val="center"/>
              <w:rPr>
                <w:rFonts w:ascii="宋体" w:hAnsi="宋体" w:cs="宋体" w:eastAsia="宋体" w:hint="default"/>
                <w:sz w:val="21"/>
                <w:szCs w:val="21"/>
              </w:rPr>
            </w:pPr>
            <w:r>
              <w:rPr>
                <w:rFonts w:ascii="宋体"/>
                <w:sz w:val="21"/>
              </w:rPr>
              <w:t>(%)</w:t>
            </w:r>
          </w:p>
        </w:tc>
      </w:tr>
      <w:tr>
        <w:trPr>
          <w:trHeight w:val="560"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黑化集团中美碧碧肥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齐齐哈尔市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生产企业</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2,943</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sz w:val="21"/>
              </w:rPr>
              <w:t>64.66</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58" w:right="0"/>
              <w:jc w:val="left"/>
              <w:rPr>
                <w:rFonts w:ascii="宋体" w:hAnsi="宋体" w:cs="宋体" w:eastAsia="宋体" w:hint="default"/>
                <w:sz w:val="21"/>
                <w:szCs w:val="21"/>
              </w:rPr>
            </w:pPr>
            <w:r>
              <w:rPr>
                <w:rFonts w:ascii="宋体"/>
                <w:sz w:val="21"/>
              </w:rPr>
              <w:t>64.66</w:t>
            </w:r>
          </w:p>
        </w:tc>
      </w:tr>
    </w:tbl>
    <w:p>
      <w:pPr>
        <w:spacing w:line="240" w:lineRule="auto" w:before="6"/>
        <w:rPr>
          <w:rFonts w:ascii="宋体" w:hAnsi="宋体" w:cs="宋体" w:eastAsia="宋体" w:hint="default"/>
          <w:sz w:val="15"/>
          <w:szCs w:val="15"/>
        </w:rPr>
      </w:pPr>
    </w:p>
    <w:p>
      <w:pPr>
        <w:pStyle w:val="BodyText"/>
        <w:spacing w:line="240" w:lineRule="auto" w:before="35"/>
        <w:ind w:right="171"/>
        <w:jc w:val="left"/>
      </w:pPr>
      <w:r>
        <w:rPr/>
        <w:t>3、本企业的其他关联方情况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308"/>
        <w:gridCol w:w="3900"/>
      </w:tblGrid>
      <w:tr>
        <w:trPr>
          <w:trHeight w:val="287" w:hRule="exact"/>
        </w:trPr>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1"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288" w:hRule="exact"/>
        </w:trPr>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黑龙江黑化集团进出口有限责任公司</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7" w:hRule="exact"/>
        </w:trPr>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黑龙江黑化集团威尔瑞斯气体有限公司</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8" w:hRule="exact"/>
        </w:trPr>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中国化工橡胶总公司</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7" w:hRule="exact"/>
        </w:trPr>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黑龙江黑化集团红岸塑料制品有限责任公司</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8" w:hRule="exact"/>
        </w:trPr>
        <w:tc>
          <w:tcPr>
            <w:tcW w:w="4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齐齐哈尔富龙化工有限公司</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bl>
    <w:p>
      <w:pPr>
        <w:pStyle w:val="BodyText"/>
        <w:spacing w:line="240" w:lineRule="exact"/>
        <w:ind w:right="0"/>
        <w:jc w:val="left"/>
      </w:pPr>
      <w:r>
        <w:rPr/>
        <w:t>注：公司关联方的认定标准以控制、共同控制或重大影响为前提条件，并遵守实质重于形式的原则。</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1120"/>
        </w:sectPr>
      </w:pPr>
    </w:p>
    <w:p>
      <w:pPr>
        <w:pStyle w:val="BodyText"/>
        <w:spacing w:line="274" w:lineRule="exact" w:before="35"/>
        <w:ind w:right="-18"/>
        <w:jc w:val="left"/>
      </w:pPr>
      <w:r>
        <w:rPr/>
        <w:t>4、关联交易情况</w:t>
      </w:r>
    </w:p>
    <w:p>
      <w:pPr>
        <w:pStyle w:val="BodyText"/>
        <w:spacing w:line="274" w:lineRule="exact"/>
        <w:ind w:left="245" w:right="-18"/>
        <w:jc w:val="left"/>
      </w:pPr>
      <w:r>
        <w:rPr/>
        <w:t>(1)</w:t>
      </w:r>
      <w:r>
        <w:rPr>
          <w:spacing w:val="-2"/>
        </w:rPr>
        <w:t> </w:t>
      </w:r>
      <w:r>
        <w:rPr/>
        <w:t>购销商品、提供和接受劳务的关联交易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4236" w:space="280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10"/>
        <w:gridCol w:w="1098"/>
        <w:gridCol w:w="1201"/>
        <w:gridCol w:w="1699"/>
        <w:gridCol w:w="1001"/>
        <w:gridCol w:w="1702"/>
        <w:gridCol w:w="1098"/>
      </w:tblGrid>
      <w:tr>
        <w:trPr>
          <w:trHeight w:val="287" w:hRule="exact"/>
        </w:trPr>
        <w:tc>
          <w:tcPr>
            <w:tcW w:w="15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0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1" w:right="120"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2" w:right="171"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1105" w:hRule="exact"/>
        </w:trPr>
        <w:tc>
          <w:tcPr>
            <w:tcW w:w="1510" w:type="dxa"/>
            <w:vMerge/>
            <w:tcBorders>
              <w:left w:val="single" w:sz="6" w:space="0" w:color="000000"/>
              <w:bottom w:val="single" w:sz="6" w:space="0" w:color="000000"/>
              <w:right w:val="single" w:sz="6" w:space="0" w:color="000000"/>
            </w:tcBorders>
          </w:tcPr>
          <w:p>
            <w:pPr/>
          </w:p>
        </w:tc>
        <w:tc>
          <w:tcPr>
            <w:tcW w:w="1098"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25" w:right="123" w:firstLine="52"/>
              <w:jc w:val="both"/>
              <w:rPr>
                <w:rFonts w:ascii="宋体" w:hAnsi="宋体" w:cs="宋体" w:eastAsia="宋体" w:hint="default"/>
                <w:sz w:val="21"/>
                <w:szCs w:val="21"/>
              </w:rPr>
            </w:pPr>
            <w:r>
              <w:rPr>
                <w:rFonts w:ascii="宋体" w:hAnsi="宋体" w:cs="宋体" w:eastAsia="宋体" w:hint="default"/>
                <w:sz w:val="21"/>
                <w:szCs w:val="21"/>
              </w:rPr>
              <w:t>交易金 额的比 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34" w:firstLine="20"/>
              <w:jc w:val="both"/>
              <w:rPr>
                <w:rFonts w:ascii="宋体" w:hAnsi="宋体" w:cs="宋体" w:eastAsia="宋体" w:hint="default"/>
                <w:sz w:val="21"/>
                <w:szCs w:val="21"/>
              </w:rPr>
            </w:pPr>
            <w:r>
              <w:rPr>
                <w:rFonts w:ascii="宋体" w:hAnsi="宋体" w:cs="宋体" w:eastAsia="宋体" w:hint="default"/>
                <w:sz w:val="21"/>
                <w:szCs w:val="21"/>
              </w:rPr>
              <w:t>占同类交 易金额的 比例（%）</w:t>
            </w: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38,616,996.71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2.84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47,910,947.75</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5.15</w:t>
            </w:r>
          </w:p>
        </w:tc>
      </w:tr>
      <w:tr>
        <w:trPr>
          <w:trHeight w:val="560"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28,225,822.00</w:t>
            </w:r>
            <w:r>
              <w:rPr>
                <w:rFonts w:ascii="宋体"/>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2.07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5,124,401.10</w:t>
            </w:r>
            <w:r>
              <w:rPr>
                <w:rFonts w:ascii="宋体"/>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0.55</w:t>
            </w:r>
            <w:r>
              <w:rPr>
                <w:rFonts w:ascii="宋体"/>
                <w:sz w:val="21"/>
              </w:rPr>
            </w: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56,928,749.00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97</w:t>
            </w:r>
          </w:p>
        </w:tc>
        <w:tc>
          <w:tcPr>
            <w:tcW w:w="1702"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191,703,621.38</w:t>
            </w:r>
            <w:r>
              <w:rPr>
                <w:rFonts w:ascii="宋体"/>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10.49</w:t>
            </w:r>
            <w:r>
              <w:rPr>
                <w:rFonts w:ascii="宋体"/>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203,268,549.37</w:t>
            </w:r>
            <w:r>
              <w:rPr>
                <w:rFonts w:ascii="宋体"/>
                <w:sz w:val="21"/>
              </w:rPr>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15.31</w:t>
            </w:r>
            <w:r>
              <w:rPr>
                <w:rFonts w:ascii="宋体"/>
                <w:sz w:val="21"/>
              </w:rPr>
            </w:r>
          </w:p>
        </w:tc>
      </w:tr>
      <w:tr>
        <w:trPr>
          <w:trHeight w:val="833"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黑龙江黑化进</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出口有限责任 公司</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43,011,987.12</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2.35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54,146,186.71</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4.08</w:t>
            </w:r>
          </w:p>
        </w:tc>
      </w:tr>
      <w:tr>
        <w:trPr>
          <w:trHeight w:val="833"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团威尔瑞斯气 体有限公司</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880,769.48</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374,415.19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0.03</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right="164"/>
        <w:jc w:val="left"/>
      </w:pPr>
      <w:r>
        <w:rPr/>
        <w:t>(2)</w:t>
      </w:r>
      <w:r>
        <w:rPr>
          <w:spacing w:val="-1"/>
        </w:rPr>
        <w:t> </w:t>
      </w:r>
      <w:r>
        <w:rPr/>
        <w:t>关联租赁情况</w:t>
      </w:r>
      <w:r>
        <w:rPr/>
        <w:t> 根据黑龙江黑化集团有限公司与本公司签订的土地使用租赁合同，本期向黑龙江黑化集团有限公司支 付土地租赁费</w:t>
      </w:r>
      <w:r>
        <w:rPr>
          <w:spacing w:val="-61"/>
        </w:rPr>
        <w:t> </w:t>
      </w:r>
      <w:r>
        <w:rPr/>
        <w:t>430,900.00</w:t>
      </w:r>
      <w:r>
        <w:rPr>
          <w:spacing w:val="-61"/>
        </w:rPr>
        <w:t> </w:t>
      </w:r>
      <w:r>
        <w:rPr/>
        <w:t>元。</w:t>
      </w:r>
    </w:p>
    <w:p>
      <w:pPr>
        <w:spacing w:line="240" w:lineRule="auto" w:before="0"/>
        <w:rPr>
          <w:rFonts w:ascii="宋体" w:hAnsi="宋体" w:cs="宋体" w:eastAsia="宋体" w:hint="default"/>
          <w:sz w:val="16"/>
          <w:szCs w:val="16"/>
        </w:rPr>
      </w:pPr>
    </w:p>
    <w:p>
      <w:pPr>
        <w:pStyle w:val="BodyText"/>
        <w:spacing w:line="274" w:lineRule="exact" w:before="35"/>
        <w:ind w:right="171"/>
        <w:jc w:val="left"/>
      </w:pPr>
      <w:r>
        <w:rPr/>
        <w:t>(3)</w:t>
      </w:r>
      <w:r>
        <w:rPr>
          <w:spacing w:val="-2"/>
        </w:rPr>
        <w:t> </w:t>
      </w:r>
      <w:r>
        <w:rPr/>
        <w:t>关联担保情况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287"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是否经履行完毕</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16,550,000.00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24,850,000.00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20,300,000.00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23,350,000.00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19,750,000.00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21,800,000.00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8,900,000.00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8,500,000.00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9,000,000.00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9,780,000.00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171"/>
        <w:jc w:val="left"/>
      </w:pPr>
      <w:r>
        <w:rPr/>
        <w:t>5、关联方应收应付款项</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9"/>
        <w:gridCol w:w="2845"/>
        <w:gridCol w:w="2374"/>
        <w:gridCol w:w="2372"/>
      </w:tblGrid>
      <w:tr>
        <w:trPr>
          <w:trHeight w:val="28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70,992,154.64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26,690,931.95</w:t>
            </w:r>
            <w:r>
              <w:rPr>
                <w:rFonts w:ascii="宋体"/>
                <w:sz w:val="21"/>
              </w:rPr>
            </w: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黑龙江黑化集团进出口有限</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4,190,575.26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3,773,793.70</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5" w:type="dxa"/>
        <w:tblLayout w:type="fixed"/>
        <w:tblCellMar>
          <w:top w:w="0" w:type="dxa"/>
          <w:left w:w="0" w:type="dxa"/>
          <w:bottom w:w="0" w:type="dxa"/>
          <w:right w:w="0" w:type="dxa"/>
        </w:tblCellMar>
        <w:tblLook w:val="01E0"/>
      </w:tblPr>
      <w:tblGrid>
        <w:gridCol w:w="1709"/>
        <w:gridCol w:w="2845"/>
        <w:gridCol w:w="2374"/>
        <w:gridCol w:w="2372"/>
      </w:tblGrid>
      <w:tr>
        <w:trPr>
          <w:trHeight w:val="287" w:hRule="exact"/>
        </w:trPr>
        <w:tc>
          <w:tcPr>
            <w:tcW w:w="1709"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8,947,394.66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12,893,861.22</w:t>
            </w:r>
          </w:p>
        </w:tc>
      </w:tr>
      <w:tr>
        <w:trPr>
          <w:trHeight w:val="28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中国化工橡胶总公司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872,910.04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17,559,876.04</w:t>
            </w:r>
          </w:p>
        </w:tc>
      </w:tr>
      <w:tr>
        <w:trPr>
          <w:trHeight w:val="56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黑龙江黑化集团红岸塑料制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品有限责任公司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1,012,989.63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5,659,615.25</w:t>
            </w:r>
          </w:p>
        </w:tc>
      </w:tr>
    </w:tbl>
    <w:p>
      <w:pPr>
        <w:spacing w:line="240" w:lineRule="auto" w:before="6"/>
        <w:rPr>
          <w:rFonts w:ascii="宋体" w:hAnsi="宋体" w:cs="宋体" w:eastAsia="宋体" w:hint="default"/>
          <w:sz w:val="15"/>
          <w:szCs w:val="15"/>
        </w:rPr>
      </w:pPr>
    </w:p>
    <w:p>
      <w:pPr>
        <w:pStyle w:val="BodyText"/>
        <w:spacing w:line="272" w:lineRule="exact" w:before="63"/>
        <w:ind w:left="641" w:right="7661" w:hanging="421"/>
        <w:jc w:val="left"/>
      </w:pPr>
      <w:r>
        <w:rPr/>
        <w:t>(十一)</w:t>
      </w:r>
      <w:r>
        <w:rPr>
          <w:spacing w:val="-2"/>
        </w:rPr>
        <w:t> </w:t>
      </w:r>
      <w:r>
        <w:rPr/>
        <w:t>股份支付：</w:t>
      </w:r>
      <w:r>
        <w:rPr/>
        <w:t> 无</w:t>
      </w:r>
    </w:p>
    <w:p>
      <w:pPr>
        <w:spacing w:line="240" w:lineRule="auto" w:before="12"/>
        <w:rPr>
          <w:rFonts w:ascii="宋体" w:hAnsi="宋体" w:cs="宋体" w:eastAsia="宋体" w:hint="default"/>
          <w:sz w:val="17"/>
          <w:szCs w:val="17"/>
        </w:rPr>
      </w:pPr>
    </w:p>
    <w:p>
      <w:pPr>
        <w:pStyle w:val="BodyText"/>
        <w:spacing w:line="244" w:lineRule="auto"/>
        <w:ind w:left="220" w:right="4929"/>
        <w:jc w:val="left"/>
      </w:pPr>
      <w:r>
        <w:rPr/>
        <w:t>(十二)</w:t>
      </w:r>
      <w:r>
        <w:rPr>
          <w:spacing w:val="-1"/>
        </w:rPr>
        <w:t> </w:t>
      </w:r>
      <w:r>
        <w:rPr/>
        <w:t>或有事项</w:t>
      </w:r>
      <w:r>
        <w:rPr>
          <w:sz w:val="28"/>
          <w:szCs w:val="28"/>
        </w:rPr>
        <w:t>：</w:t>
      </w:r>
      <w:r>
        <w:rPr>
          <w:w w:val="99"/>
          <w:sz w:val="28"/>
          <w:szCs w:val="28"/>
        </w:rPr>
        <w:t> </w:t>
      </w:r>
      <w:r>
        <w:rPr/>
        <w:t>1、未决诉讼仲裁形成的或有负债及其财务影响：</w:t>
      </w:r>
    </w:p>
    <w:p>
      <w:pPr>
        <w:pStyle w:val="BodyText"/>
        <w:spacing w:line="268" w:lineRule="exact"/>
        <w:ind w:left="536" w:right="4929"/>
        <w:jc w:val="left"/>
      </w:pPr>
      <w:r>
        <w:rPr/>
        <w:t>本公司无未决诉讼或仲裁形成的或有事项。</w:t>
      </w:r>
    </w:p>
    <w:p>
      <w:pPr>
        <w:spacing w:line="240" w:lineRule="auto" w:before="10"/>
        <w:rPr>
          <w:rFonts w:ascii="宋体" w:hAnsi="宋体" w:cs="宋体" w:eastAsia="宋体" w:hint="default"/>
          <w:sz w:val="22"/>
          <w:szCs w:val="22"/>
        </w:rPr>
      </w:pPr>
    </w:p>
    <w:p>
      <w:pPr>
        <w:pStyle w:val="BodyText"/>
        <w:spacing w:line="272" w:lineRule="exact"/>
        <w:ind w:left="536" w:right="204" w:hanging="316"/>
        <w:jc w:val="left"/>
      </w:pPr>
      <w:r>
        <w:rPr/>
        <w:t>2、为其他单位提供债务担保形成的或有负债及其财务影响： </w:t>
      </w:r>
      <w:r>
        <w:rPr>
          <w:spacing w:val="-1"/>
        </w:rPr>
        <w:t>本公司除了对关联方提供担保（详见附注十（3））外，为非关联方提供担保的事项如下：</w:t>
      </w:r>
      <w:r>
        <w:rPr/>
      </w:r>
    </w:p>
    <w:p>
      <w:pPr>
        <w:spacing w:line="240" w:lineRule="auto" w:before="6"/>
        <w:rPr>
          <w:rFonts w:ascii="宋体" w:hAnsi="宋体" w:cs="宋体" w:eastAsia="宋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1208"/>
        <w:gridCol w:w="1616"/>
        <w:gridCol w:w="1183"/>
        <w:gridCol w:w="1818"/>
        <w:gridCol w:w="2212"/>
        <w:gridCol w:w="1421"/>
      </w:tblGrid>
      <w:tr>
        <w:trPr>
          <w:trHeight w:val="556"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担保单位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8"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被担保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单位性质</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3" w:right="0"/>
              <w:jc w:val="left"/>
              <w:rPr>
                <w:rFonts w:ascii="宋体" w:hAnsi="宋体" w:cs="宋体" w:eastAsia="宋体" w:hint="default"/>
                <w:sz w:val="21"/>
                <w:szCs w:val="21"/>
              </w:rPr>
            </w:pPr>
            <w:r>
              <w:rPr>
                <w:rFonts w:ascii="宋体" w:hAnsi="宋体" w:cs="宋体" w:eastAsia="宋体" w:hint="default"/>
                <w:sz w:val="21"/>
                <w:szCs w:val="21"/>
              </w:rPr>
              <w:t>期末担保总额</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被担保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单位现状</w:t>
            </w:r>
          </w:p>
        </w:tc>
      </w:tr>
      <w:tr>
        <w:trPr>
          <w:trHeight w:val="55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齐齐哈尔德科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10,000,000.00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2008.9.28-2009.8.27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正常经营</w:t>
            </w:r>
          </w:p>
        </w:tc>
      </w:tr>
      <w:tr>
        <w:trPr>
          <w:trHeight w:val="55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齐齐哈尔德科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民营企业</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10,000,000.00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2008.9.28-2009.9.24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正常经营</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2" w:lineRule="exact" w:before="63"/>
        <w:ind w:left="643" w:right="7661" w:hanging="423"/>
        <w:jc w:val="left"/>
      </w:pPr>
      <w:r>
        <w:rPr/>
        <w:t>(十三)</w:t>
      </w:r>
      <w:r>
        <w:rPr>
          <w:spacing w:val="-2"/>
        </w:rPr>
        <w:t> </w:t>
      </w:r>
      <w:r>
        <w:rPr/>
        <w:t>承诺事项：</w:t>
      </w:r>
      <w:r>
        <w:rPr/>
        <w:t> 无</w:t>
      </w:r>
    </w:p>
    <w:p>
      <w:pPr>
        <w:spacing w:line="240" w:lineRule="auto" w:before="11"/>
        <w:rPr>
          <w:rFonts w:ascii="宋体" w:hAnsi="宋体" w:cs="宋体" w:eastAsia="宋体" w:hint="default"/>
          <w:sz w:val="20"/>
          <w:szCs w:val="20"/>
        </w:rPr>
      </w:pPr>
    </w:p>
    <w:p>
      <w:pPr>
        <w:pStyle w:val="BodyText"/>
        <w:spacing w:line="272" w:lineRule="exact"/>
        <w:ind w:left="220" w:right="204"/>
        <w:jc w:val="left"/>
      </w:pPr>
      <w:r>
        <w:rPr/>
        <w:t>(十四)</w:t>
      </w:r>
      <w:r>
        <w:rPr>
          <w:spacing w:val="-1"/>
        </w:rPr>
        <w:t> </w:t>
      </w:r>
      <w:r>
        <w:rPr/>
        <w:t>资产负债表日后事项：</w:t>
      </w:r>
      <w:r>
        <w:rPr/>
        <w:t> 根据本公司第四届董事会第九次会议决议，本年度不进行利润分配，也不进行资本公积金转增股本。</w:t>
      </w:r>
    </w:p>
    <w:p>
      <w:pPr>
        <w:spacing w:line="240" w:lineRule="auto" w:before="11"/>
        <w:rPr>
          <w:rFonts w:ascii="宋体" w:hAnsi="宋体" w:cs="宋体" w:eastAsia="宋体" w:hint="default"/>
          <w:sz w:val="20"/>
          <w:szCs w:val="20"/>
        </w:rPr>
      </w:pPr>
    </w:p>
    <w:p>
      <w:pPr>
        <w:pStyle w:val="BodyText"/>
        <w:spacing w:line="272" w:lineRule="exact"/>
        <w:ind w:left="643" w:right="7241" w:hanging="423"/>
        <w:jc w:val="left"/>
      </w:pPr>
      <w:r>
        <w:rPr/>
        <w:t>(十五)</w:t>
      </w:r>
      <w:r>
        <w:rPr>
          <w:spacing w:val="-2"/>
        </w:rPr>
        <w:t> </w:t>
      </w:r>
      <w:r>
        <w:rPr/>
        <w:t>其他重要事项：</w:t>
      </w:r>
      <w:r>
        <w:rPr/>
        <w:t> 无</w:t>
      </w:r>
    </w:p>
    <w:p>
      <w:pPr>
        <w:spacing w:line="240" w:lineRule="auto" w:before="10"/>
        <w:rPr>
          <w:rFonts w:ascii="宋体" w:hAnsi="宋体" w:cs="宋体" w:eastAsia="宋体" w:hint="default"/>
          <w:sz w:val="18"/>
          <w:szCs w:val="18"/>
        </w:rPr>
      </w:pPr>
    </w:p>
    <w:p>
      <w:pPr>
        <w:pStyle w:val="BodyText"/>
        <w:spacing w:line="274" w:lineRule="exact"/>
        <w:ind w:left="220" w:right="7661"/>
        <w:jc w:val="left"/>
      </w:pPr>
      <w:r>
        <w:rPr/>
        <w:t>(十六)</w:t>
      </w:r>
      <w:r>
        <w:rPr>
          <w:spacing w:val="-2"/>
        </w:rPr>
        <w:t> </w:t>
      </w:r>
      <w:r>
        <w:rPr/>
        <w:t>补充资料</w:t>
      </w:r>
    </w:p>
    <w:p>
      <w:pPr>
        <w:pStyle w:val="BodyText"/>
        <w:spacing w:line="272" w:lineRule="exact" w:before="26"/>
        <w:ind w:left="220" w:right="210"/>
        <w:jc w:val="left"/>
      </w:pPr>
      <w:r>
        <w:rPr/>
        <w:t>1、按中国证监会发布的《公开发行证券的公司信息披露规范问答第</w:t>
      </w:r>
      <w:r>
        <w:rPr>
          <w:spacing w:val="-54"/>
        </w:rPr>
        <w:t> </w:t>
      </w:r>
      <w:r>
        <w:rPr/>
        <w:t>1</w:t>
      </w:r>
      <w:r>
        <w:rPr>
          <w:spacing w:val="-54"/>
        </w:rPr>
        <w:t> </w:t>
      </w:r>
      <w:r>
        <w:rPr/>
        <w:t>号-非经常性损益》第</w:t>
      </w:r>
      <w:r>
        <w:rPr>
          <w:spacing w:val="-54"/>
        </w:rPr>
        <w:t> </w:t>
      </w:r>
      <w:r>
        <w:rPr/>
        <w:t>1</w:t>
      </w:r>
      <w:r>
        <w:rPr>
          <w:spacing w:val="-54"/>
        </w:rPr>
        <w:t> </w:t>
      </w:r>
      <w:r>
        <w:rPr/>
        <w:t>号的规</w:t>
      </w:r>
      <w:r>
        <w:rPr/>
        <w:t> 定，本公司当期非经常性损益的发生金额列示如下：</w:t>
      </w:r>
    </w:p>
    <w:p>
      <w:pPr>
        <w:pStyle w:val="BodyText"/>
        <w:spacing w:line="248"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5920"/>
        <w:gridCol w:w="3380"/>
      </w:tblGrid>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591,338.31</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-4,798.64</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586,539.67</w:t>
            </w:r>
          </w:p>
        </w:tc>
      </w:tr>
    </w:tbl>
    <w:p>
      <w:pPr>
        <w:spacing w:line="240" w:lineRule="auto" w:before="6"/>
        <w:rPr>
          <w:rFonts w:ascii="宋体" w:hAnsi="宋体" w:cs="宋体" w:eastAsia="宋体" w:hint="default"/>
          <w:sz w:val="15"/>
          <w:szCs w:val="15"/>
        </w:rPr>
      </w:pPr>
    </w:p>
    <w:p>
      <w:pPr>
        <w:pStyle w:val="BodyText"/>
        <w:spacing w:line="272" w:lineRule="exact" w:before="63"/>
        <w:ind w:left="220" w:right="209"/>
        <w:jc w:val="left"/>
      </w:pPr>
      <w:r>
        <w:rPr>
          <w:spacing w:val="-4"/>
        </w:rPr>
        <w:t>2、按中国证监会发布的《公开发行证券公司信息披露编报规则》第</w:t>
      </w:r>
      <w:r>
        <w:rPr>
          <w:spacing w:val="-48"/>
        </w:rPr>
        <w:t> </w:t>
      </w:r>
      <w:r>
        <w:rPr/>
        <w:t>9</w:t>
      </w:r>
      <w:r>
        <w:rPr>
          <w:spacing w:val="-47"/>
        </w:rPr>
        <w:t> </w:t>
      </w:r>
      <w:r>
        <w:rPr/>
        <w:t>号的要求计算的净资产收益率及</w:t>
      </w:r>
      <w:r>
        <w:rPr/>
        <w:t> 每股收益</w:t>
      </w:r>
    </w:p>
    <w:tbl>
      <w:tblPr>
        <w:tblW w:w="0" w:type="auto"/>
        <w:jc w:val="left"/>
        <w:tblInd w:w="205" w:type="dxa"/>
        <w:tblLayout w:type="fixed"/>
        <w:tblCellMar>
          <w:top w:w="0" w:type="dxa"/>
          <w:left w:w="0" w:type="dxa"/>
          <w:bottom w:w="0" w:type="dxa"/>
          <w:right w:w="0" w:type="dxa"/>
        </w:tblCellMar>
        <w:tblLook w:val="01E0"/>
      </w:tblPr>
      <w:tblGrid>
        <w:gridCol w:w="2279"/>
        <w:gridCol w:w="1897"/>
        <w:gridCol w:w="1614"/>
        <w:gridCol w:w="1709"/>
        <w:gridCol w:w="1801"/>
      </w:tblGrid>
      <w:tr>
        <w:trPr>
          <w:trHeight w:val="287" w:hRule="exact"/>
        </w:trPr>
        <w:tc>
          <w:tcPr>
            <w:tcW w:w="2279" w:type="dxa"/>
            <w:vMerge w:val="restart"/>
            <w:tcBorders>
              <w:top w:val="single" w:sz="6" w:space="0" w:color="000000"/>
              <w:left w:val="single" w:sz="6" w:space="0" w:color="000000"/>
              <w:right w:val="single" w:sz="6" w:space="0" w:color="000000"/>
            </w:tcBorders>
          </w:tcPr>
          <w:p>
            <w:pPr>
              <w:pStyle w:val="TableParagraph"/>
              <w:spacing w:line="240" w:lineRule="auto" w:before="101"/>
              <w:ind w:left="605"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5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5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279" w:type="dxa"/>
            <w:vMerge/>
            <w:tcBorders>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-6.11</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-0.13</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-0.13</w:t>
            </w:r>
          </w:p>
        </w:tc>
      </w:tr>
      <w:tr>
        <w:trPr>
          <w:trHeight w:val="833"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归属于公司普通股股 东的净利润</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-6.16</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-5.98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-0.13</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-0.13</w:t>
            </w:r>
          </w:p>
        </w:tc>
      </w:tr>
    </w:tbl>
    <w:p>
      <w:pPr>
        <w:spacing w:after="0" w:line="240" w:lineRule="auto"/>
        <w:jc w:val="right"/>
        <w:rPr>
          <w:rFonts w:ascii="宋体" w:hAnsi="宋体" w:cs="宋体" w:eastAsia="宋体" w:hint="default"/>
          <w:sz w:val="21"/>
          <w:szCs w:val="21"/>
        </w:rPr>
        <w:sectPr>
          <w:pgSz w:w="11910" w:h="16840"/>
          <w:pgMar w:header="747" w:footer="727" w:top="980" w:bottom="920" w:left="114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272" w:lineRule="exact" w:before="63"/>
        <w:ind w:left="140" w:right="1489" w:firstLine="0"/>
        <w:jc w:val="left"/>
        <w:rPr>
          <w:rFonts w:ascii="宋体" w:hAnsi="宋体" w:cs="宋体" w:eastAsia="宋体" w:hint="default"/>
          <w:sz w:val="21"/>
          <w:szCs w:val="21"/>
        </w:rPr>
      </w:pPr>
      <w:bookmarkStart w:name="_bookmark8" w:id="9"/>
      <w:bookmarkEnd w:id="9"/>
      <w:r>
        <w:rPr/>
      </w:r>
      <w:r>
        <w:rPr>
          <w:rFonts w:ascii="宋体" w:hAnsi="宋体" w:cs="宋体" w:eastAsia="宋体" w:hint="default"/>
          <w:b/>
          <w:bCs/>
          <w:sz w:val="21"/>
          <w:szCs w:val="21"/>
        </w:rPr>
        <w:t>十二、备查文件目录</w:t>
      </w:r>
      <w:r>
        <w:rPr>
          <w:rFonts w:ascii="宋体" w:hAnsi="宋体" w:cs="宋体" w:eastAsia="宋体" w:hint="default"/>
          <w:b/>
          <w:bCs/>
          <w:spacing w:val="1"/>
          <w:w w:val="99"/>
          <w:sz w:val="21"/>
          <w:szCs w:val="21"/>
        </w:rPr>
        <w:t> </w:t>
      </w:r>
      <w:r>
        <w:rPr>
          <w:rFonts w:ascii="宋体" w:hAnsi="宋体" w:cs="宋体" w:eastAsia="宋体" w:hint="default"/>
          <w:sz w:val="21"/>
          <w:szCs w:val="21"/>
        </w:rPr>
        <w:t>1、载有法定代表人、主管会计工作负责人及会计机构负责人签名并盖章的会计报表；</w:t>
      </w:r>
    </w:p>
    <w:p>
      <w:pPr>
        <w:pStyle w:val="BodyText"/>
        <w:spacing w:line="246" w:lineRule="exact"/>
        <w:ind w:right="0"/>
        <w:jc w:val="left"/>
      </w:pPr>
      <w:r>
        <w:rPr/>
        <w:t>2、载有会计师事务所盖章、注册会计师签名并盖章的审计报告原件；</w:t>
      </w:r>
    </w:p>
    <w:p>
      <w:pPr>
        <w:pStyle w:val="BodyText"/>
        <w:spacing w:line="274" w:lineRule="exact"/>
        <w:ind w:right="0"/>
        <w:jc w:val="left"/>
      </w:pPr>
      <w:r>
        <w:rPr/>
        <w:t>3、报告期内在中国证监会指定报纸上公开披露过的所有公司文件的正本及公告的原稿。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14" w:lineRule="auto"/>
        <w:ind w:left="7073" w:right="139" w:firstLine="840"/>
        <w:jc w:val="right"/>
      </w:pPr>
      <w:r>
        <w:rPr/>
        <w:t>董事长：王宏伟 黑龙江黑化股份有限公司 2009</w:t>
      </w:r>
      <w:r>
        <w:rPr>
          <w:spacing w:val="-54"/>
        </w:rPr>
        <w:t> </w:t>
      </w:r>
      <w:r>
        <w:rPr/>
        <w:t>年</w:t>
      </w:r>
      <w:r>
        <w:rPr>
          <w:spacing w:val="-54"/>
        </w:rPr>
        <w:t> </w:t>
      </w:r>
      <w:r>
        <w:rPr/>
        <w:t>4</w:t>
      </w:r>
      <w:r>
        <w:rPr>
          <w:spacing w:val="-54"/>
        </w:rPr>
        <w:t> </w:t>
      </w:r>
      <w:r>
        <w:rPr/>
        <w:t>月</w:t>
      </w:r>
      <w:r>
        <w:rPr>
          <w:spacing w:val="-55"/>
        </w:rPr>
        <w:t> </w:t>
      </w:r>
      <w:r>
        <w:rPr/>
        <w:t>30</w:t>
      </w:r>
      <w:r>
        <w:rPr>
          <w:spacing w:val="-53"/>
        </w:rPr>
        <w:t> </w:t>
      </w:r>
      <w:r>
        <w:rPr/>
        <w:t>日</w:t>
      </w:r>
    </w:p>
    <w:sectPr>
      <w:pgSz w:w="11910" w:h="16840"/>
      <w:pgMar w:header="747" w:footer="727" w:top="980" w:bottom="920" w:left="12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5095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509560"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70.75pt;height:11pt;mso-position-horizontal-relative:page;mso-position-vertical-relative:page;z-index:-509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25"/>
      <w:ind w:left="140"/>
    </w:pPr>
    <w:rPr>
      <w:rFonts w:ascii="宋体" w:hAnsi="宋体" w:eastAsia="宋体"/>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140"/>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hhgf@tom.com" TargetMode="External"/><Relationship Id="rId8" Type="http://schemas.openxmlformats.org/officeDocument/2006/relationships/hyperlink" Target="mailto:zlz600179@sohu.com" TargetMode="External"/><Relationship Id="rId9" Type="http://schemas.openxmlformats.org/officeDocument/2006/relationships/hyperlink" Target="http://www.sse.com.c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黑龙江黑化股份有限公司</dc:title>
  <dcterms:created xsi:type="dcterms:W3CDTF">2020-04-02T00:30:48Z</dcterms:created>
  <dcterms:modified xsi:type="dcterms:W3CDTF">2020-04-02T00:30:48Z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2009-04-29T00:00:00Z</vt:filetime>
  </property>
  <property fmtid="{D5CDD505-2E9C-101B-9397-08002B2CF9AE}" pid="3" name="Creator">
    <vt:lpwstr>Acrobat PDFMaker 7.0 for Word</vt:lpwstr>
  </property>
  <property fmtid="{D5CDD505-2E9C-101B-9397-08002B2CF9AE}" pid="4" name="LastSaved">
    <vt:filetime>2020-04-01T00:00:00Z</vt:filetime>
  </property>
</Properties>
</file>