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2"/>
          <w:szCs w:val="22"/>
        </w:rPr>
      </w:pPr>
    </w:p>
    <w:p>
      <w:pPr>
        <w:spacing w:line="540" w:lineRule="exact" w:before="0"/>
        <w:ind w:left="1823" w:right="1822" w:firstLine="0"/>
        <w:jc w:val="center"/>
        <w:rPr>
          <w:rFonts w:ascii="黑体" w:hAnsi="黑体" w:cs="黑体" w:eastAsia="黑体" w:hint="default"/>
          <w:sz w:val="44"/>
          <w:szCs w:val="44"/>
        </w:rPr>
      </w:pPr>
      <w:r>
        <w:rPr>
          <w:rFonts w:ascii="黑体" w:hAnsi="黑体" w:cs="黑体" w:eastAsia="黑体" w:hint="default"/>
          <w:b/>
          <w:bCs/>
          <w:color w:val="FF0000"/>
          <w:sz w:val="44"/>
          <w:szCs w:val="44"/>
        </w:rPr>
        <w:t>黑龙江黑化股份有限公司</w:t>
      </w:r>
      <w:r>
        <w:rPr>
          <w:rFonts w:ascii="黑体" w:hAnsi="黑体" w:cs="黑体" w:eastAsia="黑体" w:hint="default"/>
          <w:sz w:val="44"/>
          <w:szCs w:val="44"/>
        </w:rPr>
      </w:r>
    </w:p>
    <w:p>
      <w:pPr>
        <w:spacing w:before="145"/>
        <w:ind w:left="1822" w:right="1822" w:firstLine="0"/>
        <w:jc w:val="center"/>
        <w:rPr>
          <w:rFonts w:ascii="黑体" w:hAnsi="黑体" w:cs="黑体" w:eastAsia="黑体" w:hint="default"/>
          <w:sz w:val="32"/>
          <w:szCs w:val="32"/>
        </w:rPr>
      </w:pPr>
      <w:r>
        <w:rPr>
          <w:rFonts w:ascii="黑体"/>
          <w:b/>
          <w:color w:val="FF0000"/>
          <w:sz w:val="32"/>
        </w:rPr>
        <w:t>600179</w:t>
      </w:r>
      <w:r>
        <w:rPr>
          <w:rFonts w:ascii="黑体"/>
          <w:sz w:val="32"/>
        </w:rPr>
      </w:r>
    </w:p>
    <w:p>
      <w:pPr>
        <w:spacing w:line="240" w:lineRule="auto" w:before="0"/>
        <w:rPr>
          <w:rFonts w:ascii="黑体" w:hAnsi="黑体" w:cs="黑体" w:eastAsia="黑体" w:hint="default"/>
          <w:b/>
          <w:bCs/>
          <w:sz w:val="32"/>
          <w:szCs w:val="32"/>
        </w:rPr>
      </w:pPr>
    </w:p>
    <w:p>
      <w:pPr>
        <w:spacing w:line="240" w:lineRule="auto" w:before="13"/>
        <w:rPr>
          <w:rFonts w:ascii="黑体" w:hAnsi="黑体" w:cs="黑体" w:eastAsia="黑体" w:hint="default"/>
          <w:b/>
          <w:bCs/>
          <w:sz w:val="23"/>
          <w:szCs w:val="23"/>
        </w:rPr>
      </w:pPr>
    </w:p>
    <w:p>
      <w:pPr>
        <w:spacing w:before="0"/>
        <w:ind w:left="1823" w:right="1822" w:firstLine="0"/>
        <w:jc w:val="center"/>
        <w:rPr>
          <w:rFonts w:ascii="黑体" w:hAnsi="黑体" w:cs="黑体" w:eastAsia="黑体" w:hint="default"/>
          <w:sz w:val="44"/>
          <w:szCs w:val="44"/>
        </w:rPr>
      </w:pPr>
      <w:r>
        <w:rPr>
          <w:rFonts w:ascii="黑体" w:hAnsi="黑体" w:cs="黑体" w:eastAsia="黑体" w:hint="default"/>
          <w:b/>
          <w:bCs/>
          <w:color w:val="FF0000"/>
          <w:sz w:val="44"/>
          <w:szCs w:val="44"/>
        </w:rPr>
        <w:t>2010</w:t>
      </w:r>
      <w:r>
        <w:rPr>
          <w:rFonts w:ascii="黑体" w:hAnsi="黑体" w:cs="黑体" w:eastAsia="黑体" w:hint="default"/>
          <w:b/>
          <w:bCs/>
          <w:color w:val="FF0000"/>
          <w:spacing w:val="-116"/>
          <w:sz w:val="44"/>
          <w:szCs w:val="44"/>
        </w:rPr>
        <w:t> </w:t>
      </w:r>
      <w:r>
        <w:rPr>
          <w:rFonts w:ascii="黑体" w:hAnsi="黑体" w:cs="黑体" w:eastAsia="黑体" w:hint="default"/>
          <w:b/>
          <w:bCs/>
          <w:color w:val="FF0000"/>
          <w:sz w:val="44"/>
          <w:szCs w:val="44"/>
        </w:rPr>
        <w:t>年年度报告</w:t>
      </w:r>
      <w:r>
        <w:rPr>
          <w:rFonts w:ascii="黑体" w:hAnsi="黑体" w:cs="黑体" w:eastAsia="黑体" w:hint="default"/>
          <w:sz w:val="44"/>
          <w:szCs w:val="44"/>
        </w:rPr>
      </w:r>
    </w:p>
    <w:p>
      <w:pPr>
        <w:spacing w:after="0"/>
        <w:jc w:val="center"/>
        <w:rPr>
          <w:rFonts w:ascii="黑体" w:hAnsi="黑体" w:cs="黑体" w:eastAsia="黑体" w:hint="default"/>
          <w:sz w:val="44"/>
          <w:szCs w:val="44"/>
        </w:rPr>
        <w:sectPr>
          <w:type w:val="continuous"/>
          <w:pgSz w:w="11910" w:h="16840"/>
          <w:pgMar w:top="1600" w:bottom="280" w:left="1680" w:right="1680"/>
        </w:sect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line="240" w:lineRule="auto" w:before="0"/>
        <w:rPr>
          <w:rFonts w:ascii="黑体" w:hAnsi="黑体" w:cs="黑体" w:eastAsia="黑体" w:hint="default"/>
          <w:b/>
          <w:bCs/>
          <w:sz w:val="20"/>
          <w:szCs w:val="20"/>
        </w:rPr>
      </w:pPr>
    </w:p>
    <w:p>
      <w:pPr>
        <w:spacing w:before="114"/>
        <w:ind w:left="3831" w:right="3830" w:firstLine="0"/>
        <w:jc w:val="center"/>
        <w:rPr>
          <w:rFonts w:ascii="宋体" w:hAnsi="宋体" w:cs="宋体" w:eastAsia="宋体" w:hint="default"/>
          <w:sz w:val="44"/>
          <w:szCs w:val="44"/>
        </w:rPr>
      </w:pPr>
      <w:r>
        <w:rPr>
          <w:rFonts w:ascii="宋体" w:hAnsi="宋体" w:cs="宋体" w:eastAsia="宋体" w:hint="default"/>
          <w:b/>
          <w:bCs/>
          <w:sz w:val="44"/>
          <w:szCs w:val="44"/>
        </w:rPr>
        <w:t>目录</w:t>
      </w:r>
      <w:r>
        <w:rPr>
          <w:rFonts w:ascii="宋体" w:hAnsi="宋体" w:cs="宋体" w:eastAsia="宋体" w:hint="default"/>
          <w:sz w:val="44"/>
          <w:szCs w:val="44"/>
        </w:rPr>
      </w:r>
    </w:p>
    <w:sdt>
      <w:sdtPr>
        <w:docPartObj>
          <w:docPartGallery w:val="Table of Contents"/>
          <w:docPartUnique/>
        </w:docPartObj>
      </w:sdtPr>
      <w:sdtEndPr/>
      <w:sdtContent>
        <w:p>
          <w:pPr>
            <w:pStyle w:val="TOC2"/>
            <w:tabs>
              <w:tab w:pos="8434" w:val="right" w:leader="dot"/>
            </w:tabs>
            <w:spacing w:line="240" w:lineRule="auto" w:before="390"/>
            <w:ind w:right="0"/>
            <w:jc w:val="left"/>
            <w:rPr>
              <w:rFonts w:ascii="Times New Roman" w:hAnsi="Times New Roman" w:cs="Times New Roman" w:eastAsia="Times New Roman" w:hint="default"/>
              <w:b w:val="0"/>
              <w:bCs w:val="0"/>
              <w:i w:val="0"/>
              <w:sz w:val="21"/>
              <w:szCs w:val="21"/>
            </w:rPr>
          </w:pPr>
          <w:hyperlink w:history="true" w:anchor="_bookmark0">
            <w:r>
              <w:rPr>
                <w:i w:val="0"/>
                <w:sz w:val="21"/>
                <w:szCs w:val="21"/>
              </w:rPr>
              <w:t>一、</w:t>
            </w:r>
            <w:r>
              <w:rPr>
                <w:i w:val="0"/>
                <w:spacing w:val="-1"/>
                <w:sz w:val="21"/>
                <w:szCs w:val="21"/>
              </w:rPr>
              <w:t> </w:t>
            </w:r>
            <w:r>
              <w:rPr>
                <w:i w:val="0"/>
                <w:sz w:val="21"/>
                <w:szCs w:val="21"/>
              </w:rPr>
              <w:t>重要提示</w:t>
            </w:r>
          </w:hyperlink>
          <w:r>
            <w:rPr>
              <w:rFonts w:ascii="Times New Roman" w:hAnsi="Times New Roman" w:cs="Times New Roman" w:eastAsia="Times New Roman" w:hint="default"/>
              <w:b w:val="0"/>
              <w:bCs w:val="0"/>
              <w:i w:val="0"/>
              <w:sz w:val="21"/>
              <w:szCs w:val="21"/>
            </w:rPr>
            <w:tab/>
          </w:r>
          <w:hyperlink w:history="true" w:anchor="_bookmark0">
            <w:r>
              <w:rPr>
                <w:rFonts w:ascii="Times New Roman" w:hAnsi="Times New Roman" w:cs="Times New Roman" w:eastAsia="Times New Roman" w:hint="default"/>
                <w:b w:val="0"/>
                <w:bCs w:val="0"/>
                <w:i w:val="0"/>
                <w:sz w:val="21"/>
                <w:szCs w:val="21"/>
              </w:rPr>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0">
            <w:r>
              <w:rPr/>
              <w:t>二、</w:t>
            </w:r>
            <w:r>
              <w:rPr>
                <w:spacing w:val="-1"/>
              </w:rPr>
              <w:t> </w:t>
            </w:r>
            <w:r>
              <w:rPr/>
              <w:t>公司基本情况</w:t>
            </w:r>
          </w:hyperlink>
          <w:r>
            <w:rPr>
              <w:rFonts w:ascii="Times New Roman" w:hAnsi="Times New Roman" w:cs="Times New Roman" w:eastAsia="Times New Roman" w:hint="default"/>
              <w:b w:val="0"/>
              <w:bCs w:val="0"/>
            </w:rPr>
            <w:tab/>
          </w:r>
          <w:hyperlink w:history="true" w:anchor="_bookmark0">
            <w:r>
              <w:rPr>
                <w:rFonts w:ascii="Times New Roman" w:hAnsi="Times New Roman" w:cs="Times New Roman" w:eastAsia="Times New Roman" w:hint="default"/>
                <w:b w:val="0"/>
                <w:bCs w:val="0"/>
              </w:rPr>
              <w:t>2</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1">
            <w:r>
              <w:rPr/>
              <w:t>三、</w:t>
            </w:r>
            <w:r>
              <w:rPr>
                <w:spacing w:val="-1"/>
              </w:rPr>
              <w:t> </w:t>
            </w:r>
            <w:r>
              <w:rPr/>
              <w:t>会计数据和业务数据摘要</w:t>
            </w:r>
          </w:hyperlink>
          <w:r>
            <w:rPr>
              <w:rFonts w:ascii="Times New Roman" w:hAnsi="Times New Roman" w:cs="Times New Roman" w:eastAsia="Times New Roman" w:hint="default"/>
              <w:b w:val="0"/>
              <w:bCs w:val="0"/>
            </w:rPr>
            <w:tab/>
          </w:r>
          <w:hyperlink w:history="true" w:anchor="_bookmark1">
            <w:r>
              <w:rPr>
                <w:rFonts w:ascii="Times New Roman" w:hAnsi="Times New Roman" w:cs="Times New Roman" w:eastAsia="Times New Roman" w:hint="default"/>
                <w:b w:val="0"/>
                <w:bCs w:val="0"/>
              </w:rPr>
              <w:t>3</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2">
            <w:r>
              <w:rPr/>
              <w:t>四、</w:t>
            </w:r>
            <w:r>
              <w:rPr>
                <w:spacing w:val="-1"/>
              </w:rPr>
              <w:t> </w:t>
            </w:r>
            <w:r>
              <w:rPr/>
              <w:t>股本变动及股东情况</w:t>
            </w:r>
          </w:hyperlink>
          <w:r>
            <w:rPr>
              <w:rFonts w:ascii="Times New Roman" w:hAnsi="Times New Roman" w:cs="Times New Roman" w:eastAsia="Times New Roman" w:hint="default"/>
              <w:b w:val="0"/>
              <w:bCs w:val="0"/>
            </w:rPr>
            <w:tab/>
          </w:r>
          <w:hyperlink w:history="true" w:anchor="_bookmark2">
            <w:r>
              <w:rPr>
                <w:rFonts w:ascii="Times New Roman" w:hAnsi="Times New Roman" w:cs="Times New Roman" w:eastAsia="Times New Roman" w:hint="default"/>
                <w:b w:val="0"/>
                <w:bCs w:val="0"/>
              </w:rPr>
              <w:t>5</w:t>
            </w:r>
          </w:hyperlink>
        </w:p>
        <w:p>
          <w:pPr>
            <w:pStyle w:val="TOC1"/>
            <w:tabs>
              <w:tab w:pos="8434" w:val="right" w:leader="dot"/>
            </w:tabs>
            <w:spacing w:line="240" w:lineRule="auto"/>
            <w:ind w:right="0"/>
            <w:jc w:val="left"/>
            <w:rPr>
              <w:rFonts w:ascii="Times New Roman" w:hAnsi="Times New Roman" w:cs="Times New Roman" w:eastAsia="Times New Roman" w:hint="default"/>
              <w:b w:val="0"/>
              <w:bCs w:val="0"/>
            </w:rPr>
          </w:pPr>
          <w:hyperlink w:history="true" w:anchor="_bookmark3">
            <w:r>
              <w:rPr/>
              <w:t>五、</w:t>
            </w:r>
            <w:r>
              <w:rPr>
                <w:spacing w:val="-1"/>
              </w:rPr>
              <w:t> </w:t>
            </w:r>
            <w:r>
              <w:rPr/>
              <w:t>董事、监事和高级管理人员</w:t>
            </w:r>
          </w:hyperlink>
          <w:r>
            <w:rPr>
              <w:rFonts w:ascii="Times New Roman" w:hAnsi="Times New Roman" w:cs="Times New Roman" w:eastAsia="Times New Roman" w:hint="default"/>
              <w:b w:val="0"/>
              <w:bCs w:val="0"/>
            </w:rPr>
            <w:tab/>
          </w:r>
          <w:hyperlink w:history="true" w:anchor="_bookmark3">
            <w:r>
              <w:rPr>
                <w:rFonts w:ascii="Times New Roman" w:hAnsi="Times New Roman" w:cs="Times New Roman" w:eastAsia="Times New Roman" w:hint="default"/>
                <w:b w:val="0"/>
                <w:bCs w:val="0"/>
              </w:rPr>
              <w:t>8</w:t>
            </w:r>
          </w:hyperlink>
        </w:p>
        <w:p>
          <w:pPr>
            <w:pStyle w:val="TOC2"/>
            <w:tabs>
              <w:tab w:pos="8427"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4">
            <w:r>
              <w:rPr>
                <w:i w:val="0"/>
                <w:sz w:val="21"/>
                <w:szCs w:val="21"/>
              </w:rPr>
              <w:t>六、</w:t>
            </w:r>
            <w:r>
              <w:rPr>
                <w:i w:val="0"/>
                <w:spacing w:val="-1"/>
                <w:sz w:val="21"/>
                <w:szCs w:val="21"/>
              </w:rPr>
              <w:t> </w:t>
            </w:r>
            <w:r>
              <w:rPr>
                <w:i w:val="0"/>
                <w:sz w:val="21"/>
                <w:szCs w:val="21"/>
              </w:rPr>
              <w:t>公司治理结构</w:t>
            </w:r>
          </w:hyperlink>
          <w:r>
            <w:rPr>
              <w:rFonts w:ascii="Times New Roman" w:hAnsi="Times New Roman" w:cs="Times New Roman" w:eastAsia="Times New Roman" w:hint="default"/>
              <w:b w:val="0"/>
              <w:bCs w:val="0"/>
              <w:i w:val="0"/>
              <w:sz w:val="21"/>
              <w:szCs w:val="21"/>
            </w:rPr>
            <w:tab/>
          </w:r>
          <w:hyperlink w:history="true" w:anchor="_bookmark4">
            <w:r>
              <w:rPr>
                <w:rFonts w:ascii="Times New Roman" w:hAnsi="Times New Roman" w:cs="Times New Roman" w:eastAsia="Times New Roman" w:hint="default"/>
                <w:b w:val="0"/>
                <w:bCs w:val="0"/>
                <w:i w:val="0"/>
                <w:spacing w:val="-8"/>
                <w:sz w:val="21"/>
                <w:szCs w:val="21"/>
              </w:rPr>
              <w:t>11</w:t>
            </w:r>
            <w:r>
              <w:rPr>
                <w:rFonts w:ascii="Times New Roman" w:hAnsi="Times New Roman" w:cs="Times New Roman" w:eastAsia="Times New Roman" w:hint="default"/>
                <w:b w:val="0"/>
                <w:bCs w:val="0"/>
                <w:i w:val="0"/>
                <w:sz w:val="21"/>
                <w:szCs w:val="21"/>
              </w:rPr>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七、</w:t>
            </w:r>
            <w:r>
              <w:rPr>
                <w:i w:val="0"/>
                <w:spacing w:val="-1"/>
                <w:sz w:val="21"/>
                <w:szCs w:val="21"/>
              </w:rPr>
              <w:t> </w:t>
            </w:r>
            <w:r>
              <w:rPr>
                <w:i w:val="0"/>
                <w:sz w:val="21"/>
                <w:szCs w:val="21"/>
              </w:rPr>
              <w:t>股东大会情况简介</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15</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5">
            <w:r>
              <w:rPr>
                <w:i w:val="0"/>
                <w:sz w:val="21"/>
                <w:szCs w:val="21"/>
              </w:rPr>
              <w:t>八、</w:t>
            </w:r>
            <w:r>
              <w:rPr>
                <w:i w:val="0"/>
                <w:spacing w:val="-1"/>
                <w:sz w:val="21"/>
                <w:szCs w:val="21"/>
              </w:rPr>
              <w:t> </w:t>
            </w:r>
            <w:r>
              <w:rPr>
                <w:i w:val="0"/>
                <w:sz w:val="21"/>
                <w:szCs w:val="21"/>
              </w:rPr>
              <w:t>董事会报告</w:t>
            </w:r>
          </w:hyperlink>
          <w:r>
            <w:rPr>
              <w:rFonts w:ascii="Times New Roman" w:hAnsi="Times New Roman" w:cs="Times New Roman" w:eastAsia="Times New Roman" w:hint="default"/>
              <w:b w:val="0"/>
              <w:bCs w:val="0"/>
              <w:i w:val="0"/>
              <w:sz w:val="21"/>
              <w:szCs w:val="21"/>
            </w:rPr>
            <w:tab/>
          </w:r>
          <w:hyperlink w:history="true" w:anchor="_bookmark5">
            <w:r>
              <w:rPr>
                <w:rFonts w:ascii="Times New Roman" w:hAnsi="Times New Roman" w:cs="Times New Roman" w:eastAsia="Times New Roman" w:hint="default"/>
                <w:b w:val="0"/>
                <w:bCs w:val="0"/>
                <w:i w:val="0"/>
                <w:sz w:val="21"/>
                <w:szCs w:val="21"/>
              </w:rPr>
              <w:t>15</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6">
            <w:r>
              <w:rPr>
                <w:i w:val="0"/>
                <w:sz w:val="21"/>
                <w:szCs w:val="21"/>
              </w:rPr>
              <w:t>九、</w:t>
            </w:r>
            <w:r>
              <w:rPr>
                <w:i w:val="0"/>
                <w:spacing w:val="-1"/>
                <w:sz w:val="21"/>
                <w:szCs w:val="21"/>
              </w:rPr>
              <w:t> </w:t>
            </w:r>
            <w:r>
              <w:rPr>
                <w:i w:val="0"/>
                <w:sz w:val="21"/>
                <w:szCs w:val="21"/>
              </w:rPr>
              <w:t>监事会报告</w:t>
            </w:r>
          </w:hyperlink>
          <w:r>
            <w:rPr>
              <w:rFonts w:ascii="Times New Roman" w:hAnsi="Times New Roman" w:cs="Times New Roman" w:eastAsia="Times New Roman" w:hint="default"/>
              <w:b w:val="0"/>
              <w:bCs w:val="0"/>
              <w:i w:val="0"/>
              <w:sz w:val="21"/>
              <w:szCs w:val="21"/>
            </w:rPr>
            <w:tab/>
          </w:r>
          <w:hyperlink w:history="true" w:anchor="_bookmark6">
            <w:r>
              <w:rPr>
                <w:rFonts w:ascii="Times New Roman" w:hAnsi="Times New Roman" w:cs="Times New Roman" w:eastAsia="Times New Roman" w:hint="default"/>
                <w:b w:val="0"/>
                <w:bCs w:val="0"/>
                <w:i w:val="0"/>
                <w:sz w:val="21"/>
                <w:szCs w:val="21"/>
              </w:rPr>
              <w:t>21</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7">
            <w:r>
              <w:rPr>
                <w:i w:val="0"/>
                <w:sz w:val="21"/>
                <w:szCs w:val="21"/>
              </w:rPr>
              <w:t>十、</w:t>
            </w:r>
            <w:r>
              <w:rPr>
                <w:i w:val="0"/>
                <w:spacing w:val="-1"/>
                <w:sz w:val="21"/>
                <w:szCs w:val="21"/>
              </w:rPr>
              <w:t> </w:t>
            </w:r>
            <w:r>
              <w:rPr>
                <w:i w:val="0"/>
                <w:sz w:val="21"/>
                <w:szCs w:val="21"/>
              </w:rPr>
              <w:t>重要事项</w:t>
            </w:r>
          </w:hyperlink>
          <w:r>
            <w:rPr>
              <w:rFonts w:ascii="Times New Roman" w:hAnsi="Times New Roman" w:cs="Times New Roman" w:eastAsia="Times New Roman" w:hint="default"/>
              <w:b w:val="0"/>
              <w:bCs w:val="0"/>
              <w:i w:val="0"/>
              <w:sz w:val="21"/>
              <w:szCs w:val="21"/>
            </w:rPr>
            <w:tab/>
          </w:r>
          <w:hyperlink w:history="true" w:anchor="_bookmark7">
            <w:r>
              <w:rPr>
                <w:rFonts w:ascii="Times New Roman" w:hAnsi="Times New Roman" w:cs="Times New Roman" w:eastAsia="Times New Roman" w:hint="default"/>
                <w:b w:val="0"/>
                <w:bCs w:val="0"/>
                <w:i w:val="0"/>
                <w:sz w:val="21"/>
                <w:szCs w:val="21"/>
              </w:rPr>
              <w:t>22</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8">
            <w:r>
              <w:rPr>
                <w:i w:val="0"/>
                <w:sz w:val="21"/>
                <w:szCs w:val="21"/>
              </w:rPr>
              <w:t>十一、 财务会计报告</w:t>
            </w:r>
          </w:hyperlink>
          <w:r>
            <w:rPr>
              <w:rFonts w:ascii="Times New Roman" w:hAnsi="Times New Roman" w:cs="Times New Roman" w:eastAsia="Times New Roman" w:hint="default"/>
              <w:b w:val="0"/>
              <w:bCs w:val="0"/>
              <w:i w:val="0"/>
              <w:sz w:val="21"/>
              <w:szCs w:val="21"/>
            </w:rPr>
            <w:tab/>
          </w:r>
          <w:hyperlink w:history="true" w:anchor="_bookmark8">
            <w:r>
              <w:rPr>
                <w:rFonts w:ascii="Times New Roman" w:hAnsi="Times New Roman" w:cs="Times New Roman" w:eastAsia="Times New Roman" w:hint="default"/>
                <w:b w:val="0"/>
                <w:bCs w:val="0"/>
                <w:i w:val="0"/>
                <w:sz w:val="21"/>
                <w:szCs w:val="21"/>
              </w:rPr>
              <w:t>26</w:t>
            </w:r>
          </w:hyperlink>
        </w:p>
        <w:p>
          <w:pPr>
            <w:pStyle w:val="TOC2"/>
            <w:tabs>
              <w:tab w:pos="8435" w:val="right" w:leader="dot"/>
            </w:tabs>
            <w:spacing w:line="240" w:lineRule="auto"/>
            <w:ind w:right="0"/>
            <w:jc w:val="left"/>
            <w:rPr>
              <w:rFonts w:ascii="Times New Roman" w:hAnsi="Times New Roman" w:cs="Times New Roman" w:eastAsia="Times New Roman" w:hint="default"/>
              <w:b w:val="0"/>
              <w:bCs w:val="0"/>
              <w:i w:val="0"/>
              <w:sz w:val="21"/>
              <w:szCs w:val="21"/>
            </w:rPr>
          </w:pPr>
          <w:hyperlink w:history="true" w:anchor="_bookmark9">
            <w:r>
              <w:rPr>
                <w:i w:val="0"/>
                <w:sz w:val="21"/>
                <w:szCs w:val="21"/>
              </w:rPr>
              <w:t>十二、 备查文件目录</w:t>
            </w:r>
          </w:hyperlink>
          <w:r>
            <w:rPr>
              <w:rFonts w:ascii="Times New Roman" w:hAnsi="Times New Roman" w:cs="Times New Roman" w:eastAsia="Times New Roman" w:hint="default"/>
              <w:b w:val="0"/>
              <w:bCs w:val="0"/>
              <w:i w:val="0"/>
              <w:sz w:val="21"/>
              <w:szCs w:val="21"/>
            </w:rPr>
            <w:tab/>
          </w:r>
          <w:hyperlink w:history="true" w:anchor="_bookmark9">
            <w:r>
              <w:rPr>
                <w:rFonts w:ascii="Times New Roman" w:hAnsi="Times New Roman" w:cs="Times New Roman" w:eastAsia="Times New Roman" w:hint="default"/>
                <w:b w:val="0"/>
                <w:bCs w:val="0"/>
                <w:i w:val="0"/>
                <w:sz w:val="21"/>
                <w:szCs w:val="21"/>
              </w:rPr>
              <w:t>94</w:t>
            </w:r>
          </w:hyperlink>
        </w:p>
      </w:sdtContent>
    </w:sdt>
    <w:p>
      <w:pPr>
        <w:spacing w:after="0" w:line="240" w:lineRule="auto"/>
        <w:jc w:val="left"/>
        <w:rPr>
          <w:rFonts w:ascii="Times New Roman" w:hAnsi="Times New Roman" w:cs="Times New Roman" w:eastAsia="Times New Roman" w:hint="default"/>
          <w:sz w:val="21"/>
          <w:szCs w:val="21"/>
        </w:rPr>
        <w:sectPr>
          <w:headerReference w:type="default" r:id="rId5"/>
          <w:footerReference w:type="default" r:id="rId6"/>
          <w:pgSz w:w="11910" w:h="16840"/>
          <w:pgMar w:header="877" w:footer="982" w:top="1100" w:bottom="1180" w:left="1660" w:right="1660"/>
          <w:pgNumType w:start="1"/>
        </w:sectPr>
      </w:pPr>
    </w:p>
    <w:p>
      <w:pPr>
        <w:spacing w:line="240" w:lineRule="auto" w:before="3"/>
        <w:rPr>
          <w:rFonts w:ascii="Times New Roman" w:hAnsi="Times New Roman" w:cs="Times New Roman" w:eastAsia="Times New Roman" w:hint="default"/>
          <w:sz w:val="29"/>
          <w:szCs w:val="29"/>
        </w:rPr>
      </w:pPr>
    </w:p>
    <w:p>
      <w:pPr>
        <w:pStyle w:val="Heading1"/>
        <w:spacing w:line="240" w:lineRule="auto" w:before="0"/>
        <w:ind w:right="999"/>
        <w:jc w:val="left"/>
        <w:rPr>
          <w:b w:val="0"/>
          <w:bCs w:val="0"/>
        </w:rPr>
      </w:pPr>
      <w:bookmarkStart w:name="_bookmark0" w:id="1"/>
      <w:bookmarkEnd w:id="1"/>
      <w:r>
        <w:rPr>
          <w:b w:val="0"/>
          <w:bCs w:val="0"/>
        </w:rPr>
      </w:r>
      <w:r>
        <w:rPr/>
        <w:t>一、</w:t>
      </w:r>
      <w:r>
        <w:rPr>
          <w:spacing w:val="-1"/>
        </w:rPr>
        <w:t> </w:t>
      </w:r>
      <w:r>
        <w:rPr/>
        <w:t>重要提示</w:t>
      </w:r>
      <w:r>
        <w:rPr>
          <w:b w:val="0"/>
          <w:bCs w:val="0"/>
        </w:rPr>
      </w:r>
    </w:p>
    <w:p>
      <w:pPr>
        <w:pStyle w:val="BodyText"/>
        <w:spacing w:line="319" w:lineRule="auto" w:before="99"/>
        <w:ind w:right="9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本公司董事会、监事会及其董事、监事、高级管理人员保证本报告所载资料不存在任</w:t>
      </w:r>
      <w:r>
        <w:rPr>
          <w:w w:val="99"/>
        </w:rPr>
        <w:t> </w:t>
      </w:r>
      <w:r>
        <w:rPr>
          <w:spacing w:val="-3"/>
        </w:rPr>
        <w:t>何虚假记载、误导性陈述或者重大遗漏，并对其内容的真实性、准确性和完整性承担个别及</w:t>
      </w:r>
      <w:r>
        <w:rPr>
          <w:spacing w:val="-82"/>
        </w:rPr>
        <w:t> </w:t>
      </w:r>
      <w:r>
        <w:rPr>
          <w:spacing w:val="-82"/>
        </w:rPr>
      </w:r>
      <w:r>
        <w:rPr/>
        <w:t>连带责任。</w:t>
      </w:r>
    </w:p>
    <w:p>
      <w:pPr>
        <w:spacing w:line="240" w:lineRule="auto" w:before="2"/>
        <w:rPr>
          <w:rFonts w:ascii="宋体" w:hAnsi="宋体" w:cs="宋体" w:eastAsia="宋体" w:hint="default"/>
          <w:sz w:val="26"/>
          <w:szCs w:val="26"/>
        </w:rPr>
      </w:pPr>
    </w:p>
    <w:p>
      <w:pPr>
        <w:pStyle w:val="BodyText"/>
        <w:spacing w:line="240" w:lineRule="auto"/>
        <w:ind w:right="99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公司全体董事出席董事会会议。</w:t>
      </w:r>
    </w:p>
    <w:p>
      <w:pPr>
        <w:spacing w:line="240" w:lineRule="auto" w:before="3"/>
        <w:rPr>
          <w:rFonts w:ascii="宋体" w:hAnsi="宋体" w:cs="宋体" w:eastAsia="宋体" w:hint="default"/>
          <w:sz w:val="30"/>
          <w:szCs w:val="30"/>
        </w:rPr>
      </w:pPr>
    </w:p>
    <w:p>
      <w:pPr>
        <w:pStyle w:val="BodyText"/>
        <w:spacing w:line="240" w:lineRule="auto"/>
        <w:ind w:right="99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天职国际会计师事务所有限公司为本公司出具了标准无保留意见的审计报告。</w:t>
      </w:r>
    </w:p>
    <w:p>
      <w:pPr>
        <w:spacing w:line="240" w:lineRule="auto" w:before="3"/>
        <w:rPr>
          <w:rFonts w:ascii="宋体" w:hAnsi="宋体" w:cs="宋体" w:eastAsia="宋体" w:hint="default"/>
          <w:sz w:val="30"/>
          <w:szCs w:val="30"/>
        </w:rPr>
      </w:pPr>
    </w:p>
    <w:p>
      <w:pPr>
        <w:pStyle w:val="BodyText"/>
        <w:spacing w:line="240" w:lineRule="auto"/>
        <w:ind w:left="139" w:right="999"/>
        <w:jc w:val="left"/>
        <w:rPr>
          <w:rFonts w:ascii="Times New Roman" w:hAnsi="Times New Roman" w:cs="Times New Roman" w:eastAsia="Times New Roman" w:hint="default"/>
        </w:rPr>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p>
    <w:p>
      <w:pPr>
        <w:spacing w:line="240" w:lineRule="auto" w:before="10"/>
        <w:rPr>
          <w:rFonts w:ascii="Times New Roman" w:hAnsi="Times New Roman" w:cs="Times New Roman" w:eastAsia="Times New Roman"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7602"/>
        <w:gridCol w:w="1698"/>
      </w:tblGrid>
      <w:tr>
        <w:trPr>
          <w:trHeight w:val="326"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王宏伟</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主管会计工作负责人姓名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刘亚芳</w:t>
            </w:r>
          </w:p>
        </w:tc>
      </w:tr>
      <w:tr>
        <w:trPr>
          <w:trHeight w:val="328" w:hRule="exact"/>
        </w:trPr>
        <w:tc>
          <w:tcPr>
            <w:tcW w:w="76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会计机构负责人（会计主管人员）姓名</w:t>
            </w:r>
          </w:p>
        </w:tc>
        <w:tc>
          <w:tcPr>
            <w:tcW w:w="16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周芳苇</w:t>
            </w:r>
          </w:p>
        </w:tc>
      </w:tr>
    </w:tbl>
    <w:p>
      <w:pPr>
        <w:spacing w:line="240" w:lineRule="auto" w:before="9"/>
        <w:rPr>
          <w:rFonts w:ascii="Times New Roman" w:hAnsi="Times New Roman" w:cs="Times New Roman" w:eastAsia="Times New Roman" w:hint="default"/>
          <w:sz w:val="22"/>
          <w:szCs w:val="22"/>
        </w:rPr>
      </w:pPr>
    </w:p>
    <w:p>
      <w:pPr>
        <w:pStyle w:val="BodyText"/>
        <w:spacing w:line="273" w:lineRule="auto" w:before="35"/>
        <w:ind w:right="999"/>
        <w:jc w:val="left"/>
      </w:pPr>
      <w:r>
        <w:rPr>
          <w:spacing w:val="-3"/>
        </w:rPr>
        <w:t>公司负责人王宏伟、主管会计工作负责人刘亚芳及会计机构负责人（会计主管人员）周芳苇</w:t>
      </w:r>
      <w:r>
        <w:rPr>
          <w:spacing w:val="-81"/>
        </w:rPr>
        <w:t> </w:t>
      </w:r>
      <w:r>
        <w:rPr>
          <w:spacing w:val="-81"/>
        </w:rPr>
      </w:r>
      <w:r>
        <w:rPr/>
        <w:t>声明：保证年度报告中财务报告的真实、完整。</w:t>
      </w:r>
    </w:p>
    <w:p>
      <w:pPr>
        <w:spacing w:line="240" w:lineRule="auto" w:before="11"/>
        <w:rPr>
          <w:rFonts w:ascii="宋体" w:hAnsi="宋体" w:cs="宋体" w:eastAsia="宋体" w:hint="default"/>
          <w:sz w:val="26"/>
          <w:szCs w:val="26"/>
        </w:rPr>
      </w:pPr>
    </w:p>
    <w:p>
      <w:pPr>
        <w:pStyle w:val="BodyText"/>
        <w:spacing w:line="283" w:lineRule="auto"/>
        <w:ind w:left="139" w:right="3703"/>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是否存在被控股股东及其关联方非经营性占用资金情况？</w:t>
      </w:r>
      <w:r>
        <w:rPr>
          <w:w w:val="99"/>
        </w:rPr>
        <w:t> </w:t>
      </w:r>
      <w:r>
        <w:rPr/>
        <w:t>否</w:t>
      </w:r>
    </w:p>
    <w:p>
      <w:pPr>
        <w:spacing w:line="240" w:lineRule="auto" w:before="2"/>
        <w:rPr>
          <w:rFonts w:ascii="宋体" w:hAnsi="宋体" w:cs="宋体" w:eastAsia="宋体" w:hint="default"/>
          <w:sz w:val="26"/>
          <w:szCs w:val="26"/>
        </w:rPr>
      </w:pPr>
    </w:p>
    <w:p>
      <w:pPr>
        <w:pStyle w:val="BodyText"/>
        <w:spacing w:line="283" w:lineRule="auto"/>
        <w:ind w:left="139" w:right="4333"/>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是否存在违反规定决策程序对外提供担保的情况？</w:t>
      </w:r>
      <w:r>
        <w:rPr>
          <w:w w:val="99"/>
        </w:rPr>
        <w:t> </w:t>
      </w:r>
      <w:r>
        <w:rPr/>
        <w:t>否</w:t>
      </w:r>
    </w:p>
    <w:p>
      <w:pPr>
        <w:spacing w:line="240" w:lineRule="auto" w:before="2"/>
        <w:rPr>
          <w:rFonts w:ascii="宋体" w:hAnsi="宋体" w:cs="宋体" w:eastAsia="宋体" w:hint="default"/>
          <w:sz w:val="26"/>
          <w:szCs w:val="26"/>
        </w:rPr>
      </w:pPr>
    </w:p>
    <w:p>
      <w:pPr>
        <w:pStyle w:val="Heading1"/>
        <w:spacing w:line="240" w:lineRule="auto" w:before="0"/>
        <w:ind w:left="139" w:right="999"/>
        <w:jc w:val="left"/>
        <w:rPr>
          <w:b w:val="0"/>
          <w:bCs w:val="0"/>
        </w:rPr>
      </w:pPr>
      <w:r>
        <w:rPr/>
        <w:t>二、</w:t>
      </w:r>
      <w:r>
        <w:rPr>
          <w:spacing w:val="-6"/>
        </w:rPr>
        <w:t> </w:t>
      </w:r>
      <w:r>
        <w:rPr/>
        <w:t>公司基本情况</w:t>
      </w:r>
      <w:r>
        <w:rPr>
          <w:b w:val="0"/>
          <w:bCs w:val="0"/>
        </w:rPr>
      </w:r>
    </w:p>
    <w:p>
      <w:pPr>
        <w:pStyle w:val="BodyText"/>
        <w:spacing w:line="240" w:lineRule="auto" w:before="99"/>
        <w:ind w:left="139" w:right="9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公司信息</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公司的法定中文名称缩写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黑化股份</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HeiLongJiang HeiHua</w:t>
            </w:r>
            <w:r>
              <w:rPr>
                <w:rFonts w:ascii="Times New Roman"/>
                <w:spacing w:val="-11"/>
                <w:sz w:val="21"/>
              </w:rPr>
              <w:t> </w:t>
            </w:r>
            <w:r>
              <w:rPr>
                <w:rFonts w:ascii="Times New Roman"/>
                <w:sz w:val="21"/>
              </w:rPr>
              <w:t>Co.,Ltd</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公司的法定英文名称缩写</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HH</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王宏伟</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联系人和联系方式</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1" w:right="0"/>
              <w:jc w:val="left"/>
              <w:rPr>
                <w:rFonts w:ascii="宋体" w:hAnsi="宋体" w:cs="宋体" w:eastAsia="宋体" w:hint="default"/>
                <w:sz w:val="21"/>
                <w:szCs w:val="21"/>
              </w:rPr>
            </w:pPr>
            <w:r>
              <w:rPr>
                <w:rFonts w:ascii="宋体" w:hAnsi="宋体" w:cs="宋体" w:eastAsia="宋体" w:hint="default"/>
                <w:sz w:val="21"/>
                <w:szCs w:val="21"/>
              </w:rPr>
              <w:t>证券事务代表</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张连增</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刘喜涛</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联系地址</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黑龙江黑化股份有限公司</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0452-8927129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0452-8927290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传真</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0452-6884895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0452-6884895</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hhgf@tom.com</w:t>
              </w:r>
            </w:hyperlink>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8">
              <w:r>
                <w:rPr>
                  <w:rFonts w:ascii="Times New Roman"/>
                  <w:sz w:val="21"/>
                </w:rPr>
                <w:t>zlz600179@sohu.com</w:t>
              </w:r>
            </w:hyperlink>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基本情况简介</w:t>
      </w:r>
    </w:p>
    <w:p>
      <w:pPr>
        <w:spacing w:after="0" w:line="240" w:lineRule="auto"/>
        <w:jc w:val="left"/>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1" w:id="2"/>
            <w:bookmarkEnd w:id="2"/>
            <w:r>
              <w:rPr/>
            </w:r>
            <w:r>
              <w:rPr>
                <w:rFonts w:ascii="宋体" w:hAnsi="宋体" w:cs="宋体" w:eastAsia="宋体" w:hint="default"/>
                <w:sz w:val="21"/>
                <w:szCs w:val="21"/>
              </w:rPr>
              <w:t>注册地址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161041</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办公地址的邮政编码</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161041</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公司国际互联网网址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电子信箱</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7">
              <w:r>
                <w:rPr>
                  <w:rFonts w:ascii="Times New Roman"/>
                  <w:sz w:val="21"/>
                </w:rPr>
                <w:t>hhgf@tom.com</w:t>
              </w:r>
            </w:hyperlink>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信息披露及备置地点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公司选定的信息披露报纸名称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105"/>
                <w:sz w:val="21"/>
                <w:szCs w:val="21"/>
              </w:rPr>
              <w:t>》、</w:t>
            </w:r>
            <w:r>
              <w:rPr>
                <w:rFonts w:ascii="宋体" w:hAnsi="宋体" w:cs="宋体" w:eastAsia="宋体" w:hint="default"/>
                <w:sz w:val="21"/>
                <w:szCs w:val="21"/>
              </w:rPr>
              <w:t>《上</w:t>
            </w:r>
            <w:r>
              <w:rPr>
                <w:rFonts w:ascii="宋体" w:hAnsi="宋体" w:cs="宋体" w:eastAsia="宋体" w:hint="default"/>
                <w:spacing w:val="-2"/>
                <w:sz w:val="21"/>
                <w:szCs w:val="21"/>
              </w:rPr>
              <w:t>海</w:t>
            </w:r>
            <w:r>
              <w:rPr>
                <w:rFonts w:ascii="宋体" w:hAnsi="宋体" w:cs="宋体" w:eastAsia="宋体" w:hint="default"/>
                <w:sz w:val="21"/>
                <w:szCs w:val="21"/>
              </w:rPr>
              <w:t>证券报》</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登载年度报告的中国证监会指定网站的网址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公司年度报告备置地点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公司董事会秘书处</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公司股票简况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公司股票简况</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股票种类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股票上市交易所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股票简称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股票代码</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变更前股票简称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上海证券交易所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*ST</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黑化</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600179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黑化股份</w:t>
            </w:r>
          </w:p>
        </w:tc>
      </w:tr>
    </w:tbl>
    <w:p>
      <w:pPr>
        <w:spacing w:line="240" w:lineRule="auto" w:before="5"/>
        <w:rPr>
          <w:rFonts w:ascii="宋体" w:hAnsi="宋体" w:cs="宋体" w:eastAsia="宋体" w:hint="default"/>
          <w:sz w:val="22"/>
          <w:szCs w:val="22"/>
        </w:rPr>
      </w:pPr>
    </w:p>
    <w:p>
      <w:pPr>
        <w:pStyle w:val="BodyText"/>
        <w:spacing w:line="240" w:lineRule="auto" w:before="35"/>
        <w:ind w:right="0"/>
        <w:jc w:val="left"/>
      </w:pPr>
      <w:r>
        <w:rPr/>
        <w:pict>
          <v:shape style="position:absolute;margin-left:89.220001pt;margin-top:19.656977pt;width:506.55pt;height:295.8pt;mso-position-horizontal-relative:page;mso-position-vertical-relative:paragraph;z-index: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860"/>
                    <w:gridCol w:w="2801"/>
                    <w:gridCol w:w="4639"/>
                    <w:gridCol w:w="809"/>
                  </w:tblGrid>
                  <w:tr>
                    <w:trPr>
                      <w:trHeight w:val="32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8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vMerge w:val="restart"/>
                        <w:tcBorders>
                          <w:top w:val="nil" w:sz="6" w:space="0" w:color="auto"/>
                          <w:left w:val="single" w:sz="6" w:space="0" w:color="000000"/>
                          <w:right w:val="nil" w:sz="6" w:space="0" w:color="auto"/>
                        </w:tcBorders>
                      </w:tcPr>
                      <w:p>
                        <w:pPr/>
                      </w:p>
                    </w:tc>
                  </w:tr>
                  <w:tr>
                    <w:trPr>
                      <w:trHeight w:val="326"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公司首次注册登记地点</w:t>
                        </w:r>
                      </w:p>
                    </w:tc>
                    <w:tc>
                      <w:tcPr>
                        <w:tcW w:w="4639" w:type="dxa"/>
                        <w:tcBorders>
                          <w:top w:val="single" w:sz="6" w:space="0" w:color="000000"/>
                          <w:left w:val="single" w:sz="6" w:space="0" w:color="000000"/>
                          <w:bottom w:val="single" w:sz="12" w:space="0" w:color="000000"/>
                          <w:right w:val="single" w:sz="6" w:space="0" w:color="000000"/>
                        </w:tcBorders>
                      </w:tcPr>
                      <w:p>
                        <w:pPr>
                          <w:pStyle w:val="TableParagraph"/>
                          <w:spacing w:line="277" w:lineRule="exact"/>
                          <w:ind w:left="9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809" w:type="dxa"/>
                        <w:vMerge/>
                        <w:tcBorders>
                          <w:left w:val="single" w:sz="6" w:space="0" w:color="000000"/>
                          <w:bottom w:val="single" w:sz="6" w:space="0" w:color="000000"/>
                          <w:right w:val="nil" w:sz="6" w:space="0" w:color="auto"/>
                        </w:tcBorders>
                      </w:tcPr>
                      <w:p>
                        <w:pPr/>
                      </w:p>
                    </w:tc>
                  </w:tr>
                  <w:tr>
                    <w:trPr>
                      <w:trHeight w:val="343" w:hRule="exact"/>
                    </w:trPr>
                    <w:tc>
                      <w:tcPr>
                        <w:tcW w:w="186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首次变更</w:t>
                        </w:r>
                      </w:p>
                    </w:tc>
                    <w:tc>
                      <w:tcPr>
                        <w:tcW w:w="2801" w:type="dxa"/>
                        <w:tcBorders>
                          <w:top w:val="single" w:sz="12" w:space="0" w:color="000000"/>
                          <w:left w:val="single" w:sz="12" w:space="0" w:color="000000"/>
                          <w:bottom w:val="single" w:sz="6" w:space="0" w:color="000000"/>
                          <w:right w:val="single" w:sz="6" w:space="0" w:color="000000"/>
                        </w:tcBorders>
                      </w:tcPr>
                      <w:p>
                        <w:pPr>
                          <w:pStyle w:val="TableParagraph"/>
                          <w:spacing w:line="269"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12" w:space="0" w:color="000000"/>
                          <w:left w:val="single" w:sz="6" w:space="0" w:color="000000"/>
                          <w:bottom w:val="single" w:sz="6" w:space="0" w:color="000000"/>
                          <w:right w:val="single" w:sz="6" w:space="0" w:color="000000"/>
                        </w:tcBorders>
                      </w:tcPr>
                      <w:p>
                        <w:pPr>
                          <w:pStyle w:val="TableParagraph"/>
                          <w:spacing w:line="285"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30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2302001101310</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230206702847417</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42" w:hRule="exact"/>
                    </w:trPr>
                    <w:tc>
                      <w:tcPr>
                        <w:tcW w:w="1860" w:type="dxa"/>
                        <w:vMerge/>
                        <w:tcBorders>
                          <w:left w:val="single" w:sz="6" w:space="0" w:color="000000"/>
                          <w:bottom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702847417</w:t>
                        </w:r>
                      </w:p>
                    </w:tc>
                    <w:tc>
                      <w:tcPr>
                        <w:tcW w:w="809" w:type="dxa"/>
                        <w:tcBorders>
                          <w:top w:val="single" w:sz="6" w:space="0" w:color="000000"/>
                          <w:left w:val="single" w:sz="6" w:space="0" w:color="000000"/>
                          <w:bottom w:val="single" w:sz="18" w:space="0" w:color="000000"/>
                          <w:right w:val="nil" w:sz="6" w:space="0" w:color="auto"/>
                        </w:tcBorders>
                      </w:tcPr>
                      <w:p>
                        <w:pPr/>
                      </w:p>
                    </w:tc>
                  </w:tr>
                  <w:tr>
                    <w:trPr>
                      <w:trHeight w:val="342" w:hRule="exact"/>
                    </w:trPr>
                    <w:tc>
                      <w:tcPr>
                        <w:tcW w:w="1860" w:type="dxa"/>
                        <w:vMerge w:val="restart"/>
                        <w:tcBorders>
                          <w:top w:val="single" w:sz="6" w:space="0" w:color="000000"/>
                          <w:left w:val="single" w:sz="6" w:space="0" w:color="000000"/>
                          <w:right w:val="single" w:sz="12"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宋体" w:hAnsi="宋体" w:cs="宋体" w:eastAsia="宋体" w:hint="default"/>
                            <w:sz w:val="21"/>
                            <w:szCs w:val="21"/>
                          </w:rPr>
                        </w:pPr>
                        <w:r>
                          <w:rPr>
                            <w:rFonts w:ascii="宋体" w:hAnsi="宋体" w:cs="宋体" w:eastAsia="宋体" w:hint="default"/>
                            <w:sz w:val="21"/>
                            <w:szCs w:val="21"/>
                          </w:rPr>
                          <w:t>最近一次变更</w:t>
                        </w: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40" w:lineRule="auto" w:before="2"/>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公司变更注册登记日期</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809" w:type="dxa"/>
                        <w:tcBorders>
                          <w:top w:val="single" w:sz="18"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公司变更注册登记地点</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黑龙江省齐齐哈尔市富拉尔基区向阳大街</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6"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企业法人营业执照注册号</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230200100008440</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28" w:hRule="exact"/>
                    </w:trPr>
                    <w:tc>
                      <w:tcPr>
                        <w:tcW w:w="1860" w:type="dxa"/>
                        <w:vMerge/>
                        <w:tcBorders>
                          <w:left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税务登记号码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230206702847417</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1860" w:type="dxa"/>
                        <w:vMerge/>
                        <w:tcBorders>
                          <w:left w:val="single" w:sz="6" w:space="0" w:color="000000"/>
                          <w:bottom w:val="single" w:sz="6" w:space="0" w:color="000000"/>
                          <w:right w:val="single" w:sz="12" w:space="0" w:color="000000"/>
                        </w:tcBorders>
                      </w:tcPr>
                      <w:p>
                        <w:pPr/>
                      </w:p>
                    </w:tc>
                    <w:tc>
                      <w:tcPr>
                        <w:tcW w:w="2801" w:type="dxa"/>
                        <w:tcBorders>
                          <w:top w:val="single" w:sz="6" w:space="0" w:color="000000"/>
                          <w:left w:val="single" w:sz="12"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组织机构代码</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702847417</w:t>
                        </w:r>
                      </w:p>
                    </w:tc>
                    <w:tc>
                      <w:tcPr>
                        <w:tcW w:w="809" w:type="dxa"/>
                        <w:tcBorders>
                          <w:top w:val="single" w:sz="6" w:space="0" w:color="000000"/>
                          <w:left w:val="single" w:sz="6" w:space="0" w:color="000000"/>
                          <w:bottom w:val="single" w:sz="6" w:space="0" w:color="000000"/>
                          <w:right w:val="nil" w:sz="6" w:space="0" w:color="auto"/>
                        </w:tcBorders>
                      </w:tcPr>
                      <w:p>
                        <w:pPr/>
                      </w:p>
                    </w:tc>
                  </w:tr>
                  <w:tr>
                    <w:trPr>
                      <w:trHeight w:val="334"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公司聘请的会计师事务所名称</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68" w:lineRule="exact"/>
                          <w:ind w:left="90" w:right="0"/>
                          <w:jc w:val="left"/>
                          <w:rPr>
                            <w:rFonts w:ascii="宋体" w:hAnsi="宋体" w:cs="宋体" w:eastAsia="宋体" w:hint="default"/>
                            <w:sz w:val="21"/>
                            <w:szCs w:val="21"/>
                          </w:rPr>
                        </w:pPr>
                        <w:r>
                          <w:rPr>
                            <w:rFonts w:ascii="宋体" w:hAnsi="宋体" w:cs="宋体" w:eastAsia="宋体" w:hint="default"/>
                            <w:sz w:val="21"/>
                            <w:szCs w:val="21"/>
                          </w:rPr>
                          <w:t>天职国际会计师事务所有限公司</w:t>
                        </w:r>
                      </w:p>
                    </w:tc>
                    <w:tc>
                      <w:tcPr>
                        <w:tcW w:w="809" w:type="dxa"/>
                        <w:vMerge w:val="restart"/>
                        <w:tcBorders>
                          <w:top w:val="single" w:sz="6" w:space="0" w:color="000000"/>
                          <w:left w:val="single" w:sz="6" w:space="0" w:color="000000"/>
                          <w:right w:val="nil" w:sz="6" w:space="0" w:color="auto"/>
                        </w:tcBorders>
                      </w:tcPr>
                      <w:p>
                        <w:pPr/>
                      </w:p>
                    </w:tc>
                  </w:tr>
                  <w:tr>
                    <w:trPr>
                      <w:trHeight w:val="638"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公司聘请的会计师事务所办公地址</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中国北京海淀区车公庄西路乙 </w:t>
                        </w:r>
                        <w:r>
                          <w:rPr>
                            <w:rFonts w:ascii="Times New Roman" w:hAnsi="Times New Roman" w:cs="Times New Roman" w:eastAsia="Times New Roman" w:hint="default"/>
                            <w:sz w:val="21"/>
                            <w:szCs w:val="21"/>
                          </w:rPr>
                          <w:t>19  </w:t>
                        </w:r>
                        <w:r>
                          <w:rPr>
                            <w:rFonts w:ascii="宋体" w:hAnsi="宋体" w:cs="宋体" w:eastAsia="宋体" w:hint="default"/>
                            <w:sz w:val="21"/>
                            <w:szCs w:val="21"/>
                          </w:rPr>
                          <w:t>号华通大厦</w:t>
                        </w:r>
                        <w:r>
                          <w:rPr>
                            <w:rFonts w:ascii="宋体" w:hAnsi="宋体" w:cs="宋体" w:eastAsia="宋体" w:hint="default"/>
                            <w:spacing w:val="-14"/>
                            <w:sz w:val="21"/>
                            <w:szCs w:val="21"/>
                          </w:rPr>
                          <w:t> </w:t>
                        </w:r>
                        <w:r>
                          <w:rPr>
                            <w:rFonts w:ascii="Times New Roman" w:hAnsi="Times New Roman" w:cs="Times New Roman" w:eastAsia="Times New Roman" w:hint="default"/>
                            <w:sz w:val="21"/>
                            <w:szCs w:val="21"/>
                          </w:rPr>
                          <w:t>B</w:t>
                        </w:r>
                      </w:p>
                      <w:p>
                        <w:pPr>
                          <w:pStyle w:val="TableParagraph"/>
                          <w:spacing w:line="240" w:lineRule="auto" w:before="21"/>
                          <w:ind w:left="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座</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208</w:t>
                        </w:r>
                      </w:p>
                    </w:tc>
                    <w:tc>
                      <w:tcPr>
                        <w:tcW w:w="809" w:type="dxa"/>
                        <w:vMerge/>
                        <w:tcBorders>
                          <w:left w:val="single" w:sz="6" w:space="0" w:color="000000"/>
                          <w:right w:val="nil" w:sz="6" w:space="0" w:color="auto"/>
                        </w:tcBorders>
                      </w:tcPr>
                      <w:p>
                        <w:pPr/>
                      </w:p>
                    </w:tc>
                  </w:tr>
                  <w:tr>
                    <w:trPr>
                      <w:trHeight w:val="952" w:hRule="exact"/>
                    </w:trPr>
                    <w:tc>
                      <w:tcPr>
                        <w:tcW w:w="4661"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公司其他基本情况</w:t>
                        </w:r>
                      </w:p>
                    </w:tc>
                    <w:tc>
                      <w:tcPr>
                        <w:tcW w:w="4639" w:type="dxa"/>
                        <w:tcBorders>
                          <w:top w:val="single" w:sz="6" w:space="0" w:color="000000"/>
                          <w:left w:val="single" w:sz="6" w:space="0" w:color="000000"/>
                          <w:bottom w:val="single" w:sz="6" w:space="0" w:color="000000"/>
                          <w:right w:val="single" w:sz="6" w:space="0" w:color="000000"/>
                        </w:tcBorders>
                      </w:tcPr>
                      <w:p>
                        <w:pPr>
                          <w:pStyle w:val="TableParagraph"/>
                          <w:tabs>
                            <w:tab w:pos="2609" w:val="left" w:leader="none"/>
                          </w:tabs>
                          <w:spacing w:line="277" w:lineRule="exact"/>
                          <w:ind w:left="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企业法人营业执照注册号</w:t>
                          <w:tab/>
                        </w:r>
                        <w:r>
                          <w:rPr>
                            <w:rFonts w:ascii="Times New Roman" w:hAnsi="Times New Roman" w:cs="Times New Roman" w:eastAsia="Times New Roman" w:hint="default"/>
                            <w:sz w:val="21"/>
                            <w:szCs w:val="21"/>
                          </w:rPr>
                          <w:t>2300001100459</w:t>
                        </w:r>
                      </w:p>
                      <w:p>
                        <w:pPr>
                          <w:pStyle w:val="TableParagraph"/>
                          <w:tabs>
                            <w:tab w:pos="2715" w:val="left" w:leader="none"/>
                          </w:tabs>
                          <w:spacing w:line="240" w:lineRule="auto" w:before="21"/>
                          <w:ind w:left="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税务登记号码</w:t>
                          <w:tab/>
                        </w:r>
                        <w:r>
                          <w:rPr>
                            <w:rFonts w:ascii="Times New Roman" w:hAnsi="Times New Roman" w:cs="Times New Roman" w:eastAsia="Times New Roman" w:hint="default"/>
                            <w:sz w:val="21"/>
                            <w:szCs w:val="21"/>
                          </w:rPr>
                          <w:t>230206702847417</w:t>
                        </w:r>
                      </w:p>
                      <w:p>
                        <w:pPr>
                          <w:pStyle w:val="TableParagraph"/>
                          <w:tabs>
                            <w:tab w:pos="3730" w:val="right" w:leader="none"/>
                          </w:tabs>
                          <w:spacing w:line="240" w:lineRule="auto" w:before="21"/>
                          <w:ind w:left="9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组织机构代码</w:t>
                        </w:r>
                        <w:r>
                          <w:rPr>
                            <w:rFonts w:ascii="Times New Roman" w:hAnsi="Times New Roman" w:cs="Times New Roman" w:eastAsia="Times New Roman" w:hint="default"/>
                            <w:sz w:val="21"/>
                            <w:szCs w:val="21"/>
                          </w:rPr>
                          <w:tab/>
                          <w:t>70284741-7</w:t>
                        </w:r>
                      </w:p>
                    </w:tc>
                    <w:tc>
                      <w:tcPr>
                        <w:tcW w:w="809" w:type="dxa"/>
                        <w:vMerge/>
                        <w:tcBorders>
                          <w:left w:val="single" w:sz="6" w:space="0" w:color="000000"/>
                          <w:bottom w:val="nil" w:sz="6" w:space="0" w:color="auto"/>
                          <w:right w:val="nil" w:sz="6" w:space="0" w:color="auto"/>
                        </w:tcBorders>
                      </w:tcPr>
                      <w:p>
                        <w:pPr/>
                      </w:p>
                    </w:tc>
                  </w:tr>
                </w:tbl>
                <w:p>
                  <w:pPr/>
                </w:p>
              </w:txbxContent>
            </v:textbox>
            <w10:wrap type="none"/>
          </v:shape>
        </w:pict>
      </w: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其他有关资料</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9"/>
          <w:szCs w:val="19"/>
        </w:rPr>
      </w:pPr>
    </w:p>
    <w:p>
      <w:pPr>
        <w:pStyle w:val="Heading1"/>
        <w:spacing w:line="240" w:lineRule="auto"/>
        <w:ind w:right="0"/>
        <w:jc w:val="left"/>
        <w:rPr>
          <w:b w:val="0"/>
          <w:bCs w:val="0"/>
        </w:rPr>
      </w:pPr>
      <w:r>
        <w:rPr/>
        <w:t>三、</w:t>
      </w:r>
      <w:r>
        <w:rPr>
          <w:spacing w:val="-9"/>
        </w:rPr>
        <w:t> </w:t>
      </w:r>
      <w:r>
        <w:rPr/>
        <w:t>会计数据和业务数据摘要</w:t>
      </w:r>
      <w:r>
        <w:rPr>
          <w:b w:val="0"/>
          <w:bCs w:val="0"/>
        </w:rPr>
      </w:r>
    </w:p>
    <w:p>
      <w:pPr>
        <w:pStyle w:val="BodyText"/>
        <w:spacing w:line="240" w:lineRule="auto" w:before="99"/>
        <w:ind w:right="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主要会计数据</w:t>
      </w:r>
    </w:p>
    <w:p>
      <w:pPr>
        <w:spacing w:after="0" w:line="240" w:lineRule="auto"/>
        <w:jc w:val="left"/>
        <w:sectPr>
          <w:pgSz w:w="11910" w:h="16840"/>
          <w:pgMar w:header="877" w:footer="982" w:top="1100" w:bottom="1180" w:left="1660" w:right="0"/>
        </w:sectPr>
      </w:pPr>
    </w:p>
    <w:p>
      <w:pPr>
        <w:spacing w:line="240" w:lineRule="auto" w:before="9"/>
        <w:rPr>
          <w:rFonts w:ascii="宋体" w:hAnsi="宋体" w:cs="宋体" w:eastAsia="宋体" w:hint="default"/>
          <w:sz w:val="20"/>
          <w:szCs w:val="20"/>
        </w:rPr>
      </w:pPr>
    </w:p>
    <w:p>
      <w:pPr>
        <w:pStyle w:val="BodyText"/>
        <w:spacing w:line="240" w:lineRule="auto" w:before="35"/>
        <w:ind w:left="6242"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544"/>
        <w:gridCol w:w="3756"/>
      </w:tblGrid>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-142,621,323.11</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15,894,335.98</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16,736,905.50</w:t>
            </w:r>
          </w:p>
        </w:tc>
      </w:tr>
      <w:tr>
        <w:trPr>
          <w:trHeight w:val="326"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归属于上市公司股东的扣除非经常性损益后的净利润</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-153,887,300.58</w:t>
            </w:r>
          </w:p>
        </w:tc>
      </w:tr>
      <w:tr>
        <w:trPr>
          <w:trHeight w:val="328" w:hRule="exact"/>
        </w:trPr>
        <w:tc>
          <w:tcPr>
            <w:tcW w:w="55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37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197,335,819.66</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扣除非经常性损益项目和金额</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998"/>
        <w:gridCol w:w="4302"/>
      </w:tblGrid>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-57,607.85</w:t>
            </w:r>
            <w:r>
              <w:rPr>
                <w:rFonts w:ascii="Times New Roman"/>
                <w:sz w:val="21"/>
              </w:rPr>
            </w:r>
          </w:p>
        </w:tc>
      </w:tr>
      <w:tr>
        <w:trPr>
          <w:trHeight w:val="640"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计入当期损益的政府补助（与企业业务密切相关，按</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照国家统一标准定额或定量享受的政府补助除外）</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158,500,000.00</w:t>
            </w:r>
          </w:p>
        </w:tc>
      </w:tr>
      <w:tr>
        <w:trPr>
          <w:trHeight w:val="32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12,055,656.16</w:t>
            </w:r>
          </w:p>
        </w:tc>
      </w:tr>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73,266.94</w:t>
            </w:r>
          </w:p>
        </w:tc>
      </w:tr>
      <w:tr>
        <w:trPr>
          <w:trHeight w:val="326"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52,890.83</w:t>
            </w:r>
          </w:p>
        </w:tc>
      </w:tr>
      <w:tr>
        <w:trPr>
          <w:trHeight w:val="328" w:hRule="exact"/>
        </w:trPr>
        <w:tc>
          <w:tcPr>
            <w:tcW w:w="49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3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170,624,206.08</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报告期末公司前三年主要会计数据和财务指标</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692"/>
        <w:gridCol w:w="1686"/>
        <w:gridCol w:w="1686"/>
        <w:gridCol w:w="1550"/>
        <w:gridCol w:w="1686"/>
      </w:tblGrid>
      <w:tr>
        <w:trPr>
          <w:trHeight w:val="640"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707" w:right="0"/>
              <w:jc w:val="left"/>
              <w:rPr>
                <w:rFonts w:ascii="宋体" w:hAnsi="宋体" w:cs="宋体" w:eastAsia="宋体" w:hint="default"/>
                <w:sz w:val="21"/>
                <w:szCs w:val="21"/>
              </w:rPr>
            </w:pPr>
            <w:r>
              <w:rPr>
                <w:rFonts w:ascii="宋体" w:hAnsi="宋体" w:cs="宋体" w:eastAsia="宋体" w:hint="default"/>
                <w:sz w:val="21"/>
                <w:szCs w:val="21"/>
              </w:rPr>
              <w:t>主要会计数据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期增减</w:t>
            </w:r>
            <w:r>
              <w:rPr>
                <w:rFonts w:ascii="Times New Roman" w:hAnsi="Times New Roman" w:cs="Times New Roman" w:eastAsia="Times New Roman" w:hint="default"/>
                <w:sz w:val="21"/>
                <w:szCs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92"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6"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1,574,764,180.88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1,461,775,454.13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7.73</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1,780,641,423.11</w:t>
            </w:r>
          </w:p>
        </w:tc>
      </w:tr>
      <w:tr>
        <w:trPr>
          <w:trHeight w:val="328"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利润总额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15,894,335.98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6" w:right="0"/>
              <w:jc w:val="center"/>
              <w:rPr>
                <w:rFonts w:ascii="Times New Roman" w:hAnsi="Times New Roman" w:cs="Times New Roman" w:eastAsia="Times New Roman" w:hint="default"/>
                <w:sz w:val="21"/>
                <w:szCs w:val="21"/>
              </w:rPr>
            </w:pPr>
            <w:r>
              <w:rPr>
                <w:rFonts w:ascii="Times New Roman"/>
                <w:sz w:val="21"/>
              </w:rPr>
              <w:t>-234,575,617.32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7"/>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-50,520,948.30</w:t>
            </w:r>
            <w:r>
              <w:rPr>
                <w:rFonts w:ascii="Times New Roman"/>
                <w:sz w:val="21"/>
              </w:rPr>
            </w:r>
          </w:p>
        </w:tc>
      </w:tr>
      <w:tr>
        <w:trPr>
          <w:trHeight w:val="638"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归属于上市公司股东的净</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16,736,905.50</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-233,678,505.32</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7"/>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-53,973,710.59</w:t>
            </w:r>
            <w:r>
              <w:rPr>
                <w:rFonts w:ascii="Times New Roman"/>
                <w:sz w:val="21"/>
              </w:rPr>
            </w:r>
          </w:p>
        </w:tc>
      </w:tr>
      <w:tr>
        <w:trPr>
          <w:trHeight w:val="952"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归属于上市公司股东的扣</w:t>
            </w:r>
          </w:p>
          <w:p>
            <w:pPr>
              <w:pStyle w:val="TableParagraph"/>
              <w:spacing w:line="273" w:lineRule="auto" w:before="37"/>
              <w:ind w:left="100" w:right="56"/>
              <w:jc w:val="left"/>
              <w:rPr>
                <w:rFonts w:ascii="宋体" w:hAnsi="宋体" w:cs="宋体" w:eastAsia="宋体" w:hint="default"/>
                <w:sz w:val="21"/>
                <w:szCs w:val="21"/>
              </w:rPr>
            </w:pPr>
            <w:r>
              <w:rPr>
                <w:rFonts w:ascii="宋体" w:hAnsi="宋体" w:cs="宋体" w:eastAsia="宋体" w:hint="default"/>
                <w:spacing w:val="31"/>
                <w:sz w:val="21"/>
                <w:szCs w:val="21"/>
              </w:rPr>
              <w:t>除非经常</w:t>
            </w:r>
            <w:r>
              <w:rPr>
                <w:rFonts w:ascii="宋体" w:hAnsi="宋体" w:cs="宋体" w:eastAsia="宋体" w:hint="default"/>
                <w:spacing w:val="-64"/>
                <w:sz w:val="21"/>
                <w:szCs w:val="21"/>
              </w:rPr>
              <w:t> </w:t>
            </w:r>
            <w:r>
              <w:rPr>
                <w:rFonts w:ascii="宋体" w:hAnsi="宋体" w:cs="宋体" w:eastAsia="宋体" w:hint="default"/>
                <w:spacing w:val="31"/>
                <w:sz w:val="21"/>
                <w:szCs w:val="21"/>
              </w:rPr>
              <w:t>性损益的</w:t>
            </w:r>
            <w:r>
              <w:rPr>
                <w:rFonts w:ascii="宋体" w:hAnsi="宋体" w:cs="宋体" w:eastAsia="宋体" w:hint="default"/>
                <w:spacing w:val="-64"/>
                <w:sz w:val="21"/>
                <w:szCs w:val="21"/>
              </w:rPr>
              <w:t> </w:t>
            </w:r>
            <w:r>
              <w:rPr>
                <w:rFonts w:ascii="宋体" w:hAnsi="宋体" w:cs="宋体" w:eastAsia="宋体" w:hint="default"/>
                <w:spacing w:val="21"/>
                <w:sz w:val="21"/>
                <w:szCs w:val="21"/>
              </w:rPr>
              <w:t>净利</w:t>
            </w:r>
            <w:r>
              <w:rPr>
                <w:rFonts w:ascii="宋体" w:hAnsi="宋体" w:cs="宋体" w:eastAsia="宋体" w:hint="default"/>
                <w:spacing w:val="-63"/>
                <w:sz w:val="21"/>
                <w:szCs w:val="21"/>
              </w:rPr>
              <w:t> </w:t>
            </w:r>
            <w:r>
              <w:rPr>
                <w:rFonts w:ascii="宋体" w:hAnsi="宋体" w:cs="宋体" w:eastAsia="宋体" w:hint="default"/>
                <w:sz w:val="21"/>
                <w:szCs w:val="21"/>
              </w:rPr>
              <w:t>润</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-153,887,300.58</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-239,321,040.59</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z w:val="21"/>
              </w:rPr>
              <w:t>36</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-52,479,232.61</w:t>
            </w:r>
            <w:r>
              <w:rPr>
                <w:rFonts w:ascii="Times New Roman"/>
                <w:sz w:val="21"/>
              </w:rPr>
            </w:r>
          </w:p>
        </w:tc>
      </w:tr>
      <w:tr>
        <w:trPr>
          <w:trHeight w:val="638"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4"/>
                <w:sz w:val="21"/>
                <w:szCs w:val="21"/>
              </w:rPr>
              <w:t>经营活动产生的现金流量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净额</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197,335,819.66</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89" w:right="0"/>
              <w:jc w:val="center"/>
              <w:rPr>
                <w:rFonts w:ascii="Times New Roman" w:hAnsi="Times New Roman" w:cs="Times New Roman" w:eastAsia="Times New Roman" w:hint="default"/>
                <w:sz w:val="21"/>
                <w:szCs w:val="21"/>
              </w:rPr>
            </w:pPr>
            <w:r>
              <w:rPr>
                <w:rFonts w:ascii="Times New Roman"/>
                <w:sz w:val="21"/>
              </w:rPr>
              <w:t>-33,883,680.84</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7"/>
              <w:jc w:val="right"/>
              <w:rPr>
                <w:rFonts w:ascii="宋体" w:hAnsi="宋体" w:cs="宋体" w:eastAsia="宋体" w:hint="default"/>
                <w:sz w:val="21"/>
                <w:szCs w:val="21"/>
              </w:rPr>
            </w:pPr>
            <w:r>
              <w:rPr>
                <w:rFonts w:ascii="宋体" w:hAnsi="宋体" w:cs="宋体" w:eastAsia="宋体" w:hint="default"/>
                <w:sz w:val="21"/>
                <w:szCs w:val="21"/>
              </w:rPr>
              <w:t>不适用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75,506,711.10</w:t>
            </w:r>
          </w:p>
        </w:tc>
      </w:tr>
      <w:tr>
        <w:trPr>
          <w:trHeight w:val="952" w:hRule="exact"/>
        </w:trPr>
        <w:tc>
          <w:tcPr>
            <w:tcW w:w="269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本期末比上年</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同期末增减</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88"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年末</w:t>
            </w:r>
          </w:p>
        </w:tc>
      </w:tr>
      <w:tr>
        <w:trPr>
          <w:trHeight w:val="326"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总资产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1,766,986,282.21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1,840,654,234.68</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w w:val="95"/>
                <w:sz w:val="21"/>
              </w:rPr>
              <w:t>-4</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1,973,760,013.41</w:t>
            </w:r>
          </w:p>
        </w:tc>
      </w:tr>
      <w:tr>
        <w:trPr>
          <w:trHeight w:val="328" w:hRule="exact"/>
        </w:trPr>
        <w:tc>
          <w:tcPr>
            <w:tcW w:w="26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所有者权益（或股东权益）</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642,193,874.79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55" w:right="0"/>
              <w:jc w:val="center"/>
              <w:rPr>
                <w:rFonts w:ascii="Times New Roman" w:hAnsi="Times New Roman" w:cs="Times New Roman" w:eastAsia="Times New Roman" w:hint="default"/>
                <w:sz w:val="21"/>
                <w:szCs w:val="21"/>
              </w:rPr>
            </w:pPr>
            <w:r>
              <w:rPr>
                <w:rFonts w:ascii="Times New Roman"/>
                <w:sz w:val="21"/>
              </w:rPr>
              <w:t>619,564,025.93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3.65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854,789,111.14</w:t>
            </w:r>
          </w:p>
        </w:tc>
      </w:tr>
    </w:tbl>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2"/>
          <w:szCs w:val="22"/>
        </w:rPr>
      </w:pPr>
    </w:p>
    <w:tbl>
      <w:tblPr>
        <w:tblW w:w="0" w:type="auto"/>
        <w:jc w:val="left"/>
        <w:tblInd w:w="124" w:type="dxa"/>
        <w:tblLayout w:type="fixed"/>
        <w:tblCellMar>
          <w:top w:w="0" w:type="dxa"/>
          <w:left w:w="0" w:type="dxa"/>
          <w:bottom w:w="0" w:type="dxa"/>
          <w:right w:w="0" w:type="dxa"/>
        </w:tblCellMar>
        <w:tblLook w:val="01E0"/>
      </w:tblPr>
      <w:tblGrid>
        <w:gridCol w:w="3973"/>
        <w:gridCol w:w="1024"/>
        <w:gridCol w:w="1022"/>
        <w:gridCol w:w="2285"/>
        <w:gridCol w:w="996"/>
      </w:tblGrid>
      <w:tr>
        <w:trPr>
          <w:trHeight w:val="640"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主要财务指标</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61"/>
              <w:jc w:val="righ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60"/>
              <w:jc w:val="righ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本期比上年同期增减</w:t>
            </w:r>
          </w:p>
          <w:p>
            <w:pPr>
              <w:pStyle w:val="TableParagraph"/>
              <w:spacing w:line="240" w:lineRule="auto" w:before="86"/>
              <w:ind w:right="1"/>
              <w:jc w:val="center"/>
              <w:rPr>
                <w:rFonts w:ascii="Times New Roman" w:hAnsi="Times New Roman" w:cs="Times New Roman" w:eastAsia="Times New Roman" w:hint="default"/>
                <w:sz w:val="21"/>
                <w:szCs w:val="21"/>
              </w:rPr>
            </w:pPr>
            <w:r>
              <w:rPr>
                <w:rFonts w:ascii="Times New Roman"/>
                <w:sz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46"/>
              <w:jc w:val="right"/>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r>
      <w:tr>
        <w:trPr>
          <w:trHeight w:val="326"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基本每股收益（元／股）</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0.04</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w w:val="95"/>
                <w:sz w:val="21"/>
              </w:rPr>
              <w:t>-0.60</w:t>
            </w:r>
            <w:r>
              <w:rPr>
                <w:rFonts w:ascii="Times New Roman"/>
                <w:sz w:val="21"/>
              </w:rPr>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hAnsi="宋体" w:cs="宋体" w:eastAsia="宋体" w:hint="default"/>
                <w:sz w:val="21"/>
                <w:szCs w:val="21"/>
              </w:rPr>
              <w:t>不适用</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w w:val="95"/>
                <w:sz w:val="21"/>
              </w:rPr>
              <w:t>-0.14</w:t>
            </w:r>
            <w:r>
              <w:rPr>
                <w:rFonts w:ascii="Times New Roman"/>
                <w:sz w:val="21"/>
              </w:rPr>
            </w:r>
          </w:p>
        </w:tc>
      </w:tr>
      <w:tr>
        <w:trPr>
          <w:trHeight w:val="328"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稀释每股收益（元／股）</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0.04</w:t>
            </w:r>
            <w:r>
              <w:rPr>
                <w:rFonts w:ascii="Times New Roman"/>
                <w:sz w:val="21"/>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-0.60</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hAnsi="宋体" w:cs="宋体" w:eastAsia="宋体" w:hint="default"/>
                <w:sz w:val="21"/>
                <w:szCs w:val="21"/>
              </w:rPr>
              <w:t>不适用</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w w:val="95"/>
                <w:sz w:val="21"/>
              </w:rPr>
              <w:t>-0.14</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973"/>
        <w:gridCol w:w="1024"/>
        <w:gridCol w:w="1022"/>
        <w:gridCol w:w="2285"/>
        <w:gridCol w:w="996"/>
      </w:tblGrid>
      <w:tr>
        <w:trPr>
          <w:trHeight w:val="638"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2" w:id="3"/>
            <w:bookmarkEnd w:id="3"/>
            <w:r>
              <w:rPr/>
            </w:r>
            <w:r>
              <w:rPr>
                <w:rFonts w:ascii="宋体" w:hAnsi="宋体" w:cs="宋体" w:eastAsia="宋体" w:hint="default"/>
                <w:sz w:val="21"/>
                <w:szCs w:val="21"/>
              </w:rPr>
              <w:t>扣除非经常性损益后的基本每股收益（元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-0.39</w:t>
            </w:r>
            <w:r>
              <w:rPr>
                <w:rFonts w:ascii="Times New Roman"/>
                <w:sz w:val="21"/>
              </w:rPr>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-0.61</w:t>
            </w:r>
            <w:r>
              <w:rPr>
                <w:rFonts w:ascii="Times New Roman"/>
                <w:sz w:val="21"/>
              </w:rPr>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36</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-0.13</w:t>
            </w:r>
            <w:r>
              <w:rPr>
                <w:rFonts w:ascii="Times New Roman"/>
                <w:sz w:val="21"/>
              </w:rPr>
            </w:r>
          </w:p>
        </w:tc>
      </w:tr>
      <w:tr>
        <w:trPr>
          <w:trHeight w:val="328"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加权平均净资产收益率（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2.65</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-31.83</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00"/>
              <w:jc w:val="right"/>
              <w:rPr>
                <w:rFonts w:ascii="宋体" w:hAnsi="宋体" w:cs="宋体" w:eastAsia="宋体" w:hint="default"/>
                <w:sz w:val="21"/>
                <w:szCs w:val="21"/>
              </w:rPr>
            </w:pPr>
            <w:r>
              <w:rPr>
                <w:rFonts w:ascii="宋体" w:hAnsi="宋体" w:cs="宋体" w:eastAsia="宋体" w:hint="default"/>
                <w:sz w:val="21"/>
                <w:szCs w:val="21"/>
              </w:rPr>
              <w:t>不适用</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-6.1</w:t>
            </w:r>
          </w:p>
        </w:tc>
      </w:tr>
      <w:tr>
        <w:trPr>
          <w:trHeight w:val="638"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1"/>
                <w:sz w:val="21"/>
                <w:szCs w:val="21"/>
              </w:rPr>
              <w:t>扣除非经常性损益后的加权平均净资产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-24.39</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-32.59</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个百分点</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-5.93</w:t>
            </w:r>
            <w:r>
              <w:rPr>
                <w:rFonts w:ascii="Times New Roman"/>
                <w:sz w:val="21"/>
              </w:rPr>
            </w:r>
          </w:p>
        </w:tc>
      </w:tr>
      <w:tr>
        <w:trPr>
          <w:trHeight w:val="640"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每股经营活动产生的现金流量净额（元／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0.51</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w w:val="95"/>
                <w:sz w:val="21"/>
              </w:rPr>
              <w:t>-0.08</w:t>
            </w:r>
            <w:r>
              <w:rPr>
                <w:rFonts w:ascii="Times New Roman"/>
                <w:sz w:val="21"/>
              </w:rPr>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00"/>
              <w:jc w:val="right"/>
              <w:rPr>
                <w:rFonts w:ascii="宋体" w:hAnsi="宋体" w:cs="宋体" w:eastAsia="宋体" w:hint="default"/>
                <w:sz w:val="21"/>
                <w:szCs w:val="21"/>
              </w:rPr>
            </w:pPr>
            <w:r>
              <w:rPr>
                <w:rFonts w:ascii="宋体" w:hAnsi="宋体" w:cs="宋体" w:eastAsia="宋体" w:hint="default"/>
                <w:sz w:val="21"/>
                <w:szCs w:val="21"/>
              </w:rPr>
              <w:t>不适用</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0.19</w:t>
            </w:r>
          </w:p>
        </w:tc>
      </w:tr>
      <w:tr>
        <w:trPr>
          <w:trHeight w:val="638" w:hRule="exact"/>
        </w:trPr>
        <w:tc>
          <w:tcPr>
            <w:tcW w:w="3973" w:type="dxa"/>
            <w:tcBorders>
              <w:top w:val="single" w:sz="6" w:space="0" w:color="000000"/>
              <w:left w:val="single" w:sz="6" w:space="0" w:color="000000"/>
              <w:bottom w:val="single" w:sz="6" w:space="0" w:color="000000"/>
              <w:right w:val="single" w:sz="6" w:space="0" w:color="000000"/>
            </w:tcBorders>
          </w:tcPr>
          <w:p>
            <w:pP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1" w:right="0"/>
              <w:jc w:val="center"/>
              <w:rPr>
                <w:rFonts w:ascii="宋体" w:hAnsi="宋体" w:cs="宋体" w:eastAsia="宋体" w:hint="default"/>
                <w:sz w:val="21"/>
                <w:szCs w:val="21"/>
              </w:rPr>
            </w:pPr>
            <w:r>
              <w:rPr>
                <w:rFonts w:ascii="宋体" w:hAnsi="宋体" w:cs="宋体" w:eastAsia="宋体" w:hint="default"/>
                <w:sz w:val="21"/>
                <w:szCs w:val="21"/>
              </w:rPr>
              <w:t>末</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本期末比上年同期末</w:t>
            </w:r>
          </w:p>
          <w:p>
            <w:pPr>
              <w:pStyle w:val="TableParagraph"/>
              <w:spacing w:line="240" w:lineRule="auto" w:before="37"/>
              <w:ind w:right="1"/>
              <w:jc w:val="center"/>
              <w:rPr>
                <w:rFonts w:ascii="Times New Roman" w:hAnsi="Times New Roman" w:cs="Times New Roman" w:eastAsia="Times New Roman" w:hint="default"/>
                <w:sz w:val="21"/>
                <w:szCs w:val="21"/>
              </w:rPr>
            </w:pPr>
            <w:r>
              <w:rPr>
                <w:rFonts w:ascii="宋体" w:hAnsi="宋体" w:cs="宋体" w:eastAsia="宋体" w:hint="default"/>
                <w:sz w:val="21"/>
                <w:szCs w:val="21"/>
              </w:rPr>
              <w:t>增减</w:t>
            </w:r>
            <w:r>
              <w:rPr>
                <w:rFonts w:ascii="Times New Roman" w:hAnsi="Times New Roman" w:cs="Times New Roman" w:eastAsia="Times New Roman" w:hint="default"/>
                <w:sz w:val="21"/>
                <w:szCs w:val="21"/>
              </w:rPr>
              <w:t>(%)</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2008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p>
            <w:pPr>
              <w:pStyle w:val="TableParagraph"/>
              <w:spacing w:line="240" w:lineRule="auto" w:before="21"/>
              <w:ind w:left="2" w:right="0"/>
              <w:jc w:val="center"/>
              <w:rPr>
                <w:rFonts w:ascii="宋体" w:hAnsi="宋体" w:cs="宋体" w:eastAsia="宋体" w:hint="default"/>
                <w:sz w:val="21"/>
                <w:szCs w:val="21"/>
              </w:rPr>
            </w:pPr>
            <w:r>
              <w:rPr>
                <w:rFonts w:ascii="宋体" w:hAnsi="宋体" w:cs="宋体" w:eastAsia="宋体" w:hint="default"/>
                <w:sz w:val="21"/>
                <w:szCs w:val="21"/>
              </w:rPr>
              <w:t>末</w:t>
            </w:r>
          </w:p>
        </w:tc>
      </w:tr>
      <w:tr>
        <w:trPr>
          <w:trHeight w:val="640" w:hRule="exact"/>
        </w:trPr>
        <w:tc>
          <w:tcPr>
            <w:tcW w:w="3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归属于上市公司股东的每股净资产（元／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w:t>
            </w:r>
          </w:p>
        </w:tc>
        <w:tc>
          <w:tcPr>
            <w:tcW w:w="10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1.65</w:t>
            </w:r>
          </w:p>
        </w:tc>
        <w:tc>
          <w:tcPr>
            <w:tcW w:w="10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1.58</w:t>
            </w:r>
          </w:p>
        </w:tc>
        <w:tc>
          <w:tcPr>
            <w:tcW w:w="22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4.43</w:t>
            </w:r>
          </w:p>
        </w:tc>
        <w:tc>
          <w:tcPr>
            <w:tcW w:w="9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2.18</w:t>
            </w:r>
          </w:p>
        </w:tc>
      </w:tr>
    </w:tbl>
    <w:p>
      <w:pPr>
        <w:spacing w:line="240" w:lineRule="auto" w:before="5"/>
        <w:rPr>
          <w:rFonts w:ascii="宋体" w:hAnsi="宋体" w:cs="宋体" w:eastAsia="宋体" w:hint="default"/>
          <w:sz w:val="22"/>
          <w:szCs w:val="22"/>
        </w:rPr>
      </w:pPr>
    </w:p>
    <w:p>
      <w:pPr>
        <w:pStyle w:val="Heading1"/>
        <w:spacing w:line="240" w:lineRule="auto"/>
        <w:ind w:right="999"/>
        <w:jc w:val="left"/>
        <w:rPr>
          <w:b w:val="0"/>
          <w:bCs w:val="0"/>
        </w:rPr>
      </w:pPr>
      <w:r>
        <w:rPr/>
        <w:t>四、</w:t>
      </w:r>
      <w:r>
        <w:rPr>
          <w:spacing w:val="-5"/>
        </w:rPr>
        <w:t> </w:t>
      </w:r>
      <w:r>
        <w:rPr/>
        <w:t>股本变动及股东情况</w:t>
      </w:r>
      <w:r>
        <w:rPr>
          <w:b w:val="0"/>
          <w:bCs w:val="0"/>
        </w:rPr>
      </w:r>
    </w:p>
    <w:p>
      <w:pPr>
        <w:pStyle w:val="BodyText"/>
        <w:spacing w:line="240" w:lineRule="auto" w:before="99"/>
        <w:ind w:right="9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股本变动情况</w:t>
      </w:r>
    </w:p>
    <w:p>
      <w:pPr>
        <w:pStyle w:val="BodyText"/>
        <w:spacing w:line="283" w:lineRule="auto" w:before="83"/>
        <w:ind w:left="351" w:right="4573" w:hanging="212"/>
        <w:jc w:val="left"/>
      </w:pPr>
      <w:r>
        <w:rPr>
          <w:rFonts w:ascii="Times New Roman" w:hAnsi="Times New Roman" w:cs="Times New Roman" w:eastAsia="Times New Roman" w:hint="default"/>
        </w:rPr>
        <w:t>1</w:t>
      </w:r>
      <w:r>
        <w:rPr/>
        <w:t>、</w:t>
      </w:r>
      <w:r>
        <w:rPr>
          <w:spacing w:val="-1"/>
        </w:rPr>
        <w:t> </w:t>
      </w:r>
      <w:r>
        <w:rPr/>
        <w:t>股份变动情况表</w:t>
      </w:r>
      <w:r>
        <w:rPr/>
        <w:t> 报告期内，公司股份总数及股本结构未发生变化。</w:t>
      </w:r>
    </w:p>
    <w:p>
      <w:pPr>
        <w:spacing w:line="240" w:lineRule="auto" w:before="2"/>
        <w:rPr>
          <w:rFonts w:ascii="宋体" w:hAnsi="宋体" w:cs="宋体" w:eastAsia="宋体" w:hint="default"/>
          <w:sz w:val="26"/>
          <w:szCs w:val="26"/>
        </w:rPr>
      </w:pPr>
    </w:p>
    <w:p>
      <w:pPr>
        <w:pStyle w:val="BodyText"/>
        <w:spacing w:line="283" w:lineRule="auto"/>
        <w:ind w:left="351" w:right="5413" w:hanging="212"/>
        <w:jc w:val="left"/>
      </w:pPr>
      <w:r>
        <w:rPr>
          <w:rFonts w:ascii="Times New Roman" w:hAnsi="Times New Roman" w:cs="Times New Roman" w:eastAsia="Times New Roman" w:hint="default"/>
        </w:rPr>
        <w:t>2</w:t>
      </w:r>
      <w:r>
        <w:rPr/>
        <w:t>、</w:t>
      </w:r>
      <w:r>
        <w:rPr>
          <w:spacing w:val="-1"/>
        </w:rPr>
        <w:t> </w:t>
      </w:r>
      <w:r>
        <w:rPr/>
        <w:t>限售股份变动情况</w:t>
      </w:r>
      <w:r>
        <w:rPr/>
        <w:t> 报告期内，本公司限售股份无变动情况。</w:t>
      </w:r>
    </w:p>
    <w:p>
      <w:pPr>
        <w:spacing w:line="240" w:lineRule="auto" w:before="2"/>
        <w:rPr>
          <w:rFonts w:ascii="宋体" w:hAnsi="宋体" w:cs="宋体" w:eastAsia="宋体" w:hint="default"/>
          <w:sz w:val="26"/>
          <w:szCs w:val="26"/>
        </w:rPr>
      </w:pPr>
    </w:p>
    <w:p>
      <w:pPr>
        <w:pStyle w:val="BodyText"/>
        <w:spacing w:line="240" w:lineRule="auto"/>
        <w:ind w:left="139" w:right="99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证券发行与上市情况</w:t>
      </w:r>
    </w:p>
    <w:p>
      <w:pPr>
        <w:pStyle w:val="BodyText"/>
        <w:spacing w:line="283" w:lineRule="auto" w:before="83"/>
        <w:ind w:left="350" w:right="3734" w:hanging="212"/>
        <w:jc w:val="left"/>
      </w:pPr>
      <w:r>
        <w:rPr>
          <w:rFonts w:ascii="Times New Roman" w:hAnsi="Times New Roman" w:cs="Times New Roman" w:eastAsia="Times New Roman" w:hint="default"/>
        </w:rPr>
        <w:t>1</w:t>
      </w:r>
      <w:r>
        <w:rPr/>
        <w:t>、</w:t>
      </w:r>
      <w:r>
        <w:rPr>
          <w:spacing w:val="-1"/>
        </w:rPr>
        <w:t> </w:t>
      </w:r>
      <w:r>
        <w:rPr/>
        <w:t>前三年历次证券发行情况</w:t>
      </w:r>
      <w:r>
        <w:rPr/>
        <w:t> 截止本报告期末至前三年，公司未有证券发行与上市情况。</w:t>
      </w:r>
    </w:p>
    <w:p>
      <w:pPr>
        <w:spacing w:line="240" w:lineRule="auto" w:before="2"/>
        <w:rPr>
          <w:rFonts w:ascii="宋体" w:hAnsi="宋体" w:cs="宋体" w:eastAsia="宋体" w:hint="default"/>
          <w:sz w:val="26"/>
          <w:szCs w:val="26"/>
        </w:rPr>
      </w:pPr>
    </w:p>
    <w:p>
      <w:pPr>
        <w:pStyle w:val="BodyText"/>
        <w:spacing w:line="283" w:lineRule="auto"/>
        <w:ind w:left="350" w:right="2894" w:hanging="212"/>
        <w:jc w:val="left"/>
      </w:pPr>
      <w:r>
        <w:rPr>
          <w:rFonts w:ascii="Times New Roman" w:hAnsi="Times New Roman" w:cs="Times New Roman" w:eastAsia="Times New Roman" w:hint="default"/>
        </w:rPr>
        <w:t>2</w:t>
      </w:r>
      <w:r>
        <w:rPr/>
        <w:t>、</w:t>
      </w:r>
      <w:r>
        <w:rPr>
          <w:spacing w:val="-1"/>
        </w:rPr>
        <w:t> </w:t>
      </w:r>
      <w:r>
        <w:rPr/>
        <w:t>公司股份总数及结构的变动情况</w:t>
      </w:r>
      <w:r>
        <w:rPr/>
        <w:t> 报告期内没有因送股、配股等原因引起公司股份总数及结构的变动。</w:t>
      </w:r>
    </w:p>
    <w:p>
      <w:pPr>
        <w:spacing w:line="240" w:lineRule="auto" w:before="2"/>
        <w:rPr>
          <w:rFonts w:ascii="宋体" w:hAnsi="宋体" w:cs="宋体" w:eastAsia="宋体" w:hint="default"/>
          <w:sz w:val="26"/>
          <w:szCs w:val="26"/>
        </w:rPr>
      </w:pPr>
    </w:p>
    <w:p>
      <w:pPr>
        <w:pStyle w:val="BodyText"/>
        <w:spacing w:line="283" w:lineRule="auto"/>
        <w:ind w:left="350" w:right="6254" w:hanging="212"/>
        <w:jc w:val="left"/>
      </w:pPr>
      <w:r>
        <w:rPr>
          <w:rFonts w:ascii="Times New Roman" w:hAnsi="Times New Roman" w:cs="Times New Roman" w:eastAsia="Times New Roman" w:hint="default"/>
        </w:rPr>
        <w:t>3</w:t>
      </w:r>
      <w:r>
        <w:rPr/>
        <w:t>、</w:t>
      </w:r>
      <w:r>
        <w:rPr>
          <w:spacing w:val="-1"/>
        </w:rPr>
        <w:t> </w:t>
      </w:r>
      <w:r>
        <w:rPr/>
        <w:t>现存的内部职工股情况</w:t>
      </w:r>
      <w:r>
        <w:rPr/>
        <w:t> 本报告期末公司无内部职工股。</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before="35"/>
        <w:ind w:left="139" w:right="-18"/>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股东和实际控制人情况</w:t>
      </w:r>
    </w:p>
    <w:p>
      <w:pPr>
        <w:pStyle w:val="BodyText"/>
        <w:spacing w:line="240" w:lineRule="auto" w:before="83"/>
        <w:ind w:left="139" w:right="-18"/>
        <w:jc w:val="left"/>
      </w:pPr>
      <w:r>
        <w:rPr>
          <w:rFonts w:ascii="Times New Roman" w:hAnsi="Times New Roman" w:cs="Times New Roman" w:eastAsia="Times New Roman" w:hint="default"/>
        </w:rPr>
        <w:t>1</w:t>
      </w:r>
      <w:r>
        <w:rPr/>
        <w:t>、</w:t>
      </w:r>
      <w:r>
        <w:rPr>
          <w:spacing w:val="-2"/>
        </w:rPr>
        <w:t> </w:t>
      </w:r>
      <w:r>
        <w:rPr/>
        <w:t>股东数量和持股情况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9" w:right="0"/>
        <w:jc w:val="left"/>
      </w:pPr>
      <w:r>
        <w:rPr/>
        <w:t>单位：股</w:t>
      </w:r>
    </w:p>
    <w:p>
      <w:pPr>
        <w:spacing w:after="0" w:line="240" w:lineRule="auto"/>
        <w:jc w:val="left"/>
        <w:sectPr>
          <w:type w:val="continuous"/>
          <w:pgSz w:w="11910" w:h="16840"/>
          <w:pgMar w:top="1600" w:bottom="280" w:left="1660" w:right="680"/>
          <w:cols w:num="2" w:equalWidth="0">
            <w:col w:w="2695" w:space="4772"/>
            <w:col w:w="2103"/>
          </w:cols>
        </w:sectPr>
      </w:pPr>
    </w:p>
    <w:p>
      <w:pPr>
        <w:spacing w:line="240" w:lineRule="auto" w:before="0"/>
        <w:rPr>
          <w:rFonts w:ascii="宋体" w:hAnsi="宋体" w:cs="宋体" w:eastAsia="宋体" w:hint="default"/>
          <w:sz w:val="4"/>
          <w:szCs w:val="4"/>
        </w:rPr>
      </w:pPr>
    </w:p>
    <w:tbl>
      <w:tblPr>
        <w:tblW w:w="0" w:type="auto"/>
        <w:jc w:val="left"/>
        <w:tblInd w:w="124" w:type="dxa"/>
        <w:tblLayout w:type="fixed"/>
        <w:tblCellMar>
          <w:top w:w="0" w:type="dxa"/>
          <w:left w:w="0" w:type="dxa"/>
          <w:bottom w:w="0" w:type="dxa"/>
          <w:right w:w="0" w:type="dxa"/>
        </w:tblCellMar>
        <w:tblLook w:val="01E0"/>
      </w:tblPr>
      <w:tblGrid>
        <w:gridCol w:w="902"/>
        <w:gridCol w:w="617"/>
        <w:gridCol w:w="971"/>
        <w:gridCol w:w="1498"/>
        <w:gridCol w:w="312"/>
        <w:gridCol w:w="624"/>
        <w:gridCol w:w="2014"/>
        <w:gridCol w:w="2363"/>
      </w:tblGrid>
      <w:tr>
        <w:trPr>
          <w:trHeight w:val="328" w:hRule="exact"/>
        </w:trPr>
        <w:tc>
          <w:tcPr>
            <w:tcW w:w="4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报告期末股东总数</w:t>
            </w:r>
          </w:p>
        </w:tc>
        <w:tc>
          <w:tcPr>
            <w:tcW w:w="5000" w:type="dxa"/>
            <w:gridSpan w:val="3"/>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98"/>
              <w:jc w:val="right"/>
              <w:rPr>
                <w:rFonts w:ascii="宋体" w:hAnsi="宋体" w:cs="宋体" w:eastAsia="宋体" w:hint="default"/>
                <w:sz w:val="21"/>
                <w:szCs w:val="21"/>
              </w:rPr>
            </w:pPr>
            <w:r>
              <w:rPr>
                <w:rFonts w:ascii="Times New Roman" w:hAnsi="Times New Roman" w:cs="Times New Roman" w:eastAsia="Times New Roman" w:hint="default"/>
                <w:sz w:val="21"/>
                <w:szCs w:val="21"/>
              </w:rPr>
              <w:t>48,863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户</w:t>
            </w:r>
          </w:p>
        </w:tc>
      </w:tr>
      <w:tr>
        <w:trPr>
          <w:trHeight w:val="326" w:hRule="exact"/>
        </w:trPr>
        <w:tc>
          <w:tcPr>
            <w:tcW w:w="9300"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前十名股东持股情况</w:t>
            </w:r>
          </w:p>
        </w:tc>
      </w:tr>
      <w:tr>
        <w:trPr>
          <w:trHeight w:val="1264"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338" w:right="127" w:hanging="210"/>
              <w:jc w:val="left"/>
              <w:rPr>
                <w:rFonts w:ascii="宋体" w:hAnsi="宋体" w:cs="宋体" w:eastAsia="宋体" w:hint="default"/>
                <w:sz w:val="21"/>
                <w:szCs w:val="21"/>
              </w:rPr>
            </w:pPr>
            <w:r>
              <w:rPr>
                <w:rFonts w:ascii="宋体" w:hAnsi="宋体" w:cs="宋体" w:eastAsia="宋体" w:hint="default"/>
                <w:sz w:val="21"/>
                <w:szCs w:val="21"/>
              </w:rPr>
              <w:t>股东名 称</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95" w:right="0"/>
              <w:jc w:val="both"/>
              <w:rPr>
                <w:rFonts w:ascii="宋体" w:hAnsi="宋体" w:cs="宋体" w:eastAsia="宋体" w:hint="default"/>
                <w:sz w:val="21"/>
                <w:szCs w:val="21"/>
              </w:rPr>
            </w:pPr>
            <w:r>
              <w:rPr>
                <w:rFonts w:ascii="宋体" w:hAnsi="宋体" w:cs="宋体" w:eastAsia="宋体" w:hint="default"/>
                <w:sz w:val="21"/>
                <w:szCs w:val="21"/>
              </w:rPr>
              <w:t>股</w:t>
            </w:r>
          </w:p>
          <w:p>
            <w:pPr>
              <w:pStyle w:val="TableParagraph"/>
              <w:spacing w:line="273" w:lineRule="auto" w:before="37"/>
              <w:ind w:left="195" w:right="194"/>
              <w:jc w:val="both"/>
              <w:rPr>
                <w:rFonts w:ascii="宋体" w:hAnsi="宋体" w:cs="宋体" w:eastAsia="宋体" w:hint="default"/>
                <w:sz w:val="21"/>
                <w:szCs w:val="21"/>
              </w:rPr>
            </w:pPr>
            <w:r>
              <w:rPr>
                <w:rFonts w:ascii="宋体" w:hAnsi="宋体" w:cs="宋体" w:eastAsia="宋体" w:hint="default"/>
                <w:sz w:val="21"/>
                <w:szCs w:val="21"/>
              </w:rPr>
              <w:t>东 性 质</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15" w:right="161" w:hanging="53"/>
              <w:jc w:val="left"/>
              <w:rPr>
                <w:rFonts w:ascii="Times New Roman" w:hAnsi="Times New Roman" w:cs="Times New Roman" w:eastAsia="Times New Roman" w:hint="default"/>
                <w:sz w:val="21"/>
                <w:szCs w:val="21"/>
              </w:rPr>
            </w:pPr>
            <w:r>
              <w:rPr>
                <w:rFonts w:ascii="宋体" w:hAnsi="宋体" w:cs="宋体" w:eastAsia="宋体" w:hint="default"/>
                <w:sz w:val="21"/>
                <w:szCs w:val="21"/>
              </w:rPr>
              <w:t>持股比 例</w:t>
            </w:r>
            <w:r>
              <w:rPr>
                <w:rFonts w:ascii="Times New Roman" w:hAnsi="Times New Roman" w:cs="Times New Roman" w:eastAsia="Times New Roman" w:hint="default"/>
                <w:sz w:val="21"/>
                <w:szCs w:val="21"/>
              </w:rPr>
              <w:t>(%)</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1" w:right="0"/>
              <w:jc w:val="left"/>
              <w:rPr>
                <w:rFonts w:ascii="宋体" w:hAnsi="宋体" w:cs="宋体" w:eastAsia="宋体" w:hint="default"/>
                <w:sz w:val="21"/>
                <w:szCs w:val="21"/>
              </w:rPr>
            </w:pPr>
            <w:r>
              <w:rPr>
                <w:rFonts w:ascii="宋体" w:hAnsi="宋体" w:cs="宋体" w:eastAsia="宋体" w:hint="default"/>
                <w:sz w:val="21"/>
                <w:szCs w:val="21"/>
              </w:rPr>
              <w:t>持股总数</w:t>
            </w:r>
          </w:p>
        </w:tc>
        <w:tc>
          <w:tcPr>
            <w:tcW w:w="936"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5" w:right="144"/>
              <w:jc w:val="left"/>
              <w:rPr>
                <w:rFonts w:ascii="宋体" w:hAnsi="宋体" w:cs="宋体" w:eastAsia="宋体" w:hint="default"/>
                <w:sz w:val="21"/>
                <w:szCs w:val="21"/>
              </w:rPr>
            </w:pPr>
            <w:r>
              <w:rPr>
                <w:rFonts w:ascii="宋体" w:hAnsi="宋体" w:cs="宋体" w:eastAsia="宋体" w:hint="default"/>
                <w:sz w:val="21"/>
                <w:szCs w:val="21"/>
              </w:rPr>
              <w:t>报告期 内增减</w:t>
            </w: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683" w:right="157" w:hanging="525"/>
              <w:jc w:val="left"/>
              <w:rPr>
                <w:rFonts w:ascii="宋体" w:hAnsi="宋体" w:cs="宋体" w:eastAsia="宋体" w:hint="default"/>
                <w:sz w:val="21"/>
                <w:szCs w:val="21"/>
              </w:rPr>
            </w:pPr>
            <w:r>
              <w:rPr>
                <w:rFonts w:ascii="宋体" w:hAnsi="宋体" w:cs="宋体" w:eastAsia="宋体" w:hint="default"/>
                <w:sz w:val="21"/>
                <w:szCs w:val="21"/>
              </w:rPr>
              <w:t>持有有限售条件股 份数量</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23" w:right="0"/>
              <w:jc w:val="left"/>
              <w:rPr>
                <w:rFonts w:ascii="宋体" w:hAnsi="宋体" w:cs="宋体" w:eastAsia="宋体" w:hint="default"/>
                <w:sz w:val="21"/>
                <w:szCs w:val="21"/>
              </w:rPr>
            </w:pPr>
            <w:r>
              <w:rPr>
                <w:rFonts w:ascii="宋体" w:hAnsi="宋体" w:cs="宋体" w:eastAsia="宋体" w:hint="default"/>
                <w:sz w:val="21"/>
                <w:szCs w:val="21"/>
              </w:rPr>
              <w:t>质押或冻结的股份数量</w:t>
            </w:r>
          </w:p>
        </w:tc>
      </w:tr>
      <w:tr>
        <w:trPr>
          <w:trHeight w:val="952"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18"/>
                <w:sz w:val="21"/>
                <w:szCs w:val="21"/>
              </w:rPr>
              <w:t>黑化集</w:t>
            </w:r>
            <w:r>
              <w:rPr>
                <w:rFonts w:ascii="宋体" w:hAnsi="宋体" w:cs="宋体" w:eastAsia="宋体" w:hint="default"/>
                <w:spacing w:val="-78"/>
                <w:sz w:val="21"/>
                <w:szCs w:val="21"/>
              </w:rPr>
              <w:t> </w:t>
            </w:r>
            <w:r>
              <w:rPr>
                <w:rFonts w:ascii="宋体" w:hAnsi="宋体" w:cs="宋体" w:eastAsia="宋体" w:hint="default"/>
                <w:spacing w:val="18"/>
                <w:sz w:val="21"/>
                <w:szCs w:val="21"/>
              </w:rPr>
              <w:t>团有限</w:t>
            </w:r>
            <w:r>
              <w:rPr>
                <w:rFonts w:ascii="宋体" w:hAnsi="宋体" w:cs="宋体" w:eastAsia="宋体" w:hint="default"/>
                <w:spacing w:val="-78"/>
                <w:sz w:val="21"/>
                <w:szCs w:val="21"/>
              </w:rPr>
              <w:t> </w:t>
            </w:r>
            <w:r>
              <w:rPr>
                <w:rFonts w:ascii="宋体" w:hAnsi="宋体" w:cs="宋体" w:eastAsia="宋体" w:hint="default"/>
                <w:sz w:val="21"/>
                <w:szCs w:val="21"/>
              </w:rPr>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国</w:t>
            </w:r>
          </w:p>
          <w:p>
            <w:pPr>
              <w:pStyle w:val="TableParagraph"/>
              <w:spacing w:line="273" w:lineRule="auto" w:before="37"/>
              <w:ind w:left="100" w:right="289"/>
              <w:jc w:val="left"/>
              <w:rPr>
                <w:rFonts w:ascii="宋体" w:hAnsi="宋体" w:cs="宋体" w:eastAsia="宋体" w:hint="default"/>
                <w:sz w:val="21"/>
                <w:szCs w:val="21"/>
              </w:rPr>
            </w:pPr>
            <w:r>
              <w:rPr>
                <w:rFonts w:ascii="宋体" w:hAnsi="宋体" w:cs="宋体" w:eastAsia="宋体" w:hint="default"/>
                <w:sz w:val="21"/>
                <w:szCs w:val="21"/>
              </w:rPr>
              <w:t>有 法</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81" w:right="0"/>
              <w:jc w:val="left"/>
              <w:rPr>
                <w:rFonts w:ascii="Times New Roman" w:hAnsi="Times New Roman" w:cs="Times New Roman" w:eastAsia="Times New Roman" w:hint="default"/>
                <w:sz w:val="21"/>
                <w:szCs w:val="21"/>
              </w:rPr>
            </w:pPr>
            <w:r>
              <w:rPr>
                <w:rFonts w:ascii="Times New Roman"/>
                <w:sz w:val="21"/>
              </w:rPr>
              <w:t>49.94</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332" w:right="0"/>
              <w:jc w:val="left"/>
              <w:rPr>
                <w:rFonts w:ascii="Times New Roman" w:hAnsi="Times New Roman" w:cs="Times New Roman" w:eastAsia="Times New Roman" w:hint="default"/>
                <w:sz w:val="21"/>
                <w:szCs w:val="21"/>
              </w:rPr>
            </w:pPr>
            <w:r>
              <w:rPr>
                <w:rFonts w:ascii="Times New Roman"/>
                <w:sz w:val="21"/>
              </w:rPr>
              <w:t>194,781,133</w:t>
            </w:r>
          </w:p>
        </w:tc>
        <w:tc>
          <w:tcPr>
            <w:tcW w:w="936" w:type="dxa"/>
            <w:gridSpan w:val="2"/>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848" w:right="0"/>
              <w:jc w:val="left"/>
              <w:rPr>
                <w:rFonts w:ascii="Times New Roman" w:hAnsi="Times New Roman" w:cs="Times New Roman" w:eastAsia="Times New Roman" w:hint="default"/>
                <w:sz w:val="21"/>
                <w:szCs w:val="21"/>
              </w:rPr>
            </w:pPr>
            <w:r>
              <w:rPr>
                <w:rFonts w:ascii="Times New Roman"/>
                <w:sz w:val="21"/>
              </w:rPr>
              <w:t>194,781,133</w:t>
            </w:r>
          </w:p>
        </w:tc>
        <w:tc>
          <w:tcPr>
            <w:tcW w:w="2363" w:type="dxa"/>
            <w:tcBorders>
              <w:top w:val="single" w:sz="6" w:space="0" w:color="000000"/>
              <w:left w:val="single" w:sz="6" w:space="0" w:color="000000"/>
              <w:bottom w:val="single" w:sz="6" w:space="0" w:color="000000"/>
              <w:right w:val="single" w:sz="6" w:space="0" w:color="000000"/>
            </w:tcBorders>
          </w:tcPr>
          <w:p>
            <w:pPr>
              <w:pStyle w:val="TableParagraph"/>
              <w:tabs>
                <w:tab w:pos="1152" w:val="left" w:leader="none"/>
              </w:tabs>
              <w:spacing w:line="240" w:lineRule="auto" w:before="14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质押</w:t>
              <w:tab/>
            </w:r>
            <w:r>
              <w:rPr>
                <w:rFonts w:ascii="Times New Roman" w:hAnsi="Times New Roman" w:cs="Times New Roman" w:eastAsia="Times New Roman" w:hint="default"/>
                <w:sz w:val="21"/>
                <w:szCs w:val="21"/>
              </w:rPr>
              <w:t>61,590,000</w:t>
            </w:r>
          </w:p>
          <w:p>
            <w:pPr>
              <w:pStyle w:val="TableParagraph"/>
              <w:tabs>
                <w:tab w:pos="1048" w:val="left" w:leader="none"/>
              </w:tabs>
              <w:spacing w:line="240" w:lineRule="auto" w:before="21"/>
              <w:ind w:left="10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冻结</w:t>
              <w:tab/>
            </w:r>
            <w:r>
              <w:rPr>
                <w:rFonts w:ascii="Times New Roman" w:hAnsi="Times New Roman" w:cs="Times New Roman" w:eastAsia="Times New Roman" w:hint="default"/>
                <w:sz w:val="21"/>
                <w:szCs w:val="21"/>
              </w:rPr>
              <w:t>133,191,133</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02"/>
        <w:gridCol w:w="617"/>
        <w:gridCol w:w="971"/>
        <w:gridCol w:w="1498"/>
        <w:gridCol w:w="936"/>
        <w:gridCol w:w="2014"/>
        <w:gridCol w:w="2363"/>
      </w:tblGrid>
      <w:tr>
        <w:trPr>
          <w:trHeight w:val="326"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w:t>
            </w:r>
          </w:p>
        </w:tc>
        <w:tc>
          <w:tcPr>
            <w:tcW w:w="971" w:type="dxa"/>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936"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363" w:type="dxa"/>
            <w:tcBorders>
              <w:top w:val="single" w:sz="6" w:space="0" w:color="000000"/>
              <w:left w:val="single" w:sz="6" w:space="0" w:color="000000"/>
              <w:bottom w:val="single" w:sz="6" w:space="0" w:color="000000"/>
              <w:right w:val="single" w:sz="6" w:space="0" w:color="000000"/>
            </w:tcBorders>
          </w:tcPr>
          <w:p>
            <w:pPr/>
          </w:p>
        </w:tc>
      </w:tr>
      <w:tr>
        <w:trPr>
          <w:trHeight w:val="1576"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孟兆才</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89"/>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0.41</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1,600,000</w:t>
            </w:r>
          </w:p>
        </w:tc>
        <w:tc>
          <w:tcPr>
            <w:tcW w:w="936"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574"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王兰芳</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89"/>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0.40</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1,560,099</w:t>
            </w:r>
          </w:p>
        </w:tc>
        <w:tc>
          <w:tcPr>
            <w:tcW w:w="936"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576"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周少兰</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89"/>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0.38</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1,470,000</w:t>
            </w:r>
          </w:p>
        </w:tc>
        <w:tc>
          <w:tcPr>
            <w:tcW w:w="936"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574"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陈浩</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89"/>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0.29</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1,300,000</w:t>
            </w:r>
          </w:p>
        </w:tc>
        <w:tc>
          <w:tcPr>
            <w:tcW w:w="936"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576"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江南</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89"/>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0.27</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1,140,000</w:t>
            </w:r>
          </w:p>
        </w:tc>
        <w:tc>
          <w:tcPr>
            <w:tcW w:w="936"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574"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罗静儿</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89"/>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0.27</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1,063,100</w:t>
            </w:r>
          </w:p>
        </w:tc>
        <w:tc>
          <w:tcPr>
            <w:tcW w:w="936"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576"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孙谦</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89"/>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0.24</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1,060,000</w:t>
            </w:r>
          </w:p>
        </w:tc>
        <w:tc>
          <w:tcPr>
            <w:tcW w:w="936"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1574"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0" w:right="0"/>
              <w:jc w:val="left"/>
              <w:rPr>
                <w:rFonts w:ascii="宋体" w:hAnsi="宋体" w:cs="宋体" w:eastAsia="宋体" w:hint="default"/>
                <w:sz w:val="21"/>
                <w:szCs w:val="21"/>
              </w:rPr>
            </w:pPr>
            <w:r>
              <w:rPr>
                <w:rFonts w:ascii="宋体" w:hAnsi="宋体" w:cs="宋体" w:eastAsia="宋体" w:hint="default"/>
                <w:sz w:val="21"/>
                <w:szCs w:val="21"/>
              </w:rPr>
              <w:t>张爱华</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89"/>
              <w:jc w:val="both"/>
              <w:rPr>
                <w:rFonts w:ascii="宋体" w:hAnsi="宋体" w:cs="宋体" w:eastAsia="宋体" w:hint="default"/>
                <w:sz w:val="21"/>
                <w:szCs w:val="21"/>
              </w:rPr>
            </w:pPr>
            <w:r>
              <w:rPr>
                <w:rFonts w:ascii="宋体" w:hAnsi="宋体" w:cs="宋体" w:eastAsia="宋体" w:hint="default"/>
                <w:sz w:val="21"/>
                <w:szCs w:val="21"/>
              </w:rPr>
              <w:t>内 自 然 人</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0.22</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940,000</w:t>
            </w:r>
          </w:p>
        </w:tc>
        <w:tc>
          <w:tcPr>
            <w:tcW w:w="936"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49"/>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r>
        <w:trPr>
          <w:trHeight w:val="952" w:hRule="exact"/>
        </w:trPr>
        <w:tc>
          <w:tcPr>
            <w:tcW w:w="9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徐兆义</w:t>
            </w: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w:t>
            </w:r>
          </w:p>
          <w:p>
            <w:pPr>
              <w:pStyle w:val="TableParagraph"/>
              <w:spacing w:line="273" w:lineRule="auto" w:before="37"/>
              <w:ind w:left="100" w:right="289"/>
              <w:jc w:val="left"/>
              <w:rPr>
                <w:rFonts w:ascii="宋体" w:hAnsi="宋体" w:cs="宋体" w:eastAsia="宋体" w:hint="default"/>
                <w:sz w:val="21"/>
                <w:szCs w:val="21"/>
              </w:rPr>
            </w:pPr>
            <w:r>
              <w:rPr>
                <w:rFonts w:ascii="宋体" w:hAnsi="宋体" w:cs="宋体" w:eastAsia="宋体" w:hint="default"/>
                <w:sz w:val="21"/>
                <w:szCs w:val="21"/>
              </w:rPr>
              <w:t>内 自</w:t>
            </w:r>
          </w:p>
        </w:tc>
        <w:tc>
          <w:tcPr>
            <w:tcW w:w="97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9"/>
              <w:jc w:val="right"/>
              <w:rPr>
                <w:rFonts w:ascii="Times New Roman" w:hAnsi="Times New Roman" w:cs="Times New Roman" w:eastAsia="Times New Roman" w:hint="default"/>
                <w:sz w:val="21"/>
                <w:szCs w:val="21"/>
              </w:rPr>
            </w:pPr>
            <w:r>
              <w:rPr>
                <w:rFonts w:ascii="Times New Roman"/>
                <w:spacing w:val="-1"/>
                <w:sz w:val="21"/>
              </w:rPr>
              <w:t>0.22</w:t>
            </w:r>
          </w:p>
        </w:tc>
        <w:tc>
          <w:tcPr>
            <w:tcW w:w="14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1"/>
                <w:sz w:val="21"/>
              </w:rPr>
              <w:t>867,550</w:t>
            </w:r>
          </w:p>
        </w:tc>
        <w:tc>
          <w:tcPr>
            <w:tcW w:w="936" w:type="dxa"/>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3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7" w:right="0"/>
              <w:jc w:val="left"/>
              <w:rPr>
                <w:rFonts w:ascii="宋体" w:hAnsi="宋体" w:cs="宋体" w:eastAsia="宋体" w:hint="default"/>
                <w:sz w:val="21"/>
                <w:szCs w:val="21"/>
              </w:rPr>
            </w:pPr>
            <w:r>
              <w:rPr>
                <w:rFonts w:ascii="宋体" w:hAnsi="宋体" w:cs="宋体" w:eastAsia="宋体" w:hint="default"/>
                <w:sz w:val="21"/>
                <w:szCs w:val="21"/>
              </w:rPr>
              <w:t>未知</w:t>
            </w:r>
          </w:p>
        </w:tc>
      </w:tr>
    </w:tbl>
    <w:p>
      <w:pPr>
        <w:spacing w:after="0" w:line="240" w:lineRule="auto"/>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902"/>
        <w:gridCol w:w="617"/>
        <w:gridCol w:w="424"/>
        <w:gridCol w:w="547"/>
        <w:gridCol w:w="1498"/>
        <w:gridCol w:w="624"/>
        <w:gridCol w:w="312"/>
        <w:gridCol w:w="2014"/>
        <w:gridCol w:w="2363"/>
      </w:tblGrid>
      <w:tr>
        <w:trPr>
          <w:trHeight w:val="638" w:hRule="exact"/>
        </w:trPr>
        <w:tc>
          <w:tcPr>
            <w:tcW w:w="902" w:type="dxa"/>
            <w:tcBorders>
              <w:top w:val="single" w:sz="6" w:space="0" w:color="000000"/>
              <w:left w:val="single" w:sz="6" w:space="0" w:color="000000"/>
              <w:bottom w:val="single" w:sz="6" w:space="0" w:color="000000"/>
              <w:right w:val="single" w:sz="6" w:space="0" w:color="000000"/>
            </w:tcBorders>
          </w:tcPr>
          <w:p>
            <w:pPr/>
          </w:p>
        </w:tc>
        <w:tc>
          <w:tcPr>
            <w:tcW w:w="6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人</w:t>
            </w:r>
          </w:p>
        </w:tc>
        <w:tc>
          <w:tcPr>
            <w:tcW w:w="971" w:type="dxa"/>
            <w:gridSpan w:val="2"/>
            <w:tcBorders>
              <w:top w:val="single" w:sz="6" w:space="0" w:color="000000"/>
              <w:left w:val="single" w:sz="6" w:space="0" w:color="000000"/>
              <w:bottom w:val="single" w:sz="6" w:space="0" w:color="000000"/>
              <w:right w:val="single" w:sz="6" w:space="0" w:color="000000"/>
            </w:tcBorders>
          </w:tcPr>
          <w:p>
            <w:pPr/>
          </w:p>
        </w:tc>
        <w:tc>
          <w:tcPr>
            <w:tcW w:w="1498" w:type="dxa"/>
            <w:tcBorders>
              <w:top w:val="single" w:sz="6" w:space="0" w:color="000000"/>
              <w:left w:val="single" w:sz="6" w:space="0" w:color="000000"/>
              <w:bottom w:val="single" w:sz="6" w:space="0" w:color="000000"/>
              <w:right w:val="single" w:sz="6" w:space="0" w:color="000000"/>
            </w:tcBorders>
          </w:tcPr>
          <w:p>
            <w:pPr/>
          </w:p>
        </w:tc>
        <w:tc>
          <w:tcPr>
            <w:tcW w:w="936" w:type="dxa"/>
            <w:gridSpan w:val="2"/>
            <w:tcBorders>
              <w:top w:val="single" w:sz="6" w:space="0" w:color="000000"/>
              <w:left w:val="single" w:sz="6" w:space="0" w:color="000000"/>
              <w:bottom w:val="single" w:sz="6" w:space="0" w:color="000000"/>
              <w:right w:val="single" w:sz="6" w:space="0" w:color="000000"/>
            </w:tcBorders>
          </w:tcPr>
          <w:p>
            <w:pPr/>
          </w:p>
        </w:tc>
        <w:tc>
          <w:tcPr>
            <w:tcW w:w="2014" w:type="dxa"/>
            <w:tcBorders>
              <w:top w:val="single" w:sz="6" w:space="0" w:color="000000"/>
              <w:left w:val="single" w:sz="6" w:space="0" w:color="000000"/>
              <w:bottom w:val="single" w:sz="6" w:space="0" w:color="000000"/>
              <w:right w:val="single" w:sz="6" w:space="0" w:color="000000"/>
            </w:tcBorders>
          </w:tcPr>
          <w:p>
            <w:pPr/>
          </w:p>
        </w:tc>
        <w:tc>
          <w:tcPr>
            <w:tcW w:w="236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前十名无限售条件股东持股情况</w:t>
            </w:r>
          </w:p>
        </w:tc>
      </w:tr>
      <w:tr>
        <w:trPr>
          <w:trHeight w:val="638" w:hRule="exact"/>
        </w:trPr>
        <w:tc>
          <w:tcPr>
            <w:tcW w:w="1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43" w:right="0"/>
              <w:jc w:val="left"/>
              <w:rPr>
                <w:rFonts w:ascii="宋体" w:hAnsi="宋体" w:cs="宋体" w:eastAsia="宋体" w:hint="default"/>
                <w:sz w:val="21"/>
                <w:szCs w:val="21"/>
              </w:rPr>
            </w:pPr>
            <w:r>
              <w:rPr>
                <w:rFonts w:ascii="宋体" w:hAnsi="宋体" w:cs="宋体" w:eastAsia="宋体" w:hint="default"/>
                <w:sz w:val="21"/>
                <w:szCs w:val="21"/>
              </w:rPr>
              <w:t>股东名称</w:t>
            </w:r>
          </w:p>
        </w:tc>
        <w:tc>
          <w:tcPr>
            <w:tcW w:w="26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持有无限售条件股份的数</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量</w:t>
            </w:r>
          </w:p>
        </w:tc>
        <w:tc>
          <w:tcPr>
            <w:tcW w:w="4688"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股份种类及数量</w:t>
            </w:r>
          </w:p>
        </w:tc>
      </w:tr>
      <w:tr>
        <w:trPr>
          <w:trHeight w:val="328" w:hRule="exact"/>
        </w:trPr>
        <w:tc>
          <w:tcPr>
            <w:tcW w:w="1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孟兆才</w:t>
            </w:r>
          </w:p>
        </w:tc>
        <w:tc>
          <w:tcPr>
            <w:tcW w:w="26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712" w:right="0"/>
              <w:jc w:val="left"/>
              <w:rPr>
                <w:rFonts w:ascii="Times New Roman" w:hAnsi="Times New Roman" w:cs="Times New Roman" w:eastAsia="Times New Roman" w:hint="default"/>
                <w:sz w:val="21"/>
                <w:szCs w:val="21"/>
              </w:rPr>
            </w:pPr>
            <w:r>
              <w:rPr>
                <w:rFonts w:ascii="Times New Roman"/>
                <w:sz w:val="21"/>
              </w:rPr>
              <w:t>1,600,000</w:t>
            </w:r>
          </w:p>
        </w:tc>
        <w:tc>
          <w:tcPr>
            <w:tcW w:w="2326"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spacing w:val="-1"/>
                <w:sz w:val="21"/>
              </w:rPr>
              <w:t>1,600,000</w:t>
            </w:r>
          </w:p>
        </w:tc>
      </w:tr>
      <w:tr>
        <w:trPr>
          <w:trHeight w:val="326" w:hRule="exact"/>
        </w:trPr>
        <w:tc>
          <w:tcPr>
            <w:tcW w:w="1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王兰芳</w:t>
            </w:r>
          </w:p>
        </w:tc>
        <w:tc>
          <w:tcPr>
            <w:tcW w:w="26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712" w:right="0"/>
              <w:jc w:val="left"/>
              <w:rPr>
                <w:rFonts w:ascii="Times New Roman" w:hAnsi="Times New Roman" w:cs="Times New Roman" w:eastAsia="Times New Roman" w:hint="default"/>
                <w:sz w:val="21"/>
                <w:szCs w:val="21"/>
              </w:rPr>
            </w:pPr>
            <w:r>
              <w:rPr>
                <w:rFonts w:ascii="Times New Roman"/>
                <w:sz w:val="21"/>
              </w:rPr>
              <w:t>1,560,099</w:t>
            </w:r>
          </w:p>
        </w:tc>
        <w:tc>
          <w:tcPr>
            <w:tcW w:w="2326"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spacing w:val="-1"/>
                <w:sz w:val="21"/>
              </w:rPr>
              <w:t>1,560,099</w:t>
            </w:r>
          </w:p>
        </w:tc>
      </w:tr>
      <w:tr>
        <w:trPr>
          <w:trHeight w:val="328" w:hRule="exact"/>
        </w:trPr>
        <w:tc>
          <w:tcPr>
            <w:tcW w:w="1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周少兰</w:t>
            </w:r>
          </w:p>
        </w:tc>
        <w:tc>
          <w:tcPr>
            <w:tcW w:w="26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712" w:right="0"/>
              <w:jc w:val="left"/>
              <w:rPr>
                <w:rFonts w:ascii="Times New Roman" w:hAnsi="Times New Roman" w:cs="Times New Roman" w:eastAsia="Times New Roman" w:hint="default"/>
                <w:sz w:val="21"/>
                <w:szCs w:val="21"/>
              </w:rPr>
            </w:pPr>
            <w:r>
              <w:rPr>
                <w:rFonts w:ascii="Times New Roman"/>
                <w:sz w:val="21"/>
              </w:rPr>
              <w:t>1,470,000</w:t>
            </w:r>
          </w:p>
        </w:tc>
        <w:tc>
          <w:tcPr>
            <w:tcW w:w="2326"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spacing w:val="-1"/>
                <w:sz w:val="21"/>
              </w:rPr>
              <w:t>1,470,000</w:t>
            </w:r>
          </w:p>
        </w:tc>
      </w:tr>
      <w:tr>
        <w:trPr>
          <w:trHeight w:val="326" w:hRule="exact"/>
        </w:trPr>
        <w:tc>
          <w:tcPr>
            <w:tcW w:w="1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陈浩</w:t>
            </w:r>
          </w:p>
        </w:tc>
        <w:tc>
          <w:tcPr>
            <w:tcW w:w="26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712" w:right="0"/>
              <w:jc w:val="left"/>
              <w:rPr>
                <w:rFonts w:ascii="Times New Roman" w:hAnsi="Times New Roman" w:cs="Times New Roman" w:eastAsia="Times New Roman" w:hint="default"/>
                <w:sz w:val="21"/>
                <w:szCs w:val="21"/>
              </w:rPr>
            </w:pPr>
            <w:r>
              <w:rPr>
                <w:rFonts w:ascii="Times New Roman"/>
                <w:sz w:val="21"/>
              </w:rPr>
              <w:t>1,300,000</w:t>
            </w:r>
          </w:p>
        </w:tc>
        <w:tc>
          <w:tcPr>
            <w:tcW w:w="2326"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spacing w:val="-1"/>
                <w:sz w:val="21"/>
              </w:rPr>
              <w:t>1,300,000</w:t>
            </w:r>
          </w:p>
        </w:tc>
      </w:tr>
      <w:tr>
        <w:trPr>
          <w:trHeight w:val="328" w:hRule="exact"/>
        </w:trPr>
        <w:tc>
          <w:tcPr>
            <w:tcW w:w="1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江南</w:t>
            </w:r>
          </w:p>
        </w:tc>
        <w:tc>
          <w:tcPr>
            <w:tcW w:w="26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712" w:right="0"/>
              <w:jc w:val="left"/>
              <w:rPr>
                <w:rFonts w:ascii="Times New Roman" w:hAnsi="Times New Roman" w:cs="Times New Roman" w:eastAsia="Times New Roman" w:hint="default"/>
                <w:sz w:val="21"/>
                <w:szCs w:val="21"/>
              </w:rPr>
            </w:pPr>
            <w:r>
              <w:rPr>
                <w:rFonts w:ascii="Times New Roman"/>
                <w:sz w:val="21"/>
              </w:rPr>
              <w:t>1,140,000</w:t>
            </w:r>
          </w:p>
        </w:tc>
        <w:tc>
          <w:tcPr>
            <w:tcW w:w="2326"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spacing w:val="-1"/>
                <w:sz w:val="21"/>
              </w:rPr>
              <w:t>1,140,000</w:t>
            </w:r>
          </w:p>
        </w:tc>
      </w:tr>
      <w:tr>
        <w:trPr>
          <w:trHeight w:val="326" w:hRule="exact"/>
        </w:trPr>
        <w:tc>
          <w:tcPr>
            <w:tcW w:w="1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罗静儿</w:t>
            </w:r>
          </w:p>
        </w:tc>
        <w:tc>
          <w:tcPr>
            <w:tcW w:w="26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712" w:right="0"/>
              <w:jc w:val="left"/>
              <w:rPr>
                <w:rFonts w:ascii="Times New Roman" w:hAnsi="Times New Roman" w:cs="Times New Roman" w:eastAsia="Times New Roman" w:hint="default"/>
                <w:sz w:val="21"/>
                <w:szCs w:val="21"/>
              </w:rPr>
            </w:pPr>
            <w:r>
              <w:rPr>
                <w:rFonts w:ascii="Times New Roman"/>
                <w:sz w:val="21"/>
              </w:rPr>
              <w:t>1,063,100</w:t>
            </w:r>
          </w:p>
        </w:tc>
        <w:tc>
          <w:tcPr>
            <w:tcW w:w="2326"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spacing w:val="-1"/>
                <w:sz w:val="21"/>
              </w:rPr>
              <w:t>1,063,100</w:t>
            </w:r>
          </w:p>
        </w:tc>
      </w:tr>
      <w:tr>
        <w:trPr>
          <w:trHeight w:val="328" w:hRule="exact"/>
        </w:trPr>
        <w:tc>
          <w:tcPr>
            <w:tcW w:w="1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孙谦</w:t>
            </w:r>
          </w:p>
        </w:tc>
        <w:tc>
          <w:tcPr>
            <w:tcW w:w="26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712" w:right="0"/>
              <w:jc w:val="left"/>
              <w:rPr>
                <w:rFonts w:ascii="Times New Roman" w:hAnsi="Times New Roman" w:cs="Times New Roman" w:eastAsia="Times New Roman" w:hint="default"/>
                <w:sz w:val="21"/>
                <w:szCs w:val="21"/>
              </w:rPr>
            </w:pPr>
            <w:r>
              <w:rPr>
                <w:rFonts w:ascii="Times New Roman"/>
                <w:sz w:val="21"/>
              </w:rPr>
              <w:t>1,060,000</w:t>
            </w:r>
          </w:p>
        </w:tc>
        <w:tc>
          <w:tcPr>
            <w:tcW w:w="2326"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5"/>
              <w:jc w:val="right"/>
              <w:rPr>
                <w:rFonts w:ascii="Times New Roman" w:hAnsi="Times New Roman" w:cs="Times New Roman" w:eastAsia="Times New Roman" w:hint="default"/>
                <w:sz w:val="21"/>
                <w:szCs w:val="21"/>
              </w:rPr>
            </w:pPr>
            <w:r>
              <w:rPr>
                <w:rFonts w:ascii="Times New Roman"/>
                <w:spacing w:val="-1"/>
                <w:sz w:val="21"/>
              </w:rPr>
              <w:t>1,060,000</w:t>
            </w:r>
          </w:p>
        </w:tc>
      </w:tr>
      <w:tr>
        <w:trPr>
          <w:trHeight w:val="326" w:hRule="exact"/>
        </w:trPr>
        <w:tc>
          <w:tcPr>
            <w:tcW w:w="1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张爱华</w:t>
            </w:r>
          </w:p>
        </w:tc>
        <w:tc>
          <w:tcPr>
            <w:tcW w:w="26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940,000</w:t>
            </w:r>
          </w:p>
        </w:tc>
        <w:tc>
          <w:tcPr>
            <w:tcW w:w="2326"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4"/>
              <w:jc w:val="right"/>
              <w:rPr>
                <w:rFonts w:ascii="Times New Roman" w:hAnsi="Times New Roman" w:cs="Times New Roman" w:eastAsia="Times New Roman" w:hint="default"/>
                <w:sz w:val="21"/>
                <w:szCs w:val="21"/>
              </w:rPr>
            </w:pPr>
            <w:r>
              <w:rPr>
                <w:rFonts w:ascii="Times New Roman"/>
                <w:spacing w:val="-1"/>
                <w:sz w:val="21"/>
              </w:rPr>
              <w:t>940,000</w:t>
            </w:r>
          </w:p>
        </w:tc>
      </w:tr>
      <w:tr>
        <w:trPr>
          <w:trHeight w:val="328" w:hRule="exact"/>
        </w:trPr>
        <w:tc>
          <w:tcPr>
            <w:tcW w:w="1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徐兆义</w:t>
            </w:r>
          </w:p>
        </w:tc>
        <w:tc>
          <w:tcPr>
            <w:tcW w:w="26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867,550</w:t>
            </w:r>
          </w:p>
        </w:tc>
        <w:tc>
          <w:tcPr>
            <w:tcW w:w="2326"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4"/>
              <w:jc w:val="right"/>
              <w:rPr>
                <w:rFonts w:ascii="Times New Roman" w:hAnsi="Times New Roman" w:cs="Times New Roman" w:eastAsia="Times New Roman" w:hint="default"/>
                <w:sz w:val="21"/>
                <w:szCs w:val="21"/>
              </w:rPr>
            </w:pPr>
            <w:r>
              <w:rPr>
                <w:rFonts w:ascii="Times New Roman"/>
                <w:spacing w:val="-1"/>
                <w:sz w:val="21"/>
              </w:rPr>
              <w:t>867,550</w:t>
            </w:r>
          </w:p>
        </w:tc>
      </w:tr>
      <w:tr>
        <w:trPr>
          <w:trHeight w:val="326" w:hRule="exact"/>
        </w:trPr>
        <w:tc>
          <w:tcPr>
            <w:tcW w:w="1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李肖</w:t>
            </w:r>
          </w:p>
        </w:tc>
        <w:tc>
          <w:tcPr>
            <w:tcW w:w="2669" w:type="dxa"/>
            <w:gridSpan w:val="3"/>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865,199</w:t>
            </w:r>
          </w:p>
        </w:tc>
        <w:tc>
          <w:tcPr>
            <w:tcW w:w="2326" w:type="dxa"/>
            <w:gridSpan w:val="2"/>
            <w:tcBorders>
              <w:top w:val="single" w:sz="6" w:space="0" w:color="000000"/>
              <w:left w:val="single" w:sz="6" w:space="0" w:color="000000"/>
              <w:bottom w:val="single" w:sz="6" w:space="0" w:color="000000"/>
              <w:right w:val="nil" w:sz="6" w:space="0" w:color="auto"/>
            </w:tcBorders>
          </w:tcPr>
          <w:p>
            <w:pPr>
              <w:pStyle w:val="TableParagraph"/>
              <w:spacing w:line="261" w:lineRule="exact"/>
              <w:ind w:left="107" w:right="0"/>
              <w:jc w:val="left"/>
              <w:rPr>
                <w:rFonts w:ascii="宋体" w:hAnsi="宋体" w:cs="宋体" w:eastAsia="宋体" w:hint="default"/>
                <w:sz w:val="21"/>
                <w:szCs w:val="21"/>
              </w:rPr>
            </w:pPr>
            <w:r>
              <w:rPr>
                <w:rFonts w:ascii="宋体" w:hAnsi="宋体" w:cs="宋体" w:eastAsia="宋体" w:hint="default"/>
                <w:sz w:val="21"/>
                <w:szCs w:val="21"/>
              </w:rPr>
              <w:t>人民币普通股</w:t>
            </w:r>
          </w:p>
        </w:tc>
        <w:tc>
          <w:tcPr>
            <w:tcW w:w="2363"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104"/>
              <w:jc w:val="right"/>
              <w:rPr>
                <w:rFonts w:ascii="Times New Roman" w:hAnsi="Times New Roman" w:cs="Times New Roman" w:eastAsia="Times New Roman" w:hint="default"/>
                <w:sz w:val="21"/>
                <w:szCs w:val="21"/>
              </w:rPr>
            </w:pPr>
            <w:r>
              <w:rPr>
                <w:rFonts w:ascii="Times New Roman"/>
                <w:spacing w:val="-1"/>
                <w:sz w:val="21"/>
              </w:rPr>
              <w:t>865,199</w:t>
            </w:r>
          </w:p>
        </w:tc>
      </w:tr>
      <w:tr>
        <w:trPr>
          <w:trHeight w:val="952" w:hRule="exact"/>
        </w:trPr>
        <w:tc>
          <w:tcPr>
            <w:tcW w:w="1943" w:type="dxa"/>
            <w:gridSpan w:val="3"/>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5"/>
              <w:jc w:val="left"/>
              <w:rPr>
                <w:rFonts w:ascii="宋体" w:hAnsi="宋体" w:cs="宋体" w:eastAsia="宋体" w:hint="default"/>
                <w:sz w:val="21"/>
                <w:szCs w:val="21"/>
              </w:rPr>
            </w:pPr>
            <w:r>
              <w:rPr>
                <w:rFonts w:ascii="宋体" w:hAnsi="宋体" w:cs="宋体" w:eastAsia="宋体" w:hint="default"/>
                <w:spacing w:val="6"/>
                <w:sz w:val="21"/>
                <w:szCs w:val="21"/>
              </w:rPr>
              <w:t>上述股东关联关系 </w:t>
            </w:r>
            <w:r>
              <w:rPr>
                <w:rFonts w:ascii="宋体" w:hAnsi="宋体" w:cs="宋体" w:eastAsia="宋体" w:hint="default"/>
                <w:sz w:val="21"/>
                <w:szCs w:val="21"/>
              </w:rPr>
              <w:t>或一致行动的说明</w:t>
            </w:r>
          </w:p>
        </w:tc>
        <w:tc>
          <w:tcPr>
            <w:tcW w:w="7357" w:type="dxa"/>
            <w:gridSpan w:val="6"/>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5"/>
              <w:jc w:val="left"/>
              <w:rPr>
                <w:rFonts w:ascii="宋体" w:hAnsi="宋体" w:cs="宋体" w:eastAsia="宋体" w:hint="default"/>
                <w:sz w:val="21"/>
                <w:szCs w:val="21"/>
              </w:rPr>
            </w:pPr>
            <w:r>
              <w:rPr>
                <w:rFonts w:ascii="宋体" w:hAnsi="宋体" w:cs="宋体" w:eastAsia="宋体" w:hint="default"/>
                <w:sz w:val="21"/>
                <w:szCs w:val="21"/>
              </w:rPr>
              <w:t>公司控股股东与上述股东之间不存在关联关系或属</w:t>
            </w:r>
            <w:r>
              <w:rPr>
                <w:rFonts w:ascii="宋体" w:hAnsi="宋体" w:cs="宋体" w:eastAsia="宋体" w:hint="default"/>
                <w:spacing w:val="-104"/>
                <w:sz w:val="21"/>
                <w:szCs w:val="21"/>
              </w:rPr>
              <w:t>于</w:t>
            </w:r>
            <w:r>
              <w:rPr>
                <w:rFonts w:ascii="宋体" w:hAnsi="宋体" w:cs="宋体" w:eastAsia="宋体" w:hint="default"/>
                <w:sz w:val="21"/>
                <w:szCs w:val="21"/>
              </w:rPr>
              <w:t>《上市公司收购管理办法》</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规定的一致行动人。公司未知其他股东之间是否存在关联关系或是否为一致行 动人。</w:t>
            </w:r>
          </w:p>
        </w:tc>
      </w:tr>
    </w:tbl>
    <w:p>
      <w:pPr>
        <w:spacing w:line="240" w:lineRule="auto" w:before="9"/>
        <w:rPr>
          <w:rFonts w:ascii="Times New Roman" w:hAnsi="Times New Roman" w:cs="Times New Roman" w:eastAsia="Times New Roman" w:hint="default"/>
          <w:sz w:val="22"/>
          <w:szCs w:val="22"/>
        </w:rPr>
      </w:pPr>
    </w:p>
    <w:p>
      <w:pPr>
        <w:pStyle w:val="BodyText"/>
        <w:spacing w:line="240" w:lineRule="auto" w:before="35"/>
        <w:ind w:right="999"/>
        <w:jc w:val="left"/>
      </w:pPr>
      <w:r>
        <w:rPr/>
        <w:t>前十名有限售条件股东持股数量及限售条件</w:t>
      </w:r>
    </w:p>
    <w:p>
      <w:pPr>
        <w:pStyle w:val="BodyText"/>
        <w:spacing w:line="240" w:lineRule="auto" w:before="37"/>
        <w:ind w:left="0" w:right="1116"/>
        <w:jc w:val="right"/>
      </w:pPr>
      <w:r>
        <w:rPr/>
        <w:t>单位</w:t>
      </w:r>
      <w:r>
        <w:rPr>
          <w:rFonts w:ascii="Times New Roman" w:hAnsi="Times New Roman" w:cs="Times New Roman" w:eastAsia="Times New Roman" w:hint="default"/>
        </w:rPr>
        <w:t>:</w:t>
      </w:r>
      <w:r>
        <w:rPr/>
        <w:t>股</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80"/>
        <w:gridCol w:w="1918"/>
        <w:gridCol w:w="1438"/>
        <w:gridCol w:w="1727"/>
        <w:gridCol w:w="1820"/>
        <w:gridCol w:w="1918"/>
      </w:tblGrid>
      <w:tr>
        <w:trPr>
          <w:trHeight w:val="328" w:hRule="exact"/>
        </w:trPr>
        <w:tc>
          <w:tcPr>
            <w:tcW w:w="480" w:type="dxa"/>
            <w:vMerge w:val="restart"/>
            <w:tcBorders>
              <w:top w:val="single" w:sz="6" w:space="0" w:color="000000"/>
              <w:left w:val="single" w:sz="6" w:space="0" w:color="000000"/>
              <w:right w:val="single" w:sz="6" w:space="0" w:color="000000"/>
            </w:tcBorders>
          </w:tcPr>
          <w:p>
            <w:pPr>
              <w:pStyle w:val="TableParagraph"/>
              <w:spacing w:line="273" w:lineRule="auto" w:before="141"/>
              <w:ind w:left="127" w:right="126"/>
              <w:jc w:val="left"/>
              <w:rPr>
                <w:rFonts w:ascii="宋体" w:hAnsi="宋体" w:cs="宋体" w:eastAsia="宋体" w:hint="default"/>
                <w:sz w:val="21"/>
                <w:szCs w:val="21"/>
              </w:rPr>
            </w:pPr>
            <w:r>
              <w:rPr>
                <w:rFonts w:ascii="宋体" w:hAnsi="宋体" w:cs="宋体" w:eastAsia="宋体" w:hint="default"/>
                <w:sz w:val="21"/>
                <w:szCs w:val="21"/>
              </w:rPr>
              <w:t>序 号</w:t>
            </w:r>
          </w:p>
        </w:tc>
        <w:tc>
          <w:tcPr>
            <w:tcW w:w="1918" w:type="dxa"/>
            <w:vMerge w:val="restart"/>
            <w:tcBorders>
              <w:top w:val="single" w:sz="6" w:space="0" w:color="000000"/>
              <w:left w:val="single" w:sz="6" w:space="0" w:color="000000"/>
              <w:right w:val="single" w:sz="6" w:space="0" w:color="000000"/>
            </w:tcBorders>
          </w:tcPr>
          <w:p>
            <w:pPr>
              <w:pStyle w:val="TableParagraph"/>
              <w:spacing w:line="273" w:lineRule="auto" w:before="141"/>
              <w:ind w:left="845" w:right="109" w:hanging="735"/>
              <w:jc w:val="left"/>
              <w:rPr>
                <w:rFonts w:ascii="宋体" w:hAnsi="宋体" w:cs="宋体" w:eastAsia="宋体" w:hint="default"/>
                <w:sz w:val="21"/>
                <w:szCs w:val="21"/>
              </w:rPr>
            </w:pPr>
            <w:r>
              <w:rPr>
                <w:rFonts w:ascii="宋体" w:hAnsi="宋体" w:cs="宋体" w:eastAsia="宋体" w:hint="default"/>
                <w:sz w:val="21"/>
                <w:szCs w:val="21"/>
              </w:rPr>
              <w:t>有限售条件股东名 称</w:t>
            </w:r>
          </w:p>
        </w:tc>
        <w:tc>
          <w:tcPr>
            <w:tcW w:w="1438" w:type="dxa"/>
            <w:vMerge w:val="restart"/>
            <w:tcBorders>
              <w:top w:val="single" w:sz="6" w:space="0" w:color="000000"/>
              <w:left w:val="single" w:sz="6" w:space="0" w:color="000000"/>
              <w:right w:val="single" w:sz="6" w:space="0" w:color="000000"/>
            </w:tcBorders>
          </w:tcPr>
          <w:p>
            <w:pPr>
              <w:pStyle w:val="TableParagraph"/>
              <w:spacing w:line="261" w:lineRule="exact"/>
              <w:ind w:left="185" w:right="0"/>
              <w:jc w:val="left"/>
              <w:rPr>
                <w:rFonts w:ascii="宋体" w:hAnsi="宋体" w:cs="宋体" w:eastAsia="宋体" w:hint="default"/>
                <w:sz w:val="21"/>
                <w:szCs w:val="21"/>
              </w:rPr>
            </w:pPr>
            <w:r>
              <w:rPr>
                <w:rFonts w:ascii="宋体" w:hAnsi="宋体" w:cs="宋体" w:eastAsia="宋体" w:hint="default"/>
                <w:sz w:val="21"/>
                <w:szCs w:val="21"/>
              </w:rPr>
              <w:t>持有的有限</w:t>
            </w:r>
          </w:p>
          <w:p>
            <w:pPr>
              <w:pStyle w:val="TableParagraph"/>
              <w:spacing w:line="273" w:lineRule="auto" w:before="37"/>
              <w:ind w:left="501" w:right="185" w:hanging="316"/>
              <w:jc w:val="left"/>
              <w:rPr>
                <w:rFonts w:ascii="宋体" w:hAnsi="宋体" w:cs="宋体" w:eastAsia="宋体" w:hint="default"/>
                <w:sz w:val="21"/>
                <w:szCs w:val="21"/>
              </w:rPr>
            </w:pPr>
            <w:r>
              <w:rPr>
                <w:rFonts w:ascii="宋体" w:hAnsi="宋体" w:cs="宋体" w:eastAsia="宋体" w:hint="default"/>
                <w:sz w:val="21"/>
                <w:szCs w:val="21"/>
              </w:rPr>
              <w:t>售条件股份 数量</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sz w:val="21"/>
                <w:szCs w:val="21"/>
              </w:rPr>
              <w:t>有限售条件股份可上市交易情况</w:t>
            </w:r>
          </w:p>
        </w:tc>
        <w:tc>
          <w:tcPr>
            <w:tcW w:w="1918"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531" w:right="0"/>
              <w:jc w:val="left"/>
              <w:rPr>
                <w:rFonts w:ascii="宋体" w:hAnsi="宋体" w:cs="宋体" w:eastAsia="宋体" w:hint="default"/>
                <w:sz w:val="21"/>
                <w:szCs w:val="21"/>
              </w:rPr>
            </w:pPr>
            <w:r>
              <w:rPr>
                <w:rFonts w:ascii="宋体" w:hAnsi="宋体" w:cs="宋体" w:eastAsia="宋体" w:hint="default"/>
                <w:sz w:val="21"/>
                <w:szCs w:val="21"/>
              </w:rPr>
              <w:t>限售条件</w:t>
            </w:r>
          </w:p>
        </w:tc>
      </w:tr>
      <w:tr>
        <w:trPr>
          <w:trHeight w:val="638" w:hRule="exact"/>
        </w:trPr>
        <w:tc>
          <w:tcPr>
            <w:tcW w:w="480" w:type="dxa"/>
            <w:vMerge/>
            <w:tcBorders>
              <w:left w:val="single" w:sz="6" w:space="0" w:color="000000"/>
              <w:bottom w:val="single" w:sz="6" w:space="0" w:color="000000"/>
              <w:right w:val="single" w:sz="6" w:space="0" w:color="000000"/>
            </w:tcBorders>
          </w:tcPr>
          <w:p>
            <w:pPr/>
          </w:p>
        </w:tc>
        <w:tc>
          <w:tcPr>
            <w:tcW w:w="1918" w:type="dxa"/>
            <w:vMerge/>
            <w:tcBorders>
              <w:left w:val="single" w:sz="6" w:space="0" w:color="000000"/>
              <w:bottom w:val="single" w:sz="6" w:space="0" w:color="000000"/>
              <w:right w:val="single" w:sz="6" w:space="0" w:color="000000"/>
            </w:tcBorders>
          </w:tcPr>
          <w:p>
            <w:pPr/>
          </w:p>
        </w:tc>
        <w:tc>
          <w:tcPr>
            <w:tcW w:w="1438" w:type="dxa"/>
            <w:vMerge/>
            <w:tcBorders>
              <w:left w:val="single" w:sz="6" w:space="0" w:color="000000"/>
              <w:bottom w:val="single" w:sz="6" w:space="0" w:color="000000"/>
              <w:right w:val="single" w:sz="6" w:space="0" w:color="000000"/>
            </w:tcBorders>
          </w:tcPr>
          <w:p>
            <w:pPr/>
          </w:p>
        </w:tc>
        <w:tc>
          <w:tcPr>
            <w:tcW w:w="17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20" w:right="0"/>
              <w:jc w:val="left"/>
              <w:rPr>
                <w:rFonts w:ascii="宋体" w:hAnsi="宋体" w:cs="宋体" w:eastAsia="宋体" w:hint="default"/>
                <w:sz w:val="21"/>
                <w:szCs w:val="21"/>
              </w:rPr>
            </w:pPr>
            <w:r>
              <w:rPr>
                <w:rFonts w:ascii="宋体" w:hAnsi="宋体" w:cs="宋体" w:eastAsia="宋体" w:hint="default"/>
                <w:sz w:val="21"/>
                <w:szCs w:val="21"/>
              </w:rPr>
              <w:t>可上市交易时间</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新增可上市交易</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股份数量</w:t>
            </w:r>
          </w:p>
        </w:tc>
        <w:tc>
          <w:tcPr>
            <w:tcW w:w="1918" w:type="dxa"/>
            <w:vMerge/>
            <w:tcBorders>
              <w:left w:val="single" w:sz="6" w:space="0" w:color="000000"/>
              <w:bottom w:val="single" w:sz="6" w:space="0" w:color="000000"/>
              <w:right w:val="single" w:sz="6" w:space="0" w:color="000000"/>
            </w:tcBorders>
          </w:tcPr>
          <w:p>
            <w:pPr/>
          </w:p>
        </w:tc>
      </w:tr>
      <w:tr>
        <w:trPr>
          <w:trHeight w:val="640" w:hRule="exact"/>
        </w:trPr>
        <w:tc>
          <w:tcPr>
            <w:tcW w:w="4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
                <w:sz w:val="21"/>
                <w:szCs w:val="21"/>
              </w:rPr>
              <w:t>黑龙江黑化集团有</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4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194,781,133</w:t>
            </w:r>
          </w:p>
        </w:tc>
        <w:tc>
          <w:tcPr>
            <w:tcW w:w="3547" w:type="dxa"/>
            <w:gridSpan w:val="2"/>
            <w:tcBorders>
              <w:top w:val="single" w:sz="6" w:space="0" w:color="000000"/>
              <w:left w:val="single" w:sz="6" w:space="0" w:color="000000"/>
              <w:bottom w:val="single" w:sz="6" w:space="0" w:color="000000"/>
              <w:right w:val="single" w:sz="6" w:space="0" w:color="000000"/>
            </w:tcBorders>
          </w:tcPr>
          <w:p>
            <w:pPr>
              <w:pStyle w:val="TableParagraph"/>
              <w:spacing w:line="234" w:lineRule="exact"/>
              <w:ind w:left="275"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p>
          <w:p>
            <w:pPr>
              <w:pStyle w:val="TableParagraph"/>
              <w:spacing w:line="131" w:lineRule="exact"/>
              <w:ind w:right="105"/>
              <w:jc w:val="right"/>
              <w:rPr>
                <w:rFonts w:ascii="Times New Roman" w:hAnsi="Times New Roman" w:cs="Times New Roman" w:eastAsia="Times New Roman" w:hint="default"/>
                <w:sz w:val="21"/>
                <w:szCs w:val="21"/>
              </w:rPr>
            </w:pPr>
            <w:r>
              <w:rPr>
                <w:rFonts w:ascii="Times New Roman"/>
                <w:spacing w:val="-1"/>
                <w:sz w:val="21"/>
              </w:rPr>
              <w:t>194,781,133</w:t>
            </w:r>
          </w:p>
          <w:p>
            <w:pPr>
              <w:pStyle w:val="TableParagraph"/>
              <w:spacing w:line="207" w:lineRule="exact"/>
              <w:ind w:right="460"/>
              <w:jc w:val="center"/>
              <w:rPr>
                <w:rFonts w:ascii="宋体" w:hAnsi="宋体" w:cs="宋体" w:eastAsia="宋体" w:hint="default"/>
                <w:sz w:val="21"/>
                <w:szCs w:val="21"/>
              </w:rPr>
            </w:pPr>
            <w:r>
              <w:rPr>
                <w:rFonts w:ascii="宋体" w:hAnsi="宋体" w:cs="宋体" w:eastAsia="宋体" w:hint="default"/>
                <w:sz w:val="21"/>
                <w:szCs w:val="21"/>
              </w:rPr>
              <w:t>日</w:t>
            </w:r>
          </w:p>
        </w:tc>
        <w:tc>
          <w:tcPr>
            <w:tcW w:w="19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股权分置改革</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2</w:t>
      </w:r>
      <w:r>
        <w:rPr/>
        <w:t>、</w:t>
      </w:r>
      <w:r>
        <w:rPr>
          <w:spacing w:val="-2"/>
        </w:rPr>
        <w:t> </w:t>
      </w:r>
      <w:r>
        <w:rPr/>
        <w:t>控股股东及实际控制人情况</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控股股东情况</w:t>
      </w:r>
    </w:p>
    <w:p>
      <w:pPr>
        <w:pStyle w:val="BodyText"/>
        <w:spacing w:line="240" w:lineRule="auto" w:before="52"/>
        <w:ind w:left="245" w:right="-18"/>
        <w:jc w:val="left"/>
      </w:pPr>
      <w:r>
        <w:rPr/>
        <w:t>○ 法人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right="0"/>
        <w:jc w:val="left"/>
      </w:pPr>
      <w:r>
        <w:rPr/>
        <w:t>单位：万元</w:t>
      </w:r>
      <w:r>
        <w:rPr>
          <w:spacing w:val="-1"/>
        </w:rPr>
        <w:t> </w:t>
      </w:r>
      <w:r>
        <w:rPr/>
        <w:t>币种：人民币</w:t>
      </w:r>
    </w:p>
    <w:p>
      <w:pPr>
        <w:spacing w:after="0" w:line="240" w:lineRule="auto"/>
        <w:jc w:val="left"/>
        <w:sectPr>
          <w:type w:val="continuous"/>
          <w:pgSz w:w="11910" w:h="16840"/>
          <w:pgMar w:top="1600" w:bottom="280" w:left="1660" w:right="680"/>
          <w:cols w:num="2" w:equalWidth="0">
            <w:col w:w="3081" w:space="2811"/>
            <w:col w:w="367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王宏伟</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1997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36,000</w:t>
            </w:r>
          </w:p>
        </w:tc>
      </w:tr>
      <w:tr>
        <w:trPr>
          <w:trHeight w:val="1264"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化肥产品；多孔硝酸铵，甲醇，碳黑，双氧水，</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二三酸，等化工产品；按外贸部所批商品目录进</w:t>
            </w:r>
            <w:r>
              <w:rPr>
                <w:rFonts w:ascii="宋体" w:hAnsi="宋体" w:cs="宋体" w:eastAsia="宋体" w:hint="default"/>
                <w:spacing w:val="-85"/>
                <w:sz w:val="21"/>
                <w:szCs w:val="21"/>
              </w:rPr>
              <w:t> </w:t>
            </w:r>
            <w:r>
              <w:rPr>
                <w:rFonts w:ascii="宋体" w:hAnsi="宋体" w:cs="宋体" w:eastAsia="宋体" w:hint="default"/>
                <w:sz w:val="21"/>
                <w:szCs w:val="21"/>
              </w:rPr>
              <w:t>行进出口业务，机械设备制造和加工，压力容器</w:t>
            </w:r>
            <w:r>
              <w:rPr>
                <w:rFonts w:ascii="宋体" w:hAnsi="宋体" w:cs="宋体" w:eastAsia="宋体" w:hint="default"/>
                <w:spacing w:val="-85"/>
                <w:sz w:val="21"/>
                <w:szCs w:val="21"/>
              </w:rPr>
              <w:t> </w:t>
            </w:r>
            <w:r>
              <w:rPr>
                <w:rFonts w:ascii="宋体" w:hAnsi="宋体" w:cs="宋体" w:eastAsia="宋体" w:hint="default"/>
                <w:sz w:val="21"/>
                <w:szCs w:val="21"/>
              </w:rPr>
              <w:t>设计、制造，商标印制。</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实际控制人情况</w:t>
      </w:r>
    </w:p>
    <w:p>
      <w:pPr>
        <w:pStyle w:val="BodyText"/>
        <w:spacing w:line="240" w:lineRule="auto" w:before="52"/>
        <w:ind w:left="245" w:right="999"/>
        <w:jc w:val="left"/>
      </w:pPr>
      <w:r>
        <w:rPr/>
        <w:t>○ 法人</w:t>
      </w:r>
    </w:p>
    <w:p>
      <w:pPr>
        <w:spacing w:after="0" w:line="240"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032" w:right="999"/>
        <w:jc w:val="left"/>
      </w:pPr>
      <w:bookmarkStart w:name="_bookmark3" w:id="4"/>
      <w:bookmarkEnd w:id="4"/>
      <w:r>
        <w:rPr/>
      </w:r>
      <w:r>
        <w:rPr/>
        <w:t>单位：万元</w:t>
      </w:r>
      <w:r>
        <w:rPr>
          <w:spacing w:val="-1"/>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中国化工集团公司</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单位负责人或法定代表人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任建新</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成立日期</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注册资本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570,000</w:t>
            </w:r>
          </w:p>
        </w:tc>
      </w:tr>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化工原料、化工产品、塑料、轮胎、橡胶制品、</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膜设备、化工设备的生产与销售；机械产品、电</w:t>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子产品、仪器仪表、建材、纺织品、轻工产品、</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主要经营业务或管理活动</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林产品、林化产品的生产与销售；化工装备、化</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学清洗、防腐、石油化工、水处理技术的研究、</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开发、设计和施工；技术咨询、信息服务、设备</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租赁。</w:t>
            </w:r>
          </w:p>
        </w:tc>
      </w:tr>
    </w:tbl>
    <w:p>
      <w:pPr>
        <w:spacing w:line="240" w:lineRule="auto" w:before="5"/>
        <w:rPr>
          <w:rFonts w:ascii="宋体" w:hAnsi="宋体" w:cs="宋体" w:eastAsia="宋体" w:hint="default"/>
          <w:sz w:val="22"/>
          <w:szCs w:val="22"/>
        </w:rPr>
      </w:pPr>
    </w:p>
    <w:p>
      <w:pPr>
        <w:pStyle w:val="BodyText"/>
        <w:spacing w:line="283" w:lineRule="auto" w:before="35"/>
        <w:ind w:left="351" w:right="4153"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控股股东及实际控制人变更情况</w:t>
      </w:r>
      <w:r>
        <w:rPr>
          <w:w w:val="99"/>
        </w:rPr>
        <w:t> </w:t>
      </w:r>
      <w:r>
        <w:rPr/>
        <w:t>本报告期内公司控股股东及实际控制人没有发生变更。</w:t>
      </w:r>
    </w:p>
    <w:p>
      <w:pPr>
        <w:spacing w:line="240" w:lineRule="auto" w:before="11"/>
        <w:rPr>
          <w:rFonts w:ascii="宋体" w:hAnsi="宋体" w:cs="宋体" w:eastAsia="宋体" w:hint="default"/>
          <w:sz w:val="23"/>
          <w:szCs w:val="23"/>
        </w:rPr>
      </w:pPr>
    </w:p>
    <w:p>
      <w:pPr>
        <w:pStyle w:val="BodyText"/>
        <w:spacing w:line="240" w:lineRule="auto"/>
        <w:ind w:right="999"/>
        <w:jc w:val="left"/>
      </w:pPr>
      <w:r>
        <w:rPr/>
        <w:t>公司与实际控制人之间的产权及控制关系的方框图</w:t>
      </w:r>
    </w:p>
    <w:p>
      <w:pPr>
        <w:spacing w:line="240" w:lineRule="auto" w:before="5"/>
        <w:rPr>
          <w:rFonts w:ascii="宋体" w:hAnsi="宋体" w:cs="宋体" w:eastAsia="宋体" w:hint="default"/>
          <w:sz w:val="15"/>
          <w:szCs w:val="15"/>
        </w:rPr>
      </w:pPr>
    </w:p>
    <w:p>
      <w:pPr>
        <w:spacing w:line="6290" w:lineRule="exact"/>
        <w:ind w:left="140" w:right="0" w:firstLine="0"/>
        <w:rPr>
          <w:rFonts w:ascii="宋体" w:hAnsi="宋体" w:cs="宋体" w:eastAsia="宋体" w:hint="default"/>
          <w:sz w:val="20"/>
          <w:szCs w:val="20"/>
        </w:rPr>
      </w:pPr>
      <w:r>
        <w:rPr>
          <w:rFonts w:ascii="宋体" w:hAnsi="宋体" w:cs="宋体" w:eastAsia="宋体" w:hint="default"/>
          <w:position w:val="-125"/>
          <w:sz w:val="20"/>
          <w:szCs w:val="20"/>
        </w:rPr>
        <w:drawing>
          <wp:inline distT="0" distB="0" distL="0" distR="0">
            <wp:extent cx="5303138" cy="3994213"/>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10" cstate="print"/>
                    <a:stretch>
                      <a:fillRect/>
                    </a:stretch>
                  </pic:blipFill>
                  <pic:spPr>
                    <a:xfrm>
                      <a:off x="0" y="0"/>
                      <a:ext cx="5303138" cy="3994213"/>
                    </a:xfrm>
                    <a:prstGeom prst="rect">
                      <a:avLst/>
                    </a:prstGeom>
                  </pic:spPr>
                </pic:pic>
              </a:graphicData>
            </a:graphic>
          </wp:inline>
        </w:drawing>
      </w:r>
      <w:r>
        <w:rPr>
          <w:rFonts w:ascii="宋体" w:hAnsi="宋体" w:cs="宋体" w:eastAsia="宋体" w:hint="default"/>
          <w:position w:val="-125"/>
          <w:sz w:val="20"/>
          <w:szCs w:val="20"/>
        </w:rPr>
      </w:r>
    </w:p>
    <w:p>
      <w:pPr>
        <w:spacing w:line="240" w:lineRule="auto" w:before="0"/>
        <w:rPr>
          <w:rFonts w:ascii="宋体" w:hAnsi="宋体" w:cs="宋体" w:eastAsia="宋体" w:hint="default"/>
          <w:sz w:val="20"/>
          <w:szCs w:val="20"/>
        </w:rPr>
      </w:pPr>
    </w:p>
    <w:p>
      <w:pPr>
        <w:pStyle w:val="BodyText"/>
        <w:spacing w:line="283" w:lineRule="auto" w:before="180"/>
        <w:ind w:left="351" w:right="3523" w:hanging="212"/>
        <w:jc w:val="left"/>
      </w:pPr>
      <w:r>
        <w:rPr>
          <w:rFonts w:ascii="Times New Roman" w:hAnsi="Times New Roman" w:cs="Times New Roman" w:eastAsia="Times New Roman" w:hint="default"/>
        </w:rPr>
        <w:t>3</w:t>
      </w:r>
      <w:r>
        <w:rPr/>
        <w:t>、</w:t>
      </w:r>
      <w:r>
        <w:rPr>
          <w:spacing w:val="-1"/>
        </w:rPr>
        <w:t> </w:t>
      </w:r>
      <w:r>
        <w:rPr/>
        <w:t>其他持股在百分之十以上的法人股东</w:t>
      </w:r>
      <w:r>
        <w:rPr/>
        <w:t> 截止本报告期末公司无其他持股在百分之十以上的法人股东。</w:t>
      </w:r>
    </w:p>
    <w:p>
      <w:pPr>
        <w:spacing w:line="240" w:lineRule="auto" w:before="2"/>
        <w:rPr>
          <w:rFonts w:ascii="宋体" w:hAnsi="宋体" w:cs="宋体" w:eastAsia="宋体" w:hint="default"/>
          <w:sz w:val="26"/>
          <w:szCs w:val="26"/>
        </w:rPr>
      </w:pPr>
    </w:p>
    <w:p>
      <w:pPr>
        <w:pStyle w:val="Heading1"/>
        <w:spacing w:line="240" w:lineRule="auto" w:before="0"/>
        <w:ind w:left="139" w:right="999"/>
        <w:jc w:val="left"/>
        <w:rPr>
          <w:b w:val="0"/>
          <w:bCs w:val="0"/>
        </w:rPr>
      </w:pPr>
      <w:r>
        <w:rPr/>
        <w:t>五、</w:t>
      </w:r>
      <w:r>
        <w:rPr>
          <w:spacing w:val="-8"/>
        </w:rPr>
        <w:t> </w:t>
      </w:r>
      <w:r>
        <w:rPr/>
        <w:t>董事、监事和高级管理人员</w:t>
      </w:r>
      <w:r>
        <w:rPr>
          <w:b w:val="0"/>
          <w:bCs w:val="0"/>
        </w:rPr>
      </w:r>
    </w:p>
    <w:p>
      <w:pPr>
        <w:spacing w:after="0" w:line="240" w:lineRule="auto"/>
        <w:jc w:val="left"/>
        <w:sectPr>
          <w:pgSz w:w="11910" w:h="16840"/>
          <w:pgMar w:header="877" w:footer="982" w:top="1100" w:bottom="1180" w:left="1660" w:right="680"/>
        </w:sectPr>
      </w:pPr>
    </w:p>
    <w:p>
      <w:pPr>
        <w:spacing w:line="240" w:lineRule="auto" w:before="1"/>
        <w:rPr>
          <w:rFonts w:ascii="宋体" w:hAnsi="宋体" w:cs="宋体" w:eastAsia="宋体" w:hint="default"/>
          <w:b/>
          <w:bCs/>
          <w:sz w:val="23"/>
          <w:szCs w:val="23"/>
        </w:rPr>
      </w:pPr>
    </w:p>
    <w:p>
      <w:pPr>
        <w:pStyle w:val="BodyText"/>
        <w:spacing w:line="240" w:lineRule="auto" w:before="35"/>
        <w:ind w:right="9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董事、监事和高级管理人员持股变动及报酬情况</w:t>
      </w:r>
    </w:p>
    <w:p>
      <w:pPr>
        <w:pStyle w:val="BodyText"/>
        <w:spacing w:line="240" w:lineRule="auto" w:before="52"/>
        <w:ind w:left="0" w:right="1116"/>
        <w:jc w:val="right"/>
      </w:pPr>
      <w:r>
        <w:rPr/>
        <w:t>单位：股</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320"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44"/>
              <w:jc w:val="right"/>
              <w:rPr>
                <w:rFonts w:ascii="宋体" w:hAnsi="宋体" w:cs="宋体" w:eastAsia="宋体" w:hint="default"/>
                <w:sz w:val="18"/>
                <w:szCs w:val="18"/>
              </w:rPr>
            </w:pPr>
            <w:r>
              <w:rPr>
                <w:rFonts w:ascii="宋体" w:hAnsi="宋体" w:cs="宋体" w:eastAsia="宋体" w:hint="default"/>
                <w:sz w:val="18"/>
                <w:szCs w:val="18"/>
              </w:rPr>
              <w:t>报告期</w:t>
            </w:r>
          </w:p>
        </w:tc>
        <w:tc>
          <w:tcPr>
            <w:tcW w:w="84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45" w:right="0"/>
              <w:jc w:val="left"/>
              <w:rPr>
                <w:rFonts w:ascii="宋体" w:hAnsi="宋体" w:cs="宋体" w:eastAsia="宋体" w:hint="default"/>
                <w:sz w:val="18"/>
                <w:szCs w:val="18"/>
              </w:rPr>
            </w:pPr>
            <w:r>
              <w:rPr>
                <w:rFonts w:ascii="宋体" w:hAnsi="宋体" w:cs="宋体" w:eastAsia="宋体" w:hint="default"/>
                <w:sz w:val="18"/>
                <w:szCs w:val="18"/>
              </w:rPr>
              <w:t>是否在</w:t>
            </w:r>
          </w:p>
        </w:tc>
      </w:tr>
      <w:tr>
        <w:trPr>
          <w:trHeight w:val="312"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44"/>
              <w:jc w:val="right"/>
              <w:rPr>
                <w:rFonts w:ascii="宋体" w:hAnsi="宋体" w:cs="宋体" w:eastAsia="宋体" w:hint="default"/>
                <w:sz w:val="18"/>
                <w:szCs w:val="18"/>
              </w:rPr>
            </w:pPr>
            <w:r>
              <w:rPr>
                <w:rFonts w:ascii="宋体" w:hAnsi="宋体" w:cs="宋体" w:eastAsia="宋体" w:hint="default"/>
                <w:sz w:val="18"/>
                <w:szCs w:val="18"/>
              </w:rPr>
              <w:t>内从公</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45" w:right="0"/>
              <w:jc w:val="left"/>
              <w:rPr>
                <w:rFonts w:ascii="宋体" w:hAnsi="宋体" w:cs="宋体" w:eastAsia="宋体" w:hint="default"/>
                <w:sz w:val="18"/>
                <w:szCs w:val="18"/>
              </w:rPr>
            </w:pPr>
            <w:r>
              <w:rPr>
                <w:rFonts w:ascii="宋体" w:hAnsi="宋体" w:cs="宋体" w:eastAsia="宋体" w:hint="default"/>
                <w:sz w:val="18"/>
                <w:szCs w:val="18"/>
              </w:rPr>
              <w:t>股东单</w:t>
            </w:r>
          </w:p>
        </w:tc>
      </w:tr>
      <w:tr>
        <w:trPr>
          <w:trHeight w:val="936"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4"/>
                <w:szCs w:val="24"/>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145" w:right="143"/>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145" w:right="143"/>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235" w:right="144" w:hanging="90"/>
              <w:jc w:val="left"/>
              <w:rPr>
                <w:rFonts w:ascii="宋体" w:hAnsi="宋体" w:cs="宋体" w:eastAsia="宋体" w:hint="default"/>
                <w:sz w:val="18"/>
                <w:szCs w:val="18"/>
              </w:rPr>
            </w:pPr>
            <w:r>
              <w:rPr>
                <w:rFonts w:ascii="宋体" w:hAnsi="宋体" w:cs="宋体" w:eastAsia="宋体" w:hint="default"/>
                <w:sz w:val="18"/>
                <w:szCs w:val="18"/>
              </w:rPr>
              <w:t>年初持 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235" w:right="144" w:hanging="90"/>
              <w:jc w:val="left"/>
              <w:rPr>
                <w:rFonts w:ascii="宋体" w:hAnsi="宋体" w:cs="宋体" w:eastAsia="宋体" w:hint="default"/>
                <w:sz w:val="18"/>
                <w:szCs w:val="18"/>
              </w:rPr>
            </w:pPr>
            <w:r>
              <w:rPr>
                <w:rFonts w:ascii="宋体" w:hAnsi="宋体" w:cs="宋体" w:eastAsia="宋体" w:hint="default"/>
                <w:sz w:val="18"/>
                <w:szCs w:val="18"/>
              </w:rPr>
              <w:t>年末持 股数</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58"/>
              <w:ind w:left="325" w:right="144" w:hanging="180"/>
              <w:jc w:val="left"/>
              <w:rPr>
                <w:rFonts w:ascii="宋体" w:hAnsi="宋体" w:cs="宋体" w:eastAsia="宋体" w:hint="default"/>
                <w:sz w:val="18"/>
                <w:szCs w:val="18"/>
              </w:rPr>
            </w:pPr>
            <w:r>
              <w:rPr>
                <w:rFonts w:ascii="宋体" w:hAnsi="宋体" w:cs="宋体" w:eastAsia="宋体" w:hint="default"/>
                <w:sz w:val="18"/>
                <w:szCs w:val="18"/>
              </w:rPr>
              <w:t>变动原 因</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98" w:firstLine="44"/>
              <w:jc w:val="both"/>
              <w:rPr>
                <w:rFonts w:ascii="宋体" w:hAnsi="宋体" w:cs="宋体" w:eastAsia="宋体" w:hint="default"/>
                <w:sz w:val="18"/>
                <w:szCs w:val="18"/>
              </w:rPr>
            </w:pPr>
            <w:r>
              <w:rPr>
                <w:rFonts w:ascii="宋体" w:hAnsi="宋体" w:cs="宋体" w:eastAsia="宋体" w:hint="default"/>
                <w:sz w:val="18"/>
                <w:szCs w:val="18"/>
              </w:rPr>
              <w:t>司领取 的报酬 </w:t>
            </w:r>
            <w:r>
              <w:rPr>
                <w:rFonts w:ascii="宋体" w:hAnsi="宋体" w:cs="宋体" w:eastAsia="宋体" w:hint="default"/>
                <w:spacing w:val="-23"/>
                <w:sz w:val="18"/>
                <w:szCs w:val="18"/>
              </w:rPr>
              <w:t>总额（万</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45" w:right="144"/>
              <w:jc w:val="both"/>
              <w:rPr>
                <w:rFonts w:ascii="宋体" w:hAnsi="宋体" w:cs="宋体" w:eastAsia="宋体" w:hint="default"/>
                <w:sz w:val="18"/>
                <w:szCs w:val="18"/>
              </w:rPr>
            </w:pPr>
            <w:r>
              <w:rPr>
                <w:rFonts w:ascii="宋体" w:hAnsi="宋体" w:cs="宋体" w:eastAsia="宋体" w:hint="default"/>
                <w:sz w:val="18"/>
                <w:szCs w:val="18"/>
              </w:rPr>
              <w:t>位或其 他关联 单位领</w:t>
            </w:r>
          </w:p>
        </w:tc>
      </w:tr>
      <w:tr>
        <w:trPr>
          <w:trHeight w:val="312" w:hRule="exact"/>
        </w:trPr>
        <w:tc>
          <w:tcPr>
            <w:tcW w:w="846"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5"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98"/>
              <w:jc w:val="right"/>
              <w:rPr>
                <w:rFonts w:ascii="宋体" w:hAnsi="宋体" w:cs="宋体" w:eastAsia="宋体" w:hint="default"/>
                <w:sz w:val="18"/>
                <w:szCs w:val="18"/>
              </w:rPr>
            </w:pPr>
            <w:r>
              <w:rPr>
                <w:rFonts w:ascii="宋体" w:hAnsi="宋体" w:cs="宋体" w:eastAsia="宋体" w:hint="default"/>
                <w:sz w:val="18"/>
                <w:szCs w:val="18"/>
              </w:rPr>
              <w:t>元</w:t>
            </w:r>
            <w:r>
              <w:rPr>
                <w:rFonts w:ascii="宋体" w:hAnsi="宋体" w:cs="宋体" w:eastAsia="宋体" w:hint="default"/>
                <w:spacing w:val="-90"/>
                <w:sz w:val="18"/>
                <w:szCs w:val="18"/>
              </w:rPr>
              <w:t>）</w:t>
            </w:r>
            <w:r>
              <w:rPr>
                <w:rFonts w:ascii="宋体" w:hAnsi="宋体" w:cs="宋体" w:eastAsia="宋体" w:hint="default"/>
                <w:sz w:val="18"/>
                <w:szCs w:val="18"/>
              </w:rPr>
              <w:t>（税</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取报酬、</w:t>
            </w:r>
          </w:p>
        </w:tc>
      </w:tr>
      <w:tr>
        <w:trPr>
          <w:trHeight w:val="318"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前）</w:t>
            </w:r>
          </w:p>
        </w:tc>
        <w:tc>
          <w:tcPr>
            <w:tcW w:w="84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235" w:right="0"/>
              <w:jc w:val="left"/>
              <w:rPr>
                <w:rFonts w:ascii="宋体" w:hAnsi="宋体" w:cs="宋体" w:eastAsia="宋体" w:hint="default"/>
                <w:sz w:val="18"/>
                <w:szCs w:val="18"/>
              </w:rPr>
            </w:pPr>
            <w:r>
              <w:rPr>
                <w:rFonts w:ascii="宋体" w:hAnsi="宋体" w:cs="宋体" w:eastAsia="宋体" w:hint="default"/>
                <w:sz w:val="18"/>
                <w:szCs w:val="18"/>
              </w:rPr>
              <w:t>津贴</w:t>
            </w: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王宏伟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45</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6,400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6,400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许文祥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副董事</w:t>
            </w:r>
            <w:r>
              <w:rPr>
                <w:rFonts w:ascii="宋体" w:hAnsi="宋体" w:cs="宋体" w:eastAsia="宋体" w:hint="default"/>
                <w:spacing w:val="-46"/>
                <w:sz w:val="18"/>
                <w:szCs w:val="18"/>
              </w:rPr>
              <w:t> </w:t>
            </w:r>
            <w:r>
              <w:rPr>
                <w:rFonts w:ascii="宋体" w:hAnsi="宋体" w:cs="宋体" w:eastAsia="宋体" w:hint="default"/>
                <w:sz w:val="18"/>
                <w:szCs w:val="18"/>
              </w:rPr>
              <w:t>长</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9,600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9,600</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8</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张肃泉</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徐维欣</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48</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吴德生</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46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朱勋绩</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57</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6,400</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6,400</w:t>
            </w: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6</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3"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许兆辉</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52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吴 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42</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王玉伟</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独立董</w:t>
            </w:r>
            <w:r>
              <w:rPr>
                <w:rFonts w:ascii="宋体" w:hAnsi="宋体" w:cs="宋体" w:eastAsia="宋体" w:hint="default"/>
                <w:spacing w:val="-46"/>
                <w:sz w:val="18"/>
                <w:szCs w:val="18"/>
              </w:rPr>
              <w:t> </w:t>
            </w:r>
            <w:r>
              <w:rPr>
                <w:rFonts w:ascii="宋体" w:hAnsi="宋体" w:cs="宋体" w:eastAsia="宋体" w:hint="default"/>
                <w:sz w:val="18"/>
                <w:szCs w:val="18"/>
              </w:rPr>
              <w:t>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2</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赵玉水</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监事会</w:t>
            </w:r>
            <w:r>
              <w:rPr>
                <w:rFonts w:ascii="宋体" w:hAnsi="宋体" w:cs="宋体" w:eastAsia="宋体" w:hint="default"/>
                <w:spacing w:val="-46"/>
                <w:sz w:val="18"/>
                <w:szCs w:val="18"/>
              </w:rPr>
              <w:t> </w:t>
            </w:r>
            <w:r>
              <w:rPr>
                <w:rFonts w:ascii="宋体" w:hAnsi="宋体" w:cs="宋体" w:eastAsia="宋体" w:hint="default"/>
                <w:sz w:val="18"/>
                <w:szCs w:val="18"/>
              </w:rPr>
              <w:t>主席</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61</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325" w:hRule="exact"/>
        </w:trPr>
        <w:tc>
          <w:tcPr>
            <w:tcW w:w="846"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3" w:hRule="exact"/>
        </w:trPr>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刘真俊</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53</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tc>
        <w:tc>
          <w:tcPr>
            <w:tcW w:w="845" w:type="dxa"/>
            <w:tcBorders>
              <w:top w:val="nil" w:sz="6" w:space="0" w:color="auto"/>
              <w:left w:val="single" w:sz="6" w:space="0" w:color="000000"/>
              <w:bottom w:val="nil" w:sz="6" w:space="0" w:color="auto"/>
              <w:right w:val="single" w:sz="6" w:space="0" w:color="000000"/>
            </w:tcBorders>
          </w:tcPr>
          <w:p>
            <w:pPr>
              <w:pStyle w:val="TableParagraph"/>
              <w:spacing w:line="240" w:lineRule="auto" w:before="6"/>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44"/>
              <w:ind w:right="98"/>
              <w:jc w:val="right"/>
              <w:rPr>
                <w:rFonts w:ascii="Times New Roman" w:hAnsi="Times New Roman" w:cs="Times New Roman" w:eastAsia="Times New Roman" w:hint="default"/>
                <w:sz w:val="18"/>
                <w:szCs w:val="18"/>
              </w:rPr>
            </w:pPr>
            <w:r>
              <w:rPr>
                <w:rFonts w:ascii="Times New Roman"/>
                <w:sz w:val="18"/>
              </w:rPr>
              <w:t>5</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14" w:hRule="exact"/>
        </w:trPr>
        <w:tc>
          <w:tcPr>
            <w:tcW w:w="846"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5"/>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r>
        <w:trPr>
          <w:trHeight w:val="32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李志良</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59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846"/>
        <w:gridCol w:w="845"/>
        <w:gridCol w:w="845"/>
        <w:gridCol w:w="845"/>
        <w:gridCol w:w="845"/>
        <w:gridCol w:w="845"/>
        <w:gridCol w:w="846"/>
        <w:gridCol w:w="846"/>
        <w:gridCol w:w="846"/>
        <w:gridCol w:w="846"/>
        <w:gridCol w:w="846"/>
      </w:tblGrid>
      <w:tr>
        <w:trPr>
          <w:trHeight w:val="638" w:hRule="exact"/>
        </w:trPr>
        <w:tc>
          <w:tcPr>
            <w:tcW w:w="846"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刘亚芳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总会计</w:t>
            </w:r>
            <w:r>
              <w:rPr>
                <w:rFonts w:ascii="宋体" w:hAnsi="宋体" w:cs="宋体" w:eastAsia="宋体" w:hint="default"/>
                <w:spacing w:val="-46"/>
                <w:sz w:val="18"/>
                <w:szCs w:val="18"/>
              </w:rPr>
              <w:t> </w:t>
            </w:r>
            <w:r>
              <w:rPr>
                <w:rFonts w:ascii="宋体" w:hAnsi="宋体" w:cs="宋体" w:eastAsia="宋体" w:hint="default"/>
                <w:sz w:val="18"/>
                <w:szCs w:val="18"/>
              </w:rPr>
              <w:t>师</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女</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49</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7"/>
              <w:ind w:right="98"/>
              <w:jc w:val="right"/>
              <w:rPr>
                <w:rFonts w:ascii="Times New Roman" w:hAnsi="Times New Roman" w:cs="Times New Roman" w:eastAsia="Times New Roman" w:hint="default"/>
                <w:sz w:val="18"/>
                <w:szCs w:val="18"/>
              </w:rPr>
            </w:pPr>
            <w:r>
              <w:rPr>
                <w:rFonts w:ascii="Times New Roman"/>
                <w:sz w:val="18"/>
              </w:rPr>
              <w:t>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950"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right="188"/>
              <w:jc w:val="right"/>
              <w:rPr>
                <w:rFonts w:ascii="宋体" w:hAnsi="宋体" w:cs="宋体" w:eastAsia="宋体" w:hint="default"/>
                <w:sz w:val="18"/>
                <w:szCs w:val="18"/>
              </w:rPr>
            </w:pPr>
            <w:r>
              <w:rPr>
                <w:rFonts w:ascii="宋体" w:hAnsi="宋体" w:cs="宋体" w:eastAsia="宋体" w:hint="default"/>
                <w:sz w:val="18"/>
                <w:szCs w:val="18"/>
              </w:rPr>
              <w:t>张连增</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2"/>
                <w:szCs w:val="12"/>
              </w:rPr>
            </w:pPr>
          </w:p>
          <w:p>
            <w:pPr>
              <w:pStyle w:val="TableParagraph"/>
              <w:spacing w:line="316" w:lineRule="auto"/>
              <w:ind w:left="100" w:right="54"/>
              <w:jc w:val="left"/>
              <w:rPr>
                <w:rFonts w:ascii="宋体" w:hAnsi="宋体" w:cs="宋体" w:eastAsia="宋体" w:hint="default"/>
                <w:sz w:val="18"/>
                <w:szCs w:val="18"/>
              </w:rPr>
            </w:pPr>
            <w:r>
              <w:rPr>
                <w:rFonts w:ascii="宋体" w:hAnsi="宋体" w:cs="宋体" w:eastAsia="宋体" w:hint="default"/>
                <w:spacing w:val="29"/>
                <w:sz w:val="18"/>
                <w:szCs w:val="18"/>
              </w:rPr>
              <w:t>董事会</w:t>
            </w:r>
            <w:r>
              <w:rPr>
                <w:rFonts w:ascii="宋体" w:hAnsi="宋体" w:cs="宋体" w:eastAsia="宋体" w:hint="default"/>
                <w:spacing w:val="-46"/>
                <w:sz w:val="18"/>
                <w:szCs w:val="18"/>
              </w:rPr>
              <w:t> </w:t>
            </w:r>
            <w:r>
              <w:rPr>
                <w:rFonts w:ascii="宋体" w:hAnsi="宋体" w:cs="宋体" w:eastAsia="宋体" w:hint="default"/>
                <w:sz w:val="18"/>
                <w:szCs w:val="18"/>
              </w:rPr>
              <w:t>秘书</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男</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48</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16</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2"/>
                <w:sz w:val="18"/>
                <w:szCs w:val="18"/>
              </w:rPr>
              <w:t> </w:t>
            </w:r>
            <w:r>
              <w:rPr>
                <w:rFonts w:ascii="宋体" w:hAnsi="宋体" w:cs="宋体" w:eastAsia="宋体" w:hint="default"/>
                <w:sz w:val="18"/>
                <w:szCs w:val="18"/>
              </w:rPr>
              <w:t>年</w:t>
            </w:r>
          </w:p>
          <w:p>
            <w:pPr>
              <w:pStyle w:val="TableParagraph"/>
              <w:spacing w:line="240" w:lineRule="auto" w:before="62"/>
              <w:ind w:left="100"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  </w:t>
            </w:r>
            <w:r>
              <w:rPr>
                <w:rFonts w:ascii="宋体" w:hAnsi="宋体" w:cs="宋体" w:eastAsia="宋体" w:hint="default"/>
                <w:sz w:val="18"/>
                <w:szCs w:val="18"/>
              </w:rPr>
              <w:t>月 </w:t>
            </w:r>
            <w:r>
              <w:rPr>
                <w:rFonts w:ascii="Times New Roman" w:hAnsi="Times New Roman" w:cs="Times New Roman" w:eastAsia="Times New Roman" w:hint="default"/>
                <w:sz w:val="18"/>
                <w:szCs w:val="18"/>
              </w:rPr>
              <w:t>15</w:t>
            </w:r>
          </w:p>
          <w:p>
            <w:pPr>
              <w:pStyle w:val="TableParagraph"/>
              <w:spacing w:line="240" w:lineRule="auto" w:before="62"/>
              <w:ind w:left="100" w:right="0"/>
              <w:jc w:val="left"/>
              <w:rPr>
                <w:rFonts w:ascii="宋体" w:hAnsi="宋体" w:cs="宋体" w:eastAsia="宋体" w:hint="default"/>
                <w:sz w:val="18"/>
                <w:szCs w:val="18"/>
              </w:rPr>
            </w:pPr>
            <w:r>
              <w:rPr>
                <w:rFonts w:ascii="宋体" w:hAnsi="宋体" w:cs="宋体" w:eastAsia="宋体" w:hint="default"/>
                <w:sz w:val="18"/>
                <w:szCs w:val="18"/>
              </w:rPr>
              <w:t>日</w:t>
            </w: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98"/>
              <w:jc w:val="right"/>
              <w:rPr>
                <w:rFonts w:ascii="Times New Roman" w:hAnsi="Times New Roman" w:cs="Times New Roman" w:eastAsia="Times New Roman" w:hint="default"/>
                <w:sz w:val="18"/>
                <w:szCs w:val="18"/>
              </w:rPr>
            </w:pPr>
            <w:r>
              <w:rPr>
                <w:rFonts w:ascii="Times New Roman"/>
                <w:sz w:val="18"/>
              </w:rPr>
              <w:t>3</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328" w:hRule="exact"/>
        </w:trPr>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234"/>
              <w:jc w:val="right"/>
              <w:rPr>
                <w:rFonts w:ascii="宋体" w:hAnsi="宋体" w:cs="宋体" w:eastAsia="宋体" w:hint="default"/>
                <w:sz w:val="18"/>
                <w:szCs w:val="18"/>
              </w:rPr>
            </w:pPr>
            <w:r>
              <w:rPr>
                <w:rFonts w:ascii="宋体" w:hAnsi="宋体" w:cs="宋体" w:eastAsia="宋体" w:hint="default"/>
                <w:sz w:val="18"/>
                <w:szCs w:val="18"/>
              </w:rPr>
              <w:t>合计</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22,400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left="235" w:right="0"/>
              <w:jc w:val="left"/>
              <w:rPr>
                <w:rFonts w:ascii="Times New Roman" w:hAnsi="Times New Roman" w:cs="Times New Roman" w:eastAsia="Times New Roman" w:hint="default"/>
                <w:sz w:val="18"/>
                <w:szCs w:val="18"/>
              </w:rPr>
            </w:pPr>
            <w:r>
              <w:rPr>
                <w:rFonts w:ascii="Times New Roman"/>
                <w:sz w:val="18"/>
              </w:rPr>
              <w:t>22,400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98"/>
              <w:jc w:val="right"/>
              <w:rPr>
                <w:rFonts w:ascii="Times New Roman" w:hAnsi="Times New Roman" w:cs="Times New Roman" w:eastAsia="Times New Roman" w:hint="default"/>
                <w:sz w:val="18"/>
                <w:szCs w:val="18"/>
              </w:rPr>
            </w:pPr>
            <w:r>
              <w:rPr>
                <w:rFonts w:ascii="Times New Roman"/>
                <w:sz w:val="18"/>
              </w:rPr>
              <w:t>40</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76" w:lineRule="exact"/>
        <w:ind w:right="999"/>
        <w:jc w:val="left"/>
      </w:pPr>
      <w:r>
        <w:rPr/>
        <w:t>王宏伟</w:t>
      </w:r>
      <w:r>
        <w:rPr>
          <w:sz w:val="18"/>
          <w:szCs w:val="18"/>
        </w:rPr>
        <w:t>：</w:t>
      </w:r>
      <w:r>
        <w:rPr/>
        <w:t>近</w:t>
      </w:r>
      <w:r>
        <w:rPr>
          <w:spacing w:val="-86"/>
        </w:rPr>
        <w:t> </w:t>
      </w:r>
      <w:r>
        <w:rPr>
          <w:rFonts w:ascii="Times New Roman" w:hAnsi="Times New Roman" w:cs="Times New Roman" w:eastAsia="Times New Roman" w:hint="default"/>
        </w:rPr>
        <w:t>5</w:t>
      </w:r>
      <w:r>
        <w:rPr>
          <w:rFonts w:ascii="Times New Roman" w:hAnsi="Times New Roman" w:cs="Times New Roman" w:eastAsia="Times New Roman" w:hint="default"/>
          <w:spacing w:val="-34"/>
        </w:rPr>
        <w:t> </w:t>
      </w:r>
      <w:r>
        <w:rPr/>
        <w:t>年来历任黑龙江黑化集团有限公司董事、黑化股份公司董事、副总经理、董事</w:t>
      </w:r>
    </w:p>
    <w:p>
      <w:pPr>
        <w:pStyle w:val="BodyText"/>
        <w:spacing w:line="240" w:lineRule="auto" w:before="21"/>
        <w:ind w:right="999"/>
        <w:jc w:val="left"/>
      </w:pPr>
      <w:r>
        <w:rPr/>
        <w:t>会秘书，现任本公司董事长。</w:t>
      </w:r>
    </w:p>
    <w:p>
      <w:pPr>
        <w:pStyle w:val="BodyText"/>
        <w:spacing w:line="256" w:lineRule="auto" w:before="37"/>
        <w:ind w:right="1095"/>
        <w:jc w:val="left"/>
      </w:pPr>
      <w:r>
        <w:rPr/>
        <w:t>许文祥</w:t>
      </w:r>
      <w:r>
        <w:rPr>
          <w:sz w:val="18"/>
          <w:szCs w:val="18"/>
        </w:rPr>
        <w:t>：</w:t>
      </w:r>
      <w:r>
        <w:rPr/>
        <w:t>近</w:t>
      </w:r>
      <w:r>
        <w:rPr>
          <w:spacing w:val="-83"/>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年来历任黑化集团公司副董事长、党委副书记，党委书记、现任本公司副董事 长。</w:t>
      </w:r>
    </w:p>
    <w:p>
      <w:pPr>
        <w:pStyle w:val="BodyText"/>
        <w:spacing w:line="256" w:lineRule="auto" w:before="22"/>
        <w:ind w:left="139" w:right="1104"/>
        <w:jc w:val="left"/>
      </w:pPr>
      <w:r>
        <w:rPr/>
        <w:t>张肃泉</w:t>
      </w:r>
      <w:r>
        <w:rPr>
          <w:sz w:val="18"/>
          <w:szCs w:val="18"/>
        </w:rPr>
        <w:t>：</w:t>
      </w:r>
      <w:r>
        <w:rPr/>
        <w:t>近</w:t>
      </w:r>
      <w:r>
        <w:rPr>
          <w:spacing w:val="-52"/>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年来历任中国化工集团中车汽修</w:t>
      </w:r>
      <w:r>
        <w:rPr>
          <w:rFonts w:ascii="Times New Roman" w:hAnsi="Times New Roman" w:cs="Times New Roman" w:eastAsia="Times New Roman" w:hint="default"/>
        </w:rPr>
        <w:t>(</w:t>
      </w:r>
      <w:r>
        <w:rPr/>
        <w:t>集团</w:t>
      </w:r>
      <w:r>
        <w:rPr>
          <w:rFonts w:ascii="Times New Roman" w:hAnsi="Times New Roman" w:cs="Times New Roman" w:eastAsia="Times New Roman" w:hint="default"/>
        </w:rPr>
        <w:t>)</w:t>
      </w:r>
      <w:r>
        <w:rPr/>
        <w:t>总公司总经理、党委书记，中国化工集 团公司地方事业部主任，中国化工新材料总公司总经理、党委副书记。</w:t>
      </w:r>
    </w:p>
    <w:p>
      <w:pPr>
        <w:pStyle w:val="BodyText"/>
        <w:spacing w:line="264" w:lineRule="auto" w:before="22"/>
        <w:ind w:right="999" w:hanging="1"/>
        <w:jc w:val="left"/>
      </w:pPr>
      <w:r>
        <w:rPr>
          <w:spacing w:val="-16"/>
        </w:rPr>
        <w:t>徐维欣</w:t>
      </w:r>
      <w:r>
        <w:rPr>
          <w:spacing w:val="-16"/>
          <w:sz w:val="18"/>
          <w:szCs w:val="18"/>
        </w:rPr>
        <w:t>：</w:t>
      </w:r>
      <w:r>
        <w:rPr>
          <w:spacing w:val="-16"/>
        </w:rPr>
        <w:t>近</w:t>
      </w:r>
      <w:r>
        <w:rPr>
          <w:spacing w:val="-47"/>
        </w:rPr>
        <w:t> </w:t>
      </w:r>
      <w:r>
        <w:rPr>
          <w:rFonts w:ascii="Times New Roman" w:hAnsi="Times New Roman" w:cs="Times New Roman" w:eastAsia="Times New Roman" w:hint="default"/>
        </w:rPr>
        <w:t>5</w:t>
      </w:r>
      <w:r>
        <w:rPr>
          <w:rFonts w:ascii="Times New Roman" w:hAnsi="Times New Roman" w:cs="Times New Roman" w:eastAsia="Times New Roman" w:hint="default"/>
          <w:spacing w:val="5"/>
        </w:rPr>
        <w:t> </w:t>
      </w:r>
      <w:r>
        <w:rPr>
          <w:spacing w:val="-3"/>
        </w:rPr>
        <w:t>年来历任中国化工集团昊华总公司总经理助理兼人事劳资部、国际事业部主任，</w:t>
      </w:r>
      <w:r>
        <w:rPr/>
        <w:t> </w:t>
      </w:r>
      <w:r>
        <w:rPr>
          <w:spacing w:val="-3"/>
        </w:rPr>
        <w:t>昊华总公司党委常委、副总经理兼工会主席，中国化工新材料总公司总经理兼党委书记，中</w:t>
      </w:r>
      <w:r>
        <w:rPr>
          <w:spacing w:val="-82"/>
        </w:rPr>
        <w:t> </w:t>
      </w:r>
      <w:r>
        <w:rPr>
          <w:spacing w:val="-82"/>
        </w:rPr>
      </w:r>
      <w:r>
        <w:rPr/>
        <w:t>国化工橡胶总公司党委书记、副总经理。</w:t>
      </w:r>
    </w:p>
    <w:p>
      <w:pPr>
        <w:pStyle w:val="BodyText"/>
        <w:spacing w:line="266" w:lineRule="auto" w:before="16"/>
        <w:ind w:left="139" w:right="1052"/>
        <w:jc w:val="both"/>
      </w:pPr>
      <w:r>
        <w:rPr/>
        <w:t>吴德生</w:t>
      </w:r>
      <w:r>
        <w:rPr>
          <w:sz w:val="18"/>
          <w:szCs w:val="18"/>
        </w:rPr>
        <w:t>：</w:t>
      </w:r>
      <w:r>
        <w:rPr/>
        <w:t>近</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年来历任化工规划院化肥处干部、副处长，化工部国际合作司科技处副处长、 </w:t>
      </w:r>
      <w:r>
        <w:rPr>
          <w:spacing w:val="-3"/>
        </w:rPr>
        <w:t>处长，中国石油和化学工业协会处长，美国联亚集团公司业务发展部经理，中国化工建设总</w:t>
      </w:r>
      <w:r>
        <w:rPr>
          <w:spacing w:val="-81"/>
        </w:rPr>
        <w:t> </w:t>
      </w:r>
      <w:r>
        <w:rPr>
          <w:spacing w:val="-81"/>
        </w:rPr>
      </w:r>
      <w:r>
        <w:rPr>
          <w:spacing w:val="-3"/>
        </w:rPr>
        <w:t>公司国际交流中心总经理，中国化工集团公司地方事业部处长，中国化工新材料总公司规划</w:t>
      </w:r>
      <w:r>
        <w:rPr>
          <w:spacing w:val="-79"/>
        </w:rPr>
        <w:t> </w:t>
      </w:r>
      <w:r>
        <w:rPr>
          <w:spacing w:val="-79"/>
        </w:rPr>
      </w:r>
      <w:r>
        <w:rPr/>
        <w:t>科技处处长。</w:t>
      </w:r>
    </w:p>
    <w:p>
      <w:pPr>
        <w:pStyle w:val="BodyText"/>
        <w:spacing w:line="240" w:lineRule="auto" w:before="14"/>
        <w:ind w:left="139" w:right="999"/>
        <w:jc w:val="left"/>
      </w:pPr>
      <w:r>
        <w:rPr/>
        <w:t>朱勋绩</w:t>
      </w:r>
      <w:r>
        <w:rPr>
          <w:sz w:val="18"/>
          <w:szCs w:val="18"/>
        </w:rPr>
        <w:t>：</w:t>
      </w:r>
      <w:r>
        <w:rPr/>
        <w:t>近</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年来历任黑化集团公司副董事长、总工程师。</w:t>
      </w:r>
    </w:p>
    <w:p>
      <w:pPr>
        <w:pStyle w:val="BodyText"/>
        <w:spacing w:line="256" w:lineRule="auto" w:before="21"/>
        <w:ind w:left="139" w:right="1098" w:hanging="1"/>
        <w:jc w:val="left"/>
      </w:pPr>
      <w:r>
        <w:rPr>
          <w:spacing w:val="-5"/>
        </w:rPr>
        <w:t>许兆辉</w:t>
      </w:r>
      <w:r>
        <w:rPr>
          <w:spacing w:val="-5"/>
          <w:sz w:val="18"/>
          <w:szCs w:val="18"/>
        </w:rPr>
        <w:t>：</w:t>
      </w:r>
      <w:r>
        <w:rPr>
          <w:spacing w:val="-5"/>
        </w:rPr>
        <w:t>近</w:t>
      </w:r>
      <w:r>
        <w:rPr>
          <w:spacing w:val="-71"/>
        </w:rPr>
        <w:t> </w:t>
      </w:r>
      <w:r>
        <w:rPr>
          <w:rFonts w:ascii="Times New Roman" w:hAnsi="Times New Roman" w:cs="Times New Roman" w:eastAsia="Times New Roman" w:hint="default"/>
        </w:rPr>
        <w:t>5</w:t>
      </w:r>
      <w:r>
        <w:rPr>
          <w:rFonts w:ascii="Times New Roman" w:hAnsi="Times New Roman" w:cs="Times New Roman" w:eastAsia="Times New Roman" w:hint="default"/>
          <w:spacing w:val="-19"/>
        </w:rPr>
        <w:t> </w:t>
      </w:r>
      <w:r>
        <w:rPr/>
        <w:t>年来历任齐齐哈尔市信达会计师事务所所长、中国诚信证券评估有限公司山东 分公司经理，现任黑龙江安联会计师事务所董事长。</w:t>
      </w:r>
    </w:p>
    <w:p>
      <w:pPr>
        <w:pStyle w:val="BodyText"/>
        <w:spacing w:line="256" w:lineRule="auto" w:before="22"/>
        <w:ind w:right="1099" w:hanging="1"/>
        <w:jc w:val="left"/>
      </w:pPr>
      <w:r>
        <w:rPr/>
        <w:t>吴 平</w:t>
      </w:r>
      <w:r>
        <w:rPr>
          <w:sz w:val="18"/>
          <w:szCs w:val="18"/>
        </w:rPr>
        <w:t>：</w:t>
      </w:r>
      <w:r>
        <w:rPr/>
        <w:t>近 </w:t>
      </w:r>
      <w:r>
        <w:rPr>
          <w:rFonts w:ascii="Times New Roman" w:hAnsi="Times New Roman" w:cs="Times New Roman" w:eastAsia="Times New Roman" w:hint="default"/>
        </w:rPr>
        <w:t>5</w:t>
      </w:r>
      <w:r>
        <w:rPr>
          <w:rFonts w:ascii="Times New Roman" w:hAnsi="Times New Roman" w:cs="Times New Roman" w:eastAsia="Times New Roman" w:hint="default"/>
          <w:spacing w:val="-12"/>
        </w:rPr>
        <w:t> </w:t>
      </w:r>
      <w:r>
        <w:rPr/>
        <w:t>年来大庆石油管理局公共汽车公司总会计师，大庆油田昆仑集团总会计师，大 庆石油管理局财务资产部副经理。</w:t>
      </w:r>
    </w:p>
    <w:p>
      <w:pPr>
        <w:pStyle w:val="BodyText"/>
        <w:spacing w:line="240" w:lineRule="auto" w:before="22"/>
        <w:ind w:right="999"/>
        <w:jc w:val="left"/>
      </w:pPr>
      <w:r>
        <w:rPr/>
        <w:t>王玉伟</w:t>
      </w:r>
      <w:r>
        <w:rPr>
          <w:sz w:val="18"/>
          <w:szCs w:val="18"/>
        </w:rPr>
        <w:t>：</w:t>
      </w:r>
      <w:r>
        <w:rPr/>
        <w:t>近</w:t>
      </w:r>
      <w:r>
        <w:rPr>
          <w:spacing w:val="-55"/>
        </w:rPr>
        <w:t> </w:t>
      </w:r>
      <w:r>
        <w:rPr>
          <w:rFonts w:ascii="Times New Roman" w:hAnsi="Times New Roman" w:cs="Times New Roman" w:eastAsia="Times New Roman" w:hint="default"/>
        </w:rPr>
        <w:t>5</w:t>
      </w:r>
      <w:r>
        <w:rPr>
          <w:rFonts w:ascii="Times New Roman" w:hAnsi="Times New Roman" w:cs="Times New Roman" w:eastAsia="Times New Roman" w:hint="default"/>
          <w:spacing w:val="-2"/>
        </w:rPr>
        <w:t> </w:t>
      </w:r>
      <w:r>
        <w:rPr/>
        <w:t>年来任航天科技控股集团股份有限公司董事会秘书。</w:t>
      </w:r>
    </w:p>
    <w:p>
      <w:pPr>
        <w:pStyle w:val="BodyText"/>
        <w:spacing w:line="266" w:lineRule="auto" w:before="21"/>
        <w:ind w:right="1114" w:hanging="1"/>
        <w:jc w:val="both"/>
      </w:pPr>
      <w:r>
        <w:rPr/>
        <w:t>赵玉水</w:t>
      </w:r>
      <w:r>
        <w:rPr>
          <w:sz w:val="18"/>
          <w:szCs w:val="18"/>
        </w:rPr>
        <w:t>：</w:t>
      </w:r>
      <w:r>
        <w:rPr/>
        <w:t>近</w:t>
      </w:r>
      <w:r>
        <w:rPr>
          <w:spacing w:val="-82"/>
        </w:rPr>
        <w:t> </w:t>
      </w:r>
      <w:r>
        <w:rPr>
          <w:rFonts w:ascii="Times New Roman" w:hAnsi="Times New Roman" w:cs="Times New Roman" w:eastAsia="Times New Roman" w:hint="default"/>
        </w:rPr>
        <w:t>5</w:t>
      </w:r>
      <w:r>
        <w:rPr>
          <w:rFonts w:ascii="Times New Roman" w:hAnsi="Times New Roman" w:cs="Times New Roman" w:eastAsia="Times New Roman" w:hint="default"/>
          <w:spacing w:val="-30"/>
        </w:rPr>
        <w:t> </w:t>
      </w:r>
      <w:r>
        <w:rPr/>
        <w:t>年来历任中国化工新材料总公司党委副书记、纪委书记、副总经理，中国化工 </w:t>
      </w:r>
      <w:r>
        <w:rPr>
          <w:spacing w:val="-3"/>
        </w:rPr>
        <w:t>新材料总公司党委书记，中国化工新材料总公司（中化化工科学技术研究总院）党委副书记</w:t>
      </w:r>
      <w:r>
        <w:rPr>
          <w:spacing w:val="-82"/>
        </w:rPr>
        <w:t> </w:t>
      </w:r>
      <w:r>
        <w:rPr>
          <w:spacing w:val="-82"/>
        </w:rPr>
      </w:r>
      <w:r>
        <w:rPr>
          <w:spacing w:val="-3"/>
        </w:rPr>
        <w:t>兼纪委书记，中国化工新材料总公司副总经理、党委副书记、纪委书记，中国化工新材料总</w:t>
      </w:r>
      <w:r>
        <w:rPr>
          <w:spacing w:val="-81"/>
        </w:rPr>
        <w:t> </w:t>
      </w:r>
      <w:r>
        <w:rPr>
          <w:spacing w:val="-81"/>
        </w:rPr>
      </w:r>
      <w:r>
        <w:rPr/>
        <w:t>公司纪委书记、总经理助理兼监事处处长。</w:t>
      </w:r>
    </w:p>
    <w:p>
      <w:pPr>
        <w:pStyle w:val="BodyText"/>
        <w:spacing w:line="256" w:lineRule="auto" w:before="14"/>
        <w:ind w:right="1095"/>
        <w:jc w:val="left"/>
      </w:pPr>
      <w:r>
        <w:rPr/>
        <w:t>刘真俊</w:t>
      </w:r>
      <w:r>
        <w:rPr>
          <w:sz w:val="18"/>
          <w:szCs w:val="18"/>
        </w:rPr>
        <w:t>：</w:t>
      </w:r>
      <w:r>
        <w:rPr/>
        <w:t>近</w:t>
      </w:r>
      <w:r>
        <w:rPr>
          <w:spacing w:val="-83"/>
        </w:rPr>
        <w:t> </w:t>
      </w:r>
      <w:r>
        <w:rPr>
          <w:rFonts w:ascii="Times New Roman" w:hAnsi="Times New Roman" w:cs="Times New Roman" w:eastAsia="Times New Roman" w:hint="default"/>
        </w:rPr>
        <w:t>5</w:t>
      </w:r>
      <w:r>
        <w:rPr>
          <w:rFonts w:ascii="Times New Roman" w:hAnsi="Times New Roman" w:cs="Times New Roman" w:eastAsia="Times New Roman" w:hint="default"/>
          <w:spacing w:val="-31"/>
        </w:rPr>
        <w:t> </w:t>
      </w:r>
      <w:r>
        <w:rPr/>
        <w:t>年来历任黑化集团公司党委组织部部长、企业文化部部长、政治部部长、总政 工师，黑化集团公司工会主席。</w:t>
      </w:r>
    </w:p>
    <w:p>
      <w:pPr>
        <w:pStyle w:val="BodyText"/>
        <w:spacing w:line="264" w:lineRule="auto" w:before="22"/>
        <w:ind w:right="1001" w:hanging="1"/>
        <w:jc w:val="left"/>
      </w:pPr>
      <w:r>
        <w:rPr>
          <w:spacing w:val="-10"/>
        </w:rPr>
        <w:t>李志良</w:t>
      </w:r>
      <w:r>
        <w:rPr>
          <w:spacing w:val="-10"/>
          <w:sz w:val="18"/>
          <w:szCs w:val="18"/>
        </w:rPr>
        <w:t>：</w:t>
      </w:r>
      <w:r>
        <w:rPr>
          <w:spacing w:val="-10"/>
        </w:rPr>
        <w:t>近</w:t>
      </w:r>
      <w:r>
        <w:rPr>
          <w:spacing w:val="-45"/>
        </w:rPr>
        <w:t> </w:t>
      </w:r>
      <w:r>
        <w:rPr>
          <w:rFonts w:ascii="Times New Roman" w:hAnsi="Times New Roman" w:cs="Times New Roman" w:eastAsia="Times New Roman" w:hint="default"/>
        </w:rPr>
        <w:t>5</w:t>
      </w:r>
      <w:r>
        <w:rPr>
          <w:rFonts w:ascii="Times New Roman" w:hAnsi="Times New Roman" w:cs="Times New Roman" w:eastAsia="Times New Roman" w:hint="default"/>
          <w:spacing w:val="6"/>
        </w:rPr>
        <w:t> </w:t>
      </w:r>
      <w:r>
        <w:rPr>
          <w:spacing w:val="-4"/>
        </w:rPr>
        <w:t>年来历任黑化集团公司质量管理处副处长、企业管理处处长、策划部部长助理、</w:t>
      </w:r>
      <w:r>
        <w:rPr>
          <w:spacing w:val="-103"/>
        </w:rPr>
        <w:t> </w:t>
      </w:r>
      <w:r>
        <w:rPr>
          <w:spacing w:val="-103"/>
        </w:rPr>
      </w:r>
      <w:r>
        <w:rPr>
          <w:spacing w:val="-3"/>
        </w:rPr>
        <w:t>员工管理部副部长、价格质量管理部部长、企业管理部部长、副总经济师兼企管部部长、现</w:t>
      </w:r>
      <w:r>
        <w:rPr>
          <w:spacing w:val="-81"/>
        </w:rPr>
        <w:t> </w:t>
      </w:r>
      <w:r>
        <w:rPr>
          <w:spacing w:val="-81"/>
        </w:rPr>
      </w:r>
      <w:r>
        <w:rPr/>
        <w:t>任黑化集团副总经济师兼集团总部经济总监。</w:t>
      </w:r>
    </w:p>
    <w:p>
      <w:pPr>
        <w:pStyle w:val="BodyText"/>
        <w:spacing w:line="256" w:lineRule="auto" w:before="16"/>
        <w:ind w:left="139" w:right="1097"/>
        <w:jc w:val="left"/>
      </w:pPr>
      <w:r>
        <w:rPr>
          <w:spacing w:val="-3"/>
        </w:rPr>
        <w:t>刘亚芳</w:t>
      </w:r>
      <w:r>
        <w:rPr>
          <w:spacing w:val="-3"/>
          <w:sz w:val="18"/>
          <w:szCs w:val="18"/>
        </w:rPr>
        <w:t>：</w:t>
      </w:r>
      <w:r>
        <w:rPr>
          <w:spacing w:val="-3"/>
        </w:rPr>
        <w:t>近</w:t>
      </w:r>
      <w:r>
        <w:rPr>
          <w:spacing w:val="-76"/>
        </w:rPr>
        <w:t> </w:t>
      </w:r>
      <w:r>
        <w:rPr>
          <w:rFonts w:ascii="Times New Roman" w:hAnsi="Times New Roman" w:cs="Times New Roman" w:eastAsia="Times New Roman" w:hint="default"/>
        </w:rPr>
        <w:t>5</w:t>
      </w:r>
      <w:r>
        <w:rPr>
          <w:rFonts w:ascii="Times New Roman" w:hAnsi="Times New Roman" w:cs="Times New Roman" w:eastAsia="Times New Roman" w:hint="default"/>
          <w:spacing w:val="-24"/>
        </w:rPr>
        <w:t> </w:t>
      </w:r>
      <w:r>
        <w:rPr/>
        <w:t>年来历任黑化集团公司财务管理中心主任，黑化集团公司财务公司副经理，黑 化集团副总会计师兼财务公司经理，黑化股份公司总会计师。</w:t>
      </w:r>
    </w:p>
    <w:p>
      <w:pPr>
        <w:pStyle w:val="BodyText"/>
        <w:spacing w:line="240" w:lineRule="auto" w:before="22"/>
        <w:ind w:left="139" w:right="999"/>
        <w:jc w:val="left"/>
      </w:pPr>
      <w:r>
        <w:rPr/>
        <w:t>张连增</w:t>
      </w:r>
      <w:r>
        <w:rPr>
          <w:sz w:val="18"/>
          <w:szCs w:val="18"/>
        </w:rPr>
        <w:t>：</w:t>
      </w:r>
      <w:r>
        <w:rPr/>
        <w:t>近</w:t>
      </w:r>
      <w:r>
        <w:rPr>
          <w:spacing w:val="-5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年来历任公司证券办主任、董事会证券事务代表。现任本公司董事会秘书。</w:t>
      </w:r>
    </w:p>
    <w:p>
      <w:pPr>
        <w:spacing w:line="240" w:lineRule="auto" w:before="11"/>
        <w:rPr>
          <w:rFonts w:ascii="宋体" w:hAnsi="宋体" w:cs="宋体" w:eastAsia="宋体" w:hint="default"/>
          <w:sz w:val="27"/>
          <w:szCs w:val="27"/>
        </w:rPr>
      </w:pPr>
    </w:p>
    <w:p>
      <w:pPr>
        <w:pStyle w:val="BodyText"/>
        <w:spacing w:line="283" w:lineRule="auto"/>
        <w:ind w:left="559" w:right="3525"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在股东单位任职情况</w:t>
      </w:r>
      <w:r>
        <w:rPr>
          <w:w w:val="99"/>
        </w:rPr>
        <w:t> </w:t>
      </w:r>
      <w:r>
        <w:rPr/>
        <w:t>截止本报告期末公司无董事、监事、高管在股东单位任职。</w:t>
      </w:r>
    </w:p>
    <w:p>
      <w:pPr>
        <w:spacing w:after="0" w:line="283"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right="999"/>
        <w:jc w:val="left"/>
      </w:pPr>
      <w:bookmarkStart w:name="_bookmark4" w:id="5"/>
      <w:bookmarkEnd w:id="5"/>
      <w:r>
        <w:rPr/>
      </w:r>
      <w:r>
        <w:rPr/>
        <w:t>在其他单位任职情况</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247"/>
        <w:gridCol w:w="1343"/>
        <w:gridCol w:w="1535"/>
        <w:gridCol w:w="1630"/>
        <w:gridCol w:w="1726"/>
        <w:gridCol w:w="1820"/>
      </w:tblGrid>
      <w:tr>
        <w:trPr>
          <w:trHeight w:val="638"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405" w:right="0"/>
              <w:jc w:val="left"/>
              <w:rPr>
                <w:rFonts w:ascii="宋体" w:hAnsi="宋体" w:cs="宋体" w:eastAsia="宋体" w:hint="default"/>
                <w:sz w:val="21"/>
                <w:szCs w:val="21"/>
              </w:rPr>
            </w:pPr>
            <w:r>
              <w:rPr>
                <w:rFonts w:ascii="宋体" w:hAnsi="宋体" w:cs="宋体" w:eastAsia="宋体" w:hint="default"/>
                <w:sz w:val="21"/>
                <w:szCs w:val="21"/>
              </w:rPr>
              <w:t>姓名</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其他单位名</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称</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35" w:right="0"/>
              <w:jc w:val="left"/>
              <w:rPr>
                <w:rFonts w:ascii="宋体" w:hAnsi="宋体" w:cs="宋体" w:eastAsia="宋体" w:hint="default"/>
                <w:sz w:val="21"/>
                <w:szCs w:val="21"/>
              </w:rPr>
            </w:pPr>
            <w:r>
              <w:rPr>
                <w:rFonts w:ascii="宋体" w:hAnsi="宋体" w:cs="宋体" w:eastAsia="宋体" w:hint="default"/>
                <w:sz w:val="21"/>
                <w:szCs w:val="21"/>
              </w:rPr>
              <w:t>担任的职务</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76" w:right="0"/>
              <w:jc w:val="left"/>
              <w:rPr>
                <w:rFonts w:ascii="宋体" w:hAnsi="宋体" w:cs="宋体" w:eastAsia="宋体" w:hint="default"/>
                <w:sz w:val="21"/>
                <w:szCs w:val="21"/>
              </w:rPr>
            </w:pPr>
            <w:r>
              <w:rPr>
                <w:rFonts w:ascii="宋体" w:hAnsi="宋体" w:cs="宋体" w:eastAsia="宋体" w:hint="default"/>
                <w:sz w:val="21"/>
                <w:szCs w:val="21"/>
              </w:rPr>
              <w:t>任期起始日期</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任期终止日期</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是否领取报酬津</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贴</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tabs>
                <w:tab w:pos="521" w:val="left" w:leader="none"/>
              </w:tabs>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吴</w:t>
              <w:tab/>
              <w:t>平</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大庆石油管</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理局财务资</w:t>
            </w:r>
            <w:r>
              <w:rPr>
                <w:rFonts w:ascii="宋体" w:hAnsi="宋体" w:cs="宋体" w:eastAsia="宋体" w:hint="default"/>
                <w:spacing w:val="-86"/>
                <w:sz w:val="21"/>
                <w:szCs w:val="21"/>
              </w:rPr>
              <w:t> </w:t>
            </w:r>
            <w:r>
              <w:rPr>
                <w:rFonts w:ascii="宋体" w:hAnsi="宋体" w:cs="宋体" w:eastAsia="宋体" w:hint="default"/>
                <w:sz w:val="21"/>
                <w:szCs w:val="21"/>
              </w:rPr>
              <w:t>产部</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副经理</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2007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950"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王玉伟</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航天科技控</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股集团股份</w:t>
            </w:r>
            <w:r>
              <w:rPr>
                <w:rFonts w:ascii="宋体" w:hAnsi="宋体" w:cs="宋体" w:eastAsia="宋体" w:hint="default"/>
                <w:spacing w:val="-86"/>
                <w:sz w:val="21"/>
                <w:szCs w:val="21"/>
              </w:rPr>
              <w:t> </w:t>
            </w:r>
            <w:r>
              <w:rPr>
                <w:rFonts w:ascii="宋体" w:hAnsi="宋体" w:cs="宋体" w:eastAsia="宋体" w:hint="default"/>
                <w:sz w:val="21"/>
                <w:szCs w:val="21"/>
              </w:rPr>
              <w:t>有限公司</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董事会秘书</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1999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62"/>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1" w:right="0"/>
              <w:jc w:val="left"/>
              <w:rPr>
                <w:rFonts w:ascii="宋体" w:hAnsi="宋体" w:cs="宋体" w:eastAsia="宋体" w:hint="default"/>
                <w:sz w:val="21"/>
                <w:szCs w:val="21"/>
              </w:rPr>
            </w:pPr>
            <w:r>
              <w:rPr>
                <w:rFonts w:ascii="宋体" w:hAnsi="宋体" w:cs="宋体" w:eastAsia="宋体" w:hint="default"/>
                <w:sz w:val="21"/>
                <w:szCs w:val="21"/>
              </w:rPr>
              <w:t>是</w:t>
            </w:r>
          </w:p>
        </w:tc>
      </w:tr>
      <w:tr>
        <w:trPr>
          <w:trHeight w:val="952" w:hRule="exact"/>
        </w:trPr>
        <w:tc>
          <w:tcPr>
            <w:tcW w:w="12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许兆辉</w:t>
            </w:r>
          </w:p>
        </w:tc>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5"/>
                <w:sz w:val="21"/>
                <w:szCs w:val="21"/>
              </w:rPr>
              <w:t>黑龙江安联</w:t>
            </w:r>
            <w:r>
              <w:rPr>
                <w:rFonts w:ascii="宋体" w:hAnsi="宋体" w:cs="宋体" w:eastAsia="宋体" w:hint="default"/>
                <w:spacing w:val="-86"/>
                <w:sz w:val="21"/>
                <w:szCs w:val="21"/>
              </w:rPr>
              <w:t> </w:t>
            </w:r>
            <w:r>
              <w:rPr>
                <w:rFonts w:ascii="宋体" w:hAnsi="宋体" w:cs="宋体" w:eastAsia="宋体" w:hint="default"/>
                <w:sz w:val="21"/>
                <w:szCs w:val="21"/>
              </w:rPr>
            </w:r>
          </w:p>
          <w:p>
            <w:pPr>
              <w:pStyle w:val="TableParagraph"/>
              <w:spacing w:line="273" w:lineRule="auto" w:before="37"/>
              <w:ind w:left="100" w:right="79"/>
              <w:jc w:val="left"/>
              <w:rPr>
                <w:rFonts w:ascii="宋体" w:hAnsi="宋体" w:cs="宋体" w:eastAsia="宋体" w:hint="default"/>
                <w:sz w:val="21"/>
                <w:szCs w:val="21"/>
              </w:rPr>
            </w:pPr>
            <w:r>
              <w:rPr>
                <w:rFonts w:ascii="宋体" w:hAnsi="宋体" w:cs="宋体" w:eastAsia="宋体" w:hint="default"/>
                <w:spacing w:val="15"/>
                <w:sz w:val="21"/>
                <w:szCs w:val="21"/>
              </w:rPr>
              <w:t>会计师事务</w:t>
            </w:r>
            <w:r>
              <w:rPr>
                <w:rFonts w:ascii="宋体" w:hAnsi="宋体" w:cs="宋体" w:eastAsia="宋体" w:hint="default"/>
                <w:spacing w:val="-86"/>
                <w:sz w:val="21"/>
                <w:szCs w:val="21"/>
              </w:rPr>
              <w:t> </w:t>
            </w:r>
            <w:r>
              <w:rPr>
                <w:rFonts w:ascii="宋体" w:hAnsi="宋体" w:cs="宋体" w:eastAsia="宋体" w:hint="default"/>
                <w:sz w:val="21"/>
                <w:szCs w:val="21"/>
              </w:rPr>
              <w:t>所</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董事长</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1999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60"/>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726" w:type="dxa"/>
            <w:tcBorders>
              <w:top w:val="single" w:sz="6" w:space="0" w:color="000000"/>
              <w:left w:val="single" w:sz="6" w:space="0" w:color="000000"/>
              <w:bottom w:val="single" w:sz="6" w:space="0" w:color="000000"/>
              <w:right w:val="single" w:sz="6" w:space="0" w:color="000000"/>
            </w:tcBorders>
          </w:tcPr>
          <w:p>
            <w:pP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董事、监事、高级管理人员报酬情况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538"/>
        <w:gridCol w:w="6762"/>
      </w:tblGrid>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员报酬的决策程序</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根据其所担任的职位由董事会确定。独立董事报酬由董事会提出议案经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股东大会审议确定。</w:t>
            </w:r>
          </w:p>
        </w:tc>
      </w:tr>
      <w:tr>
        <w:trPr>
          <w:trHeight w:val="638"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员报酬确定依据</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按照《公司岗位工资实施办法》确定的标准，根据所担任的职务确定。</w:t>
            </w:r>
          </w:p>
        </w:tc>
      </w:tr>
      <w:tr>
        <w:trPr>
          <w:trHeight w:val="640" w:hRule="exact"/>
        </w:trPr>
        <w:tc>
          <w:tcPr>
            <w:tcW w:w="25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董事、监事和高级管理人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员报酬的实际支付情况</w:t>
            </w:r>
          </w:p>
        </w:tc>
        <w:tc>
          <w:tcPr>
            <w:tcW w:w="67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根据标准按月支付。</w:t>
            </w:r>
          </w:p>
        </w:tc>
      </w:tr>
    </w:tbl>
    <w:p>
      <w:pPr>
        <w:spacing w:line="240" w:lineRule="auto" w:before="5"/>
        <w:rPr>
          <w:rFonts w:ascii="宋体" w:hAnsi="宋体" w:cs="宋体" w:eastAsia="宋体" w:hint="default"/>
          <w:sz w:val="22"/>
          <w:szCs w:val="22"/>
        </w:rPr>
      </w:pPr>
    </w:p>
    <w:p>
      <w:pPr>
        <w:pStyle w:val="BodyText"/>
        <w:spacing w:line="283" w:lineRule="auto" w:before="35"/>
        <w:ind w:left="351" w:right="4783"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 </w:t>
      </w:r>
      <w:r>
        <w:rPr/>
        <w:t>公司董事、监事、高级管理人员变动情况</w:t>
      </w:r>
      <w:r>
        <w:rPr>
          <w:w w:val="99"/>
        </w:rPr>
        <w:t> </w:t>
      </w:r>
      <w:r>
        <w:rPr/>
        <w:t>本报告期内公司无董事、监事、高管人员变动。</w:t>
      </w:r>
    </w:p>
    <w:p>
      <w:pPr>
        <w:spacing w:line="240" w:lineRule="auto" w:before="2"/>
        <w:rPr>
          <w:rFonts w:ascii="宋体" w:hAnsi="宋体" w:cs="宋体" w:eastAsia="宋体" w:hint="default"/>
          <w:sz w:val="26"/>
          <w:szCs w:val="26"/>
        </w:rPr>
      </w:pPr>
    </w:p>
    <w:p>
      <w:pPr>
        <w:pStyle w:val="BodyText"/>
        <w:spacing w:line="240" w:lineRule="auto"/>
        <w:ind w:left="139" w:right="999"/>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公司员工情况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558"/>
        <w:gridCol w:w="4742"/>
      </w:tblGrid>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在职员工总数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3,229</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公司需承担费用的离退休职工人数</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0</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专业构成人数</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生产人员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2,674</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销售人员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82</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技术人员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415</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18</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行政人员</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40</w:t>
            </w:r>
          </w:p>
        </w:tc>
      </w:tr>
      <w:tr>
        <w:trPr>
          <w:trHeight w:val="326"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教育程度类别</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数量（人）</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研究生以上</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z w:val="21"/>
              </w:rPr>
              <w:t>16</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大学本科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203</w:t>
            </w:r>
          </w:p>
        </w:tc>
      </w:tr>
      <w:tr>
        <w:trPr>
          <w:trHeight w:val="326"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大学专科</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952</w:t>
            </w:r>
          </w:p>
        </w:tc>
      </w:tr>
      <w:tr>
        <w:trPr>
          <w:trHeight w:val="328" w:hRule="exact"/>
        </w:trPr>
        <w:tc>
          <w:tcPr>
            <w:tcW w:w="45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中专及以下</w:t>
            </w:r>
          </w:p>
        </w:tc>
        <w:tc>
          <w:tcPr>
            <w:tcW w:w="47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2,058</w:t>
            </w:r>
          </w:p>
        </w:tc>
      </w:tr>
    </w:tbl>
    <w:p>
      <w:pPr>
        <w:spacing w:line="240" w:lineRule="auto" w:before="5"/>
        <w:rPr>
          <w:rFonts w:ascii="宋体" w:hAnsi="宋体" w:cs="宋体" w:eastAsia="宋体" w:hint="default"/>
          <w:sz w:val="22"/>
          <w:szCs w:val="22"/>
        </w:rPr>
      </w:pPr>
    </w:p>
    <w:p>
      <w:pPr>
        <w:pStyle w:val="Heading1"/>
        <w:spacing w:line="240" w:lineRule="auto"/>
        <w:ind w:right="999"/>
        <w:jc w:val="left"/>
        <w:rPr>
          <w:b w:val="0"/>
          <w:bCs w:val="0"/>
        </w:rPr>
      </w:pPr>
      <w:r>
        <w:rPr/>
        <w:t>六、</w:t>
      </w:r>
      <w:r>
        <w:rPr>
          <w:spacing w:val="-6"/>
        </w:rPr>
        <w:t> </w:t>
      </w:r>
      <w:r>
        <w:rPr/>
        <w:t>公司治理结构</w:t>
      </w:r>
      <w:r>
        <w:rPr>
          <w:b w:val="0"/>
          <w:bCs w:val="0"/>
        </w:rPr>
      </w:r>
    </w:p>
    <w:p>
      <w:pPr>
        <w:spacing w:after="0" w:line="240" w:lineRule="auto"/>
        <w:jc w:val="left"/>
        <w:sectPr>
          <w:pgSz w:w="11910" w:h="16840"/>
          <w:pgMar w:header="877" w:footer="982" w:top="1100" w:bottom="1180" w:left="1660" w:right="680"/>
        </w:sectPr>
      </w:pPr>
    </w:p>
    <w:p>
      <w:pPr>
        <w:spacing w:line="240" w:lineRule="auto" w:before="1"/>
        <w:rPr>
          <w:rFonts w:ascii="宋体" w:hAnsi="宋体" w:cs="宋体" w:eastAsia="宋体" w:hint="default"/>
          <w:b/>
          <w:bCs/>
          <w:sz w:val="23"/>
          <w:szCs w:val="23"/>
        </w:rPr>
      </w:pPr>
    </w:p>
    <w:p>
      <w:pPr>
        <w:pStyle w:val="BodyText"/>
        <w:spacing w:line="271" w:lineRule="auto" w:before="35"/>
        <w:ind w:left="139" w:right="9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公司治理的情况</w:t>
      </w:r>
      <w:r>
        <w:rPr>
          <w:w w:val="99"/>
        </w:rPr>
        <w:t> </w:t>
      </w:r>
      <w:r>
        <w:rPr>
          <w:spacing w:val="-13"/>
          <w:w w:val="99"/>
        </w:rPr>
        <w:t>报告期内，公司严格按照《公司法》、《证券法》、《上市公司治理准则》和中国证监会相关法</w:t>
      </w:r>
      <w:r>
        <w:rPr>
          <w:spacing w:val="-78"/>
          <w:w w:val="99"/>
        </w:rPr>
        <w:t> </w:t>
      </w:r>
      <w:r>
        <w:rPr>
          <w:spacing w:val="-78"/>
          <w:w w:val="99"/>
        </w:rPr>
      </w:r>
      <w:r>
        <w:rPr>
          <w:spacing w:val="-3"/>
        </w:rPr>
        <w:t>律法规的要求，结合本公司实际情况，继续深入开展公司治理专项活动，使公司法人治理结</w:t>
      </w:r>
      <w:r>
        <w:rPr>
          <w:spacing w:val="-82"/>
        </w:rPr>
        <w:t> </w:t>
      </w:r>
      <w:r>
        <w:rPr>
          <w:spacing w:val="-82"/>
        </w:rPr>
      </w:r>
      <w:r>
        <w:rPr>
          <w:spacing w:val="-3"/>
        </w:rPr>
        <w:t>构更加完善，公司运作也更加规范，公司治理的整体水平取得显著提高。主要体现在如下方</w:t>
      </w:r>
      <w:r>
        <w:rPr>
          <w:spacing w:val="-82"/>
        </w:rPr>
        <w:t> </w:t>
      </w:r>
      <w:r>
        <w:rPr>
          <w:spacing w:val="-82"/>
        </w:rPr>
      </w:r>
      <w:r>
        <w:rPr/>
        <w:t>面：</w:t>
      </w:r>
      <w:r>
        <w:rPr>
          <w:w w:val="99"/>
        </w:rPr>
        <w:t> </w:t>
      </w:r>
      <w:r>
        <w:rPr>
          <w:rFonts w:ascii="Times New Roman" w:hAnsi="Times New Roman" w:cs="Times New Roman" w:eastAsia="Times New Roman" w:hint="default"/>
          <w:spacing w:val="-3"/>
        </w:rPr>
        <w:t>1</w:t>
      </w:r>
      <w:r>
        <w:rPr>
          <w:spacing w:val="-3"/>
        </w:rPr>
        <w:t>、关于股东与股东大会：公司严格按照中国证监会发布《股东大会规范意见》和《公司章</w:t>
      </w:r>
      <w:r>
        <w:rPr>
          <w:spacing w:val="-87"/>
        </w:rPr>
        <w:t> </w:t>
      </w:r>
      <w:r>
        <w:rPr>
          <w:spacing w:val="-87"/>
        </w:rPr>
      </w:r>
      <w:r>
        <w:rPr>
          <w:spacing w:val="-3"/>
        </w:rPr>
        <w:t>程》的有关规定召集、召开股东大会，使股东充分行使表决权，享有平等地位，确保股东的</w:t>
      </w:r>
      <w:r>
        <w:rPr>
          <w:spacing w:val="-85"/>
        </w:rPr>
        <w:t> </w:t>
      </w:r>
      <w:r>
        <w:rPr>
          <w:spacing w:val="-85"/>
        </w:rPr>
      </w:r>
      <w:r>
        <w:rPr/>
        <w:t>合法权益。</w:t>
      </w:r>
    </w:p>
    <w:p>
      <w:pPr>
        <w:pStyle w:val="BodyText"/>
        <w:spacing w:line="266" w:lineRule="auto" w:before="10"/>
        <w:ind w:left="139" w:right="1011" w:firstLine="211"/>
        <w:jc w:val="both"/>
      </w:pPr>
      <w:r>
        <w:rPr>
          <w:rFonts w:ascii="Times New Roman" w:hAnsi="Times New Roman" w:cs="Times New Roman" w:eastAsia="Times New Roman" w:hint="default"/>
        </w:rPr>
        <w:t>2</w:t>
      </w:r>
      <w:r>
        <w:rPr/>
        <w:t>、关于控股股东与上市公司的关系：公司控股股东严格规范自身行为，通过股东大会行 </w:t>
      </w:r>
      <w:r>
        <w:rPr>
          <w:spacing w:val="-3"/>
        </w:rPr>
        <w:t>使出资人权利，没有超越股东大会直接或间接干预公司的决策和经营活动。公司与控股股东</w:t>
      </w:r>
      <w:r>
        <w:rPr>
          <w:spacing w:val="-79"/>
        </w:rPr>
        <w:t> </w:t>
      </w:r>
      <w:r>
        <w:rPr>
          <w:spacing w:val="-79"/>
        </w:rPr>
      </w:r>
      <w:r>
        <w:rPr>
          <w:spacing w:val="-3"/>
        </w:rPr>
        <w:t>在人员、资产、财务、机构和业务方面已完全分开，公司董事会、监事会和经营管理机构均</w:t>
      </w:r>
      <w:r>
        <w:rPr>
          <w:spacing w:val="-84"/>
        </w:rPr>
        <w:t> </w:t>
      </w:r>
      <w:r>
        <w:rPr>
          <w:spacing w:val="-84"/>
        </w:rPr>
      </w:r>
      <w:r>
        <w:rPr>
          <w:spacing w:val="-5"/>
        </w:rPr>
        <w:t>独立运作。公司与控股股东进行的关联交易公平合理，均履行法定程序并及时进行信息披露。</w:t>
      </w:r>
    </w:p>
    <w:p>
      <w:pPr>
        <w:pStyle w:val="BodyText"/>
        <w:spacing w:line="261" w:lineRule="auto" w:before="14"/>
        <w:ind w:left="139" w:right="1005" w:firstLine="211"/>
        <w:jc w:val="left"/>
      </w:pPr>
      <w:r>
        <w:rPr>
          <w:rFonts w:ascii="Times New Roman" w:hAnsi="Times New Roman" w:cs="Times New Roman" w:eastAsia="Times New Roman" w:hint="default"/>
        </w:rPr>
        <w:t>3</w:t>
      </w:r>
      <w:r>
        <w:rPr/>
        <w:t>、关于董事与董事会：公司严格按照《公司法》和《公司章程》规定的董事选聘程序选 举董事和独立董事。报告期内，公司董事会组成人员为</w:t>
      </w:r>
      <w:r>
        <w:rPr>
          <w:spacing w:val="-61"/>
        </w:rPr>
        <w:t> </w:t>
      </w:r>
      <w:r>
        <w:rPr>
          <w:rFonts w:ascii="Times New Roman" w:hAnsi="Times New Roman" w:cs="Times New Roman" w:eastAsia="Times New Roman" w:hint="default"/>
        </w:rPr>
        <w:t>9</w:t>
      </w:r>
      <w:r>
        <w:rPr>
          <w:rFonts w:ascii="Times New Roman" w:hAnsi="Times New Roman" w:cs="Times New Roman" w:eastAsia="Times New Roman" w:hint="default"/>
          <w:spacing w:val="-8"/>
        </w:rPr>
        <w:t> </w:t>
      </w:r>
      <w:r>
        <w:rPr>
          <w:spacing w:val="-3"/>
        </w:rPr>
        <w:t>人，其中独立董事</w:t>
      </w:r>
      <w:r>
        <w:rPr>
          <w:spacing w:val="-61"/>
        </w:rPr>
        <w:t> </w:t>
      </w:r>
      <w:r>
        <w:rPr>
          <w:rFonts w:ascii="Times New Roman" w:hAnsi="Times New Roman" w:cs="Times New Roman" w:eastAsia="Times New Roman" w:hint="default"/>
        </w:rPr>
        <w:t>3</w:t>
      </w:r>
      <w:r>
        <w:rPr>
          <w:rFonts w:ascii="Times New Roman" w:hAnsi="Times New Roman" w:cs="Times New Roman" w:eastAsia="Times New Roman" w:hint="default"/>
          <w:spacing w:val="-8"/>
        </w:rPr>
        <w:t> </w:t>
      </w:r>
      <w:r>
        <w:rPr>
          <w:spacing w:val="-5"/>
        </w:rPr>
        <w:t>人，董事会的</w:t>
      </w:r>
      <w:r>
        <w:rPr/>
        <w:t> 人数和人员构成符合法律、法规的要求。全体董事认真出席董事会，履行诚信和勤勉职责， 所做决策符合股东利益和公司长远发展的需要。</w:t>
      </w:r>
    </w:p>
    <w:p>
      <w:pPr>
        <w:pStyle w:val="BodyText"/>
        <w:spacing w:line="261" w:lineRule="auto" w:before="18"/>
        <w:ind w:left="139" w:right="1007" w:firstLine="211"/>
        <w:jc w:val="left"/>
      </w:pPr>
      <w:r>
        <w:rPr>
          <w:rFonts w:ascii="Times New Roman" w:hAnsi="Times New Roman" w:cs="Times New Roman" w:eastAsia="Times New Roman" w:hint="default"/>
        </w:rPr>
        <w:t>4</w:t>
      </w:r>
      <w:r>
        <w:rPr/>
        <w:t>、关于监事与监事会：公司严格按照《公司法》和《公司章程》规定的程序选举监事。 报告期内，公司监事会组成人员为</w:t>
      </w:r>
      <w:r>
        <w:rPr>
          <w:spacing w:val="-54"/>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人，监事会的人数和人员构成符合法律、法规的要求。 </w:t>
      </w:r>
      <w:r>
        <w:rPr>
          <w:spacing w:val="-3"/>
        </w:rPr>
        <w:t>全体监事认真履行监事职责，对公司重大事项、财务情况以及公司董事、高级管理人员履行</w:t>
      </w:r>
      <w:r>
        <w:rPr>
          <w:spacing w:val="-81"/>
        </w:rPr>
        <w:t> </w:t>
      </w:r>
      <w:r>
        <w:rPr>
          <w:spacing w:val="-81"/>
        </w:rPr>
      </w:r>
      <w:r>
        <w:rPr/>
        <w:t>职责的规范性、合法性进行监督，以此来维护公司和股东的合法权益。</w:t>
      </w:r>
    </w:p>
    <w:p>
      <w:pPr>
        <w:pStyle w:val="BodyText"/>
        <w:spacing w:line="264" w:lineRule="auto" w:before="18"/>
        <w:ind w:left="139" w:right="1010" w:firstLine="103"/>
        <w:jc w:val="center"/>
      </w:pPr>
      <w:r>
        <w:rPr>
          <w:rFonts w:ascii="Times New Roman" w:hAnsi="Times New Roman" w:cs="Times New Roman" w:eastAsia="Times New Roman" w:hint="default"/>
        </w:rPr>
        <w:t>5</w:t>
      </w:r>
      <w:r>
        <w:rPr/>
        <w:t>、关于利益相关者：公司能够充分尊重和维护银行等债权人、员工、销售客户、供应商 </w:t>
      </w:r>
      <w:r>
        <w:rPr>
          <w:spacing w:val="-5"/>
        </w:rPr>
        <w:t>等利益相关者的合法权利；与利益相关者积极合作，互惠互利、共同推动公司持续稳定发展。</w:t>
      </w:r>
      <w:r>
        <w:rPr>
          <w:spacing w:val="-103"/>
        </w:rPr>
        <w:t> </w:t>
      </w:r>
      <w:r>
        <w:rPr>
          <w:spacing w:val="-103"/>
        </w:rPr>
      </w:r>
      <w:r>
        <w:rPr>
          <w:rFonts w:ascii="Times New Roman" w:hAnsi="Times New Roman" w:cs="Times New Roman" w:eastAsia="Times New Roman" w:hint="default"/>
        </w:rPr>
        <w:t>6</w:t>
      </w:r>
      <w:r>
        <w:rPr/>
        <w:t>、关于信息披露与透明度：公司严格按照《股票上市规则》和《公司章程》的规定，真</w:t>
      </w:r>
    </w:p>
    <w:p>
      <w:pPr>
        <w:pStyle w:val="BodyText"/>
        <w:spacing w:line="273" w:lineRule="exact"/>
        <w:ind w:right="999"/>
        <w:jc w:val="left"/>
      </w:pPr>
      <w:r>
        <w:rPr/>
        <w:t>实、准确、完整、及时地披露相关信息。</w:t>
      </w:r>
    </w:p>
    <w:p>
      <w:pPr>
        <w:pStyle w:val="BodyText"/>
        <w:spacing w:line="240" w:lineRule="auto" w:before="37"/>
        <w:ind w:left="349" w:right="999"/>
        <w:jc w:val="left"/>
      </w:pPr>
      <w:r>
        <w:rPr>
          <w:rFonts w:ascii="Times New Roman" w:hAnsi="Times New Roman" w:cs="Times New Roman" w:eastAsia="Times New Roman" w:hint="default"/>
        </w:rPr>
        <w:t>7</w:t>
      </w:r>
      <w:r>
        <w:rPr/>
        <w:t>、公司治理专项活动</w:t>
      </w:r>
    </w:p>
    <w:p>
      <w:pPr>
        <w:pStyle w:val="BodyText"/>
        <w:spacing w:line="266" w:lineRule="auto" w:before="21"/>
        <w:ind w:right="1116" w:firstLine="211"/>
        <w:jc w:val="both"/>
        <w:rPr>
          <w:rFonts w:ascii="Times New Roman" w:hAnsi="Times New Roman" w:cs="Times New Roman" w:eastAsia="Times New Roman" w:hint="default"/>
        </w:rPr>
      </w:pPr>
      <w:r>
        <w:rPr/>
        <w:t>报告期内，根据中国证监会的要求和公司自身发展的需要，在巩固</w:t>
      </w:r>
      <w:r>
        <w:rPr>
          <w:spacing w:val="-68"/>
        </w:rPr>
        <w:t> </w:t>
      </w:r>
      <w:r>
        <w:rPr>
          <w:rFonts w:ascii="Times New Roman" w:hAnsi="Times New Roman" w:cs="Times New Roman" w:eastAsia="Times New Roman" w:hint="default"/>
        </w:rPr>
        <w:t>2007</w:t>
      </w:r>
      <w:r>
        <w:rPr>
          <w:rFonts w:ascii="Times New Roman" w:hAnsi="Times New Roman" w:cs="Times New Roman" w:eastAsia="Times New Roman" w:hint="default"/>
          <w:spacing w:val="23"/>
        </w:rPr>
        <w:t> </w:t>
      </w:r>
      <w:r>
        <w:rPr/>
        <w:t>年公司治理专项 </w:t>
      </w:r>
      <w:r>
        <w:rPr>
          <w:spacing w:val="-13"/>
        </w:rPr>
        <w:t>活动成果的基础上，公司严格对照《公司法》、《证券法》以及《公司章程》、《股东大会议事</w:t>
      </w:r>
      <w:r>
        <w:rPr>
          <w:spacing w:val="-77"/>
        </w:rPr>
        <w:t> </w:t>
      </w:r>
      <w:r>
        <w:rPr>
          <w:spacing w:val="-77"/>
        </w:rPr>
      </w:r>
      <w:r>
        <w:rPr>
          <w:spacing w:val="-13"/>
        </w:rPr>
        <w:t>规则》、《董事会议事规则》、《监事会议事规则》等内部规章制度来规范公司运作、完善公司</w:t>
      </w:r>
      <w:r>
        <w:rPr>
          <w:spacing w:val="-78"/>
        </w:rPr>
        <w:t> </w:t>
      </w:r>
      <w:r>
        <w:rPr>
          <w:spacing w:val="-78"/>
        </w:rPr>
      </w:r>
      <w:r>
        <w:rPr>
          <w:spacing w:val="-6"/>
        </w:rPr>
        <w:t>法人治理、以致公司持续、健康发展。（《关于公司治理专项活动的整改报告》刊登在</w:t>
      </w:r>
      <w:r>
        <w:rPr>
          <w:spacing w:val="23"/>
        </w:rPr>
        <w:t> </w:t>
      </w:r>
      <w:r>
        <w:rPr>
          <w:rFonts w:ascii="Times New Roman" w:hAnsi="Times New Roman" w:cs="Times New Roman" w:eastAsia="Times New Roman" w:hint="default"/>
        </w:rPr>
        <w:t>2008</w:t>
      </w:r>
    </w:p>
    <w:p>
      <w:pPr>
        <w:pStyle w:val="BodyText"/>
        <w:spacing w:line="286" w:lineRule="exact"/>
        <w:ind w:right="999"/>
        <w:jc w:val="left"/>
      </w:pPr>
      <w:r>
        <w:rPr/>
        <w:t>年</w:t>
      </w:r>
      <w:r>
        <w:rPr>
          <w:spacing w:val="-53"/>
        </w:rPr>
        <w:t> </w:t>
      </w:r>
      <w:r>
        <w:rPr>
          <w:rFonts w:ascii="Times New Roman" w:hAnsi="Times New Roman" w:cs="Times New Roman" w:eastAsia="Times New Roman" w:hint="default"/>
        </w:rPr>
        <w:t>8 </w:t>
      </w:r>
      <w:r>
        <w:rPr/>
        <w:t>月</w:t>
      </w:r>
      <w:r>
        <w:rPr>
          <w:spacing w:val="-54"/>
        </w:rPr>
        <w:t> </w:t>
      </w:r>
      <w:r>
        <w:rPr>
          <w:rFonts w:ascii="Times New Roman" w:hAnsi="Times New Roman" w:cs="Times New Roman" w:eastAsia="Times New Roman" w:hint="default"/>
        </w:rPr>
        <w:t>8 </w:t>
      </w:r>
      <w:r>
        <w:rPr>
          <w:spacing w:val="-2"/>
        </w:rPr>
        <w:t>日</w:t>
      </w:r>
      <w:r>
        <w:rPr/>
        <w:t>的中国证券报、上海证券报上</w:t>
      </w:r>
      <w:r>
        <w:rPr>
          <w:spacing w:val="-105"/>
        </w:rPr>
        <w:t>。</w:t>
      </w:r>
      <w:r>
        <w:rPr/>
        <w:t>）</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7"/>
        <w:rPr>
          <w:rFonts w:ascii="宋体" w:hAnsi="宋体" w:cs="宋体" w:eastAsia="宋体" w:hint="default"/>
          <w:sz w:val="20"/>
          <w:szCs w:val="20"/>
        </w:rPr>
      </w:pPr>
    </w:p>
    <w:p>
      <w:pPr>
        <w:pStyle w:val="BodyText"/>
        <w:spacing w:line="240" w:lineRule="auto"/>
        <w:ind w:left="139" w:right="99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董事履行职责情况</w:t>
      </w:r>
    </w:p>
    <w:p>
      <w:pPr>
        <w:pStyle w:val="BodyText"/>
        <w:spacing w:line="240" w:lineRule="auto" w:before="83"/>
        <w:ind w:left="139" w:right="999"/>
        <w:jc w:val="left"/>
      </w:pPr>
      <w:r>
        <w:rPr>
          <w:rFonts w:ascii="Times New Roman" w:hAnsi="Times New Roman" w:cs="Times New Roman" w:eastAsia="Times New Roman" w:hint="default"/>
        </w:rPr>
        <w:t>1</w:t>
      </w:r>
      <w:r>
        <w:rPr/>
        <w:t>、</w:t>
      </w:r>
      <w:r>
        <w:rPr>
          <w:spacing w:val="-2"/>
        </w:rPr>
        <w:t> </w:t>
      </w:r>
      <w:r>
        <w:rPr/>
        <w:t>董事参加董事会的出席情况</w:t>
      </w:r>
    </w:p>
    <w:p>
      <w:pPr>
        <w:spacing w:line="240" w:lineRule="auto" w:before="0"/>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1262"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董事姓名</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363" w:right="151" w:hanging="210"/>
              <w:jc w:val="left"/>
              <w:rPr>
                <w:rFonts w:ascii="宋体" w:hAnsi="宋体" w:cs="宋体" w:eastAsia="宋体" w:hint="default"/>
                <w:sz w:val="21"/>
                <w:szCs w:val="21"/>
              </w:rPr>
            </w:pPr>
            <w:r>
              <w:rPr>
                <w:rFonts w:ascii="宋体" w:hAnsi="宋体" w:cs="宋体" w:eastAsia="宋体" w:hint="default"/>
                <w:sz w:val="21"/>
                <w:szCs w:val="21"/>
              </w:rPr>
              <w:t>是否独立 董事</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53" w:right="151"/>
              <w:jc w:val="center"/>
              <w:rPr>
                <w:rFonts w:ascii="宋体" w:hAnsi="宋体" w:cs="宋体" w:eastAsia="宋体" w:hint="default"/>
                <w:sz w:val="21"/>
                <w:szCs w:val="21"/>
              </w:rPr>
            </w:pPr>
            <w:r>
              <w:rPr>
                <w:rFonts w:ascii="宋体" w:hAnsi="宋体" w:cs="宋体" w:eastAsia="宋体" w:hint="default"/>
                <w:sz w:val="21"/>
                <w:szCs w:val="21"/>
              </w:rPr>
              <w:t>本年应参 加董事会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363" w:right="153" w:hanging="210"/>
              <w:jc w:val="left"/>
              <w:rPr>
                <w:rFonts w:ascii="宋体" w:hAnsi="宋体" w:cs="宋体" w:eastAsia="宋体" w:hint="default"/>
                <w:sz w:val="21"/>
                <w:szCs w:val="21"/>
              </w:rPr>
            </w:pPr>
            <w:r>
              <w:rPr>
                <w:rFonts w:ascii="宋体" w:hAnsi="宋体" w:cs="宋体" w:eastAsia="宋体" w:hint="default"/>
                <w:sz w:val="21"/>
                <w:szCs w:val="21"/>
              </w:rPr>
              <w:t>亲自出席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53" w:right="153"/>
              <w:jc w:val="center"/>
              <w:rPr>
                <w:rFonts w:ascii="宋体" w:hAnsi="宋体" w:cs="宋体" w:eastAsia="宋体" w:hint="default"/>
                <w:sz w:val="21"/>
                <w:szCs w:val="21"/>
              </w:rPr>
            </w:pPr>
            <w:r>
              <w:rPr>
                <w:rFonts w:ascii="宋体" w:hAnsi="宋体" w:cs="宋体" w:eastAsia="宋体" w:hint="default"/>
                <w:sz w:val="21"/>
                <w:szCs w:val="21"/>
              </w:rPr>
              <w:t>以通讯方 式参加次 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sz w:val="22"/>
                <w:szCs w:val="22"/>
              </w:rPr>
            </w:pPr>
          </w:p>
          <w:p>
            <w:pPr>
              <w:pStyle w:val="TableParagraph"/>
              <w:spacing w:line="273" w:lineRule="auto"/>
              <w:ind w:left="363" w:right="153" w:hanging="210"/>
              <w:jc w:val="left"/>
              <w:rPr>
                <w:rFonts w:ascii="宋体" w:hAnsi="宋体" w:cs="宋体" w:eastAsia="宋体" w:hint="default"/>
                <w:sz w:val="21"/>
                <w:szCs w:val="21"/>
              </w:rPr>
            </w:pPr>
            <w:r>
              <w:rPr>
                <w:rFonts w:ascii="宋体" w:hAnsi="宋体" w:cs="宋体" w:eastAsia="宋体" w:hint="default"/>
                <w:sz w:val="21"/>
                <w:szCs w:val="21"/>
              </w:rPr>
              <w:t>委托出席 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53" w:right="0"/>
              <w:jc w:val="left"/>
              <w:rPr>
                <w:rFonts w:ascii="宋体" w:hAnsi="宋体" w:cs="宋体" w:eastAsia="宋体" w:hint="default"/>
                <w:sz w:val="21"/>
                <w:szCs w:val="21"/>
              </w:rPr>
            </w:pPr>
            <w:r>
              <w:rPr>
                <w:rFonts w:ascii="宋体" w:hAnsi="宋体" w:cs="宋体" w:eastAsia="宋体" w:hint="default"/>
                <w:sz w:val="21"/>
                <w:szCs w:val="21"/>
              </w:rPr>
              <w:t>缺席次数</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是否连续</w:t>
            </w:r>
          </w:p>
          <w:p>
            <w:pPr>
              <w:pStyle w:val="TableParagraph"/>
              <w:spacing w:line="273" w:lineRule="auto" w:before="37"/>
              <w:ind w:left="153" w:right="152"/>
              <w:jc w:val="center"/>
              <w:rPr>
                <w:rFonts w:ascii="宋体" w:hAnsi="宋体" w:cs="宋体" w:eastAsia="宋体" w:hint="default"/>
                <w:sz w:val="21"/>
                <w:szCs w:val="21"/>
              </w:rPr>
            </w:pPr>
            <w:r>
              <w:rPr>
                <w:rFonts w:ascii="宋体" w:hAnsi="宋体" w:cs="宋体" w:eastAsia="宋体" w:hint="default"/>
                <w:sz w:val="21"/>
                <w:szCs w:val="21"/>
              </w:rPr>
              <w:t>两次未亲 自参加会 议</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王宏伟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许文祥</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张肃泉</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徐维欣</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吴德生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after="0" w:line="261" w:lineRule="exact"/>
        <w:jc w:val="left"/>
        <w:rPr>
          <w:rFonts w:ascii="宋体" w:hAnsi="宋体" w:cs="宋体" w:eastAsia="宋体"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163"/>
        <w:gridCol w:w="1162"/>
        <w:gridCol w:w="1162"/>
        <w:gridCol w:w="1163"/>
        <w:gridCol w:w="1163"/>
        <w:gridCol w:w="1163"/>
        <w:gridCol w:w="1163"/>
        <w:gridCol w:w="1163"/>
      </w:tblGrid>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朱勋绩</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1</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吴 平</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王玉伟</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8" w:hRule="exact"/>
        </w:trPr>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许兆辉</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z w:val="21"/>
              </w:rPr>
              <w:t>2</w:t>
            </w: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
        </w:tc>
        <w:tc>
          <w:tcPr>
            <w:tcW w:w="11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11"/>
        <w:rPr>
          <w:rFonts w:ascii="宋体" w:hAnsi="宋体" w:cs="宋体" w:eastAsia="宋体" w:hint="default"/>
          <w:sz w:val="23"/>
          <w:szCs w:val="2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年内召开董事会会议次数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7</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其中：现场会议次数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2</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通讯方式召开会议次数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z w:val="21"/>
              </w:rPr>
              <w:t>5</w:t>
            </w:r>
          </w:p>
        </w:tc>
      </w:tr>
    </w:tbl>
    <w:p>
      <w:pPr>
        <w:spacing w:line="240" w:lineRule="auto" w:before="5"/>
        <w:rPr>
          <w:rFonts w:ascii="宋体" w:hAnsi="宋体" w:cs="宋体" w:eastAsia="宋体" w:hint="default"/>
          <w:sz w:val="22"/>
          <w:szCs w:val="22"/>
        </w:rPr>
      </w:pPr>
    </w:p>
    <w:p>
      <w:pPr>
        <w:pStyle w:val="BodyText"/>
        <w:spacing w:line="283" w:lineRule="auto" w:before="35"/>
        <w:ind w:right="2054"/>
        <w:jc w:val="left"/>
      </w:pPr>
      <w:r>
        <w:rPr>
          <w:rFonts w:ascii="Times New Roman" w:hAnsi="Times New Roman" w:cs="Times New Roman" w:eastAsia="Times New Roman" w:hint="default"/>
        </w:rPr>
        <w:t>2</w:t>
      </w:r>
      <w:r>
        <w:rPr/>
        <w:t>、</w:t>
      </w:r>
      <w:r>
        <w:rPr>
          <w:spacing w:val="-1"/>
        </w:rPr>
        <w:t> </w:t>
      </w:r>
      <w:r>
        <w:rPr/>
        <w:t>独立董事对公司有关事项提出异议的情况</w:t>
      </w:r>
      <w:r>
        <w:rPr/>
        <w:t> 报告期内，公司三名独立董事没有对公司各项议案及有关事项提出异议的情况。</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73" w:lineRule="auto"/>
        <w:ind w:left="139" w:right="1000"/>
        <w:jc w:val="left"/>
      </w:pPr>
      <w:r>
        <w:rPr>
          <w:rFonts w:ascii="Times New Roman" w:hAnsi="Times New Roman" w:cs="Times New Roman" w:eastAsia="Times New Roman" w:hint="default"/>
        </w:rPr>
        <w:t>3</w:t>
      </w:r>
      <w:r>
        <w:rPr/>
        <w:t>、</w:t>
      </w:r>
      <w:r>
        <w:rPr>
          <w:spacing w:val="-1"/>
        </w:rPr>
        <w:t> </w:t>
      </w:r>
      <w:r>
        <w:rPr/>
        <w:t>独立董事相关工作制度的建立健全情况、主要内容及独立董事履职情况</w:t>
      </w:r>
      <w:r>
        <w:rPr/>
        <w:t> </w:t>
      </w:r>
      <w:r>
        <w:rPr>
          <w:spacing w:val="-8"/>
        </w:rPr>
        <w:t>报告期内公司已经建立健全《独立董事工作制度》、《独立董事年报工作制度》等相关工作制</w:t>
      </w:r>
      <w:r>
        <w:rPr>
          <w:spacing w:val="-84"/>
        </w:rPr>
        <w:t> </w:t>
      </w:r>
      <w:r>
        <w:rPr>
          <w:spacing w:val="-84"/>
        </w:rPr>
      </w:r>
      <w:r>
        <w:rPr>
          <w:spacing w:val="-3"/>
        </w:rPr>
        <w:t>度，公司三位独立董事按照有关法律、法规赋予的权利，认真履行职责，积极参加公司董事</w:t>
      </w:r>
      <w:r>
        <w:rPr>
          <w:spacing w:val="-80"/>
        </w:rPr>
        <w:t> </w:t>
      </w:r>
      <w:r>
        <w:rPr>
          <w:spacing w:val="-80"/>
        </w:rPr>
      </w:r>
      <w:r>
        <w:rPr>
          <w:spacing w:val="-3"/>
        </w:rPr>
        <w:t>会、股东大会，对公司重大资产重组、关联交易等重大事项发表了独立意见；在年报编制过</w:t>
      </w:r>
      <w:r>
        <w:rPr>
          <w:spacing w:val="-80"/>
        </w:rPr>
        <w:t> </w:t>
      </w:r>
      <w:r>
        <w:rPr>
          <w:spacing w:val="-80"/>
        </w:rPr>
      </w:r>
      <w:r>
        <w:rPr>
          <w:spacing w:val="-5"/>
        </w:rPr>
        <w:t>程中，与公司有关人员及年审会计师进行了充分沟通，并对公司财务报告进行了认真的审查。</w:t>
      </w:r>
      <w:r>
        <w:rPr>
          <w:spacing w:val="-100"/>
        </w:rPr>
        <w:t> </w:t>
      </w:r>
      <w:r>
        <w:rPr>
          <w:spacing w:val="-100"/>
        </w:rPr>
      </w:r>
      <w:r>
        <w:rPr>
          <w:spacing w:val="-3"/>
        </w:rPr>
        <w:t>公司独立董事对董事会决策的科学性和客观性，对公司的规范运作起到了积极作用，在维护</w:t>
      </w:r>
      <w:r>
        <w:rPr>
          <w:spacing w:val="-79"/>
        </w:rPr>
        <w:t> </w:t>
      </w:r>
      <w:r>
        <w:rPr>
          <w:spacing w:val="-79"/>
        </w:rPr>
      </w:r>
      <w:r>
        <w:rPr/>
        <w:t>和保障广大中小股东的利益上起到了重要作用。</w:t>
      </w: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5"/>
          <w:szCs w:val="25"/>
        </w:rPr>
      </w:pPr>
    </w:p>
    <w:p>
      <w:pPr>
        <w:pStyle w:val="BodyText"/>
        <w:spacing w:line="240" w:lineRule="auto"/>
        <w:ind w:right="99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公司相对于控股股东在业务、人员、资产、机构、财务等方面的独立完整情况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是否独立完整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情况说明</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对公司产生的影</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改进措施</w:t>
            </w: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公司具有独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93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业务方面独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整的业务和</w:t>
            </w:r>
            <w:r>
              <w:rPr>
                <w:rFonts w:ascii="宋体" w:hAnsi="宋体" w:cs="宋体" w:eastAsia="宋体" w:hint="default"/>
                <w:spacing w:val="-74"/>
                <w:sz w:val="21"/>
                <w:szCs w:val="21"/>
              </w:rPr>
              <w:t> </w:t>
            </w:r>
            <w:r>
              <w:rPr>
                <w:rFonts w:ascii="宋体" w:hAnsi="宋体" w:cs="宋体" w:eastAsia="宋体" w:hint="default"/>
                <w:spacing w:val="14"/>
                <w:sz w:val="21"/>
                <w:szCs w:val="21"/>
              </w:rPr>
              <w:t>自主</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5"/>
                <w:sz w:val="21"/>
                <w:szCs w:val="21"/>
              </w:rPr>
              <w:t>经营，拥有独立完</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2"/>
                <w:sz w:val="21"/>
                <w:szCs w:val="21"/>
              </w:rPr>
              <w:t>整的采购和</w:t>
            </w:r>
            <w:r>
              <w:rPr>
                <w:rFonts w:ascii="宋体" w:hAnsi="宋体" w:cs="宋体" w:eastAsia="宋体" w:hint="default"/>
                <w:spacing w:val="-74"/>
                <w:sz w:val="21"/>
                <w:szCs w:val="21"/>
              </w:rPr>
              <w:t> </w:t>
            </w:r>
            <w:r>
              <w:rPr>
                <w:rFonts w:ascii="宋体" w:hAnsi="宋体" w:cs="宋体" w:eastAsia="宋体" w:hint="default"/>
                <w:spacing w:val="14"/>
                <w:sz w:val="21"/>
                <w:szCs w:val="21"/>
              </w:rPr>
              <w:t>销售</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系统。</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公司拥有独</w:t>
            </w:r>
            <w:r>
              <w:rPr>
                <w:rFonts w:ascii="宋体" w:hAnsi="宋体" w:cs="宋体" w:eastAsia="宋体" w:hint="default"/>
                <w:spacing w:val="-74"/>
                <w:sz w:val="21"/>
                <w:szCs w:val="21"/>
              </w:rPr>
              <w:t> </w:t>
            </w:r>
            <w:r>
              <w:rPr>
                <w:rFonts w:ascii="宋体" w:hAnsi="宋体" w:cs="宋体" w:eastAsia="宋体" w:hint="default"/>
                <w:spacing w:val="14"/>
                <w:sz w:val="21"/>
                <w:szCs w:val="21"/>
              </w:rPr>
              <w:t>立的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936"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70"/>
              <w:jc w:val="left"/>
              <w:rPr>
                <w:rFonts w:ascii="宋体" w:hAnsi="宋体" w:cs="宋体" w:eastAsia="宋体" w:hint="default"/>
                <w:sz w:val="21"/>
                <w:szCs w:val="21"/>
              </w:rPr>
            </w:pPr>
            <w:r>
              <w:rPr>
                <w:rFonts w:ascii="宋体" w:hAnsi="宋体" w:cs="宋体" w:eastAsia="宋体" w:hint="default"/>
                <w:spacing w:val="22"/>
                <w:sz w:val="21"/>
                <w:szCs w:val="21"/>
              </w:rPr>
              <w:t>人员方面独</w:t>
            </w:r>
            <w:r>
              <w:rPr>
                <w:rFonts w:ascii="宋体" w:hAnsi="宋体" w:cs="宋体" w:eastAsia="宋体" w:hint="default"/>
                <w:spacing w:val="-75"/>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劳动人事管</w:t>
            </w:r>
            <w:r>
              <w:rPr>
                <w:rFonts w:ascii="宋体" w:hAnsi="宋体" w:cs="宋体" w:eastAsia="宋体" w:hint="default"/>
                <w:spacing w:val="-74"/>
                <w:sz w:val="21"/>
                <w:szCs w:val="21"/>
              </w:rPr>
              <w:t> </w:t>
            </w:r>
            <w:r>
              <w:rPr>
                <w:rFonts w:ascii="宋体" w:hAnsi="宋体" w:cs="宋体" w:eastAsia="宋体" w:hint="default"/>
                <w:spacing w:val="14"/>
                <w:sz w:val="21"/>
                <w:szCs w:val="21"/>
              </w:rPr>
              <w:t>理部</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5"/>
                <w:sz w:val="21"/>
                <w:szCs w:val="21"/>
              </w:rPr>
              <w:t>门，公司与控股股</w:t>
            </w:r>
            <w:r>
              <w:rPr>
                <w:rFonts w:ascii="宋体" w:hAnsi="宋体" w:cs="宋体" w:eastAsia="宋体" w:hint="default"/>
                <w:spacing w:val="-101"/>
                <w:sz w:val="21"/>
                <w:szCs w:val="21"/>
              </w:rPr>
              <w:t> </w:t>
            </w:r>
            <w:r>
              <w:rPr>
                <w:rFonts w:ascii="宋体" w:hAnsi="宋体" w:cs="宋体" w:eastAsia="宋体" w:hint="default"/>
                <w:spacing w:val="-101"/>
                <w:sz w:val="21"/>
                <w:szCs w:val="21"/>
              </w:rPr>
            </w:r>
            <w:r>
              <w:rPr>
                <w:rFonts w:ascii="宋体" w:hAnsi="宋体" w:cs="宋体" w:eastAsia="宋体" w:hint="default"/>
                <w:spacing w:val="22"/>
                <w:sz w:val="21"/>
                <w:szCs w:val="21"/>
              </w:rPr>
              <w:t>东在人员的</w:t>
            </w:r>
            <w:r>
              <w:rPr>
                <w:rFonts w:ascii="宋体" w:hAnsi="宋体" w:cs="宋体" w:eastAsia="宋体" w:hint="default"/>
                <w:spacing w:val="-74"/>
                <w:sz w:val="21"/>
                <w:szCs w:val="21"/>
              </w:rPr>
              <w:t> </w:t>
            </w:r>
            <w:r>
              <w:rPr>
                <w:rFonts w:ascii="宋体" w:hAnsi="宋体" w:cs="宋体" w:eastAsia="宋体" w:hint="default"/>
                <w:spacing w:val="14"/>
                <w:sz w:val="21"/>
                <w:szCs w:val="21"/>
              </w:rPr>
              <w:t>管理</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和使用完全分开。</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公司拥有自</w:t>
            </w:r>
            <w:r>
              <w:rPr>
                <w:rFonts w:ascii="宋体" w:hAnsi="宋体" w:cs="宋体" w:eastAsia="宋体" w:hint="default"/>
                <w:spacing w:val="-74"/>
                <w:sz w:val="21"/>
                <w:szCs w:val="21"/>
              </w:rPr>
              <w:t> </w:t>
            </w:r>
            <w:r>
              <w:rPr>
                <w:rFonts w:ascii="宋体" w:hAnsi="宋体" w:cs="宋体" w:eastAsia="宋体" w:hint="default"/>
                <w:spacing w:val="14"/>
                <w:sz w:val="21"/>
                <w:szCs w:val="21"/>
              </w:rPr>
              <w:t>己的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资产方面独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生产系统和</w:t>
            </w:r>
            <w:r>
              <w:rPr>
                <w:rFonts w:ascii="宋体" w:hAnsi="宋体" w:cs="宋体" w:eastAsia="宋体" w:hint="default"/>
                <w:spacing w:val="-74"/>
                <w:sz w:val="21"/>
                <w:szCs w:val="21"/>
              </w:rPr>
              <w:t> </w:t>
            </w:r>
            <w:r>
              <w:rPr>
                <w:rFonts w:ascii="宋体" w:hAnsi="宋体" w:cs="宋体" w:eastAsia="宋体" w:hint="default"/>
                <w:spacing w:val="14"/>
                <w:sz w:val="21"/>
                <w:szCs w:val="21"/>
              </w:rPr>
              <w:t>辅助</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5"/>
                <w:sz w:val="21"/>
                <w:szCs w:val="21"/>
              </w:rPr>
              <w:t>性生产系统，公司</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9"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资产权属清晰。</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公司设立了</w:t>
            </w:r>
            <w:r>
              <w:rPr>
                <w:rFonts w:ascii="宋体" w:hAnsi="宋体" w:cs="宋体" w:eastAsia="宋体" w:hint="default"/>
                <w:spacing w:val="-74"/>
                <w:sz w:val="21"/>
                <w:szCs w:val="21"/>
              </w:rPr>
              <w:t> </w:t>
            </w:r>
            <w:r>
              <w:rPr>
                <w:rFonts w:ascii="宋体" w:hAnsi="宋体" w:cs="宋体" w:eastAsia="宋体" w:hint="default"/>
                <w:spacing w:val="14"/>
                <w:sz w:val="21"/>
                <w:szCs w:val="21"/>
              </w:rPr>
              <w:t>独立</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机构方面独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健全的组织</w:t>
            </w:r>
            <w:r>
              <w:rPr>
                <w:rFonts w:ascii="宋体" w:hAnsi="宋体" w:cs="宋体" w:eastAsia="宋体" w:hint="default"/>
                <w:spacing w:val="-74"/>
                <w:sz w:val="21"/>
                <w:szCs w:val="21"/>
              </w:rPr>
              <w:t> </w:t>
            </w:r>
            <w:r>
              <w:rPr>
                <w:rFonts w:ascii="宋体" w:hAnsi="宋体" w:cs="宋体" w:eastAsia="宋体" w:hint="default"/>
                <w:spacing w:val="14"/>
                <w:sz w:val="21"/>
                <w:szCs w:val="21"/>
              </w:rPr>
              <w:t>机构</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22"/>
                <w:sz w:val="21"/>
                <w:szCs w:val="21"/>
              </w:rPr>
              <w:t>体系，公司</w:t>
            </w:r>
            <w:r>
              <w:rPr>
                <w:rFonts w:ascii="宋体" w:hAnsi="宋体" w:cs="宋体" w:eastAsia="宋体" w:hint="default"/>
                <w:spacing w:val="-74"/>
                <w:sz w:val="21"/>
                <w:szCs w:val="21"/>
              </w:rPr>
              <w:t> </w:t>
            </w:r>
            <w:r>
              <w:rPr>
                <w:rFonts w:ascii="宋体" w:hAnsi="宋体" w:cs="宋体" w:eastAsia="宋体" w:hint="default"/>
                <w:spacing w:val="14"/>
                <w:sz w:val="21"/>
                <w:szCs w:val="21"/>
              </w:rPr>
              <w:t>董事</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会、监事会及职能</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19" w:hRule="exact"/>
        </w:trPr>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部门各司其职，独</w:t>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立运作，不存在与</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控股股东职</w:t>
            </w:r>
            <w:r>
              <w:rPr>
                <w:rFonts w:ascii="宋体" w:hAnsi="宋体" w:cs="宋体" w:eastAsia="宋体" w:hint="default"/>
                <w:spacing w:val="-74"/>
                <w:sz w:val="21"/>
                <w:szCs w:val="21"/>
              </w:rPr>
              <w:t> </w:t>
            </w:r>
            <w:r>
              <w:rPr>
                <w:rFonts w:ascii="宋体" w:hAnsi="宋体" w:cs="宋体" w:eastAsia="宋体" w:hint="default"/>
                <w:spacing w:val="14"/>
                <w:sz w:val="21"/>
                <w:szCs w:val="21"/>
              </w:rPr>
              <w:t>能部</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门之间的从</w:t>
            </w:r>
            <w:r>
              <w:rPr>
                <w:rFonts w:ascii="宋体" w:hAnsi="宋体" w:cs="宋体" w:eastAsia="宋体" w:hint="default"/>
                <w:spacing w:val="-74"/>
                <w:sz w:val="21"/>
                <w:szCs w:val="21"/>
              </w:rPr>
              <w:t> </w:t>
            </w:r>
            <w:r>
              <w:rPr>
                <w:rFonts w:ascii="宋体" w:hAnsi="宋体" w:cs="宋体" w:eastAsia="宋体" w:hint="default"/>
                <w:spacing w:val="14"/>
                <w:sz w:val="21"/>
                <w:szCs w:val="21"/>
              </w:rPr>
              <w:t>属关</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9" w:hRule="exact"/>
        </w:trPr>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系。</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r>
        <w:trPr>
          <w:trHeight w:val="319" w:hRule="exact"/>
        </w:trPr>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
        </w:tc>
        <w:tc>
          <w:tcPr>
            <w:tcW w:w="186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公司设有独</w:t>
            </w:r>
            <w:r>
              <w:rPr>
                <w:rFonts w:ascii="宋体" w:hAnsi="宋体" w:cs="宋体" w:eastAsia="宋体" w:hint="default"/>
                <w:spacing w:val="-74"/>
                <w:sz w:val="21"/>
                <w:szCs w:val="21"/>
              </w:rPr>
              <w:t> </w:t>
            </w:r>
            <w:r>
              <w:rPr>
                <w:rFonts w:ascii="宋体" w:hAnsi="宋体" w:cs="宋体" w:eastAsia="宋体" w:hint="default"/>
                <w:spacing w:val="14"/>
                <w:sz w:val="21"/>
                <w:szCs w:val="21"/>
              </w:rPr>
              <w:t>立的</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val="restart"/>
            <w:tcBorders>
              <w:top w:val="single" w:sz="6" w:space="0" w:color="000000"/>
              <w:left w:val="single" w:sz="6" w:space="0" w:color="000000"/>
              <w:right w:val="single" w:sz="6" w:space="0" w:color="000000"/>
            </w:tcBorders>
          </w:tcPr>
          <w:p>
            <w:pPr/>
          </w:p>
        </w:tc>
        <w:tc>
          <w:tcPr>
            <w:tcW w:w="1860" w:type="dxa"/>
            <w:vMerge w:val="restart"/>
            <w:tcBorders>
              <w:top w:val="single" w:sz="6" w:space="0" w:color="000000"/>
              <w:left w:val="single" w:sz="6" w:space="0" w:color="000000"/>
              <w:right w:val="single" w:sz="6" w:space="0" w:color="000000"/>
            </w:tcBorders>
          </w:tcPr>
          <w:p>
            <w:pPr/>
          </w:p>
        </w:tc>
      </w:tr>
      <w:tr>
        <w:trPr>
          <w:trHeight w:val="311"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财务部门，建立了</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625" w:hRule="exact"/>
        </w:trPr>
        <w:tc>
          <w:tcPr>
            <w:tcW w:w="186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财务方面独</w:t>
            </w:r>
            <w:r>
              <w:rPr>
                <w:rFonts w:ascii="宋体" w:hAnsi="宋体" w:cs="宋体" w:eastAsia="宋体" w:hint="default"/>
                <w:spacing w:val="-74"/>
                <w:sz w:val="21"/>
                <w:szCs w:val="21"/>
              </w:rPr>
              <w:t> </w:t>
            </w:r>
            <w:r>
              <w:rPr>
                <w:rFonts w:ascii="宋体" w:hAnsi="宋体" w:cs="宋体" w:eastAsia="宋体" w:hint="default"/>
                <w:spacing w:val="14"/>
                <w:sz w:val="21"/>
                <w:szCs w:val="21"/>
              </w:rPr>
              <w:t>立完</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整情况</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是</w:t>
            </w: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独立的核算</w:t>
            </w:r>
            <w:r>
              <w:rPr>
                <w:rFonts w:ascii="宋体" w:hAnsi="宋体" w:cs="宋体" w:eastAsia="宋体" w:hint="default"/>
                <w:spacing w:val="-74"/>
                <w:sz w:val="21"/>
                <w:szCs w:val="21"/>
              </w:rPr>
              <w:t> </w:t>
            </w:r>
            <w:r>
              <w:rPr>
                <w:rFonts w:ascii="宋体" w:hAnsi="宋体" w:cs="宋体" w:eastAsia="宋体" w:hint="default"/>
                <w:spacing w:val="14"/>
                <w:sz w:val="21"/>
                <w:szCs w:val="21"/>
              </w:rPr>
              <w:t>体系</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和财务管理制度，</w:t>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12" w:hRule="exact"/>
        </w:trPr>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
        </w:tc>
        <w:tc>
          <w:tcPr>
            <w:tcW w:w="186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在银行开设</w:t>
            </w:r>
            <w:r>
              <w:rPr>
                <w:rFonts w:ascii="宋体" w:hAnsi="宋体" w:cs="宋体" w:eastAsia="宋体" w:hint="default"/>
                <w:spacing w:val="-74"/>
                <w:sz w:val="21"/>
                <w:szCs w:val="21"/>
              </w:rPr>
              <w:t> </w:t>
            </w:r>
            <w:r>
              <w:rPr>
                <w:rFonts w:ascii="宋体" w:hAnsi="宋体" w:cs="宋体" w:eastAsia="宋体" w:hint="default"/>
                <w:spacing w:val="14"/>
                <w:sz w:val="21"/>
                <w:szCs w:val="21"/>
              </w:rPr>
              <w:t>独立</w:t>
            </w:r>
            <w:r>
              <w:rPr>
                <w:rFonts w:ascii="宋体" w:hAnsi="宋体" w:cs="宋体" w:eastAsia="宋体" w:hint="default"/>
                <w:spacing w:val="-77"/>
                <w:sz w:val="21"/>
                <w:szCs w:val="21"/>
              </w:rPr>
              <w:t> </w:t>
            </w:r>
            <w:r>
              <w:rPr>
                <w:rFonts w:ascii="宋体" w:hAnsi="宋体" w:cs="宋体" w:eastAsia="宋体" w:hint="default"/>
                <w:sz w:val="21"/>
                <w:szCs w:val="21"/>
              </w:rPr>
            </w:r>
          </w:p>
        </w:tc>
        <w:tc>
          <w:tcPr>
            <w:tcW w:w="1860" w:type="dxa"/>
            <w:vMerge/>
            <w:tcBorders>
              <w:left w:val="single" w:sz="6" w:space="0" w:color="000000"/>
              <w:right w:val="single" w:sz="6" w:space="0" w:color="000000"/>
            </w:tcBorders>
          </w:tcPr>
          <w:p>
            <w:pPr/>
          </w:p>
        </w:tc>
        <w:tc>
          <w:tcPr>
            <w:tcW w:w="1860" w:type="dxa"/>
            <w:vMerge/>
            <w:tcBorders>
              <w:left w:val="single" w:sz="6" w:space="0" w:color="000000"/>
              <w:right w:val="single" w:sz="6" w:space="0" w:color="000000"/>
            </w:tcBorders>
          </w:tcPr>
          <w:p>
            <w:pPr/>
          </w:p>
        </w:tc>
      </w:tr>
      <w:tr>
        <w:trPr>
          <w:trHeight w:val="320" w:hRule="exact"/>
        </w:trPr>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
        </w:tc>
        <w:tc>
          <w:tcPr>
            <w:tcW w:w="186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的帐户。</w:t>
            </w:r>
          </w:p>
        </w:tc>
        <w:tc>
          <w:tcPr>
            <w:tcW w:w="1860" w:type="dxa"/>
            <w:vMerge/>
            <w:tcBorders>
              <w:left w:val="single" w:sz="6" w:space="0" w:color="000000"/>
              <w:bottom w:val="single" w:sz="6" w:space="0" w:color="000000"/>
              <w:right w:val="single" w:sz="6" w:space="0" w:color="000000"/>
            </w:tcBorders>
          </w:tcPr>
          <w:p>
            <w:pPr/>
          </w:p>
        </w:tc>
        <w:tc>
          <w:tcPr>
            <w:tcW w:w="1860" w:type="dxa"/>
            <w:vMerge/>
            <w:tcBorders>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99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公司内部控制制度的建立健全情况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157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内部控制建设的总体方案</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hanging="1"/>
              <w:jc w:val="both"/>
              <w:rPr>
                <w:rFonts w:ascii="宋体" w:hAnsi="宋体" w:cs="宋体" w:eastAsia="宋体" w:hint="default"/>
                <w:sz w:val="21"/>
                <w:szCs w:val="21"/>
              </w:rPr>
            </w:pPr>
            <w:r>
              <w:rPr>
                <w:rFonts w:ascii="宋体" w:hAnsi="宋体" w:cs="宋体" w:eastAsia="宋体" w:hint="default"/>
                <w:spacing w:val="1"/>
                <w:sz w:val="21"/>
                <w:szCs w:val="21"/>
              </w:rPr>
              <w:t>公司根据《公司法</w:t>
            </w:r>
            <w:r>
              <w:rPr>
                <w:rFonts w:ascii="宋体" w:hAnsi="宋体" w:cs="宋体" w:eastAsia="宋体" w:hint="default"/>
                <w:spacing w:val="-105"/>
                <w:sz w:val="21"/>
                <w:szCs w:val="21"/>
              </w:rPr>
              <w:t>》、</w:t>
            </w:r>
            <w:r>
              <w:rPr>
                <w:rFonts w:ascii="宋体" w:hAnsi="宋体" w:cs="宋体" w:eastAsia="宋体" w:hint="default"/>
                <w:spacing w:val="1"/>
                <w:sz w:val="21"/>
                <w:szCs w:val="21"/>
              </w:rPr>
              <w:t>《证券法</w:t>
            </w:r>
            <w:r>
              <w:rPr>
                <w:rFonts w:ascii="宋体" w:hAnsi="宋体" w:cs="宋体" w:eastAsia="宋体" w:hint="default"/>
                <w:spacing w:val="-105"/>
                <w:sz w:val="21"/>
                <w:szCs w:val="21"/>
              </w:rPr>
              <w:t>》、</w:t>
            </w:r>
            <w:r>
              <w:rPr>
                <w:rFonts w:ascii="宋体" w:hAnsi="宋体" w:cs="宋体" w:eastAsia="宋体" w:hint="default"/>
                <w:spacing w:val="1"/>
                <w:sz w:val="21"/>
                <w:szCs w:val="21"/>
              </w:rPr>
              <w:t>《企业内部控制</w:t>
            </w:r>
            <w:r>
              <w:rPr>
                <w:rFonts w:ascii="宋体" w:hAnsi="宋体" w:cs="宋体" w:eastAsia="宋体" w:hint="default"/>
                <w:sz w:val="21"/>
                <w:szCs w:val="21"/>
              </w:rPr>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基本规范》等有关法律法规的要求，结合公司实</w:t>
            </w:r>
            <w:r>
              <w:rPr>
                <w:rFonts w:ascii="宋体" w:hAnsi="宋体" w:cs="宋体" w:eastAsia="宋体" w:hint="default"/>
                <w:spacing w:val="-85"/>
                <w:sz w:val="21"/>
                <w:szCs w:val="21"/>
              </w:rPr>
              <w:t> </w:t>
            </w:r>
            <w:r>
              <w:rPr>
                <w:rFonts w:ascii="宋体" w:hAnsi="宋体" w:cs="宋体" w:eastAsia="宋体" w:hint="default"/>
                <w:sz w:val="21"/>
                <w:szCs w:val="21"/>
              </w:rPr>
              <w:t>际情况，建立了内部控制制度体系。在制定内部</w:t>
            </w:r>
            <w:r>
              <w:rPr>
                <w:rFonts w:ascii="宋体" w:hAnsi="宋体" w:cs="宋体" w:eastAsia="宋体" w:hint="default"/>
                <w:spacing w:val="-85"/>
                <w:sz w:val="21"/>
                <w:szCs w:val="21"/>
              </w:rPr>
              <w:t> </w:t>
            </w:r>
            <w:r>
              <w:rPr>
                <w:rFonts w:ascii="宋体" w:hAnsi="宋体" w:cs="宋体" w:eastAsia="宋体" w:hint="default"/>
                <w:sz w:val="21"/>
                <w:szCs w:val="21"/>
              </w:rPr>
              <w:t>控制制度时，充分考虑了内部环境、风险评估、</w:t>
            </w:r>
            <w:r>
              <w:rPr>
                <w:rFonts w:ascii="宋体" w:hAnsi="宋体" w:cs="宋体" w:eastAsia="宋体" w:hint="default"/>
                <w:spacing w:val="-85"/>
                <w:sz w:val="21"/>
                <w:szCs w:val="21"/>
              </w:rPr>
              <w:t> </w:t>
            </w:r>
            <w:r>
              <w:rPr>
                <w:rFonts w:ascii="宋体" w:hAnsi="宋体" w:cs="宋体" w:eastAsia="宋体" w:hint="default"/>
                <w:sz w:val="21"/>
                <w:szCs w:val="21"/>
              </w:rPr>
              <w:t>控制活动、信息与沟通和内部监督等因素。</w:t>
            </w:r>
          </w:p>
        </w:tc>
      </w:tr>
      <w:tr>
        <w:trPr>
          <w:trHeight w:val="95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内部控制制度建立健全的工作计划及其实施情况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公司已经建立健全的内部控制制度涵盖了公司各</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个环节，并将结合公司发展具体情况继续完善各</w:t>
            </w:r>
            <w:r>
              <w:rPr>
                <w:rFonts w:ascii="宋体" w:hAnsi="宋体" w:cs="宋体" w:eastAsia="宋体" w:hint="default"/>
                <w:spacing w:val="-85"/>
                <w:sz w:val="21"/>
                <w:szCs w:val="21"/>
              </w:rPr>
              <w:t> </w:t>
            </w:r>
            <w:r>
              <w:rPr>
                <w:rFonts w:ascii="宋体" w:hAnsi="宋体" w:cs="宋体" w:eastAsia="宋体" w:hint="default"/>
                <w:sz w:val="21"/>
                <w:szCs w:val="21"/>
              </w:rPr>
              <w:t>项控制制度。</w:t>
            </w:r>
          </w:p>
        </w:tc>
      </w:tr>
      <w:tr>
        <w:trPr>
          <w:trHeight w:val="64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内部控制检查监督部门的设置情况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公司设有专门监管部门，负责检查考核各项制度</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的执行情况。</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内部监督和内部控制自我评价工作开展情况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公司负责内控制度监管部门根据制度规范，定期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进行考核评价。</w:t>
            </w:r>
          </w:p>
        </w:tc>
      </w:tr>
      <w:tr>
        <w:trPr>
          <w:trHeight w:val="95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董事会对内部控制有关工作的安排</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公司董事会审计委员会通过内控制度监管部门对</w:t>
            </w:r>
          </w:p>
          <w:p>
            <w:pPr>
              <w:pStyle w:val="TableParagraph"/>
              <w:spacing w:line="273" w:lineRule="auto" w:before="37"/>
              <w:ind w:left="100" w:right="89"/>
              <w:jc w:val="left"/>
              <w:rPr>
                <w:rFonts w:ascii="宋体" w:hAnsi="宋体" w:cs="宋体" w:eastAsia="宋体" w:hint="default"/>
                <w:sz w:val="21"/>
                <w:szCs w:val="21"/>
              </w:rPr>
            </w:pPr>
            <w:r>
              <w:rPr>
                <w:rFonts w:ascii="宋体" w:hAnsi="宋体" w:cs="宋体" w:eastAsia="宋体" w:hint="default"/>
                <w:spacing w:val="12"/>
                <w:sz w:val="21"/>
                <w:szCs w:val="21"/>
              </w:rPr>
              <w:t>公司内控制度的执行情况和制度的建设提出建</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议。</w:t>
            </w:r>
          </w:p>
        </w:tc>
      </w:tr>
      <w:tr>
        <w:trPr>
          <w:trHeight w:val="950"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7"/>
              <w:jc w:val="left"/>
              <w:rPr>
                <w:rFonts w:ascii="宋体" w:hAnsi="宋体" w:cs="宋体" w:eastAsia="宋体" w:hint="default"/>
                <w:sz w:val="21"/>
                <w:szCs w:val="21"/>
              </w:rPr>
            </w:pPr>
            <w:r>
              <w:rPr>
                <w:rFonts w:ascii="宋体" w:hAnsi="宋体" w:cs="宋体" w:eastAsia="宋体" w:hint="default"/>
                <w:sz w:val="21"/>
                <w:szCs w:val="21"/>
              </w:rPr>
              <w:t>与财务报告相关的内部控制制度的建立和运行情</w:t>
            </w:r>
            <w:r>
              <w:rPr>
                <w:rFonts w:ascii="宋体" w:hAnsi="宋体" w:cs="宋体" w:eastAsia="宋体" w:hint="default"/>
                <w:spacing w:val="-85"/>
                <w:sz w:val="21"/>
                <w:szCs w:val="21"/>
              </w:rPr>
              <w:t> </w:t>
            </w:r>
            <w:r>
              <w:rPr>
                <w:rFonts w:ascii="宋体" w:hAnsi="宋体" w:cs="宋体" w:eastAsia="宋体" w:hint="default"/>
                <w:sz w:val="21"/>
                <w:szCs w:val="21"/>
              </w:rPr>
              <w:t>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公司建立健全了一套较为完善的符合公司实际情</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况的财务内控制度，并推行全面预算管理，细化</w:t>
            </w:r>
            <w:r>
              <w:rPr>
                <w:rFonts w:ascii="宋体" w:hAnsi="宋体" w:cs="宋体" w:eastAsia="宋体" w:hint="default"/>
                <w:spacing w:val="-85"/>
                <w:sz w:val="21"/>
                <w:szCs w:val="21"/>
              </w:rPr>
              <w:t> </w:t>
            </w:r>
            <w:r>
              <w:rPr>
                <w:rFonts w:ascii="宋体" w:hAnsi="宋体" w:cs="宋体" w:eastAsia="宋体" w:hint="default"/>
                <w:sz w:val="21"/>
                <w:szCs w:val="21"/>
              </w:rPr>
              <w:t>分解各项经济指标，严格控制管理。</w:t>
            </w:r>
          </w:p>
        </w:tc>
      </w:tr>
      <w:tr>
        <w:trPr>
          <w:trHeight w:val="95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内部控制存在的缺陷及整改情况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报告期内公司没有发现在内部控制方面存在重大</w:t>
            </w:r>
          </w:p>
          <w:p>
            <w:pPr>
              <w:pStyle w:val="TableParagraph"/>
              <w:spacing w:line="273" w:lineRule="auto" w:before="37"/>
              <w:ind w:left="100" w:right="97"/>
              <w:jc w:val="left"/>
              <w:rPr>
                <w:rFonts w:ascii="宋体" w:hAnsi="宋体" w:cs="宋体" w:eastAsia="宋体" w:hint="default"/>
                <w:sz w:val="21"/>
                <w:szCs w:val="21"/>
              </w:rPr>
            </w:pPr>
            <w:r>
              <w:rPr>
                <w:rFonts w:ascii="宋体" w:hAnsi="宋体" w:cs="宋体" w:eastAsia="宋体" w:hint="default"/>
                <w:sz w:val="21"/>
                <w:szCs w:val="21"/>
              </w:rPr>
              <w:t>缺陷。公司将不断完善和规范内部控制制度，以</w:t>
            </w:r>
            <w:r>
              <w:rPr>
                <w:rFonts w:ascii="宋体" w:hAnsi="宋体" w:cs="宋体" w:eastAsia="宋体" w:hint="default"/>
                <w:spacing w:val="-85"/>
                <w:sz w:val="21"/>
                <w:szCs w:val="21"/>
              </w:rPr>
              <w:t> </w:t>
            </w:r>
            <w:r>
              <w:rPr>
                <w:rFonts w:ascii="宋体" w:hAnsi="宋体" w:cs="宋体" w:eastAsia="宋体" w:hint="default"/>
                <w:sz w:val="21"/>
                <w:szCs w:val="21"/>
              </w:rPr>
              <w:t>适应公司发展的需要。</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78" w:lineRule="auto" w:before="35"/>
        <w:ind w:left="139" w:right="999"/>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高级管理人员的考评及激励情况</w:t>
      </w:r>
      <w:r>
        <w:rPr>
          <w:w w:val="99"/>
        </w:rPr>
        <w:t> </w:t>
      </w:r>
      <w:r>
        <w:rPr>
          <w:spacing w:val="-3"/>
        </w:rPr>
        <w:t>公司建立了高级高级管理人员的目标责任考评体系，由董事会薪酬委员会负责进行考评。今</w:t>
      </w:r>
      <w:r>
        <w:rPr>
          <w:spacing w:val="-80"/>
        </w:rPr>
        <w:t> </w:t>
      </w:r>
      <w:r>
        <w:rPr>
          <w:spacing w:val="-80"/>
        </w:rPr>
      </w:r>
      <w:r>
        <w:rPr/>
        <w:t>后公司将根据实际情况建立高级管理人员激励机制，并不断完善考评体系。</w:t>
      </w:r>
    </w:p>
    <w:p>
      <w:pPr>
        <w:spacing w:line="240" w:lineRule="auto" w:before="7"/>
        <w:rPr>
          <w:rFonts w:ascii="宋体" w:hAnsi="宋体" w:cs="宋体" w:eastAsia="宋体" w:hint="default"/>
          <w:sz w:val="26"/>
          <w:szCs w:val="26"/>
        </w:rPr>
      </w:pPr>
    </w:p>
    <w:p>
      <w:pPr>
        <w:pStyle w:val="BodyText"/>
        <w:spacing w:line="240" w:lineRule="auto"/>
        <w:ind w:left="139" w:right="999"/>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公司是否披露内部控制的自我评价报告或履行社会责任的报告：否</w:t>
      </w:r>
    </w:p>
    <w:p>
      <w:pPr>
        <w:spacing w:after="0" w:line="240" w:lineRule="auto"/>
        <w:jc w:val="left"/>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BodyText"/>
        <w:spacing w:line="276" w:lineRule="auto" w:before="35"/>
        <w:ind w:left="139" w:right="999"/>
        <w:jc w:val="left"/>
      </w:pPr>
      <w:bookmarkStart w:name="_bookmark5" w:id="6"/>
      <w:bookmarkEnd w:id="6"/>
      <w:r>
        <w:rPr/>
      </w:r>
      <w:r>
        <w:rPr>
          <w:rFonts w:ascii="Times New Roman" w:hAnsi="Times New Roman" w:cs="Times New Roman" w:eastAsia="Times New Roman" w:hint="default"/>
        </w:rPr>
        <w:t>(</w:t>
      </w:r>
      <w:r>
        <w:rPr/>
        <w:t>七</w:t>
      </w:r>
      <w:r>
        <w:rPr>
          <w:rFonts w:ascii="Times New Roman" w:hAnsi="Times New Roman" w:cs="Times New Roman" w:eastAsia="Times New Roman" w:hint="default"/>
        </w:rPr>
        <w:t>) </w:t>
      </w:r>
      <w:r>
        <w:rPr/>
        <w:t>公司建立年报信息披露重大差错责任追究制度的情况</w:t>
      </w:r>
      <w:r>
        <w:rPr>
          <w:w w:val="99"/>
        </w:rPr>
        <w:t> </w:t>
      </w:r>
      <w:r>
        <w:rPr>
          <w:spacing w:val="-8"/>
          <w:w w:val="99"/>
        </w:rPr>
        <w:t>公司建立了《信息披露管理制度》、《年报信息披露重大差错责任追究制度》，如果信息披露</w:t>
      </w:r>
      <w:r>
        <w:rPr>
          <w:spacing w:val="-87"/>
          <w:w w:val="99"/>
        </w:rPr>
        <w:t> </w:t>
      </w:r>
      <w:r>
        <w:rPr>
          <w:spacing w:val="-87"/>
          <w:w w:val="99"/>
        </w:rPr>
      </w:r>
      <w:r>
        <w:rPr>
          <w:spacing w:val="-3"/>
          <w:w w:val="99"/>
        </w:rPr>
        <w:t>义务人或者知情人违反有关制度造成公司信息披露出现失误或者给公司带来损失的，将依情</w:t>
      </w:r>
      <w:r>
        <w:rPr>
          <w:spacing w:val="-79"/>
          <w:w w:val="99"/>
        </w:rPr>
        <w:t> </w:t>
      </w:r>
      <w:r>
        <w:rPr>
          <w:spacing w:val="-79"/>
          <w:w w:val="99"/>
        </w:rPr>
      </w:r>
      <w:r>
        <w:rPr/>
        <w:t>节轻重追究当事人责任。</w:t>
      </w:r>
    </w:p>
    <w:p>
      <w:pPr>
        <w:pStyle w:val="BodyText"/>
        <w:spacing w:line="240" w:lineRule="auto" w:before="5"/>
        <w:ind w:left="351" w:right="999"/>
        <w:jc w:val="left"/>
      </w:pPr>
      <w:r>
        <w:rPr/>
        <w:t>报告期内公司没有发生信息披露重大差错。</w:t>
      </w:r>
    </w:p>
    <w:p>
      <w:pPr>
        <w:spacing w:line="240" w:lineRule="auto" w:before="1"/>
        <w:rPr>
          <w:rFonts w:ascii="宋体" w:hAnsi="宋体" w:cs="宋体" w:eastAsia="宋体" w:hint="default"/>
          <w:sz w:val="29"/>
          <w:szCs w:val="29"/>
        </w:rPr>
      </w:pPr>
    </w:p>
    <w:p>
      <w:pPr>
        <w:pStyle w:val="Heading1"/>
        <w:spacing w:line="240" w:lineRule="auto" w:before="0"/>
        <w:ind w:left="139" w:right="999"/>
        <w:jc w:val="left"/>
        <w:rPr>
          <w:b w:val="0"/>
          <w:bCs w:val="0"/>
        </w:rPr>
      </w:pPr>
      <w:r>
        <w:rPr/>
        <w:t>七、</w:t>
      </w:r>
      <w:r>
        <w:rPr>
          <w:spacing w:val="-5"/>
        </w:rPr>
        <w:t> </w:t>
      </w:r>
      <w:r>
        <w:rPr/>
        <w:t>股东大会情况简介</w:t>
      </w:r>
      <w:r>
        <w:rPr>
          <w:b w:val="0"/>
          <w:bCs w:val="0"/>
        </w:rPr>
      </w:r>
    </w:p>
    <w:p>
      <w:pPr>
        <w:pStyle w:val="BodyText"/>
        <w:spacing w:line="240" w:lineRule="auto" w:before="99"/>
        <w:ind w:left="139" w:right="9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年度股东大会情况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597"/>
        <w:gridCol w:w="1973"/>
        <w:gridCol w:w="3006"/>
        <w:gridCol w:w="2724"/>
      </w:tblGrid>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0"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7"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0"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0"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 </w:t>
            </w:r>
            <w:r>
              <w:rPr>
                <w:rFonts w:ascii="Times New Roman" w:hAnsi="Times New Roman" w:cs="Times New Roman" w:eastAsia="Times New Roman" w:hint="default"/>
                <w:spacing w:val="2"/>
                <w:sz w:val="21"/>
                <w:szCs w:val="21"/>
              </w:rPr>
              <w:t> </w:t>
            </w:r>
            <w:r>
              <w:rPr>
                <w:rFonts w:ascii="宋体" w:hAnsi="宋体" w:cs="宋体" w:eastAsia="宋体" w:hint="default"/>
                <w:spacing w:val="3"/>
                <w:sz w:val="21"/>
                <w:szCs w:val="21"/>
              </w:rPr>
              <w:t>年年度股</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东大会</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5</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pStyle w:val="BodyText"/>
        <w:spacing w:line="260" w:lineRule="exact"/>
        <w:ind w:right="999"/>
        <w:jc w:val="left"/>
      </w:pPr>
      <w:r>
        <w:rPr/>
        <w:t>审议通过如下决议：</w:t>
      </w:r>
    </w:p>
    <w:p>
      <w:pPr>
        <w:pStyle w:val="BodyText"/>
        <w:spacing w:line="240" w:lineRule="auto" w:before="37"/>
        <w:ind w:right="999"/>
        <w:jc w:val="left"/>
      </w:pPr>
      <w:r>
        <w:rPr>
          <w:rFonts w:ascii="Times New Roman" w:hAnsi="Times New Roman" w:cs="Times New Roman" w:eastAsia="Times New Roman" w:hint="default"/>
        </w:rPr>
        <w:t>1</w:t>
      </w:r>
      <w:r>
        <w:rPr>
          <w:spacing w:val="-105"/>
        </w:rPr>
        <w:t>、</w:t>
      </w:r>
      <w:r>
        <w:rPr/>
        <w:t>《公司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年度董事</w:t>
      </w:r>
      <w:r>
        <w:rPr>
          <w:spacing w:val="-2"/>
        </w:rPr>
        <w:t>会</w:t>
      </w:r>
      <w:r>
        <w:rPr/>
        <w:t>工作报告》</w:t>
      </w:r>
    </w:p>
    <w:p>
      <w:pPr>
        <w:pStyle w:val="BodyText"/>
        <w:spacing w:line="240" w:lineRule="auto" w:before="21"/>
        <w:ind w:right="999"/>
        <w:jc w:val="left"/>
      </w:pPr>
      <w:r>
        <w:rPr>
          <w:rFonts w:ascii="Times New Roman" w:hAnsi="Times New Roman" w:cs="Times New Roman" w:eastAsia="Times New Roman" w:hint="default"/>
        </w:rPr>
        <w:t>2</w:t>
      </w:r>
      <w:r>
        <w:rPr>
          <w:spacing w:val="-105"/>
        </w:rPr>
        <w:t>、</w:t>
      </w:r>
      <w:r>
        <w:rPr/>
        <w:t>《公司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年度监事</w:t>
      </w:r>
      <w:r>
        <w:rPr>
          <w:spacing w:val="-2"/>
        </w:rPr>
        <w:t>会</w:t>
      </w:r>
      <w:r>
        <w:rPr/>
        <w:t>工作报告》</w:t>
      </w:r>
    </w:p>
    <w:p>
      <w:pPr>
        <w:pStyle w:val="BodyText"/>
        <w:spacing w:line="240" w:lineRule="auto" w:before="21"/>
        <w:ind w:right="999"/>
        <w:jc w:val="left"/>
      </w:pPr>
      <w:r>
        <w:rPr>
          <w:rFonts w:ascii="Times New Roman" w:hAnsi="Times New Roman" w:cs="Times New Roman" w:eastAsia="Times New Roman" w:hint="default"/>
        </w:rPr>
        <w:t>3</w:t>
      </w:r>
      <w:r>
        <w:rPr>
          <w:spacing w:val="-105"/>
        </w:rPr>
        <w:t>、</w:t>
      </w:r>
      <w:r>
        <w:rPr/>
        <w:t>《公司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年年度报</w:t>
      </w:r>
      <w:r>
        <w:rPr>
          <w:spacing w:val="-2"/>
        </w:rPr>
        <w:t>告</w:t>
      </w:r>
      <w:r>
        <w:rPr/>
        <w:t>》及《年报摘要》</w:t>
      </w:r>
    </w:p>
    <w:p>
      <w:pPr>
        <w:pStyle w:val="BodyText"/>
        <w:spacing w:line="240" w:lineRule="auto" w:before="21"/>
        <w:ind w:right="999"/>
        <w:jc w:val="left"/>
      </w:pPr>
      <w:r>
        <w:rPr>
          <w:rFonts w:ascii="Times New Roman" w:hAnsi="Times New Roman" w:cs="Times New Roman" w:eastAsia="Times New Roman" w:hint="default"/>
        </w:rPr>
        <w:t>4</w:t>
      </w:r>
      <w:r>
        <w:rPr>
          <w:spacing w:val="-105"/>
        </w:rPr>
        <w:t>、</w:t>
      </w:r>
      <w:r>
        <w:rPr/>
        <w:t>《公司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年度财务</w:t>
      </w:r>
      <w:r>
        <w:rPr>
          <w:spacing w:val="-2"/>
        </w:rPr>
        <w:t>决</w:t>
      </w:r>
      <w:r>
        <w:rPr/>
        <w:t>算报告》</w:t>
      </w:r>
    </w:p>
    <w:p>
      <w:pPr>
        <w:pStyle w:val="BodyText"/>
        <w:spacing w:line="240" w:lineRule="auto" w:before="21"/>
        <w:ind w:right="999"/>
        <w:jc w:val="left"/>
      </w:pPr>
      <w:r>
        <w:rPr>
          <w:rFonts w:ascii="Times New Roman" w:hAnsi="Times New Roman" w:cs="Times New Roman" w:eastAsia="Times New Roman" w:hint="default"/>
        </w:rPr>
        <w:t>5</w:t>
      </w:r>
      <w:r>
        <w:rPr>
          <w:spacing w:val="-105"/>
        </w:rPr>
        <w:t>、</w:t>
      </w:r>
      <w:r>
        <w:rPr/>
        <w:t>《关于</w:t>
      </w:r>
      <w:r>
        <w:rPr>
          <w:spacing w:val="-2"/>
        </w:rPr>
        <w:t>续</w:t>
      </w:r>
      <w:r>
        <w:rPr/>
        <w:t>聘</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w:t>
      </w:r>
      <w:r>
        <w:rPr>
          <w:spacing w:val="-2"/>
        </w:rPr>
        <w:t>审</w:t>
      </w:r>
      <w:r>
        <w:rPr/>
        <w:t>计机构及支付</w:t>
      </w:r>
      <w:r>
        <w:rPr>
          <w:spacing w:val="-53"/>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w:t>
      </w:r>
      <w:r>
        <w:rPr>
          <w:spacing w:val="-2"/>
        </w:rPr>
        <w:t>审</w:t>
      </w:r>
      <w:r>
        <w:rPr/>
        <w:t>计费用的议案》</w:t>
      </w:r>
    </w:p>
    <w:p>
      <w:pPr>
        <w:pStyle w:val="BodyText"/>
        <w:spacing w:line="240" w:lineRule="auto" w:before="21"/>
        <w:ind w:right="999"/>
        <w:jc w:val="left"/>
      </w:pPr>
      <w:r>
        <w:rPr>
          <w:rFonts w:ascii="Times New Roman" w:hAnsi="Times New Roman" w:cs="Times New Roman" w:eastAsia="Times New Roman" w:hint="default"/>
        </w:rPr>
        <w:t>6</w:t>
      </w:r>
      <w:r>
        <w:rPr>
          <w:spacing w:val="-105"/>
        </w:rPr>
        <w:t>、</w:t>
      </w:r>
      <w:r>
        <w:rPr/>
        <w:t>《公司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00</w:t>
      </w:r>
      <w:r>
        <w:rPr>
          <w:rFonts w:ascii="Times New Roman" w:hAnsi="Times New Roman" w:cs="Times New Roman" w:eastAsia="Times New Roman" w:hint="default"/>
        </w:rPr>
        <w:t>9 </w:t>
      </w:r>
      <w:r>
        <w:rPr/>
        <w:t>年度利润</w:t>
      </w:r>
      <w:r>
        <w:rPr>
          <w:spacing w:val="-2"/>
        </w:rPr>
        <w:t>分</w:t>
      </w:r>
      <w:r>
        <w:rPr/>
        <w:t>配预案》</w:t>
      </w:r>
    </w:p>
    <w:p>
      <w:pPr>
        <w:pStyle w:val="BodyText"/>
        <w:spacing w:line="240" w:lineRule="auto" w:before="21"/>
        <w:ind w:right="999"/>
        <w:jc w:val="left"/>
      </w:pPr>
      <w:r>
        <w:rPr>
          <w:rFonts w:ascii="Times New Roman" w:hAnsi="Times New Roman" w:cs="Times New Roman" w:eastAsia="Times New Roman" w:hint="default"/>
        </w:rPr>
        <w:t>7</w:t>
      </w:r>
      <w:r>
        <w:rPr>
          <w:spacing w:val="-105"/>
        </w:rPr>
        <w:t>、</w:t>
      </w:r>
      <w:r>
        <w:rPr/>
        <w:t>《公司</w:t>
      </w:r>
      <w:r>
        <w:rPr>
          <w:spacing w:val="-54"/>
        </w:rPr>
        <w:t> </w:t>
      </w:r>
      <w:r>
        <w:rPr>
          <w:rFonts w:ascii="Times New Roman" w:hAnsi="Times New Roman" w:cs="Times New Roman" w:eastAsia="Times New Roman" w:hint="default"/>
        </w:rPr>
        <w:t>2</w:t>
      </w:r>
      <w:r>
        <w:rPr>
          <w:rFonts w:ascii="Times New Roman" w:hAnsi="Times New Roman" w:cs="Times New Roman" w:eastAsia="Times New Roman" w:hint="default"/>
          <w:spacing w:val="-1"/>
        </w:rPr>
        <w:t>01</w:t>
      </w:r>
      <w:r>
        <w:rPr>
          <w:rFonts w:ascii="Times New Roman" w:hAnsi="Times New Roman" w:cs="Times New Roman" w:eastAsia="Times New Roman" w:hint="default"/>
        </w:rPr>
        <w:t>0 </w:t>
      </w:r>
      <w:r>
        <w:rPr/>
        <w:t>年与黑化</w:t>
      </w:r>
      <w:r>
        <w:rPr>
          <w:spacing w:val="-2"/>
        </w:rPr>
        <w:t>集</w:t>
      </w:r>
      <w:r>
        <w:rPr/>
        <w:t>团有限公司日常关联交易预估金额的议案》</w:t>
      </w:r>
    </w:p>
    <w:p>
      <w:pPr>
        <w:spacing w:line="240" w:lineRule="auto" w:before="11"/>
        <w:rPr>
          <w:rFonts w:ascii="宋体" w:hAnsi="宋体" w:cs="宋体" w:eastAsia="宋体" w:hint="default"/>
          <w:sz w:val="27"/>
          <w:szCs w:val="27"/>
        </w:rPr>
      </w:pPr>
    </w:p>
    <w:p>
      <w:pPr>
        <w:pStyle w:val="BodyText"/>
        <w:spacing w:line="240" w:lineRule="auto"/>
        <w:ind w:right="999"/>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临时股东大会情况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3"/>
        <w:gridCol w:w="1897"/>
        <w:gridCol w:w="2942"/>
        <w:gridCol w:w="2848"/>
      </w:tblGrid>
      <w:tr>
        <w:trPr>
          <w:trHeight w:val="328"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77"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1"/>
              <w:jc w:val="center"/>
              <w:rPr>
                <w:rFonts w:ascii="宋体" w:hAnsi="宋体" w:cs="宋体" w:eastAsia="宋体" w:hint="default"/>
                <w:sz w:val="21"/>
                <w:szCs w:val="21"/>
              </w:rPr>
            </w:pPr>
            <w:r>
              <w:rPr>
                <w:rFonts w:ascii="宋体" w:hAnsi="宋体" w:cs="宋体" w:eastAsia="宋体" w:hint="default"/>
                <w:sz w:val="21"/>
                <w:szCs w:val="21"/>
              </w:rPr>
              <w:t>召开日期</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309" w:right="0"/>
              <w:jc w:val="left"/>
              <w:rPr>
                <w:rFonts w:ascii="宋体" w:hAnsi="宋体" w:cs="宋体" w:eastAsia="宋体" w:hint="default"/>
                <w:sz w:val="21"/>
                <w:szCs w:val="21"/>
              </w:rPr>
            </w:pPr>
            <w:r>
              <w:rPr>
                <w:rFonts w:ascii="宋体" w:hAnsi="宋体" w:cs="宋体" w:eastAsia="宋体" w:hint="default"/>
                <w:sz w:val="21"/>
                <w:szCs w:val="21"/>
              </w:rPr>
              <w:t>决议刊登的信息披露报纸</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261" w:right="0"/>
              <w:jc w:val="left"/>
              <w:rPr>
                <w:rFonts w:ascii="宋体" w:hAnsi="宋体" w:cs="宋体" w:eastAsia="宋体" w:hint="default"/>
                <w:sz w:val="21"/>
                <w:szCs w:val="21"/>
              </w:rPr>
            </w:pPr>
            <w:r>
              <w:rPr>
                <w:rFonts w:ascii="宋体" w:hAnsi="宋体" w:cs="宋体" w:eastAsia="宋体" w:hint="default"/>
                <w:sz w:val="21"/>
                <w:szCs w:val="21"/>
              </w:rPr>
              <w:t>决议刊登的信息披露日期</w:t>
            </w:r>
          </w:p>
        </w:tc>
      </w:tr>
      <w:tr>
        <w:trPr>
          <w:trHeight w:val="640" w:hRule="exact"/>
        </w:trPr>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6"/>
                <w:sz w:val="21"/>
                <w:szCs w:val="21"/>
              </w:rPr>
              <w:t> </w:t>
            </w:r>
            <w:r>
              <w:rPr>
                <w:rFonts w:ascii="宋体" w:hAnsi="宋体" w:cs="宋体" w:eastAsia="宋体" w:hint="default"/>
                <w:spacing w:val="7"/>
                <w:sz w:val="21"/>
                <w:szCs w:val="21"/>
              </w:rPr>
              <w:t>年第一次</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临时股东大会</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59"/>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pacing w:val="-4"/>
                <w:sz w:val="21"/>
                <w:szCs w:val="21"/>
              </w:rPr>
              <w:t>11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9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中国证券报、上海证券报</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r>
    </w:tbl>
    <w:p>
      <w:pPr>
        <w:pStyle w:val="BodyText"/>
        <w:spacing w:line="260" w:lineRule="exact"/>
        <w:ind w:right="999"/>
        <w:jc w:val="left"/>
      </w:pPr>
      <w:r>
        <w:rPr/>
        <w:t>审议通过《公司与中国化工财务有限公司签署金融服务协议的关联交易议案</w:t>
      </w:r>
      <w:r>
        <w:rPr>
          <w:spacing w:val="-105"/>
        </w:rPr>
        <w:t>》</w:t>
      </w:r>
      <w:r>
        <w:rPr/>
        <w:t>。</w:t>
      </w:r>
    </w:p>
    <w:p>
      <w:pPr>
        <w:spacing w:line="240" w:lineRule="auto" w:before="1"/>
        <w:rPr>
          <w:rFonts w:ascii="宋体" w:hAnsi="宋体" w:cs="宋体" w:eastAsia="宋体" w:hint="default"/>
          <w:sz w:val="29"/>
          <w:szCs w:val="29"/>
        </w:rPr>
      </w:pPr>
    </w:p>
    <w:p>
      <w:pPr>
        <w:pStyle w:val="Heading1"/>
        <w:spacing w:line="240" w:lineRule="auto" w:before="0"/>
        <w:ind w:right="999"/>
        <w:jc w:val="left"/>
        <w:rPr>
          <w:b w:val="0"/>
          <w:bCs w:val="0"/>
        </w:rPr>
      </w:pPr>
      <w:r>
        <w:rPr/>
        <w:t>八、</w:t>
      </w:r>
      <w:r>
        <w:rPr>
          <w:spacing w:val="-4"/>
        </w:rPr>
        <w:t> </w:t>
      </w:r>
      <w:r>
        <w:rPr/>
        <w:t>董事会报告</w:t>
      </w:r>
      <w:r>
        <w:rPr>
          <w:b w:val="0"/>
          <w:bCs w:val="0"/>
        </w:rPr>
      </w:r>
    </w:p>
    <w:p>
      <w:pPr>
        <w:pStyle w:val="BodyText"/>
        <w:spacing w:line="240" w:lineRule="auto" w:before="99"/>
        <w:ind w:right="9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管理层讨论与分析</w:t>
      </w:r>
    </w:p>
    <w:p>
      <w:pPr>
        <w:pStyle w:val="BodyText"/>
        <w:spacing w:line="240" w:lineRule="auto" w:before="52"/>
        <w:ind w:left="139" w:right="999"/>
        <w:jc w:val="left"/>
      </w:pPr>
      <w:r>
        <w:rPr>
          <w:rFonts w:ascii="Times New Roman" w:hAnsi="Times New Roman" w:cs="Times New Roman" w:eastAsia="Times New Roman" w:hint="default"/>
        </w:rPr>
        <w:t>(1)</w:t>
      </w:r>
      <w:r>
        <w:rPr/>
        <w:t>报告期经营情况回顾</w:t>
      </w:r>
    </w:p>
    <w:p>
      <w:pPr>
        <w:pStyle w:val="BodyText"/>
        <w:spacing w:line="261" w:lineRule="auto" w:before="21"/>
        <w:ind w:left="139" w:right="1008"/>
        <w:jc w:val="left"/>
      </w:pPr>
      <w:r>
        <w:rPr>
          <w:rFonts w:ascii="Times New Roman" w:hAnsi="Times New Roman" w:cs="Times New Roman" w:eastAsia="Times New Roman" w:hint="default"/>
          <w:spacing w:val="-1"/>
        </w:rPr>
        <w:t>2010</w:t>
      </w:r>
      <w:r>
        <w:rPr>
          <w:rFonts w:ascii="Times New Roman" w:hAnsi="Times New Roman" w:cs="Times New Roman" w:eastAsia="Times New Roman" w:hint="default"/>
          <w:spacing w:val="24"/>
        </w:rPr>
        <w:t> </w:t>
      </w:r>
      <w:r>
        <w:rPr>
          <w:spacing w:val="-2"/>
        </w:rPr>
        <w:t>年，面对复杂多变的外部经济环境，公司以“持续改进，致力久远”为企业核心理念，</w:t>
      </w:r>
      <w:r>
        <w:rPr>
          <w:spacing w:val="-98"/>
        </w:rPr>
        <w:t> </w:t>
      </w:r>
      <w:r>
        <w:rPr>
          <w:spacing w:val="-98"/>
        </w:rPr>
      </w:r>
      <w:r>
        <w:rPr>
          <w:spacing w:val="-3"/>
        </w:rPr>
        <w:t>重点在技术改造、产能提升，节能减排、降低成本，优化组织结构、转岗分流，加强内部控</w:t>
      </w:r>
      <w:r>
        <w:rPr>
          <w:spacing w:val="-81"/>
        </w:rPr>
        <w:t> </w:t>
      </w:r>
      <w:r>
        <w:rPr>
          <w:spacing w:val="-81"/>
        </w:rPr>
      </w:r>
      <w:r>
        <w:rPr/>
        <w:t>制、转变经营模式，推行</w:t>
      </w:r>
      <w:r>
        <w:rPr>
          <w:spacing w:val="-54"/>
        </w:rPr>
        <w:t> </w:t>
      </w:r>
      <w:r>
        <w:rPr>
          <w:rFonts w:ascii="Times New Roman" w:hAnsi="Times New Roman" w:cs="Times New Roman" w:eastAsia="Times New Roman" w:hint="default"/>
        </w:rPr>
        <w:t>6S</w:t>
      </w:r>
      <w:r>
        <w:rPr>
          <w:rFonts w:ascii="Times New Roman" w:hAnsi="Times New Roman" w:cs="Times New Roman" w:eastAsia="Times New Roman" w:hint="default"/>
          <w:spacing w:val="-1"/>
        </w:rPr>
        <w:t> </w:t>
      </w:r>
      <w:r>
        <w:rPr/>
        <w:t>管理等方面做了大量工作，在全体员工的共同努力下取得了明 显成效。</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年实现营业收入</w:t>
      </w:r>
      <w:r>
        <w:rPr>
          <w:spacing w:val="-56"/>
        </w:rPr>
        <w:t> </w:t>
      </w:r>
      <w:r>
        <w:rPr>
          <w:rFonts w:ascii="Times New Roman" w:hAnsi="Times New Roman" w:cs="Times New Roman" w:eastAsia="Times New Roman" w:hint="default"/>
        </w:rPr>
        <w:t>157476</w:t>
      </w:r>
      <w:r>
        <w:rPr>
          <w:rFonts w:ascii="Times New Roman" w:hAnsi="Times New Roman" w:cs="Times New Roman" w:eastAsia="Times New Roman" w:hint="default"/>
          <w:spacing w:val="-4"/>
        </w:rPr>
        <w:t> </w:t>
      </w:r>
      <w:r>
        <w:rPr/>
        <w:t>万元，利润总额</w:t>
      </w:r>
      <w:r>
        <w:rPr>
          <w:spacing w:val="-56"/>
        </w:rPr>
        <w:t> </w:t>
      </w:r>
      <w:r>
        <w:rPr>
          <w:rFonts w:ascii="Times New Roman" w:hAnsi="Times New Roman" w:cs="Times New Roman" w:eastAsia="Times New Roman" w:hint="default"/>
        </w:rPr>
        <w:t>1589</w:t>
      </w:r>
      <w:r>
        <w:rPr>
          <w:rFonts w:ascii="Times New Roman" w:hAnsi="Times New Roman" w:cs="Times New Roman" w:eastAsia="Times New Roman" w:hint="default"/>
          <w:spacing w:val="-3"/>
        </w:rPr>
        <w:t> </w:t>
      </w:r>
      <w:r>
        <w:rPr/>
        <w:t>万元。</w:t>
      </w:r>
    </w:p>
    <w:p>
      <w:pPr>
        <w:pStyle w:val="BodyText"/>
        <w:spacing w:line="273" w:lineRule="auto"/>
        <w:ind w:left="139" w:right="999"/>
        <w:jc w:val="left"/>
      </w:pPr>
      <w:r>
        <w:rPr>
          <w:spacing w:val="-3"/>
        </w:rPr>
        <w:t>（一）持续推进技术创新，加大节能技术改造力度，节能减排降低成本。对尿素系统、高低</w:t>
      </w:r>
      <w:r>
        <w:rPr>
          <w:spacing w:val="-84"/>
        </w:rPr>
        <w:t> </w:t>
      </w:r>
      <w:r>
        <w:rPr>
          <w:spacing w:val="-84"/>
        </w:rPr>
      </w:r>
      <w:r>
        <w:rPr/>
        <w:t>混合式循环流化床锅炉和污水处理项目进行了技术改造改和扩建。</w:t>
      </w:r>
    </w:p>
    <w:p>
      <w:pPr>
        <w:pStyle w:val="BodyText"/>
        <w:spacing w:line="240" w:lineRule="auto" w:before="8"/>
        <w:ind w:left="139" w:right="999"/>
        <w:jc w:val="left"/>
      </w:pPr>
      <w:r>
        <w:rPr/>
        <w:t>（二）实施组织变革，优化人力资源配置。</w:t>
      </w:r>
    </w:p>
    <w:p>
      <w:pPr>
        <w:pStyle w:val="BodyText"/>
        <w:spacing w:line="264" w:lineRule="auto" w:before="37"/>
        <w:ind w:left="139" w:right="1116"/>
        <w:jc w:val="both"/>
      </w:pPr>
      <w:r>
        <w:rPr>
          <w:spacing w:val="-3"/>
        </w:rPr>
        <w:t>（三）持续改进，管理创新，强化基础管理。持续改进项目，在优化工艺操作、改进生产流</w:t>
      </w:r>
      <w:r>
        <w:rPr>
          <w:spacing w:val="-81"/>
        </w:rPr>
        <w:t> </w:t>
      </w:r>
      <w:r>
        <w:rPr>
          <w:spacing w:val="-81"/>
        </w:rPr>
      </w:r>
      <w:r>
        <w:rPr>
          <w:spacing w:val="-3"/>
        </w:rPr>
        <w:t>程、降低消耗、提高经济效益方面取得了一定成果。加强物资采购管理，实现阳光采购，成</w:t>
      </w:r>
      <w:r>
        <w:rPr>
          <w:spacing w:val="-84"/>
        </w:rPr>
        <w:t> </w:t>
      </w:r>
      <w:r>
        <w:rPr>
          <w:spacing w:val="-84"/>
        </w:rPr>
      </w:r>
      <w:r>
        <w:rPr/>
        <w:t>立由</w:t>
      </w:r>
      <w:r>
        <w:rPr>
          <w:spacing w:val="-48"/>
        </w:rPr>
        <w:t> </w:t>
      </w:r>
      <w:r>
        <w:rPr>
          <w:rFonts w:ascii="Times New Roman" w:hAnsi="Times New Roman" w:cs="Times New Roman" w:eastAsia="Times New Roman" w:hint="default"/>
        </w:rPr>
        <w:t>10</w:t>
      </w:r>
      <w:r>
        <w:rPr>
          <w:rFonts w:ascii="Times New Roman" w:hAnsi="Times New Roman" w:cs="Times New Roman" w:eastAsia="Times New Roman" w:hint="default"/>
          <w:spacing w:val="5"/>
        </w:rPr>
        <w:t> </w:t>
      </w:r>
      <w:r>
        <w:rPr/>
        <w:t>个部门组成的评标委员会，对所有原材料货比三家，公开招评标，竞价采购，使原 材料采购成本得到有效控制。以班组建设为基础，推进</w:t>
      </w:r>
      <w:r>
        <w:rPr>
          <w:spacing w:val="-53"/>
        </w:rPr>
        <w:t> </w:t>
      </w:r>
      <w:r>
        <w:rPr>
          <w:rFonts w:ascii="Times New Roman" w:hAnsi="Times New Roman" w:cs="Times New Roman" w:eastAsia="Times New Roman" w:hint="default"/>
        </w:rPr>
        <w:t>6S</w:t>
      </w:r>
      <w:r>
        <w:rPr>
          <w:rFonts w:ascii="Times New Roman" w:hAnsi="Times New Roman" w:cs="Times New Roman" w:eastAsia="Times New Roman" w:hint="default"/>
          <w:spacing w:val="-2"/>
        </w:rPr>
        <w:t> </w:t>
      </w:r>
      <w:r>
        <w:rPr/>
        <w:t>管理，调动广大员工的工作积极 性，增强了员工的集体荣誉感，形成“讲学习、练技能、求创新、比贡献”的良好氛围。</w:t>
      </w:r>
    </w:p>
    <w:p>
      <w:pPr>
        <w:pStyle w:val="BodyText"/>
        <w:spacing w:line="273" w:lineRule="auto" w:before="16"/>
        <w:ind w:left="139" w:right="1000"/>
        <w:jc w:val="left"/>
      </w:pPr>
      <w:r>
        <w:rPr>
          <w:spacing w:val="-5"/>
        </w:rPr>
        <w:t>（四）加强内部财务控制，优化资金运作。进一步规范资金使用，严格费用预算和支出管理，</w:t>
      </w:r>
      <w:r>
        <w:rPr>
          <w:spacing w:val="-100"/>
        </w:rPr>
        <w:t> </w:t>
      </w:r>
      <w:r>
        <w:rPr>
          <w:spacing w:val="-100"/>
        </w:rPr>
      </w:r>
      <w:r>
        <w:rPr>
          <w:spacing w:val="-3"/>
        </w:rPr>
        <w:t>加强可控费用的支出控制，杜绝不必要支出；在公司资金流短缺的形势下，通过优化资金运</w:t>
      </w:r>
    </w:p>
    <w:p>
      <w:pPr>
        <w:spacing w:after="0" w:line="273"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right="0"/>
        <w:jc w:val="both"/>
      </w:pPr>
      <w:r>
        <w:rPr/>
        <w:t>作，多渠道筹集资金，缓解公司资金压力，保证了原料煤的采购供应。</w:t>
      </w:r>
    </w:p>
    <w:p>
      <w:pPr>
        <w:pStyle w:val="BodyText"/>
        <w:spacing w:line="273" w:lineRule="auto" w:before="37"/>
        <w:ind w:right="136"/>
        <w:jc w:val="both"/>
      </w:pPr>
      <w:r>
        <w:rPr>
          <w:spacing w:val="-3"/>
        </w:rPr>
        <w:t>（五）加强安全和环保工作。创新安全管理模式，由多层级管理改为直接管理，每个生产车</w:t>
      </w:r>
      <w:r>
        <w:rPr>
          <w:spacing w:val="-80"/>
        </w:rPr>
        <w:t> </w:t>
      </w:r>
      <w:r>
        <w:rPr>
          <w:spacing w:val="-80"/>
        </w:rPr>
      </w:r>
      <w:r>
        <w:rPr>
          <w:spacing w:val="-3"/>
        </w:rPr>
        <w:t>间派设专职安全员，不断提高员工的自我防护意识。强化环保监测管理，加强关键控制点的</w:t>
      </w:r>
      <w:r>
        <w:rPr>
          <w:spacing w:val="-81"/>
        </w:rPr>
        <w:t> </w:t>
      </w:r>
      <w:r>
        <w:rPr>
          <w:spacing w:val="-81"/>
        </w:rPr>
      </w:r>
      <w:r>
        <w:rPr>
          <w:spacing w:val="-3"/>
        </w:rPr>
        <w:t>检测，控制主要污染物排放，严格监控大气污染物排放情况，加强环保设施的运行和生产装</w:t>
      </w:r>
      <w:r>
        <w:rPr>
          <w:spacing w:val="-81"/>
        </w:rPr>
        <w:t> </w:t>
      </w:r>
      <w:r>
        <w:rPr>
          <w:spacing w:val="-81"/>
        </w:rPr>
      </w:r>
      <w:r>
        <w:rPr>
          <w:spacing w:val="-3"/>
        </w:rPr>
        <w:t>置的排污管理，加大污水装置进出水监测，通过现场检查和监测，及时发现、处理排污控制</w:t>
      </w:r>
      <w:r>
        <w:rPr>
          <w:spacing w:val="-80"/>
        </w:rPr>
        <w:t> </w:t>
      </w:r>
      <w:r>
        <w:rPr>
          <w:spacing w:val="-80"/>
        </w:rPr>
      </w:r>
      <w:r>
        <w:rPr/>
        <w:t>工作中出现的各种问题。</w:t>
      </w:r>
    </w:p>
    <w:p>
      <w:pPr>
        <w:spacing w:line="240" w:lineRule="auto" w:before="6"/>
        <w:rPr>
          <w:rFonts w:ascii="宋体" w:hAnsi="宋体" w:cs="宋体" w:eastAsia="宋体" w:hint="default"/>
          <w:sz w:val="24"/>
          <w:szCs w:val="24"/>
        </w:rPr>
      </w:pPr>
    </w:p>
    <w:p>
      <w:pPr>
        <w:pStyle w:val="BodyText"/>
        <w:spacing w:line="240" w:lineRule="auto"/>
        <w:ind w:right="0"/>
        <w:jc w:val="both"/>
      </w:pPr>
      <w:r>
        <w:rPr>
          <w:rFonts w:ascii="Times New Roman" w:hAnsi="Times New Roman" w:cs="Times New Roman" w:eastAsia="Times New Roman" w:hint="default"/>
        </w:rPr>
        <w:t>(2)</w:t>
      </w:r>
      <w:r>
        <w:rPr/>
        <w:t>、报告期财务数据变动情况</w:t>
      </w:r>
    </w:p>
    <w:p>
      <w:pPr>
        <w:pStyle w:val="BodyText"/>
        <w:spacing w:line="256" w:lineRule="auto" w:before="21"/>
        <w:ind w:right="127" w:firstLine="315"/>
        <w:jc w:val="left"/>
      </w:pPr>
      <w:r>
        <w:rPr/>
        <w:t>报告期末公司应收票据为</w:t>
      </w:r>
      <w:r>
        <w:rPr>
          <w:spacing w:val="-62"/>
        </w:rPr>
        <w:t> </w:t>
      </w:r>
      <w:r>
        <w:rPr>
          <w:rFonts w:ascii="Times New Roman" w:hAnsi="Times New Roman" w:cs="Times New Roman" w:eastAsia="Times New Roman" w:hint="default"/>
        </w:rPr>
        <w:t>3800</w:t>
      </w:r>
      <w:r>
        <w:rPr>
          <w:rFonts w:ascii="Times New Roman" w:hAnsi="Times New Roman" w:cs="Times New Roman" w:eastAsia="Times New Roman" w:hint="default"/>
          <w:spacing w:val="-9"/>
        </w:rPr>
        <w:t> </w:t>
      </w:r>
      <w:r>
        <w:rPr>
          <w:spacing w:val="-5"/>
        </w:rPr>
        <w:t>万元，比期初增加</w:t>
      </w:r>
      <w:r>
        <w:rPr>
          <w:spacing w:val="-62"/>
        </w:rPr>
        <w:t> </w:t>
      </w:r>
      <w:r>
        <w:rPr>
          <w:rFonts w:ascii="Times New Roman" w:hAnsi="Times New Roman" w:cs="Times New Roman" w:eastAsia="Times New Roman" w:hint="default"/>
        </w:rPr>
        <w:t>491.24%</w:t>
      </w:r>
      <w:r>
        <w:rPr/>
        <w:t>，主要原因是公司本期销售产 品取得银行承兑汇票未到期所致。</w:t>
      </w:r>
    </w:p>
    <w:p>
      <w:pPr>
        <w:pStyle w:val="BodyText"/>
        <w:spacing w:line="256" w:lineRule="auto" w:before="22"/>
        <w:ind w:right="127" w:firstLine="315"/>
        <w:jc w:val="left"/>
      </w:pPr>
      <w:r>
        <w:rPr/>
        <w:t>报告期末公司在建工程为</w:t>
      </w:r>
      <w:r>
        <w:rPr>
          <w:spacing w:val="-62"/>
        </w:rPr>
        <w:t> </w:t>
      </w:r>
      <w:r>
        <w:rPr>
          <w:rFonts w:ascii="Times New Roman" w:hAnsi="Times New Roman" w:cs="Times New Roman" w:eastAsia="Times New Roman" w:hint="default"/>
        </w:rPr>
        <w:t>6160</w:t>
      </w:r>
      <w:r>
        <w:rPr>
          <w:rFonts w:ascii="Times New Roman" w:hAnsi="Times New Roman" w:cs="Times New Roman" w:eastAsia="Times New Roman" w:hint="default"/>
          <w:spacing w:val="-9"/>
        </w:rPr>
        <w:t> </w:t>
      </w:r>
      <w:r>
        <w:rPr>
          <w:spacing w:val="-5"/>
        </w:rPr>
        <w:t>万元，比期初增加</w:t>
      </w:r>
      <w:r>
        <w:rPr>
          <w:spacing w:val="-62"/>
        </w:rPr>
        <w:t> </w:t>
      </w:r>
      <w:r>
        <w:rPr>
          <w:rFonts w:ascii="Times New Roman" w:hAnsi="Times New Roman" w:cs="Times New Roman" w:eastAsia="Times New Roman" w:hint="default"/>
        </w:rPr>
        <w:t>154.07%</w:t>
      </w:r>
      <w:r>
        <w:rPr/>
        <w:t>，主要原因是本期污水处理项 目投入增加所致。</w:t>
      </w:r>
    </w:p>
    <w:p>
      <w:pPr>
        <w:pStyle w:val="BodyText"/>
        <w:spacing w:line="256" w:lineRule="auto" w:before="22"/>
        <w:ind w:right="125" w:firstLine="211"/>
        <w:jc w:val="left"/>
      </w:pPr>
      <w:r>
        <w:rPr/>
        <w:t>报告期末公司应付票据为 </w:t>
      </w:r>
      <w:r>
        <w:rPr>
          <w:rFonts w:ascii="Times New Roman" w:hAnsi="Times New Roman" w:cs="Times New Roman" w:eastAsia="Times New Roman" w:hint="default"/>
        </w:rPr>
        <w:t>28900 </w:t>
      </w:r>
      <w:r>
        <w:rPr/>
        <w:t>万元，比期初增加</w:t>
      </w:r>
      <w:r>
        <w:rPr>
          <w:spacing w:val="-67"/>
        </w:rPr>
        <w:t> </w:t>
      </w:r>
      <w:r>
        <w:rPr>
          <w:rFonts w:ascii="Times New Roman" w:hAnsi="Times New Roman" w:cs="Times New Roman" w:eastAsia="Times New Roman" w:hint="default"/>
        </w:rPr>
        <w:t>99.31%</w:t>
      </w:r>
      <w:r>
        <w:rPr/>
        <w:t>，主要原因是本期开出的承兑 票据未到承兑期所致。</w:t>
      </w:r>
    </w:p>
    <w:p>
      <w:pPr>
        <w:pStyle w:val="BodyText"/>
        <w:spacing w:line="256" w:lineRule="auto" w:before="22"/>
        <w:ind w:right="125" w:firstLine="211"/>
        <w:jc w:val="left"/>
      </w:pPr>
      <w:r>
        <w:rPr/>
        <w:t>报告期末公司应付职工薪酬为 </w:t>
      </w:r>
      <w:r>
        <w:rPr>
          <w:rFonts w:ascii="Times New Roman" w:hAnsi="Times New Roman" w:cs="Times New Roman" w:eastAsia="Times New Roman" w:hint="default"/>
        </w:rPr>
        <w:t>245 </w:t>
      </w:r>
      <w:r>
        <w:rPr/>
        <w:t>万元，比期初增加</w:t>
      </w:r>
      <w:r>
        <w:rPr>
          <w:spacing w:val="-67"/>
        </w:rPr>
        <w:t> </w:t>
      </w:r>
      <w:r>
        <w:rPr>
          <w:rFonts w:ascii="Times New Roman" w:hAnsi="Times New Roman" w:cs="Times New Roman" w:eastAsia="Times New Roman" w:hint="default"/>
        </w:rPr>
        <w:t>51.33%</w:t>
      </w:r>
      <w:r>
        <w:rPr/>
        <w:t>，主要原因是本期工会经费 及职工教育经费结余所致。</w:t>
      </w:r>
    </w:p>
    <w:p>
      <w:pPr>
        <w:pStyle w:val="BodyText"/>
        <w:spacing w:line="256" w:lineRule="auto" w:before="22"/>
        <w:ind w:right="136" w:hanging="1"/>
        <w:jc w:val="both"/>
      </w:pPr>
      <w:r>
        <w:rPr/>
        <w:t>报告期末公司应交税费为</w:t>
      </w:r>
      <w:r>
        <w:rPr>
          <w:rFonts w:ascii="Times New Roman" w:hAnsi="Times New Roman" w:cs="Times New Roman" w:eastAsia="Times New Roman" w:hint="default"/>
        </w:rPr>
        <w:t>-283 </w:t>
      </w:r>
      <w:r>
        <w:rPr>
          <w:spacing w:val="-6"/>
        </w:rPr>
        <w:t>万元，比期初减少</w:t>
      </w:r>
      <w:r>
        <w:rPr>
          <w:spacing w:val="-84"/>
        </w:rPr>
        <w:t> </w:t>
      </w:r>
      <w:r>
        <w:rPr>
          <w:rFonts w:ascii="Times New Roman" w:hAnsi="Times New Roman" w:cs="Times New Roman" w:eastAsia="Times New Roman" w:hint="default"/>
        </w:rPr>
        <w:t>103.33%</w:t>
      </w:r>
      <w:r>
        <w:rPr/>
        <w:t>，主要原因是本期将全部税款缴纳 所致。</w:t>
      </w:r>
    </w:p>
    <w:p>
      <w:pPr>
        <w:pStyle w:val="BodyText"/>
        <w:spacing w:line="256" w:lineRule="auto" w:before="22"/>
        <w:ind w:right="124" w:firstLine="211"/>
        <w:jc w:val="left"/>
      </w:pPr>
      <w:r>
        <w:rPr/>
        <w:t>报告期末公司其他应付款为 </w:t>
      </w:r>
      <w:r>
        <w:rPr>
          <w:rFonts w:ascii="Times New Roman" w:hAnsi="Times New Roman" w:cs="Times New Roman" w:eastAsia="Times New Roman" w:hint="default"/>
        </w:rPr>
        <w:t>881 </w:t>
      </w:r>
      <w:r>
        <w:rPr/>
        <w:t>万元，比期初减少</w:t>
      </w:r>
      <w:r>
        <w:rPr>
          <w:spacing w:val="-66"/>
        </w:rPr>
        <w:t> </w:t>
      </w:r>
      <w:r>
        <w:rPr>
          <w:rFonts w:ascii="Times New Roman" w:hAnsi="Times New Roman" w:cs="Times New Roman" w:eastAsia="Times New Roman" w:hint="default"/>
        </w:rPr>
        <w:t>48.63%</w:t>
      </w:r>
      <w:r>
        <w:rPr/>
        <w:t>，主要原因是本期对时间较长 的往来款进行清理所致。</w:t>
      </w:r>
    </w:p>
    <w:p>
      <w:pPr>
        <w:pStyle w:val="BodyText"/>
        <w:spacing w:line="256" w:lineRule="auto" w:before="22"/>
        <w:ind w:left="141" w:right="126" w:firstLine="211"/>
        <w:jc w:val="left"/>
      </w:pPr>
      <w:r>
        <w:rPr/>
        <w:t>报告期末公司长期应付款为</w:t>
      </w:r>
      <w:r>
        <w:rPr>
          <w:spacing w:val="-65"/>
        </w:rPr>
        <w:t> </w:t>
      </w:r>
      <w:r>
        <w:rPr>
          <w:rFonts w:ascii="Times New Roman" w:hAnsi="Times New Roman" w:cs="Times New Roman" w:eastAsia="Times New Roman" w:hint="default"/>
        </w:rPr>
        <w:t>5439</w:t>
      </w:r>
      <w:r>
        <w:rPr>
          <w:rFonts w:ascii="Times New Roman" w:hAnsi="Times New Roman" w:cs="Times New Roman" w:eastAsia="Times New Roman" w:hint="default"/>
          <w:spacing w:val="-12"/>
        </w:rPr>
        <w:t> </w:t>
      </w:r>
      <w:r>
        <w:rPr>
          <w:spacing w:val="-4"/>
        </w:rPr>
        <w:t>万元，比期初减少</w:t>
      </w:r>
      <w:r>
        <w:rPr>
          <w:spacing w:val="-65"/>
        </w:rPr>
        <w:t> </w:t>
      </w:r>
      <w:r>
        <w:rPr>
          <w:rFonts w:ascii="Times New Roman" w:hAnsi="Times New Roman" w:cs="Times New Roman" w:eastAsia="Times New Roman" w:hint="default"/>
        </w:rPr>
        <w:t>31.49%</w:t>
      </w:r>
      <w:r>
        <w:rPr/>
        <w:t>，主要原因是公司本期已对融 资租赁款部分偿还所致。</w:t>
      </w:r>
    </w:p>
    <w:p>
      <w:pPr>
        <w:pStyle w:val="BodyText"/>
        <w:spacing w:line="256" w:lineRule="auto" w:before="22"/>
        <w:ind w:left="141" w:right="127" w:firstLine="211"/>
        <w:jc w:val="left"/>
      </w:pPr>
      <w:r>
        <w:rPr/>
        <w:t>报告期末公司其他非流动负债为 </w:t>
      </w:r>
      <w:r>
        <w:rPr>
          <w:rFonts w:ascii="Times New Roman" w:hAnsi="Times New Roman" w:cs="Times New Roman" w:eastAsia="Times New Roman" w:hint="default"/>
        </w:rPr>
        <w:t>2076 </w:t>
      </w:r>
      <w:r>
        <w:rPr/>
        <w:t>万元，比期初增加</w:t>
      </w:r>
      <w:r>
        <w:rPr>
          <w:spacing w:val="-70"/>
        </w:rPr>
        <w:t> </w:t>
      </w:r>
      <w:r>
        <w:rPr>
          <w:rFonts w:ascii="Times New Roman" w:hAnsi="Times New Roman" w:cs="Times New Roman" w:eastAsia="Times New Roman" w:hint="default"/>
        </w:rPr>
        <w:t>130.67%</w:t>
      </w:r>
      <w:r>
        <w:rPr/>
        <w:t>，主要原因是本期收到 财政部节能技术改造资金工艺系统能量优化项目补助款，对本期损益未产生影响。</w:t>
      </w:r>
    </w:p>
    <w:p>
      <w:pPr>
        <w:pStyle w:val="BodyText"/>
        <w:spacing w:line="256" w:lineRule="auto" w:before="22"/>
        <w:ind w:left="141" w:right="128" w:firstLine="211"/>
        <w:jc w:val="left"/>
      </w:pPr>
      <w:r>
        <w:rPr/>
        <w:t>报告期末公司专项储备为</w:t>
      </w:r>
      <w:r>
        <w:rPr>
          <w:spacing w:val="-63"/>
        </w:rPr>
        <w:t> </w:t>
      </w:r>
      <w:r>
        <w:rPr>
          <w:rFonts w:ascii="Times New Roman" w:hAnsi="Times New Roman" w:cs="Times New Roman" w:eastAsia="Times New Roman" w:hint="default"/>
        </w:rPr>
        <w:t>1227</w:t>
      </w:r>
      <w:r>
        <w:rPr>
          <w:rFonts w:ascii="Times New Roman" w:hAnsi="Times New Roman" w:cs="Times New Roman" w:eastAsia="Times New Roman" w:hint="default"/>
          <w:spacing w:val="-10"/>
        </w:rPr>
        <w:t> </w:t>
      </w:r>
      <w:r>
        <w:rPr>
          <w:spacing w:val="-5"/>
        </w:rPr>
        <w:t>万元，比期初增加</w:t>
      </w:r>
      <w:r>
        <w:rPr>
          <w:spacing w:val="-63"/>
        </w:rPr>
        <w:t> </w:t>
      </w:r>
      <w:r>
        <w:rPr>
          <w:rFonts w:ascii="Times New Roman" w:hAnsi="Times New Roman" w:cs="Times New Roman" w:eastAsia="Times New Roman" w:hint="default"/>
        </w:rPr>
        <w:t>92.38%</w:t>
      </w:r>
      <w:r>
        <w:rPr/>
        <w:t>，主要原因是本期计提的安全生 产费用未全部使用所致。</w:t>
      </w:r>
    </w:p>
    <w:p>
      <w:pPr>
        <w:pStyle w:val="BodyText"/>
        <w:spacing w:line="256" w:lineRule="auto" w:before="22"/>
        <w:ind w:left="141" w:right="123" w:firstLine="211"/>
        <w:jc w:val="left"/>
      </w:pPr>
      <w:r>
        <w:rPr/>
        <w:t>报告期营业税金及附加发生额 </w:t>
      </w:r>
      <w:r>
        <w:rPr>
          <w:rFonts w:ascii="Times New Roman" w:hAnsi="Times New Roman" w:cs="Times New Roman" w:eastAsia="Times New Roman" w:hint="default"/>
        </w:rPr>
        <w:t>7 </w:t>
      </w:r>
      <w:r>
        <w:rPr/>
        <w:t>万元，较上年同期减少</w:t>
      </w:r>
      <w:r>
        <w:rPr>
          <w:spacing w:val="-66"/>
        </w:rPr>
        <w:t> </w:t>
      </w:r>
      <w:r>
        <w:rPr>
          <w:rFonts w:ascii="Times New Roman" w:hAnsi="Times New Roman" w:cs="Times New Roman" w:eastAsia="Times New Roman" w:hint="default"/>
        </w:rPr>
        <w:t>95.08%</w:t>
      </w:r>
      <w:r>
        <w:rPr/>
        <w:t>，主要原因是本期实现的 增值税减少所致。</w:t>
      </w:r>
    </w:p>
    <w:p>
      <w:pPr>
        <w:pStyle w:val="BodyText"/>
        <w:spacing w:line="256" w:lineRule="auto" w:before="22"/>
        <w:ind w:left="141" w:right="125" w:firstLine="211"/>
        <w:jc w:val="left"/>
      </w:pPr>
      <w:r>
        <w:rPr/>
        <w:t>报告期管理费用发生额 </w:t>
      </w:r>
      <w:r>
        <w:rPr>
          <w:rFonts w:ascii="Times New Roman" w:hAnsi="Times New Roman" w:cs="Times New Roman" w:eastAsia="Times New Roman" w:hint="default"/>
        </w:rPr>
        <w:t>10316 </w:t>
      </w:r>
      <w:r>
        <w:rPr/>
        <w:t>万元，较上年同期增加</w:t>
      </w:r>
      <w:r>
        <w:rPr>
          <w:spacing w:val="-68"/>
        </w:rPr>
        <w:t> </w:t>
      </w:r>
      <w:r>
        <w:rPr>
          <w:rFonts w:ascii="Times New Roman" w:hAnsi="Times New Roman" w:cs="Times New Roman" w:eastAsia="Times New Roman" w:hint="default"/>
        </w:rPr>
        <w:t>73.86%</w:t>
      </w:r>
      <w:r>
        <w:rPr/>
        <w:t>，主要原因是本期停工期间 的费用在管理费用列支所致。</w:t>
      </w:r>
    </w:p>
    <w:p>
      <w:pPr>
        <w:pStyle w:val="BodyText"/>
        <w:spacing w:line="256" w:lineRule="auto" w:before="22"/>
        <w:ind w:left="141" w:right="134"/>
        <w:jc w:val="both"/>
      </w:pPr>
      <w:r>
        <w:rPr/>
        <w:t>报告期财务费用发生额</w:t>
      </w:r>
      <w:r>
        <w:rPr>
          <w:spacing w:val="-61"/>
        </w:rPr>
        <w:t> </w:t>
      </w:r>
      <w:r>
        <w:rPr>
          <w:rFonts w:ascii="Times New Roman" w:hAnsi="Times New Roman" w:cs="Times New Roman" w:eastAsia="Times New Roman" w:hint="default"/>
        </w:rPr>
        <w:t>3060</w:t>
      </w:r>
      <w:r>
        <w:rPr>
          <w:rFonts w:ascii="Times New Roman" w:hAnsi="Times New Roman" w:cs="Times New Roman" w:eastAsia="Times New Roman" w:hint="default"/>
          <w:spacing w:val="-8"/>
        </w:rPr>
        <w:t> </w:t>
      </w:r>
      <w:r>
        <w:rPr>
          <w:spacing w:val="-4"/>
        </w:rPr>
        <w:t>万元，较上年同期增加</w:t>
      </w:r>
      <w:r>
        <w:rPr>
          <w:spacing w:val="-61"/>
        </w:rPr>
        <w:t> </w:t>
      </w:r>
      <w:r>
        <w:rPr>
          <w:rFonts w:ascii="Times New Roman" w:hAnsi="Times New Roman" w:cs="Times New Roman" w:eastAsia="Times New Roman" w:hint="default"/>
        </w:rPr>
        <w:t>32.29%</w:t>
      </w:r>
      <w:r>
        <w:rPr/>
        <w:t>，主要原因是融资租赁的未确认 融资费用转入本期财务费用所致。</w:t>
      </w:r>
    </w:p>
    <w:p>
      <w:pPr>
        <w:pStyle w:val="BodyText"/>
        <w:spacing w:line="256" w:lineRule="auto" w:before="20"/>
        <w:ind w:right="137"/>
        <w:jc w:val="both"/>
      </w:pPr>
      <w:r>
        <w:rPr/>
        <w:t>报告期资产减值损失发生额</w:t>
      </w:r>
      <w:r>
        <w:rPr>
          <w:spacing w:val="-57"/>
        </w:rPr>
        <w:t> </w:t>
      </w:r>
      <w:r>
        <w:rPr>
          <w:rFonts w:ascii="Times New Roman" w:hAnsi="Times New Roman" w:cs="Times New Roman" w:eastAsia="Times New Roman" w:hint="default"/>
        </w:rPr>
        <w:t>136</w:t>
      </w:r>
      <w:r>
        <w:rPr>
          <w:rFonts w:ascii="Times New Roman" w:hAnsi="Times New Roman" w:cs="Times New Roman" w:eastAsia="Times New Roman" w:hint="default"/>
          <w:spacing w:val="-4"/>
        </w:rPr>
        <w:t> </w:t>
      </w:r>
      <w:r>
        <w:rPr/>
        <w:t>万元，较上年同期减少</w:t>
      </w:r>
      <w:r>
        <w:rPr>
          <w:spacing w:val="-57"/>
        </w:rPr>
        <w:t> </w:t>
      </w:r>
      <w:r>
        <w:rPr>
          <w:rFonts w:ascii="Times New Roman" w:hAnsi="Times New Roman" w:cs="Times New Roman" w:eastAsia="Times New Roman" w:hint="default"/>
        </w:rPr>
        <w:t>94.07</w:t>
      </w:r>
      <w:r>
        <w:rPr>
          <w:rFonts w:ascii="Times New Roman" w:hAnsi="Times New Roman" w:cs="Times New Roman" w:eastAsia="Times New Roman" w:hint="default"/>
          <w:spacing w:val="-4"/>
        </w:rPr>
        <w:t> </w:t>
      </w:r>
      <w:r>
        <w:rPr>
          <w:rFonts w:ascii="Times New Roman" w:hAnsi="Times New Roman" w:cs="Times New Roman" w:eastAsia="Times New Roman" w:hint="default"/>
        </w:rPr>
        <w:t>%</w:t>
      </w:r>
      <w:r>
        <w:rPr/>
        <w:t>，主要原因是本期坏账准备 转回及本期计提存货跌价准备金额较上期减少所致。</w:t>
      </w:r>
    </w:p>
    <w:p>
      <w:pPr>
        <w:pStyle w:val="BodyText"/>
        <w:spacing w:line="256" w:lineRule="auto" w:before="22"/>
        <w:ind w:right="128" w:firstLine="210"/>
        <w:jc w:val="left"/>
      </w:pPr>
      <w:r>
        <w:rPr/>
        <w:t>报告期营业外收入发生额</w:t>
      </w:r>
      <w:r>
        <w:rPr>
          <w:spacing w:val="-62"/>
        </w:rPr>
        <w:t> </w:t>
      </w:r>
      <w:r>
        <w:rPr>
          <w:rFonts w:ascii="Times New Roman" w:hAnsi="Times New Roman" w:cs="Times New Roman" w:eastAsia="Times New Roman" w:hint="default"/>
        </w:rPr>
        <w:t>15867</w:t>
      </w:r>
      <w:r>
        <w:rPr>
          <w:rFonts w:ascii="Times New Roman" w:hAnsi="Times New Roman" w:cs="Times New Roman" w:eastAsia="Times New Roman" w:hint="default"/>
          <w:spacing w:val="-10"/>
        </w:rPr>
        <w:t> </w:t>
      </w:r>
      <w:r>
        <w:rPr>
          <w:spacing w:val="-4"/>
        </w:rPr>
        <w:t>万元，较上年同期增加</w:t>
      </w:r>
      <w:r>
        <w:rPr>
          <w:spacing w:val="-62"/>
        </w:rPr>
        <w:t> </w:t>
      </w:r>
      <w:r>
        <w:rPr>
          <w:rFonts w:ascii="Times New Roman" w:hAnsi="Times New Roman" w:cs="Times New Roman" w:eastAsia="Times New Roman" w:hint="default"/>
        </w:rPr>
        <w:t>54829.25%</w:t>
      </w:r>
      <w:r>
        <w:rPr/>
        <w:t>，主要原因是齐齐哈尔 市财政局向公司拨付化肥生产补贴款所致。</w:t>
      </w:r>
    </w:p>
    <w:p>
      <w:pPr>
        <w:pStyle w:val="BodyText"/>
        <w:spacing w:line="256" w:lineRule="auto" w:before="22"/>
        <w:ind w:right="126" w:firstLine="211"/>
        <w:jc w:val="left"/>
      </w:pPr>
      <w:r>
        <w:rPr/>
        <w:t>报告期营业外支出发生额</w:t>
      </w:r>
      <w:r>
        <w:rPr>
          <w:spacing w:val="-62"/>
        </w:rPr>
        <w:t> </w:t>
      </w:r>
      <w:r>
        <w:rPr>
          <w:rFonts w:ascii="Times New Roman" w:hAnsi="Times New Roman" w:cs="Times New Roman" w:eastAsia="Times New Roman" w:hint="default"/>
        </w:rPr>
        <w:t>15</w:t>
      </w:r>
      <w:r>
        <w:rPr>
          <w:rFonts w:ascii="Times New Roman" w:hAnsi="Times New Roman" w:cs="Times New Roman" w:eastAsia="Times New Roman" w:hint="default"/>
          <w:spacing w:val="-9"/>
        </w:rPr>
        <w:t> </w:t>
      </w:r>
      <w:r>
        <w:rPr>
          <w:spacing w:val="-4"/>
        </w:rPr>
        <w:t>万元，较上年同期减少</w:t>
      </w:r>
      <w:r>
        <w:rPr>
          <w:spacing w:val="-62"/>
        </w:rPr>
        <w:t> </w:t>
      </w:r>
      <w:r>
        <w:rPr>
          <w:rFonts w:ascii="Times New Roman" w:hAnsi="Times New Roman" w:cs="Times New Roman" w:eastAsia="Times New Roman" w:hint="default"/>
        </w:rPr>
        <w:t>88.38%</w:t>
      </w:r>
      <w:r>
        <w:rPr/>
        <w:t>，主要原因是本期固定资产报 废损失金额较上期减少所致。</w:t>
      </w:r>
    </w:p>
    <w:p>
      <w:pPr>
        <w:pStyle w:val="BodyText"/>
        <w:spacing w:line="256" w:lineRule="auto" w:before="22"/>
        <w:ind w:right="129" w:firstLine="211"/>
        <w:jc w:val="left"/>
      </w:pPr>
      <w:r>
        <w:rPr/>
        <w:t>报告期经营活动产生现金流净额为</w:t>
      </w:r>
      <w:r>
        <w:rPr>
          <w:spacing w:val="-59"/>
        </w:rPr>
        <w:t> </w:t>
      </w:r>
      <w:r>
        <w:rPr>
          <w:rFonts w:ascii="Times New Roman" w:hAnsi="Times New Roman" w:cs="Times New Roman" w:eastAsia="Times New Roman" w:hint="default"/>
        </w:rPr>
        <w:t>19734</w:t>
      </w:r>
      <w:r>
        <w:rPr>
          <w:rFonts w:ascii="Times New Roman" w:hAnsi="Times New Roman" w:cs="Times New Roman" w:eastAsia="Times New Roman" w:hint="default"/>
          <w:spacing w:val="-6"/>
        </w:rPr>
        <w:t> </w:t>
      </w:r>
      <w:r>
        <w:rPr/>
        <w:t>万元，较上年同期</w:t>
      </w:r>
      <w:r>
        <w:rPr>
          <w:rFonts w:ascii="Times New Roman" w:hAnsi="Times New Roman" w:cs="Times New Roman" w:eastAsia="Times New Roman" w:hint="default"/>
        </w:rPr>
        <w:t>-3388</w:t>
      </w:r>
      <w:r>
        <w:rPr>
          <w:rFonts w:ascii="Times New Roman" w:hAnsi="Times New Roman" w:cs="Times New Roman" w:eastAsia="Times New Roman" w:hint="default"/>
          <w:spacing w:val="-6"/>
        </w:rPr>
        <w:t> </w:t>
      </w:r>
      <w:r>
        <w:rPr/>
        <w:t>万元相比，变化的主要 原因是齐齐哈尔市财政局向公司拨付化肥生产补贴款及现款回款增加所致。</w:t>
      </w:r>
    </w:p>
    <w:p>
      <w:pPr>
        <w:pStyle w:val="BodyText"/>
        <w:spacing w:line="256" w:lineRule="auto" w:before="22"/>
        <w:ind w:right="0" w:firstLine="211"/>
        <w:jc w:val="left"/>
      </w:pPr>
      <w:r>
        <w:rPr/>
        <w:t>报告期投资活动产生现金流净额为</w:t>
      </w:r>
      <w:r>
        <w:rPr>
          <w:rFonts w:ascii="Times New Roman" w:hAnsi="Times New Roman" w:cs="Times New Roman" w:eastAsia="Times New Roman" w:hint="default"/>
        </w:rPr>
        <w:t>-2645 </w:t>
      </w:r>
      <w:r>
        <w:rPr/>
        <w:t>万元，较上年同期 </w:t>
      </w:r>
      <w:r>
        <w:rPr>
          <w:rFonts w:ascii="Times New Roman" w:hAnsi="Times New Roman" w:cs="Times New Roman" w:eastAsia="Times New Roman" w:hint="default"/>
        </w:rPr>
        <w:t>6315</w:t>
      </w:r>
      <w:r>
        <w:rPr>
          <w:rFonts w:ascii="Times New Roman" w:hAnsi="Times New Roman" w:cs="Times New Roman" w:eastAsia="Times New Roman" w:hint="default"/>
          <w:spacing w:val="-15"/>
        </w:rPr>
        <w:t> </w:t>
      </w:r>
      <w:r>
        <w:rPr/>
        <w:t>万元相比，变化的主要 原因是公司本期未处置资产所致。</w:t>
      </w:r>
    </w:p>
    <w:p>
      <w:pPr>
        <w:pStyle w:val="BodyText"/>
        <w:spacing w:line="256" w:lineRule="auto" w:before="22"/>
        <w:ind w:right="128" w:firstLine="211"/>
        <w:jc w:val="left"/>
      </w:pPr>
      <w:r>
        <w:rPr/>
        <w:t>报告期筹资活动产生现金流净额为</w:t>
      </w:r>
      <w:r>
        <w:rPr>
          <w:rFonts w:ascii="Times New Roman" w:hAnsi="Times New Roman" w:cs="Times New Roman" w:eastAsia="Times New Roman" w:hint="default"/>
        </w:rPr>
        <w:t>-14269</w:t>
      </w:r>
      <w:r>
        <w:rPr>
          <w:rFonts w:ascii="Times New Roman" w:hAnsi="Times New Roman" w:cs="Times New Roman" w:eastAsia="Times New Roman" w:hint="default"/>
          <w:spacing w:val="-5"/>
        </w:rPr>
        <w:t> </w:t>
      </w:r>
      <w:r>
        <w:rPr/>
        <w:t>万元，较上年同期</w:t>
      </w:r>
      <w:r>
        <w:rPr>
          <w:spacing w:val="-59"/>
        </w:rPr>
        <w:t> </w:t>
      </w:r>
      <w:r>
        <w:rPr>
          <w:rFonts w:ascii="Times New Roman" w:hAnsi="Times New Roman" w:cs="Times New Roman" w:eastAsia="Times New Roman" w:hint="default"/>
        </w:rPr>
        <w:t>8919</w:t>
      </w:r>
      <w:r>
        <w:rPr>
          <w:rFonts w:ascii="Times New Roman" w:hAnsi="Times New Roman" w:cs="Times New Roman" w:eastAsia="Times New Roman" w:hint="default"/>
          <w:spacing w:val="-6"/>
        </w:rPr>
        <w:t> </w:t>
      </w:r>
      <w:r>
        <w:rPr/>
        <w:t>元相比，变化主要原因 是公司本期偿还借款增加所致。</w:t>
      </w:r>
    </w:p>
    <w:p>
      <w:pPr>
        <w:spacing w:after="0" w:line="256" w:lineRule="auto"/>
        <w:jc w:val="left"/>
        <w:sectPr>
          <w:pgSz w:w="11910" w:h="16840"/>
          <w:pgMar w:header="877" w:footer="982" w:top="1100" w:bottom="1180" w:left="1660" w:right="1660"/>
        </w:sectPr>
      </w:pPr>
    </w:p>
    <w:p>
      <w:pPr>
        <w:spacing w:line="240" w:lineRule="auto" w:before="9"/>
        <w:rPr>
          <w:rFonts w:ascii="宋体" w:hAnsi="宋体" w:cs="宋体" w:eastAsia="宋体" w:hint="default"/>
          <w:sz w:val="20"/>
          <w:szCs w:val="20"/>
        </w:rPr>
      </w:pPr>
    </w:p>
    <w:p>
      <w:pPr>
        <w:pStyle w:val="BodyText"/>
        <w:spacing w:line="240" w:lineRule="auto" w:before="35"/>
        <w:ind w:right="999"/>
        <w:jc w:val="left"/>
      </w:pPr>
      <w:r>
        <w:rPr/>
        <w:t>公司是否披露过盈利预测或经营计划：否</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1</w:t>
      </w:r>
      <w:r>
        <w:rPr/>
        <w:t>、</w:t>
      </w:r>
      <w:r>
        <w:rPr>
          <w:spacing w:val="-2"/>
        </w:rPr>
        <w:t> </w:t>
      </w:r>
      <w:r>
        <w:rPr/>
        <w:t>公司主营业务及其经营状况</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主营业务分行业、产品情况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3081" w:space="3324"/>
            <w:col w:w="316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175"/>
        <w:gridCol w:w="1529"/>
        <w:gridCol w:w="1529"/>
        <w:gridCol w:w="1174"/>
        <w:gridCol w:w="1175"/>
        <w:gridCol w:w="1174"/>
        <w:gridCol w:w="1546"/>
      </w:tblGrid>
      <w:tr>
        <w:trPr>
          <w:trHeight w:val="950" w:hRule="exact"/>
        </w:trPr>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263" w:right="158" w:hanging="105"/>
              <w:jc w:val="left"/>
              <w:rPr>
                <w:rFonts w:ascii="宋体" w:hAnsi="宋体" w:cs="宋体" w:eastAsia="宋体" w:hint="default"/>
                <w:sz w:val="21"/>
                <w:szCs w:val="21"/>
              </w:rPr>
            </w:pPr>
            <w:r>
              <w:rPr>
                <w:rFonts w:ascii="宋体" w:hAnsi="宋体" w:cs="宋体" w:eastAsia="宋体" w:hint="default"/>
                <w:sz w:val="21"/>
                <w:szCs w:val="21"/>
              </w:rPr>
              <w:t>分行业或 分产品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337"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16" w:right="157"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营业利润 率</w:t>
            </w:r>
            <w:r>
              <w:rPr>
                <w:rFonts w:ascii="Times New Roman" w:hAnsi="Times New Roman" w:cs="Times New Roman" w:eastAsia="Times New Roman" w:hint="default"/>
                <w:sz w:val="21"/>
                <w:szCs w:val="21"/>
              </w:rPr>
              <w:t>(%)</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9" w:right="0"/>
              <w:jc w:val="left"/>
              <w:rPr>
                <w:rFonts w:ascii="宋体" w:hAnsi="宋体" w:cs="宋体" w:eastAsia="宋体" w:hint="default"/>
                <w:sz w:val="21"/>
                <w:szCs w:val="21"/>
              </w:rPr>
            </w:pPr>
            <w:r>
              <w:rPr>
                <w:rFonts w:ascii="宋体" w:hAnsi="宋体" w:cs="宋体" w:eastAsia="宋体" w:hint="default"/>
                <w:sz w:val="21"/>
                <w:szCs w:val="21"/>
              </w:rPr>
              <w:t>营业收入</w:t>
            </w:r>
          </w:p>
          <w:p>
            <w:pPr>
              <w:pStyle w:val="TableParagraph"/>
              <w:spacing w:line="273" w:lineRule="auto" w:before="37"/>
              <w:ind w:left="316" w:right="158"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59" w:right="0"/>
              <w:jc w:val="left"/>
              <w:rPr>
                <w:rFonts w:ascii="宋体" w:hAnsi="宋体" w:cs="宋体" w:eastAsia="宋体" w:hint="default"/>
                <w:sz w:val="21"/>
                <w:szCs w:val="21"/>
              </w:rPr>
            </w:pPr>
            <w:r>
              <w:rPr>
                <w:rFonts w:ascii="宋体" w:hAnsi="宋体" w:cs="宋体" w:eastAsia="宋体" w:hint="default"/>
                <w:sz w:val="21"/>
                <w:szCs w:val="21"/>
              </w:rPr>
              <w:t>营业成本</w:t>
            </w:r>
          </w:p>
          <w:p>
            <w:pPr>
              <w:pStyle w:val="TableParagraph"/>
              <w:spacing w:line="273" w:lineRule="auto" w:before="37"/>
              <w:ind w:left="317" w:right="157" w:hanging="158"/>
              <w:jc w:val="left"/>
              <w:rPr>
                <w:rFonts w:ascii="Times New Roman" w:hAnsi="Times New Roman" w:cs="Times New Roman" w:eastAsia="Times New Roman" w:hint="default"/>
                <w:sz w:val="21"/>
                <w:szCs w:val="21"/>
              </w:rPr>
            </w:pPr>
            <w:r>
              <w:rPr>
                <w:rFonts w:ascii="宋体" w:hAnsi="宋体" w:cs="宋体" w:eastAsia="宋体" w:hint="default"/>
                <w:sz w:val="21"/>
                <w:szCs w:val="21"/>
              </w:rPr>
              <w:t>比上年增 减</w:t>
            </w:r>
            <w:r>
              <w:rPr>
                <w:rFonts w:ascii="Times New Roman" w:hAnsi="Times New Roman" w:cs="Times New Roman" w:eastAsia="Times New Roman" w:hint="default"/>
                <w:sz w:val="21"/>
                <w:szCs w:val="21"/>
              </w:rPr>
              <w:t>(%)</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1" w:right="-5" w:firstLine="34"/>
              <w:jc w:val="left"/>
              <w:rPr>
                <w:rFonts w:ascii="宋体" w:hAnsi="宋体" w:cs="宋体" w:eastAsia="宋体" w:hint="default"/>
                <w:sz w:val="21"/>
                <w:szCs w:val="21"/>
              </w:rPr>
            </w:pPr>
            <w:r>
              <w:rPr>
                <w:rFonts w:ascii="宋体" w:hAnsi="宋体" w:cs="宋体" w:eastAsia="宋体" w:hint="default"/>
                <w:sz w:val="21"/>
                <w:szCs w:val="21"/>
              </w:rPr>
              <w:t>营业利润率比 上年增减（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分产品</w:t>
            </w:r>
          </w:p>
        </w:tc>
      </w:tr>
      <w:tr>
        <w:trPr>
          <w:trHeight w:val="638" w:hRule="exact"/>
        </w:trPr>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984,841,098.15</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916,683,091.77</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6.92</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30.24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14.69</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1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20.4</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个百</w:t>
            </w:r>
          </w:p>
          <w:p>
            <w:pPr>
              <w:pStyle w:val="TableParagraph"/>
              <w:spacing w:line="240" w:lineRule="auto" w:before="21"/>
              <w:ind w:left="1010"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640" w:hRule="exact"/>
        </w:trPr>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245,397,456.37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290,236,046.19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-18.27</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-26.02</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-13.35</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2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12.35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40" w:lineRule="auto" w:before="21"/>
              <w:ind w:left="800"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8" w:hRule="exact"/>
        </w:trPr>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130,494,035.31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121,134,831.64</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7.17</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45.28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33.13</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1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8.47</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个百</w:t>
            </w:r>
          </w:p>
          <w:p>
            <w:pPr>
              <w:pStyle w:val="TableParagraph"/>
              <w:spacing w:line="240" w:lineRule="auto" w:before="21"/>
              <w:ind w:left="1010"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640" w:hRule="exact"/>
        </w:trPr>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58,288,589.69</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48,590,428.48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19.96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10.29</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-18</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23"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32.65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w:t>
            </w:r>
          </w:p>
          <w:p>
            <w:pPr>
              <w:pStyle w:val="TableParagraph"/>
              <w:spacing w:line="240" w:lineRule="auto" w:before="21"/>
              <w:ind w:left="800" w:right="0"/>
              <w:jc w:val="left"/>
              <w:rPr>
                <w:rFonts w:ascii="宋体" w:hAnsi="宋体" w:cs="宋体" w:eastAsia="宋体" w:hint="default"/>
                <w:sz w:val="21"/>
                <w:szCs w:val="21"/>
              </w:rPr>
            </w:pPr>
            <w:r>
              <w:rPr>
                <w:rFonts w:ascii="宋体" w:hAnsi="宋体" w:cs="宋体" w:eastAsia="宋体" w:hint="default"/>
                <w:sz w:val="21"/>
                <w:szCs w:val="21"/>
              </w:rPr>
              <w:t>百分点</w:t>
            </w:r>
          </w:p>
        </w:tc>
      </w:tr>
      <w:tr>
        <w:trPr>
          <w:trHeight w:val="638" w:hRule="exact"/>
        </w:trPr>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31,223,951.31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32,652,177.75</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w w:val="95"/>
                <w:sz w:val="21"/>
              </w:rPr>
              <w:t>-5</w:t>
            </w:r>
            <w:r>
              <w:rPr>
                <w:rFonts w:ascii="Times New Roman"/>
                <w:sz w:val="21"/>
              </w:rPr>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18</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16</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23" w:right="0"/>
              <w:jc w:val="left"/>
              <w:rPr>
                <w:rFonts w:ascii="宋体" w:hAnsi="宋体" w:cs="宋体" w:eastAsia="宋体" w:hint="default"/>
                <w:sz w:val="21"/>
                <w:szCs w:val="21"/>
              </w:rPr>
            </w:pPr>
            <w:r>
              <w:rPr>
                <w:rFonts w:ascii="宋体" w:hAnsi="宋体" w:cs="宋体" w:eastAsia="宋体" w:hint="default"/>
                <w:sz w:val="21"/>
                <w:szCs w:val="21"/>
              </w:rPr>
              <w:t>减少</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个百</w:t>
            </w:r>
          </w:p>
          <w:p>
            <w:pPr>
              <w:pStyle w:val="TableParagraph"/>
              <w:spacing w:line="240" w:lineRule="auto" w:before="21"/>
              <w:ind w:left="1010" w:right="0"/>
              <w:jc w:val="left"/>
              <w:rPr>
                <w:rFonts w:ascii="宋体" w:hAnsi="宋体" w:cs="宋体" w:eastAsia="宋体" w:hint="default"/>
                <w:sz w:val="21"/>
                <w:szCs w:val="21"/>
              </w:rPr>
            </w:pPr>
            <w:r>
              <w:rPr>
                <w:rFonts w:ascii="宋体" w:hAnsi="宋体" w:cs="宋体" w:eastAsia="宋体" w:hint="default"/>
                <w:sz w:val="21"/>
                <w:szCs w:val="21"/>
              </w:rPr>
              <w:t>分点</w:t>
            </w:r>
          </w:p>
        </w:tc>
      </w:tr>
      <w:tr>
        <w:trPr>
          <w:trHeight w:val="640" w:hRule="exact"/>
        </w:trPr>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17,065,150.97</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31,681,481.81</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-86</w:t>
            </w:r>
          </w:p>
        </w:tc>
        <w:tc>
          <w:tcPr>
            <w:tcW w:w="117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z w:val="21"/>
              </w:rPr>
              <w:t>-70</w:t>
            </w:r>
          </w:p>
        </w:tc>
        <w:tc>
          <w:tcPr>
            <w:tcW w:w="11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z w:val="21"/>
              </w:rPr>
              <w:t>-71</w:t>
            </w:r>
          </w:p>
        </w:tc>
        <w:tc>
          <w:tcPr>
            <w:tcW w:w="154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17" w:right="0"/>
              <w:jc w:val="left"/>
              <w:rPr>
                <w:rFonts w:ascii="宋体" w:hAnsi="宋体" w:cs="宋体" w:eastAsia="宋体" w:hint="default"/>
                <w:sz w:val="21"/>
                <w:szCs w:val="21"/>
              </w:rPr>
            </w:pPr>
            <w:r>
              <w:rPr>
                <w:rFonts w:ascii="宋体" w:hAnsi="宋体" w:cs="宋体" w:eastAsia="宋体" w:hint="default"/>
                <w:sz w:val="21"/>
                <w:szCs w:val="21"/>
              </w:rPr>
              <w:t>增加</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8.18</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个百</w:t>
            </w:r>
          </w:p>
          <w:p>
            <w:pPr>
              <w:pStyle w:val="TableParagraph"/>
              <w:spacing w:line="240" w:lineRule="auto" w:before="21"/>
              <w:ind w:left="1010" w:right="0"/>
              <w:jc w:val="left"/>
              <w:rPr>
                <w:rFonts w:ascii="宋体" w:hAnsi="宋体" w:cs="宋体" w:eastAsia="宋体" w:hint="default"/>
                <w:sz w:val="21"/>
                <w:szCs w:val="21"/>
              </w:rPr>
            </w:pPr>
            <w:r>
              <w:rPr>
                <w:rFonts w:ascii="宋体" w:hAnsi="宋体" w:cs="宋体" w:eastAsia="宋体" w:hint="default"/>
                <w:sz w:val="21"/>
                <w:szCs w:val="21"/>
              </w:rPr>
              <w:t>分点</w:t>
            </w:r>
          </w:p>
        </w:tc>
      </w:tr>
    </w:tbl>
    <w:p>
      <w:pPr>
        <w:pStyle w:val="BodyText"/>
        <w:spacing w:line="260" w:lineRule="exact"/>
        <w:ind w:right="999"/>
        <w:jc w:val="left"/>
      </w:pPr>
      <w:r>
        <w:rPr>
          <w:spacing w:val="-3"/>
        </w:rPr>
        <w:t>公司所属行业为炼焦及煤化工行业，经营范围是生产与销售焦炭及焦化产品、化学肥料、甲</w:t>
      </w:r>
    </w:p>
    <w:p>
      <w:pPr>
        <w:pStyle w:val="BodyText"/>
        <w:spacing w:line="240" w:lineRule="auto" w:before="37"/>
        <w:ind w:right="999"/>
        <w:jc w:val="left"/>
      </w:pPr>
      <w:r>
        <w:rPr/>
        <w:t>醇等。</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主营业务分地区情况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442"/>
        <w:gridCol w:w="3006"/>
        <w:gridCol w:w="3852"/>
      </w:tblGrid>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8" w:right="0"/>
              <w:jc w:val="left"/>
              <w:rPr>
                <w:rFonts w:ascii="宋体" w:hAnsi="宋体" w:cs="宋体" w:eastAsia="宋体" w:hint="default"/>
                <w:sz w:val="21"/>
                <w:szCs w:val="21"/>
              </w:rPr>
            </w:pPr>
            <w:r>
              <w:rPr>
                <w:rFonts w:ascii="宋体" w:hAnsi="宋体" w:cs="宋体" w:eastAsia="宋体" w:hint="default"/>
                <w:sz w:val="21"/>
                <w:szCs w:val="21"/>
              </w:rPr>
              <w:t>营业收入比上年增减（％）</w:t>
            </w:r>
          </w:p>
        </w:tc>
      </w:tr>
      <w:tr>
        <w:trPr>
          <w:trHeight w:val="328" w:hRule="exact"/>
        </w:trPr>
        <w:tc>
          <w:tcPr>
            <w:tcW w:w="2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东北及内蒙地区</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419" w:right="0"/>
              <w:jc w:val="left"/>
              <w:rPr>
                <w:rFonts w:ascii="Times New Roman" w:hAnsi="Times New Roman" w:cs="Times New Roman" w:eastAsia="Times New Roman" w:hint="default"/>
                <w:sz w:val="21"/>
                <w:szCs w:val="21"/>
              </w:rPr>
            </w:pPr>
            <w:r>
              <w:rPr>
                <w:rFonts w:ascii="Times New Roman"/>
                <w:sz w:val="21"/>
              </w:rPr>
              <w:t>1,477,059,812.99</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12</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w:t>
      </w:r>
      <w:r>
        <w:rPr/>
        <w:t>、</w:t>
      </w:r>
      <w:r>
        <w:rPr>
          <w:spacing w:val="-2"/>
        </w:rPr>
        <w:t> </w:t>
      </w:r>
      <w:r>
        <w:rPr/>
        <w:t>对公司未来发展的展望</w:t>
      </w:r>
    </w:p>
    <w:p>
      <w:pPr>
        <w:pStyle w:val="BodyText"/>
        <w:spacing w:line="240" w:lineRule="auto" w:before="83"/>
        <w:ind w:right="9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公司是否编制并披露新年度的盈利预测：否</w:t>
      </w:r>
    </w:p>
    <w:p>
      <w:pPr>
        <w:spacing w:line="240" w:lineRule="auto" w:before="3"/>
        <w:rPr>
          <w:rFonts w:ascii="宋体" w:hAnsi="宋体" w:cs="宋体" w:eastAsia="宋体" w:hint="default"/>
          <w:sz w:val="30"/>
          <w:szCs w:val="30"/>
        </w:rPr>
      </w:pPr>
    </w:p>
    <w:p>
      <w:pPr>
        <w:pStyle w:val="BodyText"/>
        <w:spacing w:line="283" w:lineRule="auto"/>
        <w:ind w:left="139" w:right="7693"/>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公司投资情况</w:t>
      </w:r>
      <w:r>
        <w:rPr>
          <w:w w:val="99"/>
        </w:rPr>
        <w:t> </w:t>
      </w:r>
      <w:r>
        <w:rPr/>
        <w:t>被投资的公司情况</w:t>
      </w:r>
    </w:p>
    <w:tbl>
      <w:tblPr>
        <w:tblW w:w="0" w:type="auto"/>
        <w:jc w:val="left"/>
        <w:tblInd w:w="124" w:type="dxa"/>
        <w:tblLayout w:type="fixed"/>
        <w:tblCellMar>
          <w:top w:w="0" w:type="dxa"/>
          <w:left w:w="0" w:type="dxa"/>
          <w:bottom w:w="0" w:type="dxa"/>
          <w:right w:w="0" w:type="dxa"/>
        </w:tblCellMar>
        <w:tblLook w:val="01E0"/>
      </w:tblPr>
      <w:tblGrid>
        <w:gridCol w:w="2348"/>
        <w:gridCol w:w="2066"/>
        <w:gridCol w:w="2537"/>
        <w:gridCol w:w="2348"/>
      </w:tblGrid>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26" w:right="0"/>
              <w:jc w:val="left"/>
              <w:rPr>
                <w:rFonts w:ascii="宋体" w:hAnsi="宋体" w:cs="宋体" w:eastAsia="宋体" w:hint="default"/>
                <w:sz w:val="21"/>
                <w:szCs w:val="21"/>
              </w:rPr>
            </w:pPr>
            <w:r>
              <w:rPr>
                <w:rFonts w:ascii="宋体" w:hAnsi="宋体" w:cs="宋体" w:eastAsia="宋体" w:hint="default"/>
                <w:sz w:val="21"/>
                <w:szCs w:val="21"/>
              </w:rPr>
              <w:t>被投资的公司名称</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95" w:right="0"/>
              <w:jc w:val="left"/>
              <w:rPr>
                <w:rFonts w:ascii="宋体" w:hAnsi="宋体" w:cs="宋体" w:eastAsia="宋体" w:hint="default"/>
                <w:sz w:val="21"/>
                <w:szCs w:val="21"/>
              </w:rPr>
            </w:pPr>
            <w:r>
              <w:rPr>
                <w:rFonts w:ascii="宋体" w:hAnsi="宋体" w:cs="宋体" w:eastAsia="宋体" w:hint="default"/>
                <w:sz w:val="21"/>
                <w:szCs w:val="21"/>
              </w:rPr>
              <w:t>主要经营活动</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占被投资公司权益的比例</w:t>
            </w:r>
          </w:p>
          <w:p>
            <w:pPr>
              <w:pStyle w:val="TableParagraph"/>
              <w:spacing w:line="240" w:lineRule="auto" w:before="86"/>
              <w:ind w:right="0"/>
              <w:jc w:val="center"/>
              <w:rPr>
                <w:rFonts w:ascii="Times New Roman" w:hAnsi="Times New Roman" w:cs="Times New Roman" w:eastAsia="Times New Roman" w:hint="default"/>
                <w:sz w:val="21"/>
                <w:szCs w:val="21"/>
              </w:rPr>
            </w:pPr>
            <w:r>
              <w:rPr>
                <w:rFonts w:ascii="Times New Roman"/>
                <w:sz w:val="21"/>
              </w:rPr>
              <w:t>(%)</w:t>
            </w:r>
          </w:p>
        </w:tc>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黑龙江黑化集团中美碧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碧肥有限责任公司</w:t>
            </w:r>
          </w:p>
        </w:tc>
        <w:tc>
          <w:tcPr>
            <w:tcW w:w="20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复合肥的生产销售</w:t>
            </w:r>
          </w:p>
        </w:tc>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64.66</w:t>
            </w:r>
          </w:p>
        </w:tc>
        <w:tc>
          <w:tcPr>
            <w:tcW w:w="23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7"/>
        <w:rPr>
          <w:rFonts w:ascii="宋体" w:hAnsi="宋体" w:cs="宋体" w:eastAsia="宋体" w:hint="default"/>
          <w:sz w:val="23"/>
          <w:szCs w:val="23"/>
        </w:rPr>
      </w:pPr>
    </w:p>
    <w:p>
      <w:pPr>
        <w:pStyle w:val="BodyText"/>
        <w:spacing w:line="283" w:lineRule="auto" w:before="35"/>
        <w:ind w:left="351" w:right="3313" w:hanging="212"/>
        <w:jc w:val="left"/>
      </w:pPr>
      <w:r>
        <w:rPr>
          <w:rFonts w:ascii="Times New Roman" w:hAnsi="Times New Roman" w:cs="Times New Roman" w:eastAsia="Times New Roman" w:hint="default"/>
        </w:rPr>
        <w:t>1</w:t>
      </w:r>
      <w:r>
        <w:rPr/>
        <w:t>、</w:t>
      </w:r>
      <w:r>
        <w:rPr>
          <w:spacing w:val="-1"/>
        </w:rPr>
        <w:t> </w:t>
      </w:r>
      <w:r>
        <w:rPr/>
        <w:t>募集资金使用情况</w:t>
      </w:r>
      <w:r>
        <w:rPr/>
        <w:t> 报告期内，公司无募集资金或前期募集资金使用到本期的情况。</w:t>
      </w:r>
    </w:p>
    <w:p>
      <w:pPr>
        <w:spacing w:after="0" w:line="283" w:lineRule="auto"/>
        <w:jc w:val="left"/>
        <w:sectPr>
          <w:type w:val="continuous"/>
          <w:pgSz w:w="11910" w:h="16840"/>
          <w:pgMar w:top="1600" w:bottom="2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83" w:lineRule="auto" w:before="35"/>
        <w:ind w:left="560" w:right="5204" w:hanging="420"/>
        <w:jc w:val="left"/>
      </w:pPr>
      <w:r>
        <w:rPr>
          <w:rFonts w:ascii="Times New Roman" w:hAnsi="Times New Roman" w:cs="Times New Roman" w:eastAsia="Times New Roman" w:hint="default"/>
        </w:rPr>
        <w:t>2</w:t>
      </w:r>
      <w:r>
        <w:rPr/>
        <w:t>、</w:t>
      </w:r>
      <w:r>
        <w:rPr>
          <w:spacing w:val="-1"/>
        </w:rPr>
        <w:t> </w:t>
      </w:r>
      <w:r>
        <w:rPr/>
        <w:t>非募集资金项目情况</w:t>
      </w:r>
      <w:r>
        <w:rPr/>
        <w:t> 报告期内，公司无非募集资金投资项目。</w:t>
      </w:r>
    </w:p>
    <w:p>
      <w:pPr>
        <w:spacing w:line="240" w:lineRule="auto" w:before="2"/>
        <w:rPr>
          <w:rFonts w:ascii="宋体" w:hAnsi="宋体" w:cs="宋体" w:eastAsia="宋体" w:hint="default"/>
          <w:sz w:val="26"/>
          <w:szCs w:val="26"/>
        </w:rPr>
      </w:pPr>
    </w:p>
    <w:p>
      <w:pPr>
        <w:pStyle w:val="BodyText"/>
        <w:spacing w:line="309" w:lineRule="auto"/>
        <w:ind w:right="99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1"/>
        </w:rPr>
        <w:t> </w:t>
      </w:r>
      <w:r>
        <w:rPr/>
        <w:t>陈述董事会对公司会计政策、会计估计变更、重大会计差错更正、重大遗漏信息补充</w:t>
      </w:r>
      <w:r>
        <w:rPr>
          <w:w w:val="99"/>
        </w:rPr>
        <w:t> </w:t>
      </w:r>
      <w:r>
        <w:rPr>
          <w:spacing w:val="-3"/>
          <w:w w:val="99"/>
        </w:rPr>
        <w:t>以及业绩预告修正的原因及影响的讨论结果，以及对有关责任人采取的问责措施及处理结果</w:t>
      </w:r>
      <w:r>
        <w:rPr>
          <w:spacing w:val="-3"/>
        </w:rPr>
      </w:r>
    </w:p>
    <w:p>
      <w:pPr>
        <w:pStyle w:val="BodyText"/>
        <w:spacing w:line="273" w:lineRule="auto" w:before="7"/>
        <w:ind w:right="999" w:firstLine="211"/>
        <w:jc w:val="left"/>
      </w:pPr>
      <w:r>
        <w:rPr>
          <w:spacing w:val="-3"/>
        </w:rPr>
        <w:t>报告期内，公司无会计政策、会计估计变更、重大会计差错更正、重大遗漏信息补充以及</w:t>
      </w:r>
      <w:r>
        <w:rPr/>
        <w:t> 业绩预告修正。</w:t>
      </w:r>
    </w:p>
    <w:p>
      <w:pPr>
        <w:spacing w:line="240" w:lineRule="auto" w:before="11"/>
        <w:rPr>
          <w:rFonts w:ascii="宋体" w:hAnsi="宋体" w:cs="宋体" w:eastAsia="宋体" w:hint="default"/>
          <w:sz w:val="26"/>
          <w:szCs w:val="26"/>
        </w:rPr>
      </w:pPr>
    </w:p>
    <w:p>
      <w:pPr>
        <w:pStyle w:val="BodyText"/>
        <w:spacing w:line="240" w:lineRule="auto"/>
        <w:ind w:right="99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董事会日常工作情况</w:t>
      </w:r>
    </w:p>
    <w:p>
      <w:pPr>
        <w:pStyle w:val="BodyText"/>
        <w:spacing w:line="240" w:lineRule="auto" w:before="83"/>
        <w:ind w:left="139" w:right="999"/>
        <w:jc w:val="left"/>
      </w:pPr>
      <w:r>
        <w:rPr>
          <w:rFonts w:ascii="Times New Roman" w:hAnsi="Times New Roman" w:cs="Times New Roman" w:eastAsia="Times New Roman" w:hint="default"/>
        </w:rPr>
        <w:t>1</w:t>
      </w:r>
      <w:r>
        <w:rPr/>
        <w:t>、</w:t>
      </w:r>
      <w:r>
        <w:rPr>
          <w:spacing w:val="-2"/>
        </w:rPr>
        <w:t> </w:t>
      </w:r>
      <w:r>
        <w:rPr/>
        <w:t>董事会会议情况及决议内容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638"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78" w:right="0"/>
              <w:jc w:val="left"/>
              <w:rPr>
                <w:rFonts w:ascii="宋体" w:hAnsi="宋体" w:cs="宋体" w:eastAsia="宋体" w:hint="default"/>
                <w:sz w:val="21"/>
                <w:szCs w:val="21"/>
              </w:rPr>
            </w:pPr>
            <w:r>
              <w:rPr>
                <w:rFonts w:ascii="宋体" w:hAnsi="宋体" w:cs="宋体" w:eastAsia="宋体" w:hint="default"/>
                <w:sz w:val="21"/>
                <w:szCs w:val="21"/>
              </w:rPr>
              <w:t>会议届次</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0" w:right="0"/>
              <w:jc w:val="left"/>
              <w:rPr>
                <w:rFonts w:ascii="宋体" w:hAnsi="宋体" w:cs="宋体" w:eastAsia="宋体" w:hint="default"/>
                <w:sz w:val="21"/>
                <w:szCs w:val="21"/>
              </w:rPr>
            </w:pPr>
            <w:r>
              <w:rPr>
                <w:rFonts w:ascii="宋体" w:hAnsi="宋体" w:cs="宋体" w:eastAsia="宋体" w:hint="default"/>
                <w:sz w:val="21"/>
                <w:szCs w:val="21"/>
              </w:rPr>
              <w:t>召开日期</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决议内容</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决议刊登的信息披</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露报纸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决议刊登的信</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息披露日期</w:t>
            </w:r>
          </w:p>
        </w:tc>
      </w:tr>
      <w:tr>
        <w:trPr>
          <w:trHeight w:val="319"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《关于公司与中国化工财</w:t>
            </w:r>
            <w:r>
              <w:rPr>
                <w:rFonts w:ascii="宋体" w:hAnsi="宋体" w:cs="宋体" w:eastAsia="宋体" w:hint="default"/>
                <w:sz w:val="21"/>
                <w:szCs w:val="21"/>
              </w:rPr>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942"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71"/>
              <w:jc w:val="left"/>
              <w:rPr>
                <w:rFonts w:ascii="宋体" w:hAnsi="宋体" w:cs="宋体" w:eastAsia="宋体" w:hint="default"/>
                <w:sz w:val="21"/>
                <w:szCs w:val="21"/>
              </w:rPr>
            </w:pPr>
            <w:r>
              <w:rPr>
                <w:rFonts w:ascii="宋体" w:hAnsi="宋体" w:cs="宋体" w:eastAsia="宋体" w:hint="default"/>
                <w:spacing w:val="22"/>
                <w:sz w:val="21"/>
                <w:szCs w:val="21"/>
              </w:rPr>
              <w:t>四届十二次会</w:t>
            </w:r>
            <w:r>
              <w:rPr>
                <w:rFonts w:ascii="宋体" w:hAnsi="宋体" w:cs="宋体" w:eastAsia="宋体" w:hint="default"/>
                <w:spacing w:val="-103"/>
                <w:sz w:val="21"/>
                <w:szCs w:val="21"/>
              </w:rPr>
              <w:t> </w:t>
            </w:r>
            <w:r>
              <w:rPr>
                <w:rFonts w:ascii="宋体" w:hAnsi="宋体" w:cs="宋体" w:eastAsia="宋体" w:hint="default"/>
                <w:sz w:val="21"/>
                <w:szCs w:val="21"/>
              </w:rPr>
              <w:t>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26</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务有限公司签署金融服务</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2"/>
                <w:sz w:val="21"/>
                <w:szCs w:val="21"/>
              </w:rPr>
              <w:t>协议的议案</w:t>
            </w:r>
            <w:r>
              <w:rPr>
                <w:rFonts w:ascii="宋体" w:hAnsi="宋体" w:cs="宋体" w:eastAsia="宋体" w:hint="default"/>
                <w:spacing w:val="-94"/>
                <w:sz w:val="21"/>
                <w:szCs w:val="21"/>
              </w:rPr>
              <w:t>》</w:t>
            </w:r>
            <w:r>
              <w:rPr>
                <w:rFonts w:ascii="宋体" w:hAnsi="宋体" w:cs="宋体" w:eastAsia="宋体" w:hint="default"/>
                <w:spacing w:val="-93"/>
                <w:sz w:val="21"/>
                <w:szCs w:val="21"/>
              </w:rPr>
              <w:t>、</w:t>
            </w:r>
            <w:r>
              <w:rPr>
                <w:rFonts w:ascii="宋体" w:hAnsi="宋体" w:cs="宋体" w:eastAsia="宋体" w:hint="default"/>
                <w:spacing w:val="12"/>
                <w:sz w:val="21"/>
                <w:szCs w:val="21"/>
              </w:rPr>
              <w:t>《关于召开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1"/>
                <w:sz w:val="21"/>
                <w:szCs w:val="21"/>
              </w:rPr>
              <w:t> </w:t>
            </w:r>
            <w:r>
              <w:rPr>
                <w:rFonts w:ascii="宋体" w:hAnsi="宋体" w:cs="宋体" w:eastAsia="宋体" w:hint="default"/>
                <w:spacing w:val="2"/>
                <w:sz w:val="21"/>
                <w:szCs w:val="21"/>
              </w:rPr>
              <w:t>年第一次临时股东大</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中国证券报、上海 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会的议案》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 </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年度董事会工</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宋体" w:hAnsi="宋体" w:cs="宋体" w:eastAsia="宋体" w:hint="default"/>
                <w:sz w:val="21"/>
                <w:szCs w:val="21"/>
              </w:rPr>
            </w:pPr>
            <w:r>
              <w:rPr>
                <w:rFonts w:ascii="宋体" w:hAnsi="宋体" w:cs="宋体" w:eastAsia="宋体" w:hint="default"/>
                <w:sz w:val="21"/>
                <w:szCs w:val="21"/>
              </w:rPr>
              <w:t>作报告</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公司</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4"/>
                <w:sz w:val="21"/>
                <w:szCs w:val="21"/>
              </w:rPr>
              <w:t> </w:t>
            </w:r>
            <w:r>
              <w:rPr>
                <w:rFonts w:ascii="宋体" w:hAnsi="宋体" w:cs="宋体" w:eastAsia="宋体" w:hint="default"/>
                <w:spacing w:val="-2"/>
                <w:sz w:val="21"/>
                <w:szCs w:val="21"/>
              </w:rPr>
              <w:t>年度</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报告及摘要</w:t>
            </w:r>
            <w:r>
              <w:rPr>
                <w:rFonts w:ascii="宋体" w:hAnsi="宋体" w:cs="宋体" w:eastAsia="宋体" w:hint="default"/>
                <w:spacing w:val="-101"/>
                <w:sz w:val="21"/>
                <w:szCs w:val="21"/>
              </w:rPr>
              <w:t>》</w:t>
            </w:r>
            <w:r>
              <w:rPr>
                <w:rFonts w:ascii="宋体" w:hAnsi="宋体" w:cs="宋体" w:eastAsia="宋体" w:hint="default"/>
                <w:spacing w:val="-103"/>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宋体" w:hAnsi="宋体" w:cs="宋体" w:eastAsia="宋体" w:hint="default"/>
                <w:spacing w:val="3"/>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009</w:t>
            </w:r>
            <w:r>
              <w:rPr>
                <w:rFonts w:ascii="Times New Roman" w:hAnsi="Times New Roman" w:cs="Times New Roman" w:eastAsia="Times New Roman"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年度财务决算报告</w:t>
            </w:r>
            <w:r>
              <w:rPr>
                <w:rFonts w:ascii="宋体" w:hAnsi="宋体" w:cs="宋体" w:eastAsia="宋体" w:hint="default"/>
                <w:spacing w:val="-105"/>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关</w:t>
            </w:r>
            <w:r>
              <w:rPr>
                <w:rFonts w:ascii="宋体" w:hAnsi="宋体" w:cs="宋体" w:eastAsia="宋体" w:hint="default"/>
                <w:sz w:val="21"/>
                <w:szCs w:val="21"/>
              </w:rPr>
              <w:t>于</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7"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续聘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9"/>
                <w:sz w:val="21"/>
                <w:szCs w:val="21"/>
              </w:rPr>
              <w:t> </w:t>
            </w:r>
            <w:r>
              <w:rPr>
                <w:rFonts w:ascii="宋体" w:hAnsi="宋体" w:cs="宋体" w:eastAsia="宋体" w:hint="default"/>
                <w:sz w:val="21"/>
                <w:szCs w:val="21"/>
              </w:rPr>
              <w:t>年度审计机构的</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四届十三次会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70"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12</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议案</w:t>
            </w:r>
            <w:r>
              <w:rPr>
                <w:rFonts w:ascii="宋体" w:hAnsi="宋体" w:cs="宋体" w:eastAsia="宋体" w:hint="default"/>
                <w:spacing w:val="-105"/>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公</w:t>
            </w:r>
            <w:r>
              <w:rPr>
                <w:rFonts w:ascii="宋体" w:hAnsi="宋体" w:cs="宋体" w:eastAsia="宋体" w:hint="default"/>
                <w:sz w:val="21"/>
                <w:szCs w:val="21"/>
              </w:rPr>
              <w:t>司</w:t>
            </w:r>
            <w:r>
              <w:rPr>
                <w:rFonts w:ascii="宋体" w:hAnsi="宋体" w:cs="宋体" w:eastAsia="宋体" w:hint="default"/>
                <w:spacing w:val="-39"/>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14"/>
                <w:sz w:val="21"/>
                <w:szCs w:val="21"/>
              </w:rPr>
              <w:t> </w:t>
            </w:r>
            <w:r>
              <w:rPr>
                <w:rFonts w:ascii="宋体" w:hAnsi="宋体" w:cs="宋体" w:eastAsia="宋体" w:hint="default"/>
                <w:sz w:val="21"/>
                <w:szCs w:val="21"/>
              </w:rPr>
              <w:t>年</w:t>
            </w:r>
            <w:r>
              <w:rPr>
                <w:rFonts w:ascii="宋体" w:hAnsi="宋体" w:cs="宋体" w:eastAsia="宋体" w:hint="default"/>
                <w:spacing w:val="-2"/>
                <w:sz w:val="21"/>
                <w:szCs w:val="21"/>
              </w:rPr>
              <w:t>度</w:t>
            </w:r>
            <w:r>
              <w:rPr>
                <w:rFonts w:ascii="宋体" w:hAnsi="宋体" w:cs="宋体" w:eastAsia="宋体" w:hint="default"/>
                <w:sz w:val="21"/>
                <w:szCs w:val="21"/>
              </w:rPr>
              <w:t>利</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71"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13</w:t>
            </w:r>
          </w:p>
        </w:tc>
      </w:tr>
      <w:tr>
        <w:trPr>
          <w:trHeight w:val="307"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润分配预案</w:t>
            </w:r>
            <w:r>
              <w:rPr>
                <w:rFonts w:ascii="宋体" w:hAnsi="宋体" w:cs="宋体" w:eastAsia="宋体" w:hint="default"/>
                <w:spacing w:val="-106"/>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《日常关</w:t>
            </w:r>
            <w:r>
              <w:rPr>
                <w:rFonts w:ascii="宋体" w:hAnsi="宋体" w:cs="宋体" w:eastAsia="宋体" w:hint="default"/>
                <w:spacing w:val="-2"/>
                <w:sz w:val="21"/>
                <w:szCs w:val="21"/>
              </w:rPr>
              <w:t>联</w:t>
            </w:r>
            <w:r>
              <w:rPr>
                <w:rFonts w:ascii="宋体" w:hAnsi="宋体" w:cs="宋体" w:eastAsia="宋体" w:hint="default"/>
                <w:sz w:val="21"/>
                <w:szCs w:val="21"/>
              </w:rPr>
              <w:t>交</w:t>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易预估金额的议案</w:t>
            </w:r>
            <w:r>
              <w:rPr>
                <w:rFonts w:ascii="宋体" w:hAnsi="宋体" w:cs="宋体" w:eastAsia="宋体" w:hint="default"/>
                <w:spacing w:val="-105"/>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内</w:t>
            </w:r>
            <w:r>
              <w:rPr>
                <w:rFonts w:ascii="宋体" w:hAnsi="宋体" w:cs="宋体" w:eastAsia="宋体" w:hint="default"/>
                <w:sz w:val="21"/>
                <w:szCs w:val="21"/>
              </w:rPr>
              <w:t>幕</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信息知情</w:t>
            </w:r>
            <w:r>
              <w:rPr>
                <w:rFonts w:ascii="宋体" w:hAnsi="宋体" w:cs="宋体" w:eastAsia="宋体" w:hint="default"/>
                <w:spacing w:val="-67"/>
                <w:sz w:val="21"/>
                <w:szCs w:val="21"/>
              </w:rPr>
              <w:t> </w:t>
            </w:r>
            <w:r>
              <w:rPr>
                <w:rFonts w:ascii="宋体" w:hAnsi="宋体" w:cs="宋体" w:eastAsia="宋体" w:hint="default"/>
                <w:spacing w:val="28"/>
                <w:sz w:val="21"/>
                <w:szCs w:val="21"/>
              </w:rPr>
              <w:t>人登记备</w:t>
            </w:r>
            <w:r>
              <w:rPr>
                <w:rFonts w:ascii="宋体" w:hAnsi="宋体" w:cs="宋体" w:eastAsia="宋体" w:hint="default"/>
                <w:spacing w:val="-67"/>
                <w:sz w:val="21"/>
                <w:szCs w:val="21"/>
              </w:rPr>
              <w:t> </w:t>
            </w:r>
            <w:r>
              <w:rPr>
                <w:rFonts w:ascii="宋体" w:hAnsi="宋体" w:cs="宋体" w:eastAsia="宋体" w:hint="default"/>
                <w:spacing w:val="19"/>
                <w:sz w:val="21"/>
                <w:szCs w:val="21"/>
              </w:rPr>
              <w:t>案制</w:t>
            </w:r>
            <w:r>
              <w:rPr>
                <w:rFonts w:ascii="宋体" w:hAnsi="宋体" w:cs="宋体" w:eastAsia="宋体" w:hint="default"/>
                <w:spacing w:val="-67"/>
                <w:sz w:val="21"/>
                <w:szCs w:val="21"/>
              </w:rPr>
              <w:t> </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2"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度</w:t>
            </w:r>
            <w:r>
              <w:rPr>
                <w:rFonts w:ascii="宋体" w:hAnsi="宋体" w:cs="宋体" w:eastAsia="宋体" w:hint="default"/>
                <w:spacing w:val="-105"/>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《外部</w:t>
            </w:r>
            <w:r>
              <w:rPr>
                <w:rFonts w:ascii="宋体" w:hAnsi="宋体" w:cs="宋体" w:eastAsia="宋体" w:hint="default"/>
                <w:spacing w:val="-2"/>
                <w:sz w:val="21"/>
                <w:szCs w:val="21"/>
              </w:rPr>
              <w:t>信</w:t>
            </w:r>
            <w:r>
              <w:rPr>
                <w:rFonts w:ascii="宋体" w:hAnsi="宋体" w:cs="宋体" w:eastAsia="宋体" w:hint="default"/>
                <w:sz w:val="21"/>
                <w:szCs w:val="21"/>
              </w:rPr>
              <w:t>息报送和使用</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管理制度</w:t>
            </w:r>
            <w:r>
              <w:rPr>
                <w:rFonts w:ascii="宋体" w:hAnsi="宋体" w:cs="宋体" w:eastAsia="宋体" w:hint="default"/>
                <w:spacing w:val="-105"/>
                <w:sz w:val="21"/>
                <w:szCs w:val="21"/>
              </w:rPr>
              <w:t>》</w:t>
            </w:r>
            <w:r>
              <w:rPr>
                <w:rFonts w:ascii="宋体" w:hAnsi="宋体" w:cs="宋体" w:eastAsia="宋体" w:hint="default"/>
                <w:spacing w:val="-210"/>
                <w:sz w:val="21"/>
                <w:szCs w:val="21"/>
              </w:rPr>
              <w:t>、</w:t>
            </w:r>
            <w:r>
              <w:rPr>
                <w:rFonts w:ascii="宋体" w:hAnsi="宋体" w:cs="宋体" w:eastAsia="宋体" w:hint="default"/>
                <w:spacing w:val="-2"/>
                <w:sz w:val="21"/>
                <w:szCs w:val="21"/>
              </w:rPr>
              <w:t>《</w:t>
            </w:r>
            <w:r>
              <w:rPr>
                <w:rFonts w:ascii="宋体" w:hAnsi="宋体" w:cs="宋体" w:eastAsia="宋体" w:hint="default"/>
                <w:sz w:val="21"/>
                <w:szCs w:val="21"/>
              </w:rPr>
              <w:t>关于召开</w:t>
            </w:r>
            <w:r>
              <w:rPr>
                <w:rFonts w:ascii="宋体" w:hAnsi="宋体" w:cs="宋体" w:eastAsia="宋体" w:hint="default"/>
                <w:spacing w:val="-78"/>
                <w:sz w:val="21"/>
                <w:szCs w:val="21"/>
              </w:rPr>
              <w:t> </w:t>
            </w:r>
            <w:r>
              <w:rPr>
                <w:rFonts w:ascii="Times New Roman" w:hAnsi="Times New Roman" w:cs="Times New Roman" w:eastAsia="Times New Roman" w:hint="default"/>
                <w:spacing w:val="-1"/>
                <w:sz w:val="21"/>
                <w:szCs w:val="21"/>
              </w:rPr>
              <w:t>2</w:t>
            </w:r>
            <w:r>
              <w:rPr>
                <w:rFonts w:ascii="Times New Roman" w:hAnsi="Times New Roman" w:cs="Times New Roman" w:eastAsia="Times New Roman" w:hint="default"/>
                <w:sz w:val="21"/>
                <w:szCs w:val="21"/>
              </w:rPr>
              <w:t>0</w:t>
            </w:r>
            <w:r>
              <w:rPr>
                <w:rFonts w:ascii="Times New Roman" w:hAnsi="Times New Roman" w:cs="Times New Roman" w:eastAsia="Times New Roman" w:hint="default"/>
                <w:spacing w:val="-1"/>
                <w:sz w:val="21"/>
                <w:szCs w:val="21"/>
              </w:rPr>
              <w:t>09</w:t>
            </w:r>
            <w:r>
              <w:rPr>
                <w:rFonts w:ascii="Times New Roman" w:hAnsi="Times New Roman" w:cs="Times New Roman" w:eastAsia="Times New Roman"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3"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年度股东大会的议案》</w:t>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四届十四次会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年一季度报告》</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四届十五次会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w:t>
            </w: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 </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年半年度报告及摘</w:t>
            </w:r>
          </w:p>
        </w:tc>
        <w:tc>
          <w:tcPr>
            <w:tcW w:w="189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21</w:t>
            </w:r>
          </w:p>
        </w:tc>
      </w:tr>
      <w:tr>
        <w:trPr>
          <w:trHeight w:val="313" w:hRule="exact"/>
        </w:trPr>
        <w:tc>
          <w:tcPr>
            <w:tcW w:w="16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151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要》</w:t>
            </w:r>
          </w:p>
        </w:tc>
        <w:tc>
          <w:tcPr>
            <w:tcW w:w="1897"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四届十六次会</w:t>
            </w:r>
            <w:r>
              <w:rPr>
                <w:rFonts w:ascii="宋体" w:hAnsi="宋体" w:cs="宋体" w:eastAsia="宋体" w:hint="default"/>
                <w:spacing w:val="-78"/>
                <w:sz w:val="21"/>
                <w:szCs w:val="21"/>
              </w:rPr>
              <w:t> </w:t>
            </w:r>
            <w:r>
              <w:rPr>
                <w:rFonts w:ascii="宋体" w:hAnsi="宋体" w:cs="宋体" w:eastAsia="宋体" w:hint="default"/>
                <w:sz w:val="21"/>
                <w:szCs w:val="21"/>
              </w:rPr>
            </w:r>
          </w:p>
        </w:tc>
        <w:tc>
          <w:tcPr>
            <w:tcW w:w="151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6"/>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13</w:t>
            </w: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《调整与黑化集团焦炉气</w:t>
            </w:r>
            <w:r>
              <w:rPr>
                <w:rFonts w:ascii="宋体" w:hAnsi="宋体" w:cs="宋体" w:eastAsia="宋体" w:hint="default"/>
                <w:sz w:val="21"/>
                <w:szCs w:val="21"/>
              </w:rPr>
            </w:r>
          </w:p>
        </w:tc>
        <w:tc>
          <w:tcPr>
            <w:tcW w:w="1897"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tc>
        <w:tc>
          <w:tcPr>
            <w:tcW w:w="1613"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14</w:t>
            </w:r>
          </w:p>
        </w:tc>
      </w:tr>
      <w:tr>
        <w:trPr>
          <w:trHeight w:val="315" w:hRule="exact"/>
        </w:trPr>
        <w:tc>
          <w:tcPr>
            <w:tcW w:w="1614"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151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关联交易价格的议案》</w:t>
            </w:r>
          </w:p>
        </w:tc>
        <w:tc>
          <w:tcPr>
            <w:tcW w:w="1897"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25" w:hRule="exact"/>
        </w:trPr>
        <w:tc>
          <w:tcPr>
            <w:tcW w:w="1614" w:type="dxa"/>
            <w:tcBorders>
              <w:top w:val="single" w:sz="6" w:space="0" w:color="000000"/>
              <w:left w:val="single" w:sz="6" w:space="0" w:color="000000"/>
              <w:bottom w:val="nil" w:sz="6" w:space="0" w:color="auto"/>
              <w:right w:val="single" w:sz="6" w:space="0" w:color="000000"/>
            </w:tcBorders>
          </w:tcPr>
          <w:p>
            <w:pPr/>
          </w:p>
        </w:tc>
        <w:tc>
          <w:tcPr>
            <w:tcW w:w="1518" w:type="dxa"/>
            <w:tcBorders>
              <w:top w:val="single" w:sz="6" w:space="0" w:color="000000"/>
              <w:left w:val="single" w:sz="6" w:space="0" w:color="000000"/>
              <w:bottom w:val="nil" w:sz="6" w:space="0" w:color="auto"/>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《关于重大资产重组符合</w:t>
            </w:r>
            <w:r>
              <w:rPr>
                <w:rFonts w:ascii="Times New Roman" w:hAnsi="Times New Roman" w:cs="Times New Roman" w:eastAsia="Times New Roman" w:hint="default"/>
                <w:sz w:val="21"/>
                <w:szCs w:val="21"/>
              </w:rPr>
              <w:t>&lt;</w:t>
            </w:r>
          </w:p>
        </w:tc>
        <w:tc>
          <w:tcPr>
            <w:tcW w:w="1897" w:type="dxa"/>
            <w:tcBorders>
              <w:top w:val="single" w:sz="6" w:space="0" w:color="000000"/>
              <w:left w:val="single" w:sz="6" w:space="0" w:color="000000"/>
              <w:bottom w:val="nil" w:sz="6" w:space="0" w:color="auto"/>
              <w:right w:val="single" w:sz="6" w:space="0" w:color="000000"/>
            </w:tcBorders>
          </w:tcPr>
          <w:p>
            <w:pPr/>
          </w:p>
        </w:tc>
        <w:tc>
          <w:tcPr>
            <w:tcW w:w="1613" w:type="dxa"/>
            <w:tcBorders>
              <w:top w:val="single" w:sz="6" w:space="0" w:color="000000"/>
              <w:left w:val="single" w:sz="6" w:space="0" w:color="000000"/>
              <w:bottom w:val="nil" w:sz="6" w:space="0" w:color="auto"/>
              <w:right w:val="single" w:sz="6" w:space="0" w:color="000000"/>
            </w:tcBorders>
          </w:tcPr>
          <w:p>
            <w:pPr/>
          </w:p>
        </w:tc>
      </w:tr>
      <w:tr>
        <w:trPr>
          <w:trHeight w:val="306"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关于规范上市公司重大资</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936" w:hRule="exact"/>
        </w:trPr>
        <w:tc>
          <w:tcPr>
            <w:tcW w:w="1614" w:type="dxa"/>
            <w:tcBorders>
              <w:top w:val="nil" w:sz="6" w:space="0" w:color="auto"/>
              <w:left w:val="single" w:sz="6" w:space="0" w:color="000000"/>
              <w:bottom w:val="nil" w:sz="6" w:space="0" w:color="auto"/>
              <w:right w:val="single" w:sz="6" w:space="0" w:color="000000"/>
            </w:tcBorders>
          </w:tcPr>
          <w:p>
            <w:pPr>
              <w:pStyle w:val="TableParagraph"/>
              <w:spacing w:line="273" w:lineRule="auto" w:before="140"/>
              <w:ind w:left="100" w:right="71"/>
              <w:jc w:val="left"/>
              <w:rPr>
                <w:rFonts w:ascii="宋体" w:hAnsi="宋体" w:cs="宋体" w:eastAsia="宋体" w:hint="default"/>
                <w:sz w:val="21"/>
                <w:szCs w:val="21"/>
              </w:rPr>
            </w:pPr>
            <w:r>
              <w:rPr>
                <w:rFonts w:ascii="宋体" w:hAnsi="宋体" w:cs="宋体" w:eastAsia="宋体" w:hint="default"/>
                <w:spacing w:val="22"/>
                <w:sz w:val="21"/>
                <w:szCs w:val="21"/>
              </w:rPr>
              <w:t>四届十七次会</w:t>
            </w:r>
            <w:r>
              <w:rPr>
                <w:rFonts w:ascii="宋体" w:hAnsi="宋体" w:cs="宋体" w:eastAsia="宋体" w:hint="default"/>
                <w:spacing w:val="-103"/>
                <w:sz w:val="21"/>
                <w:szCs w:val="21"/>
              </w:rPr>
              <w:t> </w:t>
            </w:r>
            <w:r>
              <w:rPr>
                <w:rFonts w:ascii="宋体" w:hAnsi="宋体" w:cs="宋体" w:eastAsia="宋体" w:hint="default"/>
                <w:sz w:val="21"/>
                <w:szCs w:val="21"/>
              </w:rPr>
              <w:t>议</w:t>
            </w:r>
          </w:p>
        </w:tc>
        <w:tc>
          <w:tcPr>
            <w:tcW w:w="1518" w:type="dxa"/>
            <w:tcBorders>
              <w:top w:val="nil" w:sz="6" w:space="0" w:color="auto"/>
              <w:left w:val="single" w:sz="6" w:space="0" w:color="000000"/>
              <w:bottom w:val="nil" w:sz="6" w:space="0" w:color="auto"/>
              <w:right w:val="single" w:sz="6" w:space="0" w:color="000000"/>
            </w:tcBorders>
          </w:tcPr>
          <w:p>
            <w:pPr>
              <w:pStyle w:val="TableParagraph"/>
              <w:spacing w:line="240" w:lineRule="auto" w:before="140"/>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29 </w:t>
            </w:r>
            <w:r>
              <w:rPr>
                <w:rFonts w:ascii="宋体" w:hAnsi="宋体" w:cs="宋体" w:eastAsia="宋体" w:hint="default"/>
                <w:sz w:val="21"/>
                <w:szCs w:val="21"/>
              </w:rPr>
              <w:t>日</w:t>
            </w: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产重组若干问题的规定</w:t>
            </w:r>
            <w:r>
              <w:rPr>
                <w:rFonts w:ascii="Times New Roman" w:hAnsi="Times New Roman" w:cs="Times New Roman" w:eastAsia="Times New Roman" w:hint="default"/>
                <w:sz w:val="21"/>
                <w:szCs w:val="21"/>
              </w:rPr>
              <w:t>&gt;</w:t>
            </w:r>
            <w:r>
              <w:rPr>
                <w:rFonts w:ascii="宋体" w:hAnsi="宋体" w:cs="宋体" w:eastAsia="宋体" w:hint="default"/>
                <w:sz w:val="21"/>
                <w:szCs w:val="21"/>
              </w:rPr>
              <w:t>第</w:t>
            </w:r>
          </w:p>
          <w:p>
            <w:pPr>
              <w:pStyle w:val="TableParagraph"/>
              <w:spacing w:line="273" w:lineRule="auto" w:before="21"/>
              <w:ind w:left="100" w:right="85"/>
              <w:jc w:val="left"/>
              <w:rPr>
                <w:rFonts w:ascii="宋体" w:hAnsi="宋体" w:cs="宋体" w:eastAsia="宋体" w:hint="default"/>
                <w:sz w:val="21"/>
                <w:szCs w:val="21"/>
              </w:rPr>
            </w:pPr>
            <w:r>
              <w:rPr>
                <w:rFonts w:ascii="宋体" w:hAnsi="宋体" w:cs="宋体" w:eastAsia="宋体" w:hint="default"/>
                <w:spacing w:val="-23"/>
                <w:sz w:val="21"/>
                <w:szCs w:val="21"/>
              </w:rPr>
              <w:t>四条规定的说明》、《关于重</w:t>
            </w:r>
            <w:r>
              <w:rPr>
                <w:rFonts w:ascii="宋体" w:hAnsi="宋体" w:cs="宋体" w:eastAsia="宋体" w:hint="default"/>
                <w:spacing w:val="-96"/>
                <w:sz w:val="21"/>
                <w:szCs w:val="21"/>
              </w:rPr>
              <w:t> </w:t>
            </w:r>
            <w:r>
              <w:rPr>
                <w:rFonts w:ascii="宋体" w:hAnsi="宋体" w:cs="宋体" w:eastAsia="宋体" w:hint="default"/>
                <w:spacing w:val="-96"/>
                <w:sz w:val="21"/>
                <w:szCs w:val="21"/>
              </w:rPr>
            </w:r>
            <w:r>
              <w:rPr>
                <w:rFonts w:ascii="宋体" w:hAnsi="宋体" w:cs="宋体" w:eastAsia="宋体" w:hint="default"/>
                <w:spacing w:val="13"/>
                <w:sz w:val="21"/>
                <w:szCs w:val="21"/>
              </w:rPr>
              <w:t>大资产重组构成关联交易</w:t>
            </w:r>
            <w:r>
              <w:rPr>
                <w:rFonts w:ascii="宋体" w:hAnsi="宋体" w:cs="宋体" w:eastAsia="宋体" w:hint="default"/>
                <w:sz w:val="21"/>
                <w:szCs w:val="21"/>
              </w:rPr>
            </w:r>
          </w:p>
        </w:tc>
        <w:tc>
          <w:tcPr>
            <w:tcW w:w="1897"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9"/>
              <w:jc w:val="left"/>
              <w:rPr>
                <w:rFonts w:ascii="宋体" w:hAnsi="宋体" w:cs="宋体" w:eastAsia="宋体" w:hint="default"/>
                <w:sz w:val="21"/>
                <w:szCs w:val="21"/>
              </w:rPr>
            </w:pPr>
            <w:r>
              <w:rPr>
                <w:rFonts w:ascii="宋体" w:hAnsi="宋体" w:cs="宋体" w:eastAsia="宋体" w:hint="default"/>
                <w:sz w:val="21"/>
                <w:szCs w:val="21"/>
              </w:rPr>
              <w:t>中国证券报、上海 证券报</w:t>
            </w:r>
          </w:p>
        </w:tc>
        <w:tc>
          <w:tcPr>
            <w:tcW w:w="1613"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r>
        <w:trPr>
          <w:trHeight w:val="318" w:hRule="exact"/>
        </w:trPr>
        <w:tc>
          <w:tcPr>
            <w:tcW w:w="1614" w:type="dxa"/>
            <w:tcBorders>
              <w:top w:val="nil" w:sz="6" w:space="0" w:color="auto"/>
              <w:left w:val="single" w:sz="6" w:space="0" w:color="000000"/>
              <w:bottom w:val="nil" w:sz="6" w:space="0" w:color="auto"/>
              <w:right w:val="single" w:sz="6" w:space="0" w:color="000000"/>
            </w:tcBorders>
          </w:tcPr>
          <w:p>
            <w:pPr/>
          </w:p>
        </w:tc>
        <w:tc>
          <w:tcPr>
            <w:tcW w:w="1518" w:type="dxa"/>
            <w:tcBorders>
              <w:top w:val="nil" w:sz="6" w:space="0" w:color="auto"/>
              <w:left w:val="single" w:sz="6" w:space="0" w:color="000000"/>
              <w:bottom w:val="nil" w:sz="6" w:space="0" w:color="auto"/>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pacing w:val="1"/>
                <w:sz w:val="21"/>
                <w:szCs w:val="21"/>
              </w:rPr>
              <w:t>的议案</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宋体" w:hAnsi="宋体" w:cs="宋体" w:eastAsia="宋体" w:hint="default"/>
                <w:spacing w:val="1"/>
                <w:sz w:val="21"/>
                <w:szCs w:val="21"/>
              </w:rPr>
              <w:t>关于</w:t>
            </w:r>
            <w:r>
              <w:rPr>
                <w:rFonts w:ascii="Times New Roman" w:hAnsi="Times New Roman" w:cs="Times New Roman" w:eastAsia="Times New Roman" w:hint="default"/>
                <w:spacing w:val="1"/>
                <w:sz w:val="21"/>
                <w:szCs w:val="21"/>
              </w:rPr>
              <w:t>&lt;</w:t>
            </w:r>
            <w:r>
              <w:rPr>
                <w:rFonts w:ascii="宋体" w:hAnsi="宋体" w:cs="宋体" w:eastAsia="宋体" w:hint="default"/>
                <w:spacing w:val="1"/>
                <w:sz w:val="21"/>
                <w:szCs w:val="21"/>
              </w:rPr>
              <w:t>黑龙</w:t>
            </w:r>
            <w:r>
              <w:rPr>
                <w:rFonts w:ascii="宋体" w:hAnsi="宋体" w:cs="宋体" w:eastAsia="宋体" w:hint="default"/>
                <w:spacing w:val="-1"/>
                <w:sz w:val="21"/>
                <w:szCs w:val="21"/>
              </w:rPr>
              <w:t>江</w:t>
            </w:r>
            <w:r>
              <w:rPr>
                <w:rFonts w:ascii="宋体" w:hAnsi="宋体" w:cs="宋体" w:eastAsia="宋体" w:hint="default"/>
                <w:sz w:val="21"/>
                <w:szCs w:val="21"/>
              </w:rPr>
              <w:t>黑</w:t>
            </w:r>
          </w:p>
        </w:tc>
        <w:tc>
          <w:tcPr>
            <w:tcW w:w="1897" w:type="dxa"/>
            <w:tcBorders>
              <w:top w:val="nil" w:sz="6" w:space="0" w:color="auto"/>
              <w:left w:val="single" w:sz="6" w:space="0" w:color="000000"/>
              <w:bottom w:val="nil" w:sz="6" w:space="0" w:color="auto"/>
              <w:right w:val="single" w:sz="6" w:space="0" w:color="000000"/>
            </w:tcBorders>
          </w:tcPr>
          <w:p>
            <w:pPr/>
          </w:p>
        </w:tc>
        <w:tc>
          <w:tcPr>
            <w:tcW w:w="1613" w:type="dxa"/>
            <w:tcBorders>
              <w:top w:val="nil" w:sz="6" w:space="0" w:color="auto"/>
              <w:left w:val="single" w:sz="6" w:space="0" w:color="000000"/>
              <w:bottom w:val="nil" w:sz="6" w:space="0" w:color="auto"/>
              <w:right w:val="single" w:sz="6" w:space="0" w:color="000000"/>
            </w:tcBorders>
          </w:tcPr>
          <w:p>
            <w:pPr/>
          </w:p>
        </w:tc>
      </w:tr>
      <w:tr>
        <w:trPr>
          <w:trHeight w:val="314" w:hRule="exact"/>
        </w:trPr>
        <w:tc>
          <w:tcPr>
            <w:tcW w:w="1614" w:type="dxa"/>
            <w:tcBorders>
              <w:top w:val="nil" w:sz="6" w:space="0" w:color="auto"/>
              <w:left w:val="single" w:sz="6" w:space="0" w:color="000000"/>
              <w:bottom w:val="single" w:sz="6" w:space="0" w:color="000000"/>
              <w:right w:val="single" w:sz="6" w:space="0" w:color="000000"/>
            </w:tcBorders>
          </w:tcPr>
          <w:p>
            <w:pPr/>
          </w:p>
        </w:tc>
        <w:tc>
          <w:tcPr>
            <w:tcW w:w="1518" w:type="dxa"/>
            <w:tcBorders>
              <w:top w:val="nil" w:sz="6" w:space="0" w:color="auto"/>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化股份有限公司重大资产</w:t>
            </w:r>
            <w:r>
              <w:rPr>
                <w:rFonts w:ascii="宋体" w:hAnsi="宋体" w:cs="宋体" w:eastAsia="宋体" w:hint="default"/>
                <w:sz w:val="21"/>
                <w:szCs w:val="21"/>
              </w:rPr>
            </w:r>
          </w:p>
        </w:tc>
        <w:tc>
          <w:tcPr>
            <w:tcW w:w="1897" w:type="dxa"/>
            <w:tcBorders>
              <w:top w:val="nil" w:sz="6" w:space="0" w:color="auto"/>
              <w:left w:val="single" w:sz="6" w:space="0" w:color="000000"/>
              <w:bottom w:val="single" w:sz="6" w:space="0" w:color="000000"/>
              <w:right w:val="single" w:sz="6" w:space="0" w:color="000000"/>
            </w:tcBorders>
          </w:tcPr>
          <w:p>
            <w:pPr/>
          </w:p>
        </w:tc>
        <w:tc>
          <w:tcPr>
            <w:tcW w:w="1613" w:type="dxa"/>
            <w:tcBorders>
              <w:top w:val="nil" w:sz="6" w:space="0" w:color="auto"/>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614"/>
        <w:gridCol w:w="1518"/>
        <w:gridCol w:w="2658"/>
        <w:gridCol w:w="1897"/>
        <w:gridCol w:w="1613"/>
      </w:tblGrid>
      <w:tr>
        <w:trPr>
          <w:trHeight w:val="319" w:hRule="exact"/>
        </w:trPr>
        <w:tc>
          <w:tcPr>
            <w:tcW w:w="1614" w:type="dxa"/>
            <w:vMerge w:val="restart"/>
            <w:tcBorders>
              <w:top w:val="single" w:sz="6" w:space="0" w:color="000000"/>
              <w:left w:val="single" w:sz="6" w:space="0" w:color="000000"/>
              <w:right w:val="single" w:sz="6" w:space="0" w:color="000000"/>
            </w:tcBorders>
          </w:tcPr>
          <w:p>
            <w:pPr/>
          </w:p>
        </w:tc>
        <w:tc>
          <w:tcPr>
            <w:tcW w:w="1518" w:type="dxa"/>
            <w:vMerge w:val="restart"/>
            <w:tcBorders>
              <w:top w:val="single" w:sz="6" w:space="0" w:color="000000"/>
              <w:left w:val="single" w:sz="6" w:space="0" w:color="000000"/>
              <w:right w:val="single" w:sz="6" w:space="0" w:color="000000"/>
            </w:tcBorders>
          </w:tcPr>
          <w:p>
            <w:pPr/>
          </w:p>
        </w:tc>
        <w:tc>
          <w:tcPr>
            <w:tcW w:w="265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置换及以新增股份换股吸</w:t>
            </w:r>
            <w:r>
              <w:rPr>
                <w:rFonts w:ascii="宋体" w:hAnsi="宋体" w:cs="宋体" w:eastAsia="宋体" w:hint="default"/>
                <w:sz w:val="21"/>
                <w:szCs w:val="21"/>
              </w:rPr>
            </w:r>
          </w:p>
        </w:tc>
        <w:tc>
          <w:tcPr>
            <w:tcW w:w="1897" w:type="dxa"/>
            <w:vMerge w:val="restart"/>
            <w:tcBorders>
              <w:top w:val="single" w:sz="6" w:space="0" w:color="000000"/>
              <w:left w:val="single" w:sz="6" w:space="0" w:color="000000"/>
              <w:right w:val="single" w:sz="6" w:space="0" w:color="000000"/>
            </w:tcBorders>
          </w:tcPr>
          <w:p>
            <w:pPr/>
          </w:p>
        </w:tc>
        <w:tc>
          <w:tcPr>
            <w:tcW w:w="1613" w:type="dxa"/>
            <w:vMerge w:val="restart"/>
            <w:tcBorders>
              <w:top w:val="single" w:sz="6" w:space="0" w:color="000000"/>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收合并翔鹭石化股份有限</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公司暨关联交易预案</w:t>
            </w:r>
            <w:r>
              <w:rPr>
                <w:rFonts w:ascii="Times New Roman" w:hAnsi="Times New Roman" w:cs="Times New Roman" w:eastAsia="Times New Roman" w:hint="default"/>
                <w:sz w:val="21"/>
                <w:szCs w:val="21"/>
              </w:rPr>
              <w:t>&gt;</w:t>
            </w:r>
            <w:r>
              <w:rPr>
                <w:rFonts w:ascii="宋体" w:hAnsi="宋体" w:cs="宋体" w:eastAsia="宋体" w:hint="default"/>
                <w:sz w:val="21"/>
                <w:szCs w:val="21"/>
              </w:rPr>
              <w:t>的议</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06"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与</w:t>
            </w:r>
            <w:r>
              <w:rPr>
                <w:rFonts w:ascii="宋体" w:hAnsi="宋体" w:cs="宋体" w:eastAsia="宋体" w:hint="default"/>
                <w:sz w:val="21"/>
                <w:szCs w:val="21"/>
              </w:rPr>
              <w:t>翔鹭石化股份</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有限公司等相关各方签订</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重大资产重组框架协议的</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议案</w:t>
            </w:r>
            <w:r>
              <w:rPr>
                <w:rFonts w:ascii="宋体" w:hAnsi="宋体" w:cs="宋体" w:eastAsia="宋体" w:hint="default"/>
                <w:spacing w:val="-105"/>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提请股东大会</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授权董事会全权办理本次</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8"/>
                <w:sz w:val="21"/>
                <w:szCs w:val="21"/>
              </w:rPr>
              <w:t>重大资产</w:t>
            </w:r>
            <w:r>
              <w:rPr>
                <w:rFonts w:ascii="宋体" w:hAnsi="宋体" w:cs="宋体" w:eastAsia="宋体" w:hint="default"/>
                <w:spacing w:val="-67"/>
                <w:sz w:val="21"/>
                <w:szCs w:val="21"/>
              </w:rPr>
              <w:t> </w:t>
            </w:r>
            <w:r>
              <w:rPr>
                <w:rFonts w:ascii="宋体" w:hAnsi="宋体" w:cs="宋体" w:eastAsia="宋体" w:hint="default"/>
                <w:spacing w:val="28"/>
                <w:sz w:val="21"/>
                <w:szCs w:val="21"/>
              </w:rPr>
              <w:t>重组事宜</w:t>
            </w:r>
            <w:r>
              <w:rPr>
                <w:rFonts w:ascii="宋体" w:hAnsi="宋体" w:cs="宋体" w:eastAsia="宋体" w:hint="default"/>
                <w:spacing w:val="-67"/>
                <w:sz w:val="21"/>
                <w:szCs w:val="21"/>
              </w:rPr>
              <w:t> </w:t>
            </w:r>
            <w:r>
              <w:rPr>
                <w:rFonts w:ascii="宋体" w:hAnsi="宋体" w:cs="宋体" w:eastAsia="宋体" w:hint="default"/>
                <w:spacing w:val="19"/>
                <w:sz w:val="21"/>
                <w:szCs w:val="21"/>
              </w:rPr>
              <w:t>的议</w:t>
            </w:r>
            <w:r>
              <w:rPr>
                <w:rFonts w:ascii="宋体" w:hAnsi="宋体" w:cs="宋体" w:eastAsia="宋体" w:hint="default"/>
                <w:spacing w:val="-67"/>
                <w:sz w:val="21"/>
                <w:szCs w:val="21"/>
              </w:rPr>
              <w:t> </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案</w:t>
            </w:r>
            <w:r>
              <w:rPr>
                <w:rFonts w:ascii="宋体" w:hAnsi="宋体" w:cs="宋体" w:eastAsia="宋体" w:hint="default"/>
                <w:spacing w:val="-105"/>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《关于</w:t>
            </w:r>
            <w:r>
              <w:rPr>
                <w:rFonts w:ascii="宋体" w:hAnsi="宋体" w:cs="宋体" w:eastAsia="宋体" w:hint="default"/>
                <w:spacing w:val="-2"/>
                <w:sz w:val="21"/>
                <w:szCs w:val="21"/>
              </w:rPr>
              <w:t>提</w:t>
            </w:r>
            <w:r>
              <w:rPr>
                <w:rFonts w:ascii="宋体" w:hAnsi="宋体" w:cs="宋体" w:eastAsia="宋体" w:hint="default"/>
                <w:sz w:val="21"/>
                <w:szCs w:val="21"/>
              </w:rPr>
              <w:t>请股东大会批</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准厦门翔鹭化纤股份有限</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公司及一致行动人免于以</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要约方式增持公司股份的</w:t>
            </w:r>
            <w:r>
              <w:rPr>
                <w:rFonts w:ascii="宋体" w:hAnsi="宋体" w:cs="宋体" w:eastAsia="宋体" w:hint="default"/>
                <w:sz w:val="21"/>
                <w:szCs w:val="21"/>
              </w:rPr>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2" w:hRule="exact"/>
        </w:trPr>
        <w:tc>
          <w:tcPr>
            <w:tcW w:w="1614" w:type="dxa"/>
            <w:vMerge/>
            <w:tcBorders>
              <w:left w:val="single" w:sz="6" w:space="0" w:color="000000"/>
              <w:right w:val="single" w:sz="6" w:space="0" w:color="000000"/>
            </w:tcBorders>
          </w:tcPr>
          <w:p>
            <w:pPr/>
          </w:p>
        </w:tc>
        <w:tc>
          <w:tcPr>
            <w:tcW w:w="1518" w:type="dxa"/>
            <w:vMerge/>
            <w:tcBorders>
              <w:left w:val="single" w:sz="6" w:space="0" w:color="000000"/>
              <w:right w:val="single" w:sz="6" w:space="0" w:color="000000"/>
            </w:tcBorders>
          </w:tcPr>
          <w:p>
            <w:pPr/>
          </w:p>
        </w:tc>
        <w:tc>
          <w:tcPr>
            <w:tcW w:w="265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议案</w:t>
            </w:r>
            <w:r>
              <w:rPr>
                <w:rFonts w:ascii="宋体" w:hAnsi="宋体" w:cs="宋体" w:eastAsia="宋体" w:hint="default"/>
                <w:spacing w:val="-105"/>
                <w:sz w:val="21"/>
                <w:szCs w:val="21"/>
              </w:rPr>
              <w:t>》</w:t>
            </w:r>
            <w:r>
              <w:rPr>
                <w:rFonts w:ascii="宋体" w:hAnsi="宋体" w:cs="宋体" w:eastAsia="宋体" w:hint="default"/>
                <w:spacing w:val="-183"/>
                <w:sz w:val="21"/>
                <w:szCs w:val="21"/>
              </w:rPr>
              <w:t>、</w:t>
            </w:r>
            <w:r>
              <w:rPr>
                <w:rFonts w:ascii="宋体" w:hAnsi="宋体" w:cs="宋体" w:eastAsia="宋体" w:hint="default"/>
                <w:sz w:val="21"/>
                <w:szCs w:val="21"/>
              </w:rPr>
              <w:t>《关</w:t>
            </w:r>
            <w:r>
              <w:rPr>
                <w:rFonts w:ascii="宋体" w:hAnsi="宋体" w:cs="宋体" w:eastAsia="宋体" w:hint="default"/>
                <w:spacing w:val="-2"/>
                <w:sz w:val="21"/>
                <w:szCs w:val="21"/>
              </w:rPr>
              <w:t>于</w:t>
            </w:r>
            <w:r>
              <w:rPr>
                <w:rFonts w:ascii="宋体" w:hAnsi="宋体" w:cs="宋体" w:eastAsia="宋体" w:hint="default"/>
                <w:sz w:val="21"/>
                <w:szCs w:val="21"/>
              </w:rPr>
              <w:t>投资设立全资</w:t>
            </w:r>
          </w:p>
        </w:tc>
        <w:tc>
          <w:tcPr>
            <w:tcW w:w="1897" w:type="dxa"/>
            <w:vMerge/>
            <w:tcBorders>
              <w:left w:val="single" w:sz="6" w:space="0" w:color="000000"/>
              <w:right w:val="single" w:sz="6" w:space="0" w:color="000000"/>
            </w:tcBorders>
          </w:tcPr>
          <w:p>
            <w:pPr/>
          </w:p>
        </w:tc>
        <w:tc>
          <w:tcPr>
            <w:tcW w:w="1613" w:type="dxa"/>
            <w:vMerge/>
            <w:tcBorders>
              <w:left w:val="single" w:sz="6" w:space="0" w:color="000000"/>
              <w:right w:val="single" w:sz="6" w:space="0" w:color="000000"/>
            </w:tcBorders>
          </w:tcPr>
          <w:p>
            <w:pPr/>
          </w:p>
        </w:tc>
      </w:tr>
      <w:tr>
        <w:trPr>
          <w:trHeight w:val="318" w:hRule="exact"/>
        </w:trPr>
        <w:tc>
          <w:tcPr>
            <w:tcW w:w="1614" w:type="dxa"/>
            <w:vMerge/>
            <w:tcBorders>
              <w:left w:val="single" w:sz="6" w:space="0" w:color="000000"/>
              <w:bottom w:val="single" w:sz="6" w:space="0" w:color="000000"/>
              <w:right w:val="single" w:sz="6" w:space="0" w:color="000000"/>
            </w:tcBorders>
          </w:tcPr>
          <w:p>
            <w:pPr/>
          </w:p>
        </w:tc>
        <w:tc>
          <w:tcPr>
            <w:tcW w:w="1518" w:type="dxa"/>
            <w:vMerge/>
            <w:tcBorders>
              <w:left w:val="single" w:sz="6" w:space="0" w:color="000000"/>
              <w:bottom w:val="single" w:sz="6" w:space="0" w:color="000000"/>
              <w:right w:val="single" w:sz="6" w:space="0" w:color="000000"/>
            </w:tcBorders>
          </w:tcPr>
          <w:p>
            <w:pPr/>
          </w:p>
        </w:tc>
        <w:tc>
          <w:tcPr>
            <w:tcW w:w="265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子公司的议案》</w:t>
            </w:r>
          </w:p>
        </w:tc>
        <w:tc>
          <w:tcPr>
            <w:tcW w:w="1897" w:type="dxa"/>
            <w:vMerge/>
            <w:tcBorders>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r>
      <w:tr>
        <w:trPr>
          <w:trHeight w:val="640" w:hRule="exact"/>
        </w:trPr>
        <w:tc>
          <w:tcPr>
            <w:tcW w:w="16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四届十八次会</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议</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15"/>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22 </w:t>
            </w:r>
            <w:r>
              <w:rPr>
                <w:rFonts w:ascii="宋体" w:hAnsi="宋体" w:cs="宋体" w:eastAsia="宋体" w:hint="default"/>
                <w:sz w:val="21"/>
                <w:szCs w:val="21"/>
              </w:rPr>
              <w:t>日</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年三季度报告》</w:t>
            </w:r>
          </w:p>
        </w:tc>
        <w:tc>
          <w:tcPr>
            <w:tcW w:w="18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中国证券报、上海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证券报</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r>
    </w:tbl>
    <w:p>
      <w:pPr>
        <w:spacing w:line="240" w:lineRule="auto" w:before="5"/>
        <w:rPr>
          <w:rFonts w:ascii="宋体" w:hAnsi="宋体" w:cs="宋体" w:eastAsia="宋体" w:hint="default"/>
          <w:sz w:val="22"/>
          <w:szCs w:val="22"/>
        </w:rPr>
      </w:pPr>
    </w:p>
    <w:p>
      <w:pPr>
        <w:pStyle w:val="BodyText"/>
        <w:spacing w:line="276" w:lineRule="auto" w:before="35"/>
        <w:ind w:right="999"/>
        <w:jc w:val="left"/>
      </w:pPr>
      <w:r>
        <w:rPr>
          <w:rFonts w:ascii="Times New Roman" w:hAnsi="Times New Roman" w:cs="Times New Roman" w:eastAsia="Times New Roman" w:hint="default"/>
        </w:rPr>
        <w:t>2</w:t>
      </w:r>
      <w:r>
        <w:rPr/>
        <w:t>、</w:t>
      </w:r>
      <w:r>
        <w:rPr>
          <w:spacing w:val="-1"/>
        </w:rPr>
        <w:t> </w:t>
      </w:r>
      <w:r>
        <w:rPr/>
        <w:t>董事会对股东大会决议的执行情况</w:t>
      </w:r>
      <w:r>
        <w:rPr/>
        <w:t> </w:t>
      </w:r>
      <w:r>
        <w:rPr>
          <w:spacing w:val="-3"/>
        </w:rPr>
        <w:t>报告期内公司召开二次股东大会，公司董事会依照股东大会授予的职权，认真执行并完成了</w:t>
      </w:r>
      <w:r>
        <w:rPr>
          <w:spacing w:val="-79"/>
        </w:rPr>
        <w:t> </w:t>
      </w:r>
      <w:r>
        <w:rPr>
          <w:spacing w:val="-79"/>
        </w:rPr>
      </w:r>
      <w:r>
        <w:rPr>
          <w:spacing w:val="-3"/>
        </w:rPr>
        <w:t>股东大会通过的各项决议。报告期内，公司没有进行利润分配、公积金转增股本方案，也没</w:t>
      </w:r>
      <w:r>
        <w:rPr>
          <w:spacing w:val="-80"/>
        </w:rPr>
        <w:t> </w:t>
      </w:r>
      <w:r>
        <w:rPr>
          <w:spacing w:val="-80"/>
        </w:rPr>
      </w:r>
      <w:r>
        <w:rPr/>
        <w:t>有配股、增发新股等情况。</w:t>
      </w:r>
    </w:p>
    <w:p>
      <w:pPr>
        <w:spacing w:line="240" w:lineRule="auto" w:before="9"/>
        <w:rPr>
          <w:rFonts w:ascii="宋体" w:hAnsi="宋体" w:cs="宋体" w:eastAsia="宋体" w:hint="default"/>
          <w:sz w:val="26"/>
          <w:szCs w:val="26"/>
        </w:rPr>
      </w:pPr>
    </w:p>
    <w:p>
      <w:pPr>
        <w:pStyle w:val="BodyText"/>
        <w:spacing w:line="292" w:lineRule="auto"/>
        <w:ind w:right="1103" w:hanging="1"/>
        <w:jc w:val="left"/>
      </w:pPr>
      <w:r>
        <w:rPr>
          <w:rFonts w:ascii="Times New Roman" w:hAnsi="Times New Roman" w:cs="Times New Roman" w:eastAsia="Times New Roman" w:hint="default"/>
        </w:rPr>
        <w:t>3</w:t>
      </w:r>
      <w:r>
        <w:rPr/>
        <w:t>、</w:t>
      </w:r>
      <w:r>
        <w:rPr>
          <w:spacing w:val="16"/>
        </w:rPr>
        <w:t> </w:t>
      </w:r>
      <w:r>
        <w:rPr>
          <w:spacing w:val="-3"/>
        </w:rPr>
        <w:t>董事会下设的审计委员会相关工作制度的建立健全情况、主要内容以及履职情况汇总报</w:t>
      </w:r>
      <w:r>
        <w:rPr/>
        <w:t> 告 </w:t>
      </w:r>
      <w:r>
        <w:rPr>
          <w:spacing w:val="-3"/>
        </w:rPr>
        <w:t>公司董事会审计委员会认真履行职责，对公司的财务状况进行了审慎的核查并对公司编制的</w:t>
      </w:r>
      <w:r>
        <w:rPr>
          <w:spacing w:val="-80"/>
        </w:rPr>
        <w:t> </w:t>
      </w:r>
      <w:r>
        <w:rPr>
          <w:spacing w:val="-80"/>
        </w:rPr>
      </w:r>
      <w:r>
        <w:rPr/>
        <w:t>财务报表进行了审核，认为公司财务体系运营稳健，财务状况良好。</w:t>
      </w:r>
    </w:p>
    <w:p>
      <w:pPr>
        <w:pStyle w:val="BodyText"/>
        <w:spacing w:line="256" w:lineRule="auto"/>
        <w:ind w:right="999" w:firstLine="211"/>
        <w:jc w:val="left"/>
      </w:pPr>
      <w:r>
        <w:rPr>
          <w:spacing w:val="-2"/>
        </w:rPr>
        <w:t>审计委员会履职情况和天职国际会计师事务所（以下简称</w:t>
      </w:r>
      <w:r>
        <w:rPr>
          <w:rFonts w:ascii="Times New Roman" w:hAnsi="Times New Roman" w:cs="Times New Roman" w:eastAsia="Times New Roman" w:hint="default"/>
          <w:spacing w:val="-2"/>
        </w:rPr>
        <w:t>"</w:t>
      </w:r>
      <w:r>
        <w:rPr>
          <w:spacing w:val="-2"/>
        </w:rPr>
        <w:t>天职</w:t>
      </w:r>
      <w:r>
        <w:rPr>
          <w:rFonts w:ascii="Times New Roman" w:hAnsi="Times New Roman" w:cs="Times New Roman" w:eastAsia="Times New Roman" w:hint="default"/>
          <w:spacing w:val="-2"/>
        </w:rPr>
        <w:t>"</w:t>
      </w:r>
      <w:r>
        <w:rPr>
          <w:spacing w:val="-2"/>
        </w:rPr>
        <w:t>）的审计工作情况总结如</w:t>
      </w:r>
      <w:r>
        <w:rPr/>
        <w:t> 下：</w:t>
      </w:r>
    </w:p>
    <w:p>
      <w:pPr>
        <w:pStyle w:val="BodyText"/>
        <w:spacing w:line="256" w:lineRule="auto" w:before="22"/>
        <w:ind w:left="353" w:right="999" w:hanging="214"/>
        <w:jc w:val="left"/>
      </w:pPr>
      <w:r>
        <w:rPr>
          <w:rFonts w:ascii="Times New Roman" w:hAnsi="Times New Roman" w:cs="Times New Roman" w:eastAsia="Times New Roman" w:hint="default"/>
        </w:rPr>
        <w:t>1</w:t>
      </w:r>
      <w:r>
        <w:rPr/>
        <w:t>、审计工作总体情况 </w:t>
      </w:r>
      <w:r>
        <w:rPr>
          <w:spacing w:val="2"/>
        </w:rPr>
        <w:t>审计工作安排在审计委员会的指导下开展，并由董事会办公室以书面方式向独立董事报</w:t>
      </w:r>
    </w:p>
    <w:p>
      <w:pPr>
        <w:pStyle w:val="BodyText"/>
        <w:spacing w:line="240" w:lineRule="auto" w:before="22"/>
        <w:ind w:right="999"/>
        <w:jc w:val="left"/>
      </w:pPr>
      <w:r>
        <w:rPr/>
        <w:t>告。</w:t>
      </w:r>
    </w:p>
    <w:p>
      <w:pPr>
        <w:pStyle w:val="BodyText"/>
        <w:spacing w:line="266" w:lineRule="auto" w:before="37"/>
        <w:ind w:right="997" w:firstLine="211"/>
        <w:jc w:val="left"/>
      </w:pPr>
      <w:r>
        <w:rPr/>
        <w:t>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spacing w:val="-3"/>
        </w:rPr>
        <w:t>年审计工作主要分为计划、实施和报告三个阶段。其中：计划阶段，通过沟通，</w:t>
      </w:r>
      <w:r>
        <w:rPr/>
        <w:t> </w:t>
      </w:r>
      <w:r>
        <w:rPr>
          <w:spacing w:val="-3"/>
        </w:rPr>
        <w:t>制定了审计工作计划；现场阶段，天职同重要业务部门的管理人员进行访谈；报告阶段，天</w:t>
      </w:r>
      <w:r>
        <w:rPr>
          <w:spacing w:val="-80"/>
        </w:rPr>
        <w:t> </w:t>
      </w:r>
      <w:r>
        <w:rPr>
          <w:spacing w:val="-80"/>
        </w:rPr>
      </w:r>
      <w:r>
        <w:rPr>
          <w:spacing w:val="-3"/>
        </w:rPr>
        <w:t>职和审计委员会、独立董事、管理层充分沟通，同期，对于纳入合并范围的子公司，天职也</w:t>
      </w:r>
      <w:r>
        <w:rPr>
          <w:spacing w:val="-84"/>
        </w:rPr>
        <w:t> </w:t>
      </w:r>
      <w:r>
        <w:rPr>
          <w:spacing w:val="-84"/>
        </w:rPr>
      </w:r>
      <w:r>
        <w:rPr/>
        <w:t>执行了相应的审计程序。</w:t>
      </w:r>
    </w:p>
    <w:p>
      <w:pPr>
        <w:pStyle w:val="BodyText"/>
        <w:spacing w:line="240" w:lineRule="auto" w:before="14"/>
        <w:ind w:right="999"/>
        <w:jc w:val="lef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7 </w:t>
      </w:r>
      <w:r>
        <w:rPr/>
        <w:t>日，天职如期出具了正式的标准无保留意见的审计报告。</w:t>
      </w:r>
    </w:p>
    <w:p>
      <w:pPr>
        <w:pStyle w:val="BodyText"/>
        <w:spacing w:line="240" w:lineRule="auto" w:before="21"/>
        <w:ind w:right="999"/>
        <w:jc w:val="left"/>
      </w:pPr>
      <w:r>
        <w:rPr>
          <w:rFonts w:ascii="Times New Roman" w:hAnsi="Times New Roman" w:cs="Times New Roman" w:eastAsia="Times New Roman" w:hint="default"/>
        </w:rPr>
        <w:t>2</w:t>
      </w:r>
      <w:r>
        <w:rPr/>
        <w:t>、审计机构的督促情况</w:t>
      </w:r>
    </w:p>
    <w:p>
      <w:pPr>
        <w:pStyle w:val="BodyText"/>
        <w:spacing w:line="264" w:lineRule="auto" w:before="21"/>
        <w:ind w:right="1115" w:firstLine="211"/>
        <w:jc w:val="both"/>
      </w:pPr>
      <w:r>
        <w:rPr/>
        <w:t>为做好公司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年年度财务报告审计工作、督促天职在商定的时间内出具相关审计的报 </w:t>
      </w:r>
      <w:r>
        <w:rPr>
          <w:spacing w:val="-3"/>
        </w:rPr>
        <w:t>告，审计委员会委托财务部与天职就预审未决事项、会计附注内容、审计初稿和终稿定稿时</w:t>
      </w:r>
      <w:r>
        <w:rPr>
          <w:spacing w:val="-81"/>
        </w:rPr>
        <w:t> </w:t>
      </w:r>
      <w:r>
        <w:rPr>
          <w:spacing w:val="-81"/>
        </w:rPr>
      </w:r>
      <w:r>
        <w:rPr/>
        <w:t>间等事项，于审计期间，进行了</w:t>
      </w:r>
      <w:r>
        <w:rPr>
          <w:spacing w:val="-53"/>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次督促。</w:t>
      </w:r>
    </w:p>
    <w:p>
      <w:pPr>
        <w:pStyle w:val="BodyText"/>
        <w:spacing w:line="289" w:lineRule="exact"/>
        <w:ind w:right="999"/>
        <w:jc w:val="left"/>
      </w:pPr>
      <w:r>
        <w:rPr>
          <w:rFonts w:ascii="Times New Roman" w:hAnsi="Times New Roman" w:cs="Times New Roman" w:eastAsia="Times New Roman" w:hint="default"/>
        </w:rPr>
        <w:t>3</w:t>
      </w:r>
      <w:r>
        <w:rPr/>
        <w:t>、审计委员会预审财务会计报表情况</w:t>
      </w:r>
    </w:p>
    <w:p>
      <w:pPr>
        <w:pStyle w:val="BodyText"/>
        <w:spacing w:line="256" w:lineRule="auto" w:before="21"/>
        <w:ind w:right="1004" w:firstLine="211"/>
        <w:jc w:val="left"/>
      </w:pPr>
      <w:r>
        <w:rPr/>
        <w:t>审计委员会于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t>日召开</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spacing w:val="-8"/>
        </w:rPr>
        <w:t>年第一次会议，对公司</w:t>
      </w:r>
      <w:r>
        <w:rPr>
          <w:spacing w:val="-53"/>
        </w:rPr>
        <w:t> </w:t>
      </w:r>
      <w:r>
        <w:rPr>
          <w:rFonts w:ascii="Times New Roman" w:hAnsi="Times New Roman" w:cs="Times New Roman" w:eastAsia="Times New Roman" w:hint="default"/>
        </w:rPr>
        <w:t>2010 </w:t>
      </w:r>
      <w:r>
        <w:rPr/>
        <w:t>年财务报告初稿和 天职的工作进展进行审议，认为，天职能够按照监管机关的要求较好的开展本次审计工作，</w:t>
      </w:r>
    </w:p>
    <w:p>
      <w:pPr>
        <w:spacing w:after="0" w:line="256"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56" w:lineRule="auto" w:before="35"/>
        <w:ind w:right="201"/>
        <w:jc w:val="left"/>
      </w:pPr>
      <w:r>
        <w:rPr/>
        <w:t>认真地履行了职责，对公司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年度财务报告初稿无异议，同时，督促天职继续做好下一 步的审计工作，为公司提供更高质量的服务。</w:t>
      </w:r>
    </w:p>
    <w:p>
      <w:pPr>
        <w:pStyle w:val="BodyText"/>
        <w:spacing w:line="264" w:lineRule="auto" w:before="22"/>
        <w:ind w:right="211" w:firstLine="209"/>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6"/>
        </w:rPr>
        <w:t> </w:t>
      </w:r>
      <w:r>
        <w:rPr/>
        <w:t>年</w:t>
      </w:r>
      <w:r>
        <w:rPr>
          <w:spacing w:val="-59"/>
        </w:rPr>
        <w:t> </w:t>
      </w:r>
      <w:r>
        <w:rPr>
          <w:rFonts w:ascii="Times New Roman" w:hAnsi="Times New Roman" w:cs="Times New Roman" w:eastAsia="Times New Roman" w:hint="default"/>
        </w:rPr>
        <w:t>3</w:t>
      </w:r>
      <w:r>
        <w:rPr>
          <w:rFonts w:ascii="Times New Roman" w:hAnsi="Times New Roman" w:cs="Times New Roman" w:eastAsia="Times New Roman" w:hint="default"/>
          <w:spacing w:val="-6"/>
        </w:rPr>
        <w:t> </w:t>
      </w:r>
      <w:r>
        <w:rPr/>
        <w:t>月</w:t>
      </w:r>
      <w:r>
        <w:rPr>
          <w:spacing w:val="-58"/>
        </w:rPr>
        <w:t> </w:t>
      </w:r>
      <w:r>
        <w:rPr>
          <w:rFonts w:ascii="Times New Roman" w:hAnsi="Times New Roman" w:cs="Times New Roman" w:eastAsia="Times New Roman" w:hint="default"/>
        </w:rPr>
        <w:t>7</w:t>
      </w:r>
      <w:r>
        <w:rPr>
          <w:rFonts w:ascii="Times New Roman" w:hAnsi="Times New Roman" w:cs="Times New Roman" w:eastAsia="Times New Roman" w:hint="default"/>
          <w:spacing w:val="-6"/>
        </w:rPr>
        <w:t> </w:t>
      </w:r>
      <w:r>
        <w:rPr/>
        <w:t>日，审计委员会召开</w:t>
      </w:r>
      <w:r>
        <w:rPr>
          <w:spacing w:val="-58"/>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spacing w:val="-6"/>
        </w:rPr>
        <w:t> </w:t>
      </w:r>
      <w:r>
        <w:rPr/>
        <w:t>年第二次会议，对天职已完成的财务报告进行审 核，认为天职较好地完成了审计工作，保持原有审议意见。 </w:t>
      </w:r>
      <w:r>
        <w:rPr>
          <w:rFonts w:ascii="Times New Roman" w:hAnsi="Times New Roman" w:cs="Times New Roman" w:eastAsia="Times New Roman" w:hint="default"/>
        </w:rPr>
        <w:t>4</w:t>
      </w:r>
      <w:r>
        <w:rPr/>
        <w:t>、公司独立董事的现场检查情况</w:t>
      </w:r>
    </w:p>
    <w:p>
      <w:pPr>
        <w:pStyle w:val="BodyText"/>
        <w:spacing w:line="256" w:lineRule="auto"/>
        <w:ind w:right="215" w:firstLine="211"/>
        <w:jc w:val="both"/>
      </w:pPr>
      <w:r>
        <w:rPr/>
        <w:t>公司</w:t>
      </w:r>
      <w:r>
        <w:rPr>
          <w:spacing w:val="-54"/>
        </w:rPr>
        <w:t> </w:t>
      </w:r>
      <w:r>
        <w:rPr>
          <w:rFonts w:ascii="Times New Roman" w:hAnsi="Times New Roman" w:cs="Times New Roman" w:eastAsia="Times New Roman" w:hint="default"/>
        </w:rPr>
        <w:t>3 </w:t>
      </w:r>
      <w:r>
        <w:rPr/>
        <w:t>位独立董事分别于</w:t>
      </w:r>
      <w:r>
        <w:rPr>
          <w:spacing w:val="-53"/>
        </w:rPr>
        <w:t> </w:t>
      </w: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1 </w:t>
      </w:r>
      <w:r>
        <w:rPr/>
        <w:t>月</w:t>
      </w:r>
      <w:r>
        <w:rPr>
          <w:spacing w:val="-54"/>
        </w:rPr>
        <w:t> </w:t>
      </w:r>
      <w:r>
        <w:rPr>
          <w:rFonts w:ascii="Times New Roman" w:hAnsi="Times New Roman" w:cs="Times New Roman" w:eastAsia="Times New Roman" w:hint="default"/>
          <w:spacing w:val="-4"/>
        </w:rPr>
        <w:t>11</w:t>
      </w:r>
      <w:r>
        <w:rPr>
          <w:rFonts w:ascii="Times New Roman" w:hAnsi="Times New Roman" w:cs="Times New Roman" w:eastAsia="Times New Roman" w:hint="default"/>
        </w:rPr>
        <w:t> </w:t>
      </w:r>
      <w:r>
        <w:rPr>
          <w:spacing w:val="-4"/>
        </w:rPr>
        <w:t>日对公司的审计工作进行了现场检查和指导，听</w:t>
      </w:r>
      <w:r>
        <w:rPr/>
        <w:t> 取了审计工作有关负责人的汇报，对督促天职进一步做好审计工作。</w:t>
      </w:r>
    </w:p>
    <w:p>
      <w:pPr>
        <w:pStyle w:val="BodyText"/>
        <w:spacing w:line="240" w:lineRule="auto" w:before="22"/>
        <w:ind w:right="201"/>
        <w:jc w:val="left"/>
      </w:pPr>
      <w:r>
        <w:rPr>
          <w:rFonts w:ascii="Times New Roman" w:hAnsi="Times New Roman" w:cs="Times New Roman" w:eastAsia="Times New Roman" w:hint="default"/>
        </w:rPr>
        <w:t>5</w:t>
      </w:r>
      <w:r>
        <w:rPr/>
        <w:t>、基本结论</w:t>
      </w:r>
    </w:p>
    <w:p>
      <w:pPr>
        <w:pStyle w:val="BodyText"/>
        <w:spacing w:line="256" w:lineRule="auto" w:before="21"/>
        <w:ind w:right="215" w:firstLine="211"/>
        <w:jc w:val="both"/>
      </w:pPr>
      <w:r>
        <w:rPr/>
        <w:t>审计委员会认为，天职在公司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年年度财务报表审计过程中认真尽责，以公允、客观 的态度进行独立审计，较好地完成了年度审计工作。</w:t>
      </w:r>
    </w:p>
    <w:p>
      <w:pPr>
        <w:spacing w:line="240" w:lineRule="auto" w:before="12"/>
        <w:rPr>
          <w:rFonts w:ascii="宋体" w:hAnsi="宋体" w:cs="宋体" w:eastAsia="宋体" w:hint="default"/>
          <w:sz w:val="27"/>
          <w:szCs w:val="27"/>
        </w:rPr>
      </w:pPr>
    </w:p>
    <w:p>
      <w:pPr>
        <w:pStyle w:val="BodyText"/>
        <w:spacing w:line="276" w:lineRule="auto"/>
        <w:ind w:right="201"/>
        <w:jc w:val="left"/>
      </w:pPr>
      <w:r>
        <w:rPr>
          <w:rFonts w:ascii="Times New Roman" w:hAnsi="Times New Roman" w:cs="Times New Roman" w:eastAsia="Times New Roman" w:hint="default"/>
        </w:rPr>
        <w:t>4</w:t>
      </w:r>
      <w:r>
        <w:rPr/>
        <w:t>、</w:t>
      </w:r>
      <w:r>
        <w:rPr>
          <w:spacing w:val="-1"/>
        </w:rPr>
        <w:t> </w:t>
      </w:r>
      <w:r>
        <w:rPr/>
        <w:t>董事会下设的薪酬委员会的履职情况汇总报告</w:t>
      </w:r>
      <w:r>
        <w:rPr/>
        <w:t> </w:t>
      </w:r>
      <w:r>
        <w:rPr>
          <w:spacing w:val="-3"/>
        </w:rPr>
        <w:t>董事会薪酬与考核委员会是董事会设立的专门工作机构，负责制定公司董事、监事及高管人</w:t>
      </w:r>
      <w:r>
        <w:rPr>
          <w:spacing w:val="-79"/>
        </w:rPr>
        <w:t> </w:t>
      </w:r>
      <w:r>
        <w:rPr>
          <w:spacing w:val="-79"/>
        </w:rPr>
      </w:r>
      <w:r>
        <w:rPr>
          <w:spacing w:val="-3"/>
        </w:rPr>
        <w:t>员的考核标准，制定、审查公司董事、监事及高管人员的薪酬政策与方案，并依照上述考核</w:t>
      </w:r>
      <w:r>
        <w:rPr>
          <w:spacing w:val="-80"/>
        </w:rPr>
        <w:t> </w:t>
      </w:r>
      <w:r>
        <w:rPr>
          <w:spacing w:val="-80"/>
        </w:rPr>
      </w:r>
      <w:r>
        <w:rPr/>
        <w:t>标准及薪酬政策与方案进行考核。</w:t>
      </w:r>
    </w:p>
    <w:p>
      <w:pPr>
        <w:pStyle w:val="BodyText"/>
        <w:spacing w:line="240" w:lineRule="auto" w:before="5"/>
        <w:ind w:left="351" w:right="201"/>
        <w:jc w:val="left"/>
      </w:pPr>
      <w:r>
        <w:rPr/>
        <w:t>董事会薪酬与考核委员会成员由 </w:t>
      </w:r>
      <w:r>
        <w:rPr>
          <w:rFonts w:ascii="Times New Roman" w:hAnsi="Times New Roman" w:cs="Times New Roman" w:eastAsia="Times New Roman" w:hint="default"/>
        </w:rPr>
        <w:t>3</w:t>
      </w:r>
      <w:r>
        <w:rPr>
          <w:rFonts w:ascii="Times New Roman" w:hAnsi="Times New Roman" w:cs="Times New Roman" w:eastAsia="Times New Roman" w:hint="default"/>
          <w:spacing w:val="-5"/>
        </w:rPr>
        <w:t> </w:t>
      </w:r>
      <w:r>
        <w:rPr/>
        <w:t>名董事组成，均为独立董事。</w:t>
      </w:r>
    </w:p>
    <w:p>
      <w:pPr>
        <w:pStyle w:val="BodyText"/>
        <w:spacing w:line="264" w:lineRule="auto" w:before="21"/>
        <w:ind w:right="215" w:firstLine="211"/>
        <w:jc w:val="both"/>
      </w:pPr>
      <w:r>
        <w:rPr/>
        <w:t>报告期内，董事会薪酬与考核委员会依据公司</w:t>
      </w:r>
      <w:r>
        <w:rPr>
          <w:spacing w:val="-50"/>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年度经营目标完成情况，公司董事、 </w:t>
      </w:r>
      <w:r>
        <w:rPr>
          <w:spacing w:val="-3"/>
        </w:rPr>
        <w:t>监事及高管人员分管工作范围及主要职责，董事、监事及高管人员岗位工作完成情况，对董</w:t>
      </w:r>
      <w:r>
        <w:rPr>
          <w:spacing w:val="-81"/>
        </w:rPr>
        <w:t> </w:t>
      </w:r>
      <w:r>
        <w:rPr>
          <w:spacing w:val="-81"/>
        </w:rPr>
      </w:r>
      <w:r>
        <w:rPr/>
        <w:t>事、监事及高管人员的工作进行了综合评价。</w:t>
      </w:r>
    </w:p>
    <w:p>
      <w:pPr>
        <w:pStyle w:val="BodyText"/>
        <w:spacing w:line="264" w:lineRule="auto" w:before="16"/>
        <w:ind w:right="215" w:firstLine="209"/>
        <w:jc w:val="both"/>
      </w:pP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年度，公司董事、监事及高管人员披露的薪酬情况符合公司薪酬管理制度，未有违 </w:t>
      </w:r>
      <w:r>
        <w:rPr>
          <w:spacing w:val="-3"/>
        </w:rPr>
        <w:t>反公司薪酬管理制度及与公司薪酬管理制度不一致的情形发生。公司披露的董事、监事及高</w:t>
      </w:r>
      <w:r>
        <w:rPr>
          <w:spacing w:val="-79"/>
        </w:rPr>
        <w:t> </w:t>
      </w:r>
      <w:r>
        <w:rPr>
          <w:spacing w:val="-79"/>
        </w:rPr>
      </w:r>
      <w:r>
        <w:rPr/>
        <w:t>管人员的薪酬与实际一致。</w:t>
      </w:r>
    </w:p>
    <w:p>
      <w:pPr>
        <w:pStyle w:val="BodyText"/>
        <w:spacing w:line="240" w:lineRule="auto" w:before="16"/>
        <w:ind w:left="350" w:right="201"/>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年公司未有实施股权激励计划。</w:t>
      </w:r>
    </w:p>
    <w:p>
      <w:pPr>
        <w:spacing w:line="240" w:lineRule="auto" w:before="11"/>
        <w:rPr>
          <w:rFonts w:ascii="宋体" w:hAnsi="宋体" w:cs="宋体" w:eastAsia="宋体" w:hint="default"/>
          <w:sz w:val="27"/>
          <w:szCs w:val="27"/>
        </w:rPr>
      </w:pPr>
    </w:p>
    <w:p>
      <w:pPr>
        <w:pStyle w:val="BodyText"/>
        <w:spacing w:line="283" w:lineRule="auto"/>
        <w:ind w:right="99"/>
        <w:jc w:val="left"/>
      </w:pPr>
      <w:r>
        <w:rPr>
          <w:rFonts w:ascii="Times New Roman" w:hAnsi="Times New Roman" w:cs="Times New Roman" w:eastAsia="Times New Roman" w:hint="default"/>
        </w:rPr>
        <w:t>5</w:t>
      </w:r>
      <w:r>
        <w:rPr/>
        <w:t>、</w:t>
      </w:r>
      <w:r>
        <w:rPr>
          <w:spacing w:val="-1"/>
        </w:rPr>
        <w:t> </w:t>
      </w:r>
      <w:r>
        <w:rPr/>
        <w:t>公司对外部信息使用人管理制度的建立健全情况</w:t>
      </w:r>
      <w:r>
        <w:rPr/>
        <w:t> </w:t>
      </w:r>
      <w:r>
        <w:rPr>
          <w:spacing w:val="-5"/>
        </w:rPr>
        <w:t>公司在报告期内建立《外部信息报送和使用管理制度》并于四届董事会十三次会议审议通过。</w:t>
      </w:r>
    </w:p>
    <w:p>
      <w:pPr>
        <w:spacing w:line="240" w:lineRule="auto" w:before="2"/>
        <w:rPr>
          <w:rFonts w:ascii="宋体" w:hAnsi="宋体" w:cs="宋体" w:eastAsia="宋体" w:hint="default"/>
          <w:sz w:val="26"/>
          <w:szCs w:val="26"/>
        </w:rPr>
      </w:pPr>
    </w:p>
    <w:p>
      <w:pPr>
        <w:pStyle w:val="BodyText"/>
        <w:spacing w:line="273" w:lineRule="auto"/>
        <w:ind w:right="201"/>
        <w:jc w:val="left"/>
      </w:pPr>
      <w:r>
        <w:rPr>
          <w:rFonts w:ascii="Times New Roman" w:hAnsi="Times New Roman" w:cs="Times New Roman" w:eastAsia="Times New Roman" w:hint="default"/>
        </w:rPr>
        <w:t>6</w:t>
      </w:r>
      <w:r>
        <w:rPr/>
        <w:t>、</w:t>
      </w:r>
      <w:r>
        <w:rPr>
          <w:spacing w:val="-1"/>
        </w:rPr>
        <w:t> </w:t>
      </w:r>
      <w:r>
        <w:rPr/>
        <w:t>内幕信息知情人管理制度的执行情况</w:t>
      </w:r>
      <w:r>
        <w:rPr/>
        <w:t> </w:t>
      </w:r>
      <w:r>
        <w:rPr>
          <w:spacing w:val="-3"/>
        </w:rPr>
        <w:t>公司自查，内幕信息知情人是否在影响公司股价的重大敏感信息披露前利用内幕信息买卖公</w:t>
      </w:r>
      <w:r>
        <w:rPr>
          <w:spacing w:val="-79"/>
        </w:rPr>
        <w:t> </w:t>
      </w:r>
      <w:r>
        <w:rPr>
          <w:spacing w:val="-79"/>
        </w:rPr>
      </w:r>
      <w:r>
        <w:rPr/>
        <w:t>司股份的情况？否 公司在报告期内建立《内幕信息知情人管理制度》并于四届董事会十三次会议审议通过。 </w:t>
      </w:r>
      <w:r>
        <w:rPr>
          <w:spacing w:val="-3"/>
        </w:rPr>
        <w:t>经公司自查，内幕信息知情人不存在在影响公司股价的重大敏感信息披露前利用内幕信息买</w:t>
      </w:r>
      <w:r>
        <w:rPr>
          <w:spacing w:val="-79"/>
        </w:rPr>
        <w:t> </w:t>
      </w:r>
      <w:r>
        <w:rPr>
          <w:spacing w:val="-79"/>
        </w:rPr>
      </w:r>
      <w:r>
        <w:rPr/>
        <w:t>卖公司股份的情况，亦未有监管部门的查处和整改情况。</w:t>
      </w:r>
    </w:p>
    <w:p>
      <w:pPr>
        <w:spacing w:line="240" w:lineRule="auto" w:before="11"/>
        <w:rPr>
          <w:rFonts w:ascii="宋体" w:hAnsi="宋体" w:cs="宋体" w:eastAsia="宋体" w:hint="default"/>
          <w:sz w:val="26"/>
          <w:szCs w:val="26"/>
        </w:rPr>
      </w:pPr>
    </w:p>
    <w:p>
      <w:pPr>
        <w:pStyle w:val="BodyText"/>
        <w:spacing w:line="240" w:lineRule="auto"/>
        <w:ind w:right="201"/>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利润分配或资本公积金转增股本预案</w:t>
      </w:r>
    </w:p>
    <w:p>
      <w:pPr>
        <w:pStyle w:val="BodyText"/>
        <w:spacing w:line="240" w:lineRule="auto" w:before="52"/>
        <w:ind w:right="99"/>
        <w:jc w:val="left"/>
      </w:pPr>
      <w:r>
        <w:rPr/>
        <w:t>天职国际会计师事务所有限公司为公司</w:t>
      </w:r>
      <w:r>
        <w:rPr>
          <w:spacing w:val="-49"/>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年度财务报告出具了标准无保留意见的审计报</w:t>
      </w:r>
    </w:p>
    <w:p>
      <w:pPr>
        <w:pStyle w:val="BodyText"/>
        <w:spacing w:line="240" w:lineRule="auto" w:before="20"/>
        <w:ind w:right="99"/>
        <w:jc w:val="left"/>
      </w:pPr>
      <w:r>
        <w:rPr/>
        <w:t>告。经审计，本公司 </w:t>
      </w:r>
      <w:r>
        <w:rPr>
          <w:rFonts w:ascii="Times New Roman" w:hAnsi="Times New Roman" w:cs="Times New Roman" w:eastAsia="Times New Roman" w:hint="default"/>
        </w:rPr>
        <w:t>2010  </w:t>
      </w:r>
      <w:r>
        <w:rPr/>
        <w:t>年度实现归属于母公司股东的净利润 </w:t>
      </w:r>
      <w:r>
        <w:rPr>
          <w:rFonts w:ascii="Times New Roman" w:hAnsi="Times New Roman" w:cs="Times New Roman" w:eastAsia="Times New Roman" w:hint="default"/>
        </w:rPr>
        <w:t>16,736,905.50</w:t>
      </w:r>
      <w:r>
        <w:rPr>
          <w:rFonts w:ascii="Times New Roman" w:hAnsi="Times New Roman" w:cs="Times New Roman" w:eastAsia="Times New Roman" w:hint="default"/>
          <w:spacing w:val="-1"/>
        </w:rPr>
        <w:t> </w:t>
      </w:r>
      <w:r>
        <w:rPr/>
        <w:t>元，因弥补</w:t>
      </w:r>
    </w:p>
    <w:p>
      <w:pPr>
        <w:pStyle w:val="BodyText"/>
        <w:spacing w:line="240" w:lineRule="auto" w:before="21"/>
        <w:ind w:right="99"/>
        <w:jc w:val="left"/>
      </w:pPr>
      <w:r>
        <w:rPr/>
        <w:t>以前年度亏损，未提取法定盈余公积金，加期初未分配利润 </w:t>
      </w:r>
      <w:r>
        <w:rPr>
          <w:rFonts w:ascii="Times New Roman" w:hAnsi="Times New Roman" w:cs="Times New Roman" w:eastAsia="Times New Roman" w:hint="default"/>
        </w:rPr>
        <w:t>-130,519,494.41</w:t>
      </w:r>
      <w:r>
        <w:rPr>
          <w:rFonts w:ascii="Times New Roman" w:hAnsi="Times New Roman" w:cs="Times New Roman" w:eastAsia="Times New Roman" w:hint="default"/>
          <w:spacing w:val="35"/>
        </w:rPr>
        <w:t> </w:t>
      </w:r>
      <w:r>
        <w:rPr/>
        <w:t>元，本年度可</w:t>
      </w:r>
    </w:p>
    <w:p>
      <w:pPr>
        <w:pStyle w:val="BodyText"/>
        <w:spacing w:line="240" w:lineRule="auto" w:before="21"/>
        <w:ind w:right="201"/>
        <w:jc w:val="left"/>
      </w:pPr>
      <w:r>
        <w:rPr/>
        <w:t>供分配的利润为 </w:t>
      </w:r>
      <w:r>
        <w:rPr>
          <w:rFonts w:ascii="Times New Roman" w:hAnsi="Times New Roman" w:cs="Times New Roman" w:eastAsia="Times New Roman" w:hint="default"/>
        </w:rPr>
        <w:t>-113,782,588.91</w:t>
      </w:r>
      <w:r>
        <w:rPr>
          <w:rFonts w:ascii="Times New Roman" w:hAnsi="Times New Roman" w:cs="Times New Roman" w:eastAsia="Times New Roman" w:hint="default"/>
          <w:spacing w:val="-14"/>
        </w:rPr>
        <w:t> </w:t>
      </w:r>
      <w:r>
        <w:rPr/>
        <w:t>元。</w:t>
      </w:r>
    </w:p>
    <w:p>
      <w:pPr>
        <w:pStyle w:val="BodyText"/>
        <w:spacing w:line="240" w:lineRule="auto" w:before="21"/>
        <w:ind w:left="351" w:right="201"/>
        <w:jc w:val="left"/>
      </w:pPr>
      <w:r>
        <w:rPr/>
        <w:t>公司董事会拟定</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年度不进行利润分配，也不进行公积金转增股本。</w:t>
      </w:r>
    </w:p>
    <w:p>
      <w:pPr>
        <w:spacing w:line="240" w:lineRule="auto" w:before="11"/>
        <w:rPr>
          <w:rFonts w:ascii="宋体" w:hAnsi="宋体" w:cs="宋体" w:eastAsia="宋体" w:hint="default"/>
          <w:sz w:val="27"/>
          <w:szCs w:val="27"/>
        </w:rPr>
      </w:pPr>
    </w:p>
    <w:p>
      <w:pPr>
        <w:pStyle w:val="BodyText"/>
        <w:spacing w:line="240" w:lineRule="auto"/>
        <w:ind w:right="201"/>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公司本报告期内盈利但未提出现金利润分配预案</w:t>
      </w:r>
    </w:p>
    <w:p>
      <w:pPr>
        <w:spacing w:after="0" w:line="240" w:lineRule="auto"/>
        <w:jc w:val="left"/>
        <w:sectPr>
          <w:pgSz w:w="11910" w:h="16840"/>
          <w:pgMar w:header="877" w:footer="982" w:top="1100" w:bottom="1180" w:left="1660" w:right="15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4980"/>
        <w:gridCol w:w="4320"/>
      </w:tblGrid>
      <w:tr>
        <w:trPr>
          <w:trHeight w:val="326" w:hRule="exact"/>
        </w:trPr>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1" w:right="0"/>
              <w:jc w:val="left"/>
              <w:rPr>
                <w:rFonts w:ascii="宋体" w:hAnsi="宋体" w:cs="宋体" w:eastAsia="宋体" w:hint="default"/>
                <w:sz w:val="21"/>
                <w:szCs w:val="21"/>
              </w:rPr>
            </w:pPr>
            <w:bookmarkStart w:name="_bookmark6" w:id="7"/>
            <w:bookmarkEnd w:id="7"/>
            <w:r>
              <w:rPr/>
            </w:r>
            <w:r>
              <w:rPr>
                <w:rFonts w:ascii="宋体" w:hAnsi="宋体" w:cs="宋体" w:eastAsia="宋体" w:hint="default"/>
                <w:sz w:val="21"/>
                <w:szCs w:val="21"/>
              </w:rPr>
              <w:t>本报告期内盈利但未提出现金利润分配预案的原因</w:t>
            </w:r>
          </w:p>
        </w:tc>
        <w:tc>
          <w:tcPr>
            <w:tcW w:w="43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8" w:right="0"/>
              <w:jc w:val="left"/>
              <w:rPr>
                <w:rFonts w:ascii="宋体" w:hAnsi="宋体" w:cs="宋体" w:eastAsia="宋体" w:hint="default"/>
                <w:sz w:val="21"/>
                <w:szCs w:val="21"/>
              </w:rPr>
            </w:pPr>
            <w:r>
              <w:rPr>
                <w:rFonts w:ascii="宋体" w:hAnsi="宋体" w:cs="宋体" w:eastAsia="宋体" w:hint="default"/>
                <w:sz w:val="21"/>
                <w:szCs w:val="21"/>
              </w:rPr>
              <w:t>未用于分红的资金留存公司的用途</w:t>
            </w:r>
          </w:p>
        </w:tc>
      </w:tr>
      <w:tr>
        <w:trPr>
          <w:trHeight w:val="640" w:hRule="exact"/>
        </w:trPr>
        <w:tc>
          <w:tcPr>
            <w:tcW w:w="49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6"/>
                <w:sz w:val="21"/>
                <w:szCs w:val="21"/>
              </w:rPr>
              <w:t>因弥补以前年度亏损，本年度可供分配的利润为</w:t>
            </w:r>
          </w:p>
          <w:p>
            <w:pPr>
              <w:pStyle w:val="TableParagraph"/>
              <w:spacing w:line="240" w:lineRule="auto" w:before="37"/>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-113,782,588.91</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元。</w:t>
            </w:r>
          </w:p>
        </w:tc>
        <w:tc>
          <w:tcPr>
            <w:tcW w:w="4320"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Heading1"/>
        <w:spacing w:line="240" w:lineRule="auto"/>
        <w:ind w:right="999"/>
        <w:jc w:val="left"/>
        <w:rPr>
          <w:b w:val="0"/>
          <w:bCs w:val="0"/>
        </w:rPr>
      </w:pPr>
      <w:r>
        <w:rPr/>
        <w:t>九、</w:t>
      </w:r>
      <w:r>
        <w:rPr>
          <w:spacing w:val="-4"/>
        </w:rPr>
        <w:t> </w:t>
      </w:r>
      <w:r>
        <w:rPr/>
        <w:t>监事会报告</w:t>
      </w:r>
      <w:r>
        <w:rPr>
          <w:b w:val="0"/>
          <w:bCs w:val="0"/>
        </w:rPr>
      </w:r>
    </w:p>
    <w:p>
      <w:pPr>
        <w:pStyle w:val="BodyText"/>
        <w:spacing w:line="240" w:lineRule="auto" w:before="99"/>
        <w:ind w:right="999"/>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监事会的工作情况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召开会议的次数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6</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监事会会议情况</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监事会会议议题</w:t>
            </w:r>
          </w:p>
        </w:tc>
      </w:tr>
      <w:tr>
        <w:trPr>
          <w:trHeight w:val="952"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第四届第九次会议于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日召开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审议通过《公司</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6"/>
                <w:sz w:val="21"/>
                <w:szCs w:val="21"/>
              </w:rPr>
              <w:t> </w:t>
            </w:r>
            <w:r>
              <w:rPr>
                <w:rFonts w:ascii="宋体" w:hAnsi="宋体" w:cs="宋体" w:eastAsia="宋体" w:hint="default"/>
                <w:spacing w:val="-2"/>
                <w:sz w:val="21"/>
                <w:szCs w:val="21"/>
              </w:rPr>
              <w:t>年</w:t>
            </w:r>
            <w:r>
              <w:rPr>
                <w:rFonts w:ascii="宋体" w:hAnsi="宋体" w:cs="宋体" w:eastAsia="宋体" w:hint="default"/>
                <w:sz w:val="21"/>
                <w:szCs w:val="21"/>
              </w:rPr>
              <w:t>报及摘要</w:t>
            </w:r>
            <w:r>
              <w:rPr>
                <w:rFonts w:ascii="宋体" w:hAnsi="宋体" w:cs="宋体" w:eastAsia="宋体" w:hint="default"/>
                <w:spacing w:val="-105"/>
                <w:sz w:val="21"/>
                <w:szCs w:val="21"/>
              </w:rPr>
              <w:t>》</w:t>
            </w:r>
            <w:r>
              <w:rPr>
                <w:rFonts w:ascii="宋体" w:hAnsi="宋体" w:cs="宋体" w:eastAsia="宋体" w:hint="default"/>
                <w:spacing w:val="-106"/>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w:t>
            </w:r>
            <w:r>
              <w:rPr>
                <w:rFonts w:ascii="Times New Roman" w:hAnsi="Times New Roman" w:cs="Times New Roman" w:eastAsia="Times New Roman" w:hint="default"/>
                <w:spacing w:val="26"/>
                <w:sz w:val="21"/>
                <w:szCs w:val="21"/>
              </w:rPr>
              <w:t> </w:t>
            </w:r>
            <w:r>
              <w:rPr>
                <w:rFonts w:ascii="宋体" w:hAnsi="宋体" w:cs="宋体" w:eastAsia="宋体" w:hint="default"/>
                <w:sz w:val="21"/>
                <w:szCs w:val="21"/>
              </w:rPr>
              <w:t>年监</w:t>
            </w:r>
          </w:p>
          <w:p>
            <w:pPr>
              <w:pStyle w:val="TableParagraph"/>
              <w:spacing w:line="256" w:lineRule="auto" w:before="21"/>
              <w:ind w:left="100" w:right="99"/>
              <w:jc w:val="left"/>
              <w:rPr>
                <w:rFonts w:ascii="宋体" w:hAnsi="宋体" w:cs="宋体" w:eastAsia="宋体" w:hint="default"/>
                <w:sz w:val="21"/>
                <w:szCs w:val="21"/>
              </w:rPr>
            </w:pPr>
            <w:r>
              <w:rPr>
                <w:rFonts w:ascii="宋体" w:hAnsi="宋体" w:cs="宋体" w:eastAsia="宋体" w:hint="default"/>
                <w:spacing w:val="-27"/>
                <w:sz w:val="21"/>
                <w:szCs w:val="21"/>
              </w:rPr>
              <w:t>事会工作报告》、《公司</w:t>
            </w:r>
            <w:r>
              <w:rPr>
                <w:rFonts w:ascii="宋体" w:hAnsi="宋体" w:cs="宋体" w:eastAsia="宋体" w:hint="default"/>
                <w:spacing w:val="-48"/>
                <w:sz w:val="21"/>
                <w:szCs w:val="21"/>
              </w:rPr>
              <w:t> </w:t>
            </w:r>
            <w:r>
              <w:rPr>
                <w:rFonts w:ascii="Times New Roman" w:hAnsi="Times New Roman" w:cs="Times New Roman" w:eastAsia="Times New Roman" w:hint="default"/>
                <w:spacing w:val="-1"/>
                <w:sz w:val="21"/>
                <w:szCs w:val="21"/>
              </w:rPr>
              <w:t>2009</w:t>
            </w:r>
            <w:r>
              <w:rPr>
                <w:rFonts w:ascii="Times New Roman" w:hAnsi="Times New Roman" w:cs="Times New Roman" w:eastAsia="Times New Roman" w:hint="default"/>
                <w:spacing w:val="5"/>
                <w:sz w:val="21"/>
                <w:szCs w:val="21"/>
              </w:rPr>
              <w:t> </w:t>
            </w:r>
            <w:r>
              <w:rPr>
                <w:rFonts w:ascii="宋体" w:hAnsi="宋体" w:cs="宋体" w:eastAsia="宋体" w:hint="default"/>
                <w:spacing w:val="-1"/>
                <w:sz w:val="21"/>
                <w:szCs w:val="21"/>
              </w:rPr>
              <w:t>年与黑化集团有限公</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司日常关联交易预估金额的议案》</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第四届第十次会议于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日召开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年半年度报告》</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第四届第十一次会议于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年半年度报告》</w:t>
            </w:r>
          </w:p>
        </w:tc>
      </w:tr>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第四届第十二次会议于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审议通过《调整本公司与黑化集团公司焦炉气关</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联交易价格的议案》</w:t>
            </w:r>
          </w:p>
        </w:tc>
      </w:tr>
      <w:tr>
        <w:trPr>
          <w:trHeight w:val="1264"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2"/>
                <w:szCs w:val="22"/>
              </w:rPr>
            </w:pPr>
          </w:p>
          <w:p>
            <w:pPr>
              <w:pStyle w:val="TableParagraph"/>
              <w:spacing w:line="240" w:lineRule="auto" w:before="165"/>
              <w:ind w:left="100" w:right="0"/>
              <w:jc w:val="left"/>
              <w:rPr>
                <w:rFonts w:ascii="宋体" w:hAnsi="宋体" w:cs="宋体" w:eastAsia="宋体" w:hint="default"/>
                <w:sz w:val="21"/>
                <w:szCs w:val="21"/>
              </w:rPr>
            </w:pPr>
            <w:r>
              <w:rPr>
                <w:rFonts w:ascii="宋体" w:hAnsi="宋体" w:cs="宋体" w:eastAsia="宋体" w:hint="default"/>
                <w:sz w:val="21"/>
                <w:szCs w:val="21"/>
              </w:rPr>
              <w:t>第四届第十三次会议于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审议通过《关于本公司重大资产置换及以新增股</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份换股吸收合并翔鹭石化股份公司暨关联交易的</w:t>
            </w:r>
            <w:r>
              <w:rPr>
                <w:rFonts w:ascii="宋体" w:hAnsi="宋体" w:cs="宋体" w:eastAsia="宋体" w:hint="default"/>
                <w:spacing w:val="-85"/>
                <w:sz w:val="21"/>
                <w:szCs w:val="21"/>
              </w:rPr>
              <w:t> </w:t>
            </w:r>
            <w:r>
              <w:rPr>
                <w:rFonts w:ascii="宋体" w:hAnsi="宋体" w:cs="宋体" w:eastAsia="宋体" w:hint="default"/>
                <w:spacing w:val="-18"/>
                <w:sz w:val="21"/>
                <w:szCs w:val="21"/>
              </w:rPr>
              <w:t>议案》、《本次关联交易定价的议案》、《关于确认</w:t>
            </w:r>
            <w:r>
              <w:rPr>
                <w:rFonts w:ascii="宋体" w:hAnsi="宋体" w:cs="宋体" w:eastAsia="宋体" w:hint="default"/>
                <w:spacing w:val="-93"/>
                <w:sz w:val="21"/>
                <w:szCs w:val="21"/>
              </w:rPr>
              <w:t> </w:t>
            </w:r>
            <w:r>
              <w:rPr>
                <w:rFonts w:ascii="宋体" w:hAnsi="宋体" w:cs="宋体" w:eastAsia="宋体" w:hint="default"/>
                <w:spacing w:val="-93"/>
                <w:sz w:val="21"/>
                <w:szCs w:val="21"/>
              </w:rPr>
            </w:r>
            <w:r>
              <w:rPr>
                <w:rFonts w:ascii="宋体" w:hAnsi="宋体" w:cs="宋体" w:eastAsia="宋体" w:hint="default"/>
                <w:sz w:val="21"/>
                <w:szCs w:val="21"/>
              </w:rPr>
              <w:t>第四届董事会第十七次会议程序的议案》</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第四届第十四次会议于</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日召开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审议通过《</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4"/>
                <w:sz w:val="21"/>
                <w:szCs w:val="21"/>
              </w:rPr>
              <w:t> </w:t>
            </w:r>
            <w:r>
              <w:rPr>
                <w:rFonts w:ascii="宋体" w:hAnsi="宋体" w:cs="宋体" w:eastAsia="宋体" w:hint="default"/>
                <w:sz w:val="21"/>
                <w:szCs w:val="21"/>
              </w:rPr>
              <w:t>年三季度报告》</w:t>
            </w:r>
          </w:p>
        </w:tc>
      </w:tr>
    </w:tbl>
    <w:p>
      <w:pPr>
        <w:spacing w:line="240" w:lineRule="auto" w:before="5"/>
        <w:rPr>
          <w:rFonts w:ascii="宋体" w:hAnsi="宋体" w:cs="宋体" w:eastAsia="宋体" w:hint="default"/>
          <w:sz w:val="22"/>
          <w:szCs w:val="22"/>
        </w:rPr>
      </w:pPr>
    </w:p>
    <w:p>
      <w:pPr>
        <w:pStyle w:val="BodyText"/>
        <w:spacing w:line="273" w:lineRule="auto" w:before="35"/>
        <w:ind w:left="139" w:right="100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 </w:t>
      </w:r>
      <w:r>
        <w:rPr/>
        <w:t>监事会对公司依法运作情况的独立意见</w:t>
      </w:r>
      <w:r>
        <w:rPr>
          <w:w w:val="99"/>
        </w:rPr>
        <w:t> </w:t>
      </w:r>
      <w:r>
        <w:rPr>
          <w:spacing w:val="-3"/>
        </w:rPr>
        <w:t>公司监事会依照有关法律法规，对公司股东大会、董事会的召开程序，决策事项、董事会对</w:t>
      </w:r>
      <w:r>
        <w:rPr>
          <w:spacing w:val="-81"/>
        </w:rPr>
        <w:t> </w:t>
      </w:r>
      <w:r>
        <w:rPr>
          <w:spacing w:val="-81"/>
        </w:rPr>
      </w:r>
      <w:r>
        <w:rPr>
          <w:spacing w:val="-3"/>
          <w:w w:val="99"/>
        </w:rPr>
        <w:t>股东大会决议的执行情况、公司高级管理人员履行职责情况及公司内部管理制度的执行情况</w:t>
      </w:r>
      <w:r>
        <w:rPr>
          <w:spacing w:val="-79"/>
          <w:w w:val="99"/>
        </w:rPr>
        <w:t> </w:t>
      </w:r>
      <w:r>
        <w:rPr>
          <w:spacing w:val="-79"/>
          <w:w w:val="99"/>
        </w:rPr>
      </w:r>
      <w:r>
        <w:rPr>
          <w:spacing w:val="-13"/>
          <w:w w:val="99"/>
        </w:rPr>
        <w:t>进行了监督，认为：报告期内，公司能够严格按照《公司法》、《证券法》、《公司章程》等法</w:t>
      </w:r>
      <w:r>
        <w:rPr>
          <w:spacing w:val="-79"/>
          <w:w w:val="99"/>
        </w:rPr>
        <w:t> </w:t>
      </w:r>
      <w:r>
        <w:rPr>
          <w:spacing w:val="-79"/>
          <w:w w:val="99"/>
        </w:rPr>
      </w:r>
      <w:r>
        <w:rPr>
          <w:spacing w:val="-5"/>
        </w:rPr>
        <w:t>律法规的要求规范运作，完善，公司董事、高级管理人员在执行职责时没有违反法律、法规、</w:t>
      </w:r>
      <w:r>
        <w:rPr>
          <w:spacing w:val="-101"/>
        </w:rPr>
        <w:t> </w:t>
      </w:r>
      <w:r>
        <w:rPr>
          <w:spacing w:val="-101"/>
        </w:rPr>
      </w:r>
      <w:r>
        <w:rPr/>
        <w:t>公司章程或损害公司利益的行为。</w:t>
      </w:r>
    </w:p>
    <w:p>
      <w:pPr>
        <w:spacing w:line="240" w:lineRule="auto" w:before="11"/>
        <w:rPr>
          <w:rFonts w:ascii="宋体" w:hAnsi="宋体" w:cs="宋体" w:eastAsia="宋体" w:hint="default"/>
          <w:sz w:val="26"/>
          <w:szCs w:val="26"/>
        </w:rPr>
      </w:pPr>
    </w:p>
    <w:p>
      <w:pPr>
        <w:pStyle w:val="BodyText"/>
        <w:spacing w:line="271" w:lineRule="auto"/>
        <w:ind w:left="139" w:right="999"/>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监事会对检查公司财务情况的独立意见</w:t>
      </w:r>
      <w:r>
        <w:rPr>
          <w:w w:val="99"/>
        </w:rPr>
        <w:t> </w:t>
      </w:r>
      <w:r>
        <w:rPr>
          <w:spacing w:val="8"/>
        </w:rPr>
        <w:t>监事会在报告期内对公司的财务制度执行情况和财务状况进行了认真的检查，认为公司</w:t>
      </w:r>
      <w:r>
        <w:rPr>
          <w:spacing w:val="-101"/>
        </w:rPr>
        <w:t> </w:t>
      </w:r>
      <w:r>
        <w:rPr>
          <w:spacing w:val="-101"/>
        </w:rPr>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年度财务报告真实反映了公司的财务状况和经营成果，天职国际会计师事务所出具标</w:t>
      </w:r>
      <w:r>
        <w:rPr>
          <w:w w:val="99"/>
        </w:rPr>
        <w:t> </w:t>
      </w:r>
      <w:r>
        <w:rPr>
          <w:spacing w:val="-3"/>
        </w:rPr>
        <w:t>准无保留意见的审计报告是客观公正的；通过对公司对外担保情况的核查，认为公司对外担</w:t>
      </w:r>
      <w:r>
        <w:rPr>
          <w:spacing w:val="-80"/>
        </w:rPr>
        <w:t> </w:t>
      </w:r>
      <w:r>
        <w:rPr>
          <w:spacing w:val="-80"/>
        </w:rPr>
      </w:r>
      <w:r>
        <w:rPr/>
        <w:t>保均履行了必要的审批程序，不存在违规担保情况。</w:t>
      </w:r>
    </w:p>
    <w:p>
      <w:pPr>
        <w:spacing w:line="240" w:lineRule="auto" w:before="13"/>
        <w:rPr>
          <w:rFonts w:ascii="宋体" w:hAnsi="宋体" w:cs="宋体" w:eastAsia="宋体" w:hint="default"/>
          <w:sz w:val="26"/>
          <w:szCs w:val="26"/>
        </w:rPr>
      </w:pPr>
    </w:p>
    <w:p>
      <w:pPr>
        <w:pStyle w:val="BodyText"/>
        <w:spacing w:line="240" w:lineRule="auto"/>
        <w:ind w:left="139" w:right="999"/>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监事会对公司最近一次募集资金实际投入情况的独立意见</w:t>
      </w:r>
    </w:p>
    <w:p>
      <w:pPr>
        <w:pStyle w:val="BodyText"/>
        <w:spacing w:line="256" w:lineRule="auto" w:before="52"/>
        <w:ind w:left="138" w:right="1113"/>
        <w:jc w:val="left"/>
      </w:pPr>
      <w:r>
        <w:rPr/>
        <w:t>公司最近一次募集资金为</w:t>
      </w:r>
      <w:r>
        <w:rPr>
          <w:spacing w:val="-51"/>
        </w:rPr>
        <w:t> </w:t>
      </w:r>
      <w:r>
        <w:rPr>
          <w:rFonts w:ascii="Times New Roman" w:hAnsi="Times New Roman" w:cs="Times New Roman" w:eastAsia="Times New Roman" w:hint="default"/>
          <w:spacing w:val="-1"/>
        </w:rPr>
        <w:t>1998</w:t>
      </w:r>
      <w:r>
        <w:rPr>
          <w:rFonts w:ascii="Times New Roman" w:hAnsi="Times New Roman" w:cs="Times New Roman" w:eastAsia="Times New Roman" w:hint="default"/>
          <w:spacing w:val="2"/>
        </w:rPr>
        <w:t> </w:t>
      </w:r>
      <w:r>
        <w:rPr/>
        <w:t>年</w:t>
      </w:r>
      <w:r>
        <w:rPr>
          <w:spacing w:val="-52"/>
        </w:rPr>
        <w:t> </w:t>
      </w:r>
      <w:r>
        <w:rPr>
          <w:rFonts w:ascii="Times New Roman" w:hAnsi="Times New Roman" w:cs="Times New Roman" w:eastAsia="Times New Roman" w:hint="default"/>
        </w:rPr>
        <w:t>9</w:t>
      </w:r>
      <w:r>
        <w:rPr>
          <w:rFonts w:ascii="Times New Roman" w:hAnsi="Times New Roman" w:cs="Times New Roman" w:eastAsia="Times New Roman" w:hint="default"/>
          <w:spacing w:val="1"/>
        </w:rPr>
        <w:t> </w:t>
      </w:r>
      <w:r>
        <w:rPr/>
        <w:t>月</w:t>
      </w:r>
      <w:r>
        <w:rPr>
          <w:spacing w:val="-51"/>
        </w:rPr>
        <w:t> </w:t>
      </w:r>
      <w:r>
        <w:rPr>
          <w:rFonts w:ascii="Times New Roman" w:hAnsi="Times New Roman" w:cs="Times New Roman" w:eastAsia="Times New Roman" w:hint="default"/>
          <w:spacing w:val="-1"/>
        </w:rPr>
        <w:t>22</w:t>
      </w:r>
      <w:r>
        <w:rPr>
          <w:rFonts w:ascii="Times New Roman" w:hAnsi="Times New Roman" w:cs="Times New Roman" w:eastAsia="Times New Roman" w:hint="default"/>
          <w:spacing w:val="2"/>
        </w:rPr>
        <w:t> </w:t>
      </w:r>
      <w:r>
        <w:rPr>
          <w:spacing w:val="-5"/>
        </w:rPr>
        <w:t>日新股发行，募集资金实际投入项目和承诺投入项</w:t>
      </w:r>
      <w:r>
        <w:rPr/>
        <w:t> 目一致。</w:t>
      </w:r>
    </w:p>
    <w:p>
      <w:pPr>
        <w:spacing w:line="240" w:lineRule="auto" w:before="12"/>
        <w:rPr>
          <w:rFonts w:ascii="宋体" w:hAnsi="宋体" w:cs="宋体" w:eastAsia="宋体" w:hint="default"/>
          <w:sz w:val="27"/>
          <w:szCs w:val="27"/>
        </w:rPr>
      </w:pPr>
    </w:p>
    <w:p>
      <w:pPr>
        <w:pStyle w:val="BodyText"/>
        <w:spacing w:line="278" w:lineRule="auto"/>
        <w:ind w:left="138" w:right="999"/>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 </w:t>
      </w:r>
      <w:r>
        <w:rPr/>
        <w:t>监事会对公司收购、出售资产情况的独立意见</w:t>
      </w:r>
      <w:r>
        <w:rPr>
          <w:w w:val="99"/>
        </w:rPr>
        <w:t> </w:t>
      </w:r>
      <w:r>
        <w:rPr>
          <w:spacing w:val="-3"/>
          <w:w w:val="99"/>
        </w:rPr>
        <w:t>公司第四届监事会第十三次会议审议通过《关于黑龙江黑化股份有限公司重大资产置换及以</w:t>
      </w:r>
      <w:r>
        <w:rPr>
          <w:spacing w:val="-79"/>
          <w:w w:val="99"/>
        </w:rPr>
        <w:t> </w:t>
      </w:r>
      <w:r>
        <w:rPr>
          <w:spacing w:val="-79"/>
          <w:w w:val="99"/>
        </w:rPr>
      </w:r>
      <w:r>
        <w:rPr>
          <w:spacing w:val="-3"/>
          <w:w w:val="99"/>
        </w:rPr>
        <w:t>新增股份换股吸收合并翔鹭石化股份有限公司暨关联交易的议案》，监事会认为：公司依据</w:t>
      </w:r>
      <w:r>
        <w:rPr>
          <w:spacing w:val="-3"/>
        </w:rPr>
      </w:r>
    </w:p>
    <w:p>
      <w:pPr>
        <w:spacing w:after="0" w:line="278"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3" w:lineRule="auto" w:before="35"/>
        <w:ind w:right="1004"/>
        <w:jc w:val="left"/>
      </w:pPr>
      <w:bookmarkStart w:name="_bookmark7" w:id="8"/>
      <w:bookmarkEnd w:id="8"/>
      <w:r>
        <w:rPr/>
      </w:r>
      <w:r>
        <w:rPr/>
        <w:t>规定的程序选聘了具有法定执业资格的审计机构、评估机构、独立财务顾问和律师事务所， </w:t>
      </w:r>
      <w:r>
        <w:rPr>
          <w:spacing w:val="-3"/>
        </w:rPr>
        <w:t>上述中介机构出具的专业报告具备独立性，其结论具备合理性，保证了交易的公平。本次关</w:t>
      </w:r>
      <w:r>
        <w:rPr>
          <w:spacing w:val="-81"/>
        </w:rPr>
        <w:t> </w:t>
      </w:r>
      <w:r>
        <w:rPr>
          <w:spacing w:val="-81"/>
        </w:rPr>
      </w:r>
      <w:r>
        <w:rPr>
          <w:spacing w:val="-3"/>
        </w:rPr>
        <w:t>联交易标的资产价格以评估值作为依据，并经公司和交易各方协商确定，交易权属明晰，符</w:t>
      </w:r>
      <w:r>
        <w:rPr>
          <w:spacing w:val="-81"/>
        </w:rPr>
        <w:t> </w:t>
      </w:r>
      <w:r>
        <w:rPr>
          <w:spacing w:val="-81"/>
        </w:rPr>
      </w:r>
      <w:r>
        <w:rPr/>
        <w:t>合相关法律法规规定的程序，重大资产置换及以新增股份换股吸收合并方案符合公司利益， </w:t>
      </w:r>
      <w:r>
        <w:rPr>
          <w:spacing w:val="-3"/>
        </w:rPr>
        <w:t>不会损害非关联股东特别是中小股东的利益，该关联交易客观、公允、合理，符合关联交易</w:t>
      </w:r>
      <w:r>
        <w:rPr>
          <w:spacing w:val="-80"/>
        </w:rPr>
        <w:t> </w:t>
      </w:r>
      <w:r>
        <w:rPr>
          <w:spacing w:val="-80"/>
        </w:rPr>
      </w:r>
      <w:r>
        <w:rPr/>
        <w:t>规则。</w:t>
      </w:r>
    </w:p>
    <w:p>
      <w:pPr>
        <w:spacing w:line="240" w:lineRule="auto" w:before="11"/>
        <w:rPr>
          <w:rFonts w:ascii="宋体" w:hAnsi="宋体" w:cs="宋体" w:eastAsia="宋体" w:hint="default"/>
          <w:sz w:val="26"/>
          <w:szCs w:val="26"/>
        </w:rPr>
      </w:pPr>
    </w:p>
    <w:p>
      <w:pPr>
        <w:pStyle w:val="BodyText"/>
        <w:spacing w:line="273" w:lineRule="auto"/>
        <w:ind w:left="139" w:right="999"/>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 </w:t>
      </w:r>
      <w:r>
        <w:rPr/>
        <w:t>监事会对公司关联交易情况的独立意见</w:t>
      </w:r>
      <w:r>
        <w:rPr>
          <w:w w:val="99"/>
        </w:rPr>
        <w:t> </w:t>
      </w:r>
      <w:r>
        <w:rPr>
          <w:spacing w:val="-3"/>
        </w:rPr>
        <w:t>报告期内，公司与关联方发生的日常关联交易采取了公允合理的定价原则、公正合法的决策</w:t>
      </w:r>
      <w:r>
        <w:rPr>
          <w:spacing w:val="-80"/>
        </w:rPr>
        <w:t> </w:t>
      </w:r>
      <w:r>
        <w:rPr>
          <w:spacing w:val="-80"/>
        </w:rPr>
      </w:r>
      <w:r>
        <w:rPr>
          <w:spacing w:val="-3"/>
        </w:rPr>
        <w:t>程序，没有损害公司和中小投资者利益的情况。公司重大资产置换及以新增股份换股吸收合</w:t>
      </w:r>
      <w:r>
        <w:rPr>
          <w:spacing w:val="-80"/>
        </w:rPr>
        <w:t> </w:t>
      </w:r>
      <w:r>
        <w:rPr>
          <w:spacing w:val="-80"/>
        </w:rPr>
      </w:r>
      <w:r>
        <w:rPr>
          <w:spacing w:val="-3"/>
          <w:w w:val="99"/>
        </w:rPr>
        <w:t>并翔鹭石化股份有限公司暨关联交易的议案中关联交易标的资产价格以评估值作为依据，并</w:t>
      </w:r>
      <w:r>
        <w:rPr>
          <w:spacing w:val="-79"/>
          <w:w w:val="99"/>
        </w:rPr>
        <w:t> </w:t>
      </w:r>
      <w:r>
        <w:rPr>
          <w:spacing w:val="-79"/>
          <w:w w:val="99"/>
        </w:rPr>
      </w:r>
      <w:r>
        <w:rPr>
          <w:spacing w:val="-3"/>
        </w:rPr>
        <w:t>经公司和交易各方协商确定，交易权属明晰，符合相关法律法规规定的程序，重大资产置换</w:t>
      </w:r>
      <w:r>
        <w:rPr>
          <w:spacing w:val="-82"/>
        </w:rPr>
        <w:t> </w:t>
      </w:r>
      <w:r>
        <w:rPr>
          <w:spacing w:val="-82"/>
        </w:rPr>
      </w:r>
      <w:r>
        <w:rPr>
          <w:spacing w:val="2"/>
        </w:rPr>
        <w:t>及以新增股份换股吸收合并方案符合公司利益，不会损害非关联股东特别是中小股东的利</w:t>
      </w:r>
      <w:r>
        <w:rPr>
          <w:spacing w:val="-85"/>
        </w:rPr>
        <w:t> </w:t>
      </w:r>
      <w:r>
        <w:rPr>
          <w:spacing w:val="-85"/>
        </w:rPr>
      </w:r>
      <w:r>
        <w:rPr/>
        <w:t>益，该关联交易客观、公允、合理，符合关联交易规则。</w:t>
      </w:r>
    </w:p>
    <w:p>
      <w:pPr>
        <w:spacing w:line="240" w:lineRule="auto" w:before="11"/>
        <w:rPr>
          <w:rFonts w:ascii="宋体" w:hAnsi="宋体" w:cs="宋体" w:eastAsia="宋体" w:hint="default"/>
          <w:sz w:val="26"/>
          <w:szCs w:val="26"/>
        </w:rPr>
      </w:pPr>
    </w:p>
    <w:p>
      <w:pPr>
        <w:pStyle w:val="Heading1"/>
        <w:spacing w:line="240" w:lineRule="auto" w:before="0"/>
        <w:ind w:left="139" w:right="999"/>
        <w:jc w:val="left"/>
        <w:rPr>
          <w:b w:val="0"/>
          <w:bCs w:val="0"/>
        </w:rPr>
      </w:pPr>
      <w:r>
        <w:rPr/>
        <w:t>十、</w:t>
      </w:r>
      <w:r>
        <w:rPr>
          <w:spacing w:val="-1"/>
        </w:rPr>
        <w:t> </w:t>
      </w:r>
      <w:r>
        <w:rPr/>
        <w:t>重要事项</w:t>
      </w:r>
      <w:r>
        <w:rPr>
          <w:b w:val="0"/>
          <w:bCs w:val="0"/>
        </w:rPr>
      </w:r>
    </w:p>
    <w:p>
      <w:pPr>
        <w:pStyle w:val="BodyText"/>
        <w:spacing w:line="283" w:lineRule="auto" w:before="99"/>
        <w:ind w:left="559" w:right="5625" w:hanging="420"/>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重大诉讼仲裁事项</w:t>
      </w:r>
      <w:r>
        <w:rPr>
          <w:w w:val="99"/>
        </w:rPr>
        <w:t> </w:t>
      </w:r>
      <w:r>
        <w:rPr/>
        <w:t>本年度公司无重大诉讼、仲裁事项。</w:t>
      </w:r>
    </w:p>
    <w:p>
      <w:pPr>
        <w:spacing w:line="240" w:lineRule="auto" w:before="2"/>
        <w:rPr>
          <w:rFonts w:ascii="宋体" w:hAnsi="宋体" w:cs="宋体" w:eastAsia="宋体" w:hint="default"/>
          <w:sz w:val="26"/>
          <w:szCs w:val="26"/>
        </w:rPr>
      </w:pPr>
    </w:p>
    <w:p>
      <w:pPr>
        <w:pStyle w:val="BodyText"/>
        <w:spacing w:line="283" w:lineRule="auto"/>
        <w:ind w:left="559" w:right="4753" w:hanging="420"/>
        <w:jc w:val="left"/>
      </w:pPr>
      <w:r>
        <w:rPr>
          <w:rFonts w:ascii="Times New Roman" w:hAnsi="Times New Roman" w:cs="Times New Roman" w:eastAsia="Times New Roman" w:hint="default"/>
        </w:rPr>
        <w:t>(</w:t>
      </w:r>
      <w:r>
        <w:rPr/>
        <w:t>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破产重整相关事项及暂停上市或终止上市情况</w:t>
      </w:r>
      <w:r>
        <w:rPr>
          <w:w w:val="99"/>
        </w:rPr>
        <w:t> </w:t>
      </w:r>
      <w:r>
        <w:rPr/>
        <w:t>本年度公司无破产重整相关事项。</w:t>
      </w:r>
    </w:p>
    <w:p>
      <w:pPr>
        <w:spacing w:line="240" w:lineRule="auto" w:before="2"/>
        <w:rPr>
          <w:rFonts w:ascii="宋体" w:hAnsi="宋体" w:cs="宋体" w:eastAsia="宋体" w:hint="default"/>
          <w:sz w:val="26"/>
          <w:szCs w:val="26"/>
        </w:rPr>
      </w:pPr>
    </w:p>
    <w:p>
      <w:pPr>
        <w:pStyle w:val="BodyText"/>
        <w:spacing w:line="283" w:lineRule="auto"/>
        <w:ind w:left="350" w:right="3104" w:hanging="212"/>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 </w:t>
      </w:r>
      <w:r>
        <w:rPr/>
        <w:t>公司持有其他上市公司股权、参股金融企业股权情况</w:t>
      </w:r>
      <w:r>
        <w:rPr>
          <w:w w:val="99"/>
        </w:rPr>
        <w:t> </w:t>
      </w:r>
      <w:r>
        <w:rPr/>
        <w:t>本年度公司无持有其他上市公司股权、参股金融企业股权的情况。</w:t>
      </w:r>
    </w:p>
    <w:p>
      <w:pPr>
        <w:spacing w:line="240" w:lineRule="auto" w:before="2"/>
        <w:rPr>
          <w:rFonts w:ascii="宋体" w:hAnsi="宋体" w:cs="宋体" w:eastAsia="宋体" w:hint="default"/>
          <w:sz w:val="26"/>
          <w:szCs w:val="26"/>
        </w:rPr>
      </w:pPr>
    </w:p>
    <w:p>
      <w:pPr>
        <w:pStyle w:val="BodyText"/>
        <w:spacing w:line="283" w:lineRule="auto"/>
        <w:ind w:left="350" w:right="4754" w:hanging="212"/>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报告期内公司收购及出售资产、吸收合并事项</w:t>
      </w:r>
      <w:r>
        <w:rPr>
          <w:w w:val="99"/>
        </w:rPr>
        <w:t> </w:t>
      </w:r>
      <w:r>
        <w:rPr/>
        <w:t>本年度公司无收购及出售资产、吸收合并事项。</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before="35"/>
        <w:ind w:left="139" w:right="-18"/>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报告期内公司重大关联交易事项</w:t>
      </w:r>
    </w:p>
    <w:p>
      <w:pPr>
        <w:pStyle w:val="BodyText"/>
        <w:spacing w:line="240" w:lineRule="auto" w:before="83"/>
        <w:ind w:left="138" w:right="-18"/>
        <w:jc w:val="left"/>
      </w:pPr>
      <w:r>
        <w:rPr>
          <w:rFonts w:ascii="Times New Roman" w:hAnsi="Times New Roman" w:cs="Times New Roman" w:eastAsia="Times New Roman" w:hint="default"/>
        </w:rPr>
        <w:t>1</w:t>
      </w:r>
      <w:r>
        <w:rPr/>
        <w:t>、</w:t>
      </w:r>
      <w:r>
        <w:rPr>
          <w:spacing w:val="-2"/>
        </w:rPr>
        <w:t> </w:t>
      </w:r>
      <w:r>
        <w:rPr/>
        <w:t>与日常经营相关的关联交易</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8"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3534" w:space="2870"/>
            <w:col w:w="316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78"/>
        <w:gridCol w:w="776"/>
        <w:gridCol w:w="778"/>
        <w:gridCol w:w="776"/>
        <w:gridCol w:w="778"/>
        <w:gridCol w:w="776"/>
        <w:gridCol w:w="1530"/>
        <w:gridCol w:w="776"/>
        <w:gridCol w:w="778"/>
        <w:gridCol w:w="776"/>
        <w:gridCol w:w="778"/>
      </w:tblGrid>
      <w:tr>
        <w:trPr>
          <w:trHeight w:val="321" w:hRule="exact"/>
        </w:trPr>
        <w:tc>
          <w:tcPr>
            <w:tcW w:w="778"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1530"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Style w:val="TableParagraph"/>
              <w:spacing w:line="263" w:lineRule="exact"/>
              <w:ind w:left="170" w:right="0"/>
              <w:jc w:val="left"/>
              <w:rPr>
                <w:rFonts w:ascii="宋体" w:hAnsi="宋体" w:cs="宋体" w:eastAsia="宋体" w:hint="default"/>
                <w:sz w:val="21"/>
                <w:szCs w:val="21"/>
              </w:rPr>
            </w:pPr>
            <w:r>
              <w:rPr>
                <w:rFonts w:ascii="宋体" w:hAnsi="宋体" w:cs="宋体" w:eastAsia="宋体" w:hint="default"/>
                <w:sz w:val="21"/>
                <w:szCs w:val="21"/>
              </w:rPr>
              <w:t>交易</w:t>
            </w:r>
          </w:p>
        </w:tc>
      </w:tr>
      <w:tr>
        <w:trPr>
          <w:trHeight w:val="2184" w:hRule="exact"/>
        </w:trPr>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70" w:right="170"/>
              <w:jc w:val="both"/>
              <w:rPr>
                <w:rFonts w:ascii="宋体" w:hAnsi="宋体" w:cs="宋体" w:eastAsia="宋体" w:hint="default"/>
                <w:sz w:val="21"/>
                <w:szCs w:val="21"/>
              </w:rPr>
            </w:pPr>
            <w:r>
              <w:rPr>
                <w:rFonts w:ascii="宋体" w:hAnsi="宋体" w:cs="宋体" w:eastAsia="宋体" w:hint="default"/>
                <w:sz w:val="21"/>
                <w:szCs w:val="21"/>
              </w:rPr>
              <w:t>关联 交易 方</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73" w:lineRule="auto"/>
              <w:ind w:left="170" w:right="169"/>
              <w:jc w:val="left"/>
              <w:rPr>
                <w:rFonts w:ascii="宋体" w:hAnsi="宋体" w:cs="宋体" w:eastAsia="宋体" w:hint="default"/>
                <w:sz w:val="21"/>
                <w:szCs w:val="21"/>
              </w:rPr>
            </w:pPr>
            <w:r>
              <w:rPr>
                <w:rFonts w:ascii="宋体" w:hAnsi="宋体" w:cs="宋体" w:eastAsia="宋体" w:hint="default"/>
                <w:sz w:val="21"/>
                <w:szCs w:val="21"/>
              </w:rPr>
              <w:t>关联 关系</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70" w:right="170"/>
              <w:jc w:val="both"/>
              <w:rPr>
                <w:rFonts w:ascii="宋体" w:hAnsi="宋体" w:cs="宋体" w:eastAsia="宋体" w:hint="default"/>
                <w:sz w:val="21"/>
                <w:szCs w:val="21"/>
              </w:rPr>
            </w:pPr>
            <w:r>
              <w:rPr>
                <w:rFonts w:ascii="宋体" w:hAnsi="宋体" w:cs="宋体" w:eastAsia="宋体" w:hint="default"/>
                <w:sz w:val="21"/>
                <w:szCs w:val="21"/>
              </w:rPr>
              <w:t>关联 交易 类型</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70" w:right="169"/>
              <w:jc w:val="both"/>
              <w:rPr>
                <w:rFonts w:ascii="宋体" w:hAnsi="宋体" w:cs="宋体" w:eastAsia="宋体" w:hint="default"/>
                <w:sz w:val="21"/>
                <w:szCs w:val="21"/>
              </w:rPr>
            </w:pPr>
            <w:r>
              <w:rPr>
                <w:rFonts w:ascii="宋体" w:hAnsi="宋体" w:cs="宋体" w:eastAsia="宋体" w:hint="default"/>
                <w:sz w:val="21"/>
                <w:szCs w:val="21"/>
              </w:rPr>
              <w:t>关联 交易 内容</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273" w:lineRule="auto"/>
              <w:ind w:left="170" w:right="170"/>
              <w:jc w:val="both"/>
              <w:rPr>
                <w:rFonts w:ascii="宋体" w:hAnsi="宋体" w:cs="宋体" w:eastAsia="宋体" w:hint="default"/>
                <w:sz w:val="21"/>
                <w:szCs w:val="21"/>
              </w:rPr>
            </w:pPr>
            <w:r>
              <w:rPr>
                <w:rFonts w:ascii="宋体" w:hAnsi="宋体" w:cs="宋体" w:eastAsia="宋体" w:hint="default"/>
                <w:sz w:val="21"/>
                <w:szCs w:val="21"/>
              </w:rPr>
              <w:t>关联 交易 定价 原则</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73" w:lineRule="auto"/>
              <w:ind w:left="170" w:right="169"/>
              <w:jc w:val="both"/>
              <w:rPr>
                <w:rFonts w:ascii="宋体" w:hAnsi="宋体" w:cs="宋体" w:eastAsia="宋体" w:hint="default"/>
                <w:sz w:val="21"/>
                <w:szCs w:val="21"/>
              </w:rPr>
            </w:pPr>
            <w:r>
              <w:rPr>
                <w:rFonts w:ascii="宋体" w:hAnsi="宋体" w:cs="宋体" w:eastAsia="宋体" w:hint="default"/>
                <w:sz w:val="21"/>
                <w:szCs w:val="21"/>
              </w:rPr>
              <w:t>关联 交易 价格</w:t>
            </w:r>
          </w:p>
        </w:tc>
        <w:tc>
          <w:tcPr>
            <w:tcW w:w="153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127"/>
              <w:jc w:val="right"/>
              <w:rPr>
                <w:rFonts w:ascii="宋体" w:hAnsi="宋体" w:cs="宋体" w:eastAsia="宋体" w:hint="default"/>
                <w:sz w:val="21"/>
                <w:szCs w:val="21"/>
              </w:rPr>
            </w:pPr>
            <w:r>
              <w:rPr>
                <w:rFonts w:ascii="宋体" w:hAnsi="宋体" w:cs="宋体" w:eastAsia="宋体" w:hint="default"/>
                <w:sz w:val="21"/>
                <w:szCs w:val="21"/>
              </w:rPr>
              <w:t>关联交易金额</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312" w:lineRule="exact" w:before="136"/>
              <w:ind w:left="170" w:right="169"/>
              <w:jc w:val="both"/>
              <w:rPr>
                <w:rFonts w:ascii="Times New Roman" w:hAnsi="Times New Roman" w:cs="Times New Roman" w:eastAsia="Times New Roman" w:hint="default"/>
                <w:sz w:val="21"/>
                <w:szCs w:val="21"/>
              </w:rPr>
            </w:pPr>
            <w:r>
              <w:rPr>
                <w:rFonts w:ascii="宋体" w:hAnsi="宋体" w:cs="宋体" w:eastAsia="宋体" w:hint="default"/>
                <w:sz w:val="21"/>
                <w:szCs w:val="21"/>
              </w:rPr>
              <w:t>占同 类交 易金 额的 比例 </w:t>
            </w:r>
            <w:r>
              <w:rPr>
                <w:rFonts w:ascii="Times New Roman" w:hAnsi="Times New Roman" w:cs="Times New Roman" w:eastAsia="Times New Roman" w:hint="default"/>
                <w:sz w:val="21"/>
                <w:szCs w:val="21"/>
              </w:rPr>
              <w:t>(%)</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70" w:right="170"/>
              <w:jc w:val="both"/>
              <w:rPr>
                <w:rFonts w:ascii="宋体" w:hAnsi="宋体" w:cs="宋体" w:eastAsia="宋体" w:hint="default"/>
                <w:sz w:val="21"/>
                <w:szCs w:val="21"/>
              </w:rPr>
            </w:pPr>
            <w:r>
              <w:rPr>
                <w:rFonts w:ascii="宋体" w:hAnsi="宋体" w:cs="宋体" w:eastAsia="宋体" w:hint="default"/>
                <w:sz w:val="21"/>
                <w:szCs w:val="21"/>
              </w:rPr>
              <w:t>关联 交易 结算 方式</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1"/>
              <w:ind w:right="0"/>
              <w:jc w:val="left"/>
              <w:rPr>
                <w:rFonts w:ascii="宋体" w:hAnsi="宋体" w:cs="宋体" w:eastAsia="宋体" w:hint="default"/>
                <w:sz w:val="27"/>
                <w:szCs w:val="27"/>
              </w:rPr>
            </w:pPr>
          </w:p>
          <w:p>
            <w:pPr>
              <w:pStyle w:val="TableParagraph"/>
              <w:spacing w:line="518" w:lineRule="auto"/>
              <w:ind w:left="170" w:right="169"/>
              <w:jc w:val="left"/>
              <w:rPr>
                <w:rFonts w:ascii="宋体" w:hAnsi="宋体" w:cs="宋体" w:eastAsia="宋体" w:hint="default"/>
                <w:sz w:val="21"/>
                <w:szCs w:val="21"/>
              </w:rPr>
            </w:pPr>
            <w:r>
              <w:rPr>
                <w:rFonts w:ascii="宋体" w:hAnsi="宋体" w:cs="宋体" w:eastAsia="宋体" w:hint="default"/>
                <w:sz w:val="21"/>
                <w:szCs w:val="21"/>
              </w:rPr>
              <w:t>市场 价格</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70" w:right="0"/>
              <w:jc w:val="both"/>
              <w:rPr>
                <w:rFonts w:ascii="宋体" w:hAnsi="宋体" w:cs="宋体" w:eastAsia="宋体" w:hint="default"/>
                <w:sz w:val="21"/>
                <w:szCs w:val="21"/>
              </w:rPr>
            </w:pPr>
            <w:r>
              <w:rPr>
                <w:rFonts w:ascii="宋体" w:hAnsi="宋体" w:cs="宋体" w:eastAsia="宋体" w:hint="default"/>
                <w:sz w:val="21"/>
                <w:szCs w:val="21"/>
              </w:rPr>
              <w:t>价格</w:t>
            </w:r>
          </w:p>
          <w:p>
            <w:pPr>
              <w:pStyle w:val="TableParagraph"/>
              <w:spacing w:line="273" w:lineRule="auto" w:before="37"/>
              <w:ind w:left="170" w:right="170"/>
              <w:jc w:val="both"/>
              <w:rPr>
                <w:rFonts w:ascii="宋体" w:hAnsi="宋体" w:cs="宋体" w:eastAsia="宋体" w:hint="default"/>
                <w:sz w:val="21"/>
                <w:szCs w:val="21"/>
              </w:rPr>
            </w:pPr>
            <w:r>
              <w:rPr>
                <w:rFonts w:ascii="宋体" w:hAnsi="宋体" w:cs="宋体" w:eastAsia="宋体" w:hint="default"/>
                <w:sz w:val="21"/>
                <w:szCs w:val="21"/>
              </w:rPr>
              <w:t>与市 场参 考价 格差 异较 大的</w:t>
            </w:r>
          </w:p>
        </w:tc>
      </w:tr>
      <w:tr>
        <w:trPr>
          <w:trHeight w:val="317" w:hRule="exact"/>
        </w:trPr>
        <w:tc>
          <w:tcPr>
            <w:tcW w:w="778"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1530"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70" w:right="0"/>
              <w:jc w:val="left"/>
              <w:rPr>
                <w:rFonts w:ascii="宋体" w:hAnsi="宋体" w:cs="宋体" w:eastAsia="宋体" w:hint="default"/>
                <w:sz w:val="21"/>
                <w:szCs w:val="21"/>
              </w:rPr>
            </w:pPr>
            <w:r>
              <w:rPr>
                <w:rFonts w:ascii="宋体" w:hAnsi="宋体" w:cs="宋体" w:eastAsia="宋体" w:hint="default"/>
                <w:sz w:val="21"/>
                <w:szCs w:val="21"/>
              </w:rPr>
              <w:t>原因</w:t>
            </w:r>
          </w:p>
        </w:tc>
      </w:tr>
      <w:tr>
        <w:trPr>
          <w:trHeight w:val="640" w:hRule="exact"/>
        </w:trPr>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w:t>
            </w:r>
            <w:r>
              <w:rPr>
                <w:rFonts w:ascii="宋体" w:hAnsi="宋体" w:cs="宋体" w:eastAsia="宋体" w:hint="default"/>
                <w:spacing w:val="35"/>
                <w:sz w:val="21"/>
                <w:szCs w:val="21"/>
              </w:rPr>
              <w:t> </w:t>
            </w:r>
            <w:r>
              <w:rPr>
                <w:rFonts w:ascii="宋体" w:hAnsi="宋体" w:cs="宋体" w:eastAsia="宋体" w:hint="default"/>
                <w:sz w:val="21"/>
                <w:szCs w:val="21"/>
              </w:rPr>
              <w:t>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江</w:t>
            </w:r>
            <w:r>
              <w:rPr>
                <w:rFonts w:ascii="宋体" w:hAnsi="宋体" w:cs="宋体" w:eastAsia="宋体" w:hint="default"/>
                <w:spacing w:val="35"/>
                <w:sz w:val="21"/>
                <w:szCs w:val="21"/>
              </w:rPr>
              <w:t> </w:t>
            </w:r>
            <w:r>
              <w:rPr>
                <w:rFonts w:ascii="宋体" w:hAnsi="宋体" w:cs="宋体" w:eastAsia="宋体" w:hint="default"/>
                <w:sz w:val="21"/>
                <w:szCs w:val="21"/>
              </w:rPr>
              <w:t>黑</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控</w:t>
            </w:r>
            <w:r>
              <w:rPr>
                <w:rFonts w:ascii="宋体" w:hAnsi="宋体" w:cs="宋体" w:eastAsia="宋体" w:hint="default"/>
                <w:spacing w:val="35"/>
                <w:sz w:val="21"/>
                <w:szCs w:val="21"/>
              </w:rPr>
              <w:t> </w:t>
            </w:r>
            <w:r>
              <w:rPr>
                <w:rFonts w:ascii="宋体" w:hAnsi="宋体" w:cs="宋体" w:eastAsia="宋体" w:hint="default"/>
                <w:sz w:val="21"/>
                <w:szCs w:val="21"/>
              </w:rPr>
              <w:t>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股东</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购</w:t>
            </w:r>
            <w:r>
              <w:rPr>
                <w:rFonts w:ascii="宋体" w:hAnsi="宋体" w:cs="宋体" w:eastAsia="宋体" w:hint="default"/>
                <w:spacing w:val="35"/>
                <w:sz w:val="21"/>
                <w:szCs w:val="21"/>
              </w:rPr>
              <w:t> </w:t>
            </w:r>
            <w:r>
              <w:rPr>
                <w:rFonts w:ascii="宋体" w:hAnsi="宋体" w:cs="宋体" w:eastAsia="宋体" w:hint="default"/>
                <w:sz w:val="21"/>
                <w:szCs w:val="21"/>
              </w:rPr>
              <w:t>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商品</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市</w:t>
            </w:r>
            <w:r>
              <w:rPr>
                <w:rFonts w:ascii="宋体" w:hAnsi="宋体" w:cs="宋体" w:eastAsia="宋体" w:hint="default"/>
                <w:spacing w:val="35"/>
                <w:sz w:val="21"/>
                <w:szCs w:val="21"/>
              </w:rPr>
              <w:t> </w:t>
            </w:r>
            <w:r>
              <w:rPr>
                <w:rFonts w:ascii="宋体" w:hAnsi="宋体" w:cs="宋体" w:eastAsia="宋体" w:hint="default"/>
                <w:sz w:val="21"/>
                <w:szCs w:val="21"/>
              </w:rPr>
              <w:t>场</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w:t>
            </w:r>
            <w:r>
              <w:rPr>
                <w:rFonts w:ascii="宋体" w:hAnsi="宋体" w:cs="宋体" w:eastAsia="宋体" w:hint="default"/>
                <w:spacing w:val="35"/>
                <w:sz w:val="21"/>
                <w:szCs w:val="21"/>
              </w:rPr>
              <w:t> </w:t>
            </w:r>
            <w:r>
              <w:rPr>
                <w:rFonts w:ascii="宋体" w:hAnsi="宋体" w:cs="宋体" w:eastAsia="宋体" w:hint="default"/>
                <w:sz w:val="21"/>
                <w:szCs w:val="21"/>
              </w:rPr>
              <w:t>并</w:t>
            </w:r>
          </w:p>
        </w:tc>
        <w:tc>
          <w:tcPr>
            <w:tcW w:w="776" w:type="dxa"/>
            <w:tcBorders>
              <w:top w:val="single" w:sz="6" w:space="0" w:color="000000"/>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16,530,329.10</w:t>
            </w:r>
          </w:p>
        </w:tc>
        <w:tc>
          <w:tcPr>
            <w:tcW w:w="7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94" w:right="0"/>
              <w:jc w:val="left"/>
              <w:rPr>
                <w:rFonts w:ascii="Times New Roman" w:hAnsi="Times New Roman" w:cs="Times New Roman" w:eastAsia="Times New Roman" w:hint="default"/>
                <w:sz w:val="21"/>
                <w:szCs w:val="21"/>
              </w:rPr>
            </w:pPr>
            <w:r>
              <w:rPr>
                <w:rFonts w:ascii="Times New Roman"/>
                <w:sz w:val="21"/>
              </w:rPr>
              <w:t>1.24</w:t>
            </w:r>
          </w:p>
        </w:tc>
        <w:tc>
          <w:tcPr>
            <w:tcW w:w="7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现款</w:t>
            </w:r>
          </w:p>
        </w:tc>
        <w:tc>
          <w:tcPr>
            <w:tcW w:w="776" w:type="dxa"/>
            <w:tcBorders>
              <w:top w:val="single" w:sz="6" w:space="0" w:color="000000"/>
              <w:left w:val="single" w:sz="6" w:space="0" w:color="000000"/>
              <w:bottom w:val="single" w:sz="6" w:space="0" w:color="000000"/>
              <w:right w:val="single" w:sz="6" w:space="0" w:color="000000"/>
            </w:tcBorders>
          </w:tcPr>
          <w:p>
            <w:pPr/>
          </w:p>
        </w:tc>
        <w:tc>
          <w:tcPr>
            <w:tcW w:w="77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88"/>
        <w:gridCol w:w="389"/>
        <w:gridCol w:w="388"/>
        <w:gridCol w:w="388"/>
        <w:gridCol w:w="778"/>
        <w:gridCol w:w="776"/>
        <w:gridCol w:w="388"/>
        <w:gridCol w:w="389"/>
        <w:gridCol w:w="776"/>
        <w:gridCol w:w="1530"/>
        <w:gridCol w:w="776"/>
        <w:gridCol w:w="778"/>
        <w:gridCol w:w="776"/>
        <w:gridCol w:w="778"/>
      </w:tblGrid>
      <w:tr>
        <w:trPr>
          <w:trHeight w:val="319" w:hRule="exact"/>
        </w:trPr>
        <w:tc>
          <w:tcPr>
            <w:tcW w:w="388" w:type="dxa"/>
            <w:tcBorders>
              <w:top w:val="single" w:sz="6" w:space="0" w:color="000000"/>
              <w:left w:val="single" w:sz="6" w:space="0" w:color="000000"/>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hAnsi="宋体" w:cs="宋体" w:eastAsia="宋体" w:hint="default"/>
                <w:sz w:val="21"/>
                <w:szCs w:val="21"/>
              </w:rPr>
              <w:t>化</w:t>
            </w:r>
          </w:p>
        </w:tc>
        <w:tc>
          <w:tcPr>
            <w:tcW w:w="389" w:type="dxa"/>
            <w:tcBorders>
              <w:top w:val="single" w:sz="6" w:space="0" w:color="000000"/>
              <w:left w:val="nil" w:sz="6" w:space="0" w:color="auto"/>
              <w:bottom w:val="nil" w:sz="6" w:space="0" w:color="auto"/>
              <w:right w:val="single" w:sz="6" w:space="0" w:color="000000"/>
            </w:tcBorders>
          </w:tcPr>
          <w:p>
            <w:pPr>
              <w:pStyle w:val="TableParagraph"/>
              <w:spacing w:line="261" w:lineRule="exact"/>
              <w:ind w:right="29"/>
              <w:jc w:val="center"/>
              <w:rPr>
                <w:rFonts w:ascii="宋体" w:hAnsi="宋体" w:cs="宋体" w:eastAsia="宋体" w:hint="default"/>
                <w:sz w:val="21"/>
                <w:szCs w:val="21"/>
              </w:rPr>
            </w:pPr>
            <w:r>
              <w:rPr>
                <w:rFonts w:ascii="宋体" w:hAnsi="宋体" w:cs="宋体" w:eastAsia="宋体" w:hint="default"/>
                <w:sz w:val="21"/>
                <w:szCs w:val="21"/>
              </w:rPr>
              <w:t>集</w:t>
            </w:r>
          </w:p>
        </w:tc>
        <w:tc>
          <w:tcPr>
            <w:tcW w:w="776" w:type="dxa"/>
            <w:gridSpan w:val="2"/>
            <w:vMerge w:val="restart"/>
            <w:tcBorders>
              <w:top w:val="single" w:sz="6" w:space="0" w:color="000000"/>
              <w:left w:val="single" w:sz="6" w:space="0" w:color="000000"/>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c>
          <w:tcPr>
            <w:tcW w:w="776" w:type="dxa"/>
            <w:vMerge w:val="restart"/>
            <w:tcBorders>
              <w:top w:val="single" w:sz="6" w:space="0" w:color="000000"/>
              <w:left w:val="single" w:sz="6" w:space="0" w:color="000000"/>
              <w:right w:val="single" w:sz="6" w:space="0" w:color="000000"/>
            </w:tcBorders>
          </w:tcPr>
          <w:p>
            <w:pPr/>
          </w:p>
        </w:tc>
        <w:tc>
          <w:tcPr>
            <w:tcW w:w="388" w:type="dxa"/>
            <w:tcBorders>
              <w:top w:val="single" w:sz="6" w:space="0" w:color="000000"/>
              <w:left w:val="single" w:sz="6" w:space="0" w:color="000000"/>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hAnsi="宋体" w:cs="宋体" w:eastAsia="宋体" w:hint="default"/>
                <w:sz w:val="21"/>
                <w:szCs w:val="21"/>
              </w:rPr>
              <w:t>经</w:t>
            </w:r>
          </w:p>
        </w:tc>
        <w:tc>
          <w:tcPr>
            <w:tcW w:w="389" w:type="dxa"/>
            <w:tcBorders>
              <w:top w:val="single" w:sz="6" w:space="0" w:color="000000"/>
              <w:left w:val="nil" w:sz="6" w:space="0" w:color="auto"/>
              <w:bottom w:val="nil" w:sz="6" w:space="0" w:color="auto"/>
              <w:right w:val="single" w:sz="6" w:space="0" w:color="000000"/>
            </w:tcBorders>
          </w:tcPr>
          <w:p>
            <w:pPr>
              <w:pStyle w:val="TableParagraph"/>
              <w:spacing w:line="261" w:lineRule="exact"/>
              <w:ind w:right="29"/>
              <w:jc w:val="center"/>
              <w:rPr>
                <w:rFonts w:ascii="宋体" w:hAnsi="宋体" w:cs="宋体" w:eastAsia="宋体" w:hint="default"/>
                <w:sz w:val="21"/>
                <w:szCs w:val="21"/>
              </w:rPr>
            </w:pPr>
            <w:r>
              <w:rPr>
                <w:rFonts w:ascii="宋体" w:hAnsi="宋体" w:cs="宋体" w:eastAsia="宋体" w:hint="default"/>
                <w:sz w:val="21"/>
                <w:szCs w:val="21"/>
              </w:rPr>
              <w:t>股</w:t>
            </w:r>
          </w:p>
        </w:tc>
        <w:tc>
          <w:tcPr>
            <w:tcW w:w="776" w:type="dxa"/>
            <w:vMerge w:val="restart"/>
            <w:tcBorders>
              <w:top w:val="single" w:sz="6" w:space="0" w:color="000000"/>
              <w:left w:val="single" w:sz="6" w:space="0" w:color="000000"/>
              <w:right w:val="single" w:sz="6" w:space="0" w:color="000000"/>
            </w:tcBorders>
          </w:tcPr>
          <w:p>
            <w:pPr/>
          </w:p>
        </w:tc>
        <w:tc>
          <w:tcPr>
            <w:tcW w:w="1530" w:type="dxa"/>
            <w:vMerge w:val="restart"/>
            <w:tcBorders>
              <w:top w:val="single" w:sz="6" w:space="0" w:color="000000"/>
              <w:left w:val="single" w:sz="6" w:space="0" w:color="000000"/>
              <w:right w:val="single" w:sz="6" w:space="0" w:color="000000"/>
            </w:tcBorders>
          </w:tcPr>
          <w:p>
            <w:pPr/>
          </w:p>
        </w:tc>
        <w:tc>
          <w:tcPr>
            <w:tcW w:w="776" w:type="dxa"/>
            <w:vMerge w:val="restart"/>
            <w:tcBorders>
              <w:top w:val="single" w:sz="6" w:space="0" w:color="000000"/>
              <w:left w:val="single" w:sz="6" w:space="0" w:color="000000"/>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c>
          <w:tcPr>
            <w:tcW w:w="776" w:type="dxa"/>
            <w:vMerge w:val="restart"/>
            <w:tcBorders>
              <w:top w:val="single" w:sz="6" w:space="0" w:color="000000"/>
              <w:left w:val="single" w:sz="6" w:space="0" w:color="000000"/>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r>
      <w:tr>
        <w:trPr>
          <w:trHeight w:val="312" w:hRule="exact"/>
        </w:trPr>
        <w:tc>
          <w:tcPr>
            <w:tcW w:w="388" w:type="dxa"/>
            <w:tcBorders>
              <w:top w:val="nil" w:sz="6" w:space="0" w:color="auto"/>
              <w:left w:val="single" w:sz="6" w:space="0" w:color="000000"/>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hAnsi="宋体" w:cs="宋体" w:eastAsia="宋体" w:hint="default"/>
                <w:sz w:val="21"/>
                <w:szCs w:val="21"/>
              </w:rPr>
              <w:t>团</w:t>
            </w:r>
          </w:p>
        </w:tc>
        <w:tc>
          <w:tcPr>
            <w:tcW w:w="389" w:type="dxa"/>
            <w:tcBorders>
              <w:top w:val="nil" w:sz="6" w:space="0" w:color="auto"/>
              <w:left w:val="nil" w:sz="6" w:space="0" w:color="auto"/>
              <w:bottom w:val="nil" w:sz="6" w:space="0" w:color="auto"/>
              <w:right w:val="single" w:sz="6" w:space="0" w:color="000000"/>
            </w:tcBorders>
          </w:tcPr>
          <w:p>
            <w:pPr>
              <w:pStyle w:val="TableParagraph"/>
              <w:spacing w:line="261" w:lineRule="exact"/>
              <w:ind w:right="29"/>
              <w:jc w:val="center"/>
              <w:rPr>
                <w:rFonts w:ascii="宋体" w:hAnsi="宋体" w:cs="宋体" w:eastAsia="宋体" w:hint="default"/>
                <w:sz w:val="21"/>
                <w:szCs w:val="21"/>
              </w:rPr>
            </w:pPr>
            <w:r>
              <w:rPr>
                <w:rFonts w:ascii="宋体" w:hAnsi="宋体" w:cs="宋体" w:eastAsia="宋体" w:hint="default"/>
                <w:sz w:val="21"/>
                <w:szCs w:val="21"/>
              </w:rPr>
              <w:t>有</w:t>
            </w:r>
          </w:p>
        </w:tc>
        <w:tc>
          <w:tcPr>
            <w:tcW w:w="776" w:type="dxa"/>
            <w:gridSpan w:val="2"/>
            <w:vMerge/>
            <w:tcBorders>
              <w:left w:val="single" w:sz="6" w:space="0" w:color="000000"/>
              <w:right w:val="single" w:sz="6" w:space="0" w:color="000000"/>
            </w:tcBorders>
          </w:tcPr>
          <w:p>
            <w:pPr/>
          </w:p>
        </w:tc>
        <w:tc>
          <w:tcPr>
            <w:tcW w:w="778" w:type="dxa"/>
            <w:vMerge/>
            <w:tcBorders>
              <w:left w:val="single" w:sz="6" w:space="0" w:color="000000"/>
              <w:right w:val="single" w:sz="6" w:space="0" w:color="000000"/>
            </w:tcBorders>
          </w:tcPr>
          <w:p>
            <w:pPr/>
          </w:p>
        </w:tc>
        <w:tc>
          <w:tcPr>
            <w:tcW w:w="776" w:type="dxa"/>
            <w:vMerge/>
            <w:tcBorders>
              <w:left w:val="single" w:sz="6" w:space="0" w:color="000000"/>
              <w:right w:val="single" w:sz="6" w:space="0" w:color="000000"/>
            </w:tcBorders>
          </w:tcPr>
          <w:p>
            <w:pPr/>
          </w:p>
        </w:tc>
        <w:tc>
          <w:tcPr>
            <w:tcW w:w="388" w:type="dxa"/>
            <w:tcBorders>
              <w:top w:val="nil" w:sz="6" w:space="0" w:color="auto"/>
              <w:left w:val="single" w:sz="6" w:space="0" w:color="000000"/>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hAnsi="宋体" w:cs="宋体" w:eastAsia="宋体" w:hint="default"/>
                <w:sz w:val="21"/>
                <w:szCs w:val="21"/>
              </w:rPr>
              <w:t>东</w:t>
            </w:r>
          </w:p>
        </w:tc>
        <w:tc>
          <w:tcPr>
            <w:tcW w:w="389" w:type="dxa"/>
            <w:tcBorders>
              <w:top w:val="nil" w:sz="6" w:space="0" w:color="auto"/>
              <w:left w:val="nil" w:sz="6" w:space="0" w:color="auto"/>
              <w:bottom w:val="nil" w:sz="6" w:space="0" w:color="auto"/>
              <w:right w:val="single" w:sz="6" w:space="0" w:color="000000"/>
            </w:tcBorders>
          </w:tcPr>
          <w:p>
            <w:pPr>
              <w:pStyle w:val="TableParagraph"/>
              <w:spacing w:line="261" w:lineRule="exact"/>
              <w:ind w:right="29"/>
              <w:jc w:val="center"/>
              <w:rPr>
                <w:rFonts w:ascii="宋体" w:hAnsi="宋体" w:cs="宋体" w:eastAsia="宋体" w:hint="default"/>
                <w:sz w:val="21"/>
                <w:szCs w:val="21"/>
              </w:rPr>
            </w:pPr>
            <w:r>
              <w:rPr>
                <w:rFonts w:ascii="宋体" w:hAnsi="宋体" w:cs="宋体" w:eastAsia="宋体" w:hint="default"/>
                <w:sz w:val="21"/>
                <w:szCs w:val="21"/>
              </w:rPr>
              <w:t>大</w:t>
            </w:r>
          </w:p>
        </w:tc>
        <w:tc>
          <w:tcPr>
            <w:tcW w:w="776" w:type="dxa"/>
            <w:vMerge/>
            <w:tcBorders>
              <w:left w:val="single" w:sz="6" w:space="0" w:color="000000"/>
              <w:right w:val="single" w:sz="6" w:space="0" w:color="000000"/>
            </w:tcBorders>
          </w:tcPr>
          <w:p>
            <w:pPr/>
          </w:p>
        </w:tc>
        <w:tc>
          <w:tcPr>
            <w:tcW w:w="1530" w:type="dxa"/>
            <w:vMerge/>
            <w:tcBorders>
              <w:left w:val="single" w:sz="6" w:space="0" w:color="000000"/>
              <w:right w:val="single" w:sz="6" w:space="0" w:color="000000"/>
            </w:tcBorders>
          </w:tcPr>
          <w:p>
            <w:pPr/>
          </w:p>
        </w:tc>
        <w:tc>
          <w:tcPr>
            <w:tcW w:w="776" w:type="dxa"/>
            <w:vMerge/>
            <w:tcBorders>
              <w:left w:val="single" w:sz="6" w:space="0" w:color="000000"/>
              <w:right w:val="single" w:sz="6" w:space="0" w:color="000000"/>
            </w:tcBorders>
          </w:tcPr>
          <w:p>
            <w:pPr/>
          </w:p>
        </w:tc>
        <w:tc>
          <w:tcPr>
            <w:tcW w:w="778" w:type="dxa"/>
            <w:vMerge/>
            <w:tcBorders>
              <w:left w:val="single" w:sz="6" w:space="0" w:color="000000"/>
              <w:right w:val="single" w:sz="6" w:space="0" w:color="000000"/>
            </w:tcBorders>
          </w:tcPr>
          <w:p>
            <w:pPr/>
          </w:p>
        </w:tc>
        <w:tc>
          <w:tcPr>
            <w:tcW w:w="776" w:type="dxa"/>
            <w:vMerge/>
            <w:tcBorders>
              <w:left w:val="single" w:sz="6" w:space="0" w:color="000000"/>
              <w:right w:val="single" w:sz="6" w:space="0" w:color="000000"/>
            </w:tcBorders>
          </w:tcPr>
          <w:p>
            <w:pPr/>
          </w:p>
        </w:tc>
        <w:tc>
          <w:tcPr>
            <w:tcW w:w="778" w:type="dxa"/>
            <w:vMerge/>
            <w:tcBorders>
              <w:left w:val="single" w:sz="6" w:space="0" w:color="000000"/>
              <w:right w:val="single" w:sz="6" w:space="0" w:color="000000"/>
            </w:tcBorders>
          </w:tcPr>
          <w:p>
            <w:pPr/>
          </w:p>
        </w:tc>
      </w:tr>
      <w:tr>
        <w:trPr>
          <w:trHeight w:val="312" w:hRule="exact"/>
        </w:trPr>
        <w:tc>
          <w:tcPr>
            <w:tcW w:w="388" w:type="dxa"/>
            <w:tcBorders>
              <w:top w:val="nil" w:sz="6" w:space="0" w:color="auto"/>
              <w:left w:val="single" w:sz="6" w:space="0" w:color="000000"/>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hAnsi="宋体" w:cs="宋体" w:eastAsia="宋体" w:hint="default"/>
                <w:sz w:val="21"/>
                <w:szCs w:val="21"/>
              </w:rPr>
              <w:t>限</w:t>
            </w:r>
          </w:p>
        </w:tc>
        <w:tc>
          <w:tcPr>
            <w:tcW w:w="389" w:type="dxa"/>
            <w:tcBorders>
              <w:top w:val="nil" w:sz="6" w:space="0" w:color="auto"/>
              <w:left w:val="nil" w:sz="6" w:space="0" w:color="auto"/>
              <w:bottom w:val="nil" w:sz="6" w:space="0" w:color="auto"/>
              <w:right w:val="single" w:sz="6" w:space="0" w:color="000000"/>
            </w:tcBorders>
          </w:tcPr>
          <w:p>
            <w:pPr>
              <w:pStyle w:val="TableParagraph"/>
              <w:spacing w:line="261" w:lineRule="exact"/>
              <w:ind w:right="29"/>
              <w:jc w:val="center"/>
              <w:rPr>
                <w:rFonts w:ascii="宋体" w:hAnsi="宋体" w:cs="宋体" w:eastAsia="宋体" w:hint="default"/>
                <w:sz w:val="21"/>
                <w:szCs w:val="21"/>
              </w:rPr>
            </w:pPr>
            <w:r>
              <w:rPr>
                <w:rFonts w:ascii="宋体" w:hAnsi="宋体" w:cs="宋体" w:eastAsia="宋体" w:hint="default"/>
                <w:sz w:val="21"/>
                <w:szCs w:val="21"/>
              </w:rPr>
              <w:t>公</w:t>
            </w:r>
          </w:p>
        </w:tc>
        <w:tc>
          <w:tcPr>
            <w:tcW w:w="776" w:type="dxa"/>
            <w:gridSpan w:val="2"/>
            <w:vMerge/>
            <w:tcBorders>
              <w:left w:val="single" w:sz="6" w:space="0" w:color="000000"/>
              <w:right w:val="single" w:sz="6" w:space="0" w:color="000000"/>
            </w:tcBorders>
          </w:tcPr>
          <w:p>
            <w:pPr/>
          </w:p>
        </w:tc>
        <w:tc>
          <w:tcPr>
            <w:tcW w:w="778" w:type="dxa"/>
            <w:vMerge/>
            <w:tcBorders>
              <w:left w:val="single" w:sz="6" w:space="0" w:color="000000"/>
              <w:right w:val="single" w:sz="6" w:space="0" w:color="000000"/>
            </w:tcBorders>
          </w:tcPr>
          <w:p>
            <w:pPr/>
          </w:p>
        </w:tc>
        <w:tc>
          <w:tcPr>
            <w:tcW w:w="776" w:type="dxa"/>
            <w:vMerge/>
            <w:tcBorders>
              <w:left w:val="single" w:sz="6" w:space="0" w:color="000000"/>
              <w:right w:val="single" w:sz="6" w:space="0" w:color="000000"/>
            </w:tcBorders>
          </w:tcPr>
          <w:p>
            <w:pPr/>
          </w:p>
        </w:tc>
        <w:tc>
          <w:tcPr>
            <w:tcW w:w="388" w:type="dxa"/>
            <w:tcBorders>
              <w:top w:val="nil" w:sz="6" w:space="0" w:color="auto"/>
              <w:left w:val="single" w:sz="6" w:space="0" w:color="000000"/>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hAnsi="宋体" w:cs="宋体" w:eastAsia="宋体" w:hint="default"/>
                <w:sz w:val="21"/>
                <w:szCs w:val="21"/>
              </w:rPr>
              <w:t>会</w:t>
            </w:r>
          </w:p>
        </w:tc>
        <w:tc>
          <w:tcPr>
            <w:tcW w:w="389" w:type="dxa"/>
            <w:tcBorders>
              <w:top w:val="nil" w:sz="6" w:space="0" w:color="auto"/>
              <w:left w:val="nil" w:sz="6" w:space="0" w:color="auto"/>
              <w:bottom w:val="nil" w:sz="6" w:space="0" w:color="auto"/>
              <w:right w:val="single" w:sz="6" w:space="0" w:color="000000"/>
            </w:tcBorders>
          </w:tcPr>
          <w:p>
            <w:pPr>
              <w:pStyle w:val="TableParagraph"/>
              <w:spacing w:line="261" w:lineRule="exact"/>
              <w:ind w:right="29"/>
              <w:jc w:val="center"/>
              <w:rPr>
                <w:rFonts w:ascii="宋体" w:hAnsi="宋体" w:cs="宋体" w:eastAsia="宋体" w:hint="default"/>
                <w:sz w:val="21"/>
                <w:szCs w:val="21"/>
              </w:rPr>
            </w:pPr>
            <w:r>
              <w:rPr>
                <w:rFonts w:ascii="宋体" w:hAnsi="宋体" w:cs="宋体" w:eastAsia="宋体" w:hint="default"/>
                <w:sz w:val="21"/>
                <w:szCs w:val="21"/>
              </w:rPr>
              <w:t>批</w:t>
            </w:r>
          </w:p>
        </w:tc>
        <w:tc>
          <w:tcPr>
            <w:tcW w:w="776" w:type="dxa"/>
            <w:vMerge/>
            <w:tcBorders>
              <w:left w:val="single" w:sz="6" w:space="0" w:color="000000"/>
              <w:right w:val="single" w:sz="6" w:space="0" w:color="000000"/>
            </w:tcBorders>
          </w:tcPr>
          <w:p>
            <w:pPr/>
          </w:p>
        </w:tc>
        <w:tc>
          <w:tcPr>
            <w:tcW w:w="1530" w:type="dxa"/>
            <w:vMerge/>
            <w:tcBorders>
              <w:left w:val="single" w:sz="6" w:space="0" w:color="000000"/>
              <w:right w:val="single" w:sz="6" w:space="0" w:color="000000"/>
            </w:tcBorders>
          </w:tcPr>
          <w:p>
            <w:pPr/>
          </w:p>
        </w:tc>
        <w:tc>
          <w:tcPr>
            <w:tcW w:w="776" w:type="dxa"/>
            <w:vMerge/>
            <w:tcBorders>
              <w:left w:val="single" w:sz="6" w:space="0" w:color="000000"/>
              <w:right w:val="single" w:sz="6" w:space="0" w:color="000000"/>
            </w:tcBorders>
          </w:tcPr>
          <w:p>
            <w:pPr/>
          </w:p>
        </w:tc>
        <w:tc>
          <w:tcPr>
            <w:tcW w:w="778" w:type="dxa"/>
            <w:vMerge/>
            <w:tcBorders>
              <w:left w:val="single" w:sz="6" w:space="0" w:color="000000"/>
              <w:right w:val="single" w:sz="6" w:space="0" w:color="000000"/>
            </w:tcBorders>
          </w:tcPr>
          <w:p>
            <w:pPr/>
          </w:p>
        </w:tc>
        <w:tc>
          <w:tcPr>
            <w:tcW w:w="776" w:type="dxa"/>
            <w:vMerge/>
            <w:tcBorders>
              <w:left w:val="single" w:sz="6" w:space="0" w:color="000000"/>
              <w:right w:val="single" w:sz="6" w:space="0" w:color="000000"/>
            </w:tcBorders>
          </w:tcPr>
          <w:p>
            <w:pPr/>
          </w:p>
        </w:tc>
        <w:tc>
          <w:tcPr>
            <w:tcW w:w="778" w:type="dxa"/>
            <w:vMerge/>
            <w:tcBorders>
              <w:left w:val="single" w:sz="6" w:space="0" w:color="000000"/>
              <w:right w:val="single" w:sz="6" w:space="0" w:color="000000"/>
            </w:tcBorders>
          </w:tcPr>
          <w:p>
            <w:pPr/>
          </w:p>
        </w:tc>
      </w:tr>
      <w:tr>
        <w:trPr>
          <w:trHeight w:val="319" w:hRule="exact"/>
        </w:trPr>
        <w:tc>
          <w:tcPr>
            <w:tcW w:w="388" w:type="dxa"/>
            <w:tcBorders>
              <w:top w:val="nil" w:sz="6" w:space="0" w:color="auto"/>
              <w:left w:val="single" w:sz="6" w:space="0" w:color="000000"/>
              <w:bottom w:val="single" w:sz="6" w:space="0" w:color="000000"/>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hAnsi="宋体" w:cs="宋体" w:eastAsia="宋体" w:hint="default"/>
                <w:sz w:val="21"/>
                <w:szCs w:val="21"/>
              </w:rPr>
              <w:t>司</w:t>
            </w:r>
          </w:p>
        </w:tc>
        <w:tc>
          <w:tcPr>
            <w:tcW w:w="389" w:type="dxa"/>
            <w:tcBorders>
              <w:top w:val="nil" w:sz="6" w:space="0" w:color="auto"/>
              <w:left w:val="nil" w:sz="6" w:space="0" w:color="auto"/>
              <w:bottom w:val="single" w:sz="6" w:space="0" w:color="000000"/>
              <w:right w:val="single" w:sz="6" w:space="0" w:color="000000"/>
            </w:tcBorders>
          </w:tcPr>
          <w:p>
            <w:pPr/>
          </w:p>
        </w:tc>
        <w:tc>
          <w:tcPr>
            <w:tcW w:w="776" w:type="dxa"/>
            <w:gridSpan w:val="2"/>
            <w:vMerge/>
            <w:tcBorders>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c>
          <w:tcPr>
            <w:tcW w:w="776" w:type="dxa"/>
            <w:vMerge/>
            <w:tcBorders>
              <w:left w:val="single" w:sz="6" w:space="0" w:color="000000"/>
              <w:bottom w:val="single" w:sz="6" w:space="0" w:color="000000"/>
              <w:right w:val="single" w:sz="6" w:space="0" w:color="000000"/>
            </w:tcBorders>
          </w:tcPr>
          <w:p>
            <w:pPr/>
          </w:p>
        </w:tc>
        <w:tc>
          <w:tcPr>
            <w:tcW w:w="388" w:type="dxa"/>
            <w:tcBorders>
              <w:top w:val="nil" w:sz="6" w:space="0" w:color="auto"/>
              <w:left w:val="single" w:sz="6" w:space="0" w:color="000000"/>
              <w:bottom w:val="single" w:sz="6" w:space="0" w:color="000000"/>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hAnsi="宋体" w:cs="宋体" w:eastAsia="宋体" w:hint="default"/>
                <w:sz w:val="21"/>
                <w:szCs w:val="21"/>
              </w:rPr>
              <w:t>准</w:t>
            </w:r>
          </w:p>
        </w:tc>
        <w:tc>
          <w:tcPr>
            <w:tcW w:w="389" w:type="dxa"/>
            <w:tcBorders>
              <w:top w:val="nil" w:sz="6" w:space="0" w:color="auto"/>
              <w:left w:val="nil" w:sz="6" w:space="0" w:color="auto"/>
              <w:bottom w:val="single" w:sz="6" w:space="0" w:color="000000"/>
              <w:right w:val="single" w:sz="6" w:space="0" w:color="000000"/>
            </w:tcBorders>
          </w:tcPr>
          <w:p>
            <w:pPr/>
          </w:p>
        </w:tc>
        <w:tc>
          <w:tcPr>
            <w:tcW w:w="776" w:type="dxa"/>
            <w:vMerge/>
            <w:tcBorders>
              <w:left w:val="single" w:sz="6" w:space="0" w:color="000000"/>
              <w:bottom w:val="single" w:sz="6" w:space="0" w:color="000000"/>
              <w:right w:val="single" w:sz="6" w:space="0" w:color="000000"/>
            </w:tcBorders>
          </w:tcPr>
          <w:p>
            <w:pPr/>
          </w:p>
        </w:tc>
        <w:tc>
          <w:tcPr>
            <w:tcW w:w="1530" w:type="dxa"/>
            <w:vMerge/>
            <w:tcBorders>
              <w:left w:val="single" w:sz="6" w:space="0" w:color="000000"/>
              <w:bottom w:val="single" w:sz="6" w:space="0" w:color="000000"/>
              <w:right w:val="single" w:sz="6" w:space="0" w:color="000000"/>
            </w:tcBorders>
          </w:tcPr>
          <w:p>
            <w:pPr/>
          </w:p>
        </w:tc>
        <w:tc>
          <w:tcPr>
            <w:tcW w:w="776" w:type="dxa"/>
            <w:vMerge/>
            <w:tcBorders>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c>
          <w:tcPr>
            <w:tcW w:w="776" w:type="dxa"/>
            <w:vMerge/>
            <w:tcBorders>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r>
      <w:tr>
        <w:trPr>
          <w:trHeight w:val="320" w:hRule="exact"/>
        </w:trPr>
        <w:tc>
          <w:tcPr>
            <w:tcW w:w="388" w:type="dxa"/>
            <w:tcBorders>
              <w:top w:val="single" w:sz="6" w:space="0" w:color="000000"/>
              <w:left w:val="single" w:sz="6" w:space="0" w:color="000000"/>
              <w:bottom w:val="nil" w:sz="6" w:space="0" w:color="auto"/>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hAnsi="宋体" w:cs="宋体" w:eastAsia="宋体" w:hint="default"/>
                <w:sz w:val="21"/>
                <w:szCs w:val="21"/>
              </w:rPr>
              <w:t>黑</w:t>
            </w:r>
          </w:p>
        </w:tc>
        <w:tc>
          <w:tcPr>
            <w:tcW w:w="389" w:type="dxa"/>
            <w:tcBorders>
              <w:top w:val="single" w:sz="6" w:space="0" w:color="000000"/>
              <w:left w:val="nil" w:sz="6" w:space="0" w:color="auto"/>
              <w:bottom w:val="nil" w:sz="6" w:space="0" w:color="auto"/>
              <w:right w:val="single" w:sz="6" w:space="0" w:color="000000"/>
            </w:tcBorders>
          </w:tcPr>
          <w:p>
            <w:pPr>
              <w:pStyle w:val="TableParagraph"/>
              <w:spacing w:line="261" w:lineRule="exact"/>
              <w:ind w:right="29"/>
              <w:jc w:val="center"/>
              <w:rPr>
                <w:rFonts w:ascii="宋体" w:hAnsi="宋体" w:cs="宋体" w:eastAsia="宋体" w:hint="default"/>
                <w:sz w:val="21"/>
                <w:szCs w:val="21"/>
              </w:rPr>
            </w:pPr>
            <w:r>
              <w:rPr>
                <w:rFonts w:ascii="宋体" w:hAnsi="宋体" w:cs="宋体" w:eastAsia="宋体" w:hint="default"/>
                <w:sz w:val="21"/>
                <w:szCs w:val="21"/>
              </w:rPr>
              <w:t>龙</w:t>
            </w:r>
          </w:p>
        </w:tc>
        <w:tc>
          <w:tcPr>
            <w:tcW w:w="388" w:type="dxa"/>
            <w:tcBorders>
              <w:top w:val="single" w:sz="6" w:space="0" w:color="000000"/>
              <w:left w:val="single" w:sz="6" w:space="0" w:color="000000"/>
              <w:bottom w:val="nil" w:sz="6" w:space="0" w:color="auto"/>
              <w:right w:val="nil" w:sz="6" w:space="0" w:color="auto"/>
            </w:tcBorders>
          </w:tcPr>
          <w:p>
            <w:pPr/>
          </w:p>
        </w:tc>
        <w:tc>
          <w:tcPr>
            <w:tcW w:w="388" w:type="dxa"/>
            <w:tcBorders>
              <w:top w:val="single" w:sz="6" w:space="0" w:color="000000"/>
              <w:left w:val="nil" w:sz="6" w:space="0" w:color="auto"/>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388" w:type="dxa"/>
            <w:tcBorders>
              <w:top w:val="single" w:sz="6" w:space="0" w:color="000000"/>
              <w:left w:val="single" w:sz="6" w:space="0" w:color="000000"/>
              <w:bottom w:val="nil" w:sz="6" w:space="0" w:color="auto"/>
              <w:right w:val="nil" w:sz="6" w:space="0" w:color="auto"/>
            </w:tcBorders>
          </w:tcPr>
          <w:p>
            <w:pPr>
              <w:pStyle w:val="TableParagraph"/>
              <w:spacing w:line="262" w:lineRule="exact"/>
              <w:ind w:right="68"/>
              <w:jc w:val="right"/>
              <w:rPr>
                <w:rFonts w:ascii="宋体" w:hAnsi="宋体" w:cs="宋体" w:eastAsia="宋体" w:hint="default"/>
                <w:sz w:val="21"/>
                <w:szCs w:val="21"/>
              </w:rPr>
            </w:pPr>
            <w:r>
              <w:rPr>
                <w:rFonts w:ascii="宋体" w:hAnsi="宋体" w:cs="宋体" w:eastAsia="宋体" w:hint="default"/>
                <w:sz w:val="21"/>
                <w:szCs w:val="21"/>
              </w:rPr>
              <w:t>协</w:t>
            </w:r>
          </w:p>
        </w:tc>
        <w:tc>
          <w:tcPr>
            <w:tcW w:w="389" w:type="dxa"/>
            <w:tcBorders>
              <w:top w:val="single" w:sz="6" w:space="0" w:color="000000"/>
              <w:left w:val="nil" w:sz="6" w:space="0" w:color="auto"/>
              <w:bottom w:val="nil" w:sz="6" w:space="0" w:color="auto"/>
              <w:right w:val="single" w:sz="6" w:space="0" w:color="000000"/>
            </w:tcBorders>
          </w:tcPr>
          <w:p>
            <w:pPr>
              <w:pStyle w:val="TableParagraph"/>
              <w:spacing w:line="262" w:lineRule="exact"/>
              <w:ind w:right="29"/>
              <w:jc w:val="center"/>
              <w:rPr>
                <w:rFonts w:ascii="宋体" w:hAnsi="宋体" w:cs="宋体" w:eastAsia="宋体" w:hint="default"/>
                <w:sz w:val="21"/>
                <w:szCs w:val="21"/>
              </w:rPr>
            </w:pPr>
            <w:r>
              <w:rPr>
                <w:rFonts w:ascii="宋体" w:hAnsi="宋体" w:cs="宋体" w:eastAsia="宋体" w:hint="default"/>
                <w:sz w:val="21"/>
                <w:szCs w:val="21"/>
              </w:rPr>
              <w:t>议</w:t>
            </w:r>
          </w:p>
        </w:tc>
        <w:tc>
          <w:tcPr>
            <w:tcW w:w="776" w:type="dxa"/>
            <w:vMerge w:val="restart"/>
            <w:tcBorders>
              <w:top w:val="single" w:sz="6" w:space="0" w:color="000000"/>
              <w:left w:val="single" w:sz="6" w:space="0" w:color="000000"/>
              <w:right w:val="single" w:sz="6" w:space="0" w:color="000000"/>
            </w:tcBorders>
          </w:tcPr>
          <w:p>
            <w:pPr/>
          </w:p>
        </w:tc>
        <w:tc>
          <w:tcPr>
            <w:tcW w:w="1530" w:type="dxa"/>
            <w:tcBorders>
              <w:top w:val="single" w:sz="6" w:space="0" w:color="000000"/>
              <w:left w:val="single" w:sz="6" w:space="0" w:color="000000"/>
              <w:bottom w:val="nil" w:sz="6" w:space="0" w:color="auto"/>
              <w:right w:val="single" w:sz="6" w:space="0" w:color="000000"/>
            </w:tcBorders>
          </w:tcPr>
          <w:p>
            <w:pPr/>
          </w:p>
        </w:tc>
        <w:tc>
          <w:tcPr>
            <w:tcW w:w="776" w:type="dxa"/>
            <w:tcBorders>
              <w:top w:val="single" w:sz="6" w:space="0" w:color="000000"/>
              <w:left w:val="single" w:sz="6" w:space="0" w:color="000000"/>
              <w:bottom w:val="nil" w:sz="6" w:space="0" w:color="auto"/>
              <w:right w:val="single" w:sz="6" w:space="0" w:color="000000"/>
            </w:tcBorders>
          </w:tcPr>
          <w:p>
            <w:pPr/>
          </w:p>
        </w:tc>
        <w:tc>
          <w:tcPr>
            <w:tcW w:w="778" w:type="dxa"/>
            <w:tcBorders>
              <w:top w:val="single" w:sz="6" w:space="0" w:color="000000"/>
              <w:left w:val="single" w:sz="6" w:space="0" w:color="000000"/>
              <w:bottom w:val="nil" w:sz="6" w:space="0" w:color="auto"/>
              <w:right w:val="single" w:sz="6" w:space="0" w:color="000000"/>
            </w:tcBorders>
          </w:tcPr>
          <w:p>
            <w:pPr/>
          </w:p>
        </w:tc>
        <w:tc>
          <w:tcPr>
            <w:tcW w:w="776" w:type="dxa"/>
            <w:vMerge w:val="restart"/>
            <w:tcBorders>
              <w:top w:val="single" w:sz="6" w:space="0" w:color="000000"/>
              <w:left w:val="single" w:sz="6" w:space="0" w:color="000000"/>
              <w:right w:val="single" w:sz="6" w:space="0" w:color="000000"/>
            </w:tcBorders>
          </w:tcPr>
          <w:p>
            <w:pPr/>
          </w:p>
        </w:tc>
        <w:tc>
          <w:tcPr>
            <w:tcW w:w="778" w:type="dxa"/>
            <w:vMerge w:val="restart"/>
            <w:tcBorders>
              <w:top w:val="single" w:sz="6" w:space="0" w:color="000000"/>
              <w:left w:val="single" w:sz="6" w:space="0" w:color="000000"/>
              <w:right w:val="single" w:sz="6" w:space="0" w:color="000000"/>
            </w:tcBorders>
          </w:tcPr>
          <w:p>
            <w:pPr/>
          </w:p>
        </w:tc>
      </w:tr>
      <w:tr>
        <w:trPr>
          <w:trHeight w:val="1248" w:hRule="exact"/>
        </w:trPr>
        <w:tc>
          <w:tcPr>
            <w:tcW w:w="388" w:type="dxa"/>
            <w:tcBorders>
              <w:top w:val="nil" w:sz="6" w:space="0" w:color="auto"/>
              <w:left w:val="single" w:sz="6" w:space="0" w:color="000000"/>
              <w:bottom w:val="nil" w:sz="6" w:space="0" w:color="auto"/>
              <w:right w:val="nil" w:sz="6" w:space="0" w:color="auto"/>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江</w:t>
            </w:r>
          </w:p>
          <w:p>
            <w:pPr>
              <w:pStyle w:val="TableParagraph"/>
              <w:spacing w:line="273" w:lineRule="auto" w:before="37"/>
              <w:ind w:left="100" w:right="68"/>
              <w:jc w:val="both"/>
              <w:rPr>
                <w:rFonts w:ascii="宋体" w:hAnsi="宋体" w:cs="宋体" w:eastAsia="宋体" w:hint="default"/>
                <w:sz w:val="21"/>
                <w:szCs w:val="21"/>
              </w:rPr>
            </w:pPr>
            <w:r>
              <w:rPr>
                <w:rFonts w:ascii="宋体" w:hAnsi="宋体" w:cs="宋体" w:eastAsia="宋体" w:hint="default"/>
                <w:sz w:val="21"/>
                <w:szCs w:val="21"/>
              </w:rPr>
              <w:t>化 团 限</w:t>
            </w:r>
          </w:p>
        </w:tc>
        <w:tc>
          <w:tcPr>
            <w:tcW w:w="389" w:type="dxa"/>
            <w:tcBorders>
              <w:top w:val="nil" w:sz="6" w:space="0" w:color="auto"/>
              <w:left w:val="nil" w:sz="6" w:space="0" w:color="auto"/>
              <w:bottom w:val="nil" w:sz="6" w:space="0" w:color="auto"/>
              <w:right w:val="single" w:sz="6" w:space="0" w:color="000000"/>
            </w:tcBorders>
          </w:tcPr>
          <w:p>
            <w:pPr>
              <w:pStyle w:val="TableParagraph"/>
              <w:spacing w:line="261" w:lineRule="exact"/>
              <w:ind w:left="70" w:right="0"/>
              <w:jc w:val="both"/>
              <w:rPr>
                <w:rFonts w:ascii="宋体" w:hAnsi="宋体" w:cs="宋体" w:eastAsia="宋体" w:hint="default"/>
                <w:sz w:val="21"/>
                <w:szCs w:val="21"/>
              </w:rPr>
            </w:pPr>
            <w:r>
              <w:rPr>
                <w:rFonts w:ascii="宋体" w:hAnsi="宋体" w:cs="宋体" w:eastAsia="宋体" w:hint="default"/>
                <w:sz w:val="21"/>
                <w:szCs w:val="21"/>
              </w:rPr>
              <w:t>黑</w:t>
            </w:r>
          </w:p>
          <w:p>
            <w:pPr>
              <w:pStyle w:val="TableParagraph"/>
              <w:spacing w:line="273" w:lineRule="auto" w:before="37"/>
              <w:ind w:left="70" w:right="101"/>
              <w:jc w:val="both"/>
              <w:rPr>
                <w:rFonts w:ascii="宋体" w:hAnsi="宋体" w:cs="宋体" w:eastAsia="宋体" w:hint="default"/>
                <w:sz w:val="21"/>
                <w:szCs w:val="21"/>
              </w:rPr>
            </w:pPr>
            <w:r>
              <w:rPr>
                <w:rFonts w:ascii="宋体" w:hAnsi="宋体" w:cs="宋体" w:eastAsia="宋体" w:hint="default"/>
                <w:sz w:val="21"/>
                <w:szCs w:val="21"/>
              </w:rPr>
              <w:t>集 有 公</w:t>
            </w:r>
          </w:p>
        </w:tc>
        <w:tc>
          <w:tcPr>
            <w:tcW w:w="388" w:type="dxa"/>
            <w:tcBorders>
              <w:top w:val="nil" w:sz="6" w:space="0" w:color="auto"/>
              <w:left w:val="single" w:sz="6" w:space="0" w:color="000000"/>
              <w:bottom w:val="nil" w:sz="6" w:space="0" w:color="auto"/>
              <w:right w:val="nil" w:sz="6" w:space="0" w:color="auto"/>
            </w:tcBorders>
          </w:tcPr>
          <w:p>
            <w:pPr>
              <w:pStyle w:val="TableParagraph"/>
              <w:spacing w:line="273" w:lineRule="auto" w:before="141"/>
              <w:ind w:left="100" w:right="68"/>
              <w:jc w:val="both"/>
              <w:rPr>
                <w:rFonts w:ascii="宋体" w:hAnsi="宋体" w:cs="宋体" w:eastAsia="宋体" w:hint="default"/>
                <w:sz w:val="21"/>
                <w:szCs w:val="21"/>
              </w:rPr>
            </w:pPr>
            <w:r>
              <w:rPr>
                <w:rFonts w:ascii="宋体" w:hAnsi="宋体" w:cs="宋体" w:eastAsia="宋体" w:hint="default"/>
                <w:sz w:val="21"/>
                <w:szCs w:val="21"/>
              </w:rPr>
              <w:t>控 子 司</w:t>
            </w:r>
          </w:p>
        </w:tc>
        <w:tc>
          <w:tcPr>
            <w:tcW w:w="388" w:type="dxa"/>
            <w:tcBorders>
              <w:top w:val="nil" w:sz="6" w:space="0" w:color="auto"/>
              <w:left w:val="nil" w:sz="6" w:space="0" w:color="auto"/>
              <w:bottom w:val="nil" w:sz="6" w:space="0" w:color="auto"/>
              <w:right w:val="single" w:sz="6" w:space="0" w:color="000000"/>
            </w:tcBorders>
          </w:tcPr>
          <w:p>
            <w:pPr>
              <w:pStyle w:val="TableParagraph"/>
              <w:spacing w:line="273" w:lineRule="auto" w:before="141"/>
              <w:ind w:left="70" w:right="98"/>
              <w:jc w:val="left"/>
              <w:rPr>
                <w:rFonts w:ascii="宋体" w:hAnsi="宋体" w:cs="宋体" w:eastAsia="宋体" w:hint="default"/>
                <w:sz w:val="21"/>
                <w:szCs w:val="21"/>
              </w:rPr>
            </w:pPr>
            <w:r>
              <w:rPr>
                <w:rFonts w:ascii="宋体" w:hAnsi="宋体" w:cs="宋体" w:eastAsia="宋体" w:hint="default"/>
                <w:sz w:val="21"/>
                <w:szCs w:val="21"/>
              </w:rPr>
              <w:t>股 公</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101"/>
              <w:jc w:val="left"/>
              <w:rPr>
                <w:rFonts w:ascii="宋体" w:hAnsi="宋体" w:cs="宋体" w:eastAsia="宋体" w:hint="default"/>
                <w:sz w:val="21"/>
                <w:szCs w:val="21"/>
              </w:rPr>
            </w:pPr>
            <w:r>
              <w:rPr>
                <w:rFonts w:ascii="宋体" w:hAnsi="宋体" w:cs="宋体" w:eastAsia="宋体" w:hint="default"/>
                <w:sz w:val="21"/>
                <w:szCs w:val="21"/>
              </w:rPr>
              <w:t>销</w:t>
            </w:r>
            <w:r>
              <w:rPr>
                <w:rFonts w:ascii="宋体" w:hAnsi="宋体" w:cs="宋体" w:eastAsia="宋体" w:hint="default"/>
                <w:spacing w:val="35"/>
                <w:sz w:val="21"/>
                <w:szCs w:val="21"/>
              </w:rPr>
              <w:t> </w:t>
            </w:r>
            <w:r>
              <w:rPr>
                <w:rFonts w:ascii="宋体" w:hAnsi="宋体" w:cs="宋体" w:eastAsia="宋体" w:hint="default"/>
                <w:sz w:val="21"/>
                <w:szCs w:val="21"/>
              </w:rPr>
              <w:t>售</w:t>
            </w:r>
            <w:r>
              <w:rPr>
                <w:rFonts w:ascii="宋体" w:hAnsi="宋体" w:cs="宋体" w:eastAsia="宋体" w:hint="default"/>
                <w:sz w:val="21"/>
                <w:szCs w:val="21"/>
              </w:rPr>
              <w:t> 商品</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73" w:lineRule="auto" w:before="141"/>
              <w:ind w:left="100" w:right="97"/>
              <w:jc w:val="both"/>
              <w:rPr>
                <w:rFonts w:ascii="宋体" w:hAnsi="宋体" w:cs="宋体" w:eastAsia="宋体" w:hint="default"/>
                <w:sz w:val="21"/>
                <w:szCs w:val="21"/>
              </w:rPr>
            </w:pPr>
            <w:r>
              <w:rPr>
                <w:rFonts w:ascii="宋体" w:hAnsi="宋体" w:cs="宋体" w:eastAsia="宋体" w:hint="default"/>
                <w:sz w:val="21"/>
                <w:szCs w:val="21"/>
              </w:rPr>
              <w:t>焦</w:t>
            </w:r>
            <w:r>
              <w:rPr>
                <w:rFonts w:ascii="宋体" w:hAnsi="宋体" w:cs="宋体" w:eastAsia="宋体" w:hint="default"/>
                <w:spacing w:val="35"/>
                <w:sz w:val="21"/>
                <w:szCs w:val="21"/>
              </w:rPr>
              <w:t> </w:t>
            </w:r>
            <w:r>
              <w:rPr>
                <w:rFonts w:ascii="宋体" w:hAnsi="宋体" w:cs="宋体" w:eastAsia="宋体" w:hint="default"/>
                <w:sz w:val="21"/>
                <w:szCs w:val="21"/>
              </w:rPr>
              <w:t>炉</w:t>
            </w:r>
            <w:r>
              <w:rPr>
                <w:rFonts w:ascii="宋体" w:hAnsi="宋体" w:cs="宋体" w:eastAsia="宋体" w:hint="default"/>
                <w:sz w:val="21"/>
                <w:szCs w:val="21"/>
              </w:rPr>
              <w:t> </w:t>
            </w:r>
            <w:r>
              <w:rPr>
                <w:rFonts w:ascii="宋体" w:hAnsi="宋体" w:cs="宋体" w:eastAsia="宋体" w:hint="default"/>
                <w:spacing w:val="-23"/>
                <w:sz w:val="21"/>
                <w:szCs w:val="21"/>
              </w:rPr>
              <w:t>气、材</w:t>
            </w:r>
            <w:r>
              <w:rPr>
                <w:rFonts w:ascii="宋体" w:hAnsi="宋体" w:cs="宋体" w:eastAsia="宋体" w:hint="default"/>
                <w:sz w:val="21"/>
                <w:szCs w:val="21"/>
              </w:rPr>
              <w:t> 料</w:t>
            </w:r>
          </w:p>
        </w:tc>
        <w:tc>
          <w:tcPr>
            <w:tcW w:w="388" w:type="dxa"/>
            <w:tcBorders>
              <w:top w:val="nil" w:sz="6" w:space="0" w:color="auto"/>
              <w:left w:val="single" w:sz="6" w:space="0" w:color="000000"/>
              <w:bottom w:val="nil" w:sz="6" w:space="0" w:color="auto"/>
              <w:right w:val="nil" w:sz="6" w:space="0" w:color="auto"/>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价</w:t>
            </w:r>
          </w:p>
          <w:p>
            <w:pPr>
              <w:pStyle w:val="TableParagraph"/>
              <w:spacing w:line="273" w:lineRule="auto" w:before="37"/>
              <w:ind w:left="100" w:right="68"/>
              <w:jc w:val="both"/>
              <w:rPr>
                <w:rFonts w:ascii="宋体" w:hAnsi="宋体" w:cs="宋体" w:eastAsia="宋体" w:hint="default"/>
                <w:sz w:val="21"/>
                <w:szCs w:val="21"/>
              </w:rPr>
            </w:pPr>
            <w:r>
              <w:rPr>
                <w:rFonts w:ascii="宋体" w:hAnsi="宋体" w:cs="宋体" w:eastAsia="宋体" w:hint="default"/>
                <w:sz w:val="21"/>
                <w:szCs w:val="21"/>
              </w:rPr>
              <w:t>经 东 会</w:t>
            </w:r>
          </w:p>
        </w:tc>
        <w:tc>
          <w:tcPr>
            <w:tcW w:w="389" w:type="dxa"/>
            <w:tcBorders>
              <w:top w:val="nil" w:sz="6" w:space="0" w:color="auto"/>
              <w:left w:val="nil" w:sz="6" w:space="0" w:color="auto"/>
              <w:bottom w:val="nil" w:sz="6" w:space="0" w:color="auto"/>
              <w:right w:val="single" w:sz="6" w:space="0" w:color="000000"/>
            </w:tcBorders>
          </w:tcPr>
          <w:p>
            <w:pPr>
              <w:pStyle w:val="TableParagraph"/>
              <w:spacing w:line="261" w:lineRule="exact"/>
              <w:ind w:left="70" w:right="0"/>
              <w:jc w:val="both"/>
              <w:rPr>
                <w:rFonts w:ascii="宋体" w:hAnsi="宋体" w:cs="宋体" w:eastAsia="宋体" w:hint="default"/>
                <w:sz w:val="21"/>
                <w:szCs w:val="21"/>
              </w:rPr>
            </w:pPr>
            <w:r>
              <w:rPr>
                <w:rFonts w:ascii="宋体" w:hAnsi="宋体" w:cs="宋体" w:eastAsia="宋体" w:hint="default"/>
                <w:sz w:val="21"/>
                <w:szCs w:val="21"/>
              </w:rPr>
              <w:t>并</w:t>
            </w:r>
          </w:p>
          <w:p>
            <w:pPr>
              <w:pStyle w:val="TableParagraph"/>
              <w:spacing w:line="273" w:lineRule="auto" w:before="37"/>
              <w:ind w:left="70" w:right="101"/>
              <w:jc w:val="both"/>
              <w:rPr>
                <w:rFonts w:ascii="宋体" w:hAnsi="宋体" w:cs="宋体" w:eastAsia="宋体" w:hint="default"/>
                <w:sz w:val="21"/>
                <w:szCs w:val="21"/>
              </w:rPr>
            </w:pPr>
            <w:r>
              <w:rPr>
                <w:rFonts w:ascii="宋体" w:hAnsi="宋体" w:cs="宋体" w:eastAsia="宋体" w:hint="default"/>
                <w:sz w:val="21"/>
                <w:szCs w:val="21"/>
              </w:rPr>
              <w:t>股 大 批</w:t>
            </w:r>
          </w:p>
        </w:tc>
        <w:tc>
          <w:tcPr>
            <w:tcW w:w="776" w:type="dxa"/>
            <w:vMerge/>
            <w:tcBorders>
              <w:left w:val="single" w:sz="6" w:space="0" w:color="000000"/>
              <w:right w:val="single" w:sz="6" w:space="0" w:color="000000"/>
            </w:tcBorders>
          </w:tcPr>
          <w:p>
            <w:pPr/>
          </w:p>
        </w:tc>
        <w:tc>
          <w:tcPr>
            <w:tcW w:w="153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198,069,226.20</w:t>
            </w:r>
          </w:p>
        </w:tc>
        <w:tc>
          <w:tcPr>
            <w:tcW w:w="77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88" w:right="0"/>
              <w:jc w:val="left"/>
              <w:rPr>
                <w:rFonts w:ascii="Times New Roman" w:hAnsi="Times New Roman" w:cs="Times New Roman" w:eastAsia="Times New Roman" w:hint="default"/>
                <w:sz w:val="21"/>
                <w:szCs w:val="21"/>
              </w:rPr>
            </w:pPr>
            <w:r>
              <w:rPr>
                <w:rFonts w:ascii="Times New Roman"/>
                <w:sz w:val="21"/>
              </w:rPr>
              <w:t>12.58</w:t>
            </w:r>
          </w:p>
        </w:tc>
        <w:tc>
          <w:tcPr>
            <w:tcW w:w="7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现款</w:t>
            </w:r>
          </w:p>
        </w:tc>
        <w:tc>
          <w:tcPr>
            <w:tcW w:w="776" w:type="dxa"/>
            <w:vMerge/>
            <w:tcBorders>
              <w:left w:val="single" w:sz="6" w:space="0" w:color="000000"/>
              <w:right w:val="single" w:sz="6" w:space="0" w:color="000000"/>
            </w:tcBorders>
          </w:tcPr>
          <w:p>
            <w:pPr/>
          </w:p>
        </w:tc>
        <w:tc>
          <w:tcPr>
            <w:tcW w:w="778" w:type="dxa"/>
            <w:vMerge/>
            <w:tcBorders>
              <w:left w:val="single" w:sz="6" w:space="0" w:color="000000"/>
              <w:right w:val="single" w:sz="6" w:space="0" w:color="000000"/>
            </w:tcBorders>
          </w:tcPr>
          <w:p>
            <w:pPr/>
          </w:p>
        </w:tc>
      </w:tr>
      <w:tr>
        <w:trPr>
          <w:trHeight w:val="320" w:hRule="exact"/>
        </w:trPr>
        <w:tc>
          <w:tcPr>
            <w:tcW w:w="388" w:type="dxa"/>
            <w:tcBorders>
              <w:top w:val="nil" w:sz="6" w:space="0" w:color="auto"/>
              <w:left w:val="single" w:sz="6" w:space="0" w:color="000000"/>
              <w:bottom w:val="single" w:sz="6" w:space="0" w:color="000000"/>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hAnsi="宋体" w:cs="宋体" w:eastAsia="宋体" w:hint="default"/>
                <w:sz w:val="21"/>
                <w:szCs w:val="21"/>
              </w:rPr>
              <w:t>司</w:t>
            </w:r>
          </w:p>
        </w:tc>
        <w:tc>
          <w:tcPr>
            <w:tcW w:w="389" w:type="dxa"/>
            <w:tcBorders>
              <w:top w:val="nil" w:sz="6" w:space="0" w:color="auto"/>
              <w:left w:val="nil" w:sz="6" w:space="0" w:color="auto"/>
              <w:bottom w:val="single" w:sz="6" w:space="0" w:color="000000"/>
              <w:right w:val="single" w:sz="6" w:space="0" w:color="000000"/>
            </w:tcBorders>
          </w:tcPr>
          <w:p>
            <w:pPr/>
          </w:p>
        </w:tc>
        <w:tc>
          <w:tcPr>
            <w:tcW w:w="388" w:type="dxa"/>
            <w:tcBorders>
              <w:top w:val="nil" w:sz="6" w:space="0" w:color="auto"/>
              <w:left w:val="single" w:sz="6" w:space="0" w:color="000000"/>
              <w:bottom w:val="single" w:sz="6" w:space="0" w:color="000000"/>
              <w:right w:val="nil" w:sz="6" w:space="0" w:color="auto"/>
            </w:tcBorders>
          </w:tcPr>
          <w:p>
            <w:pPr/>
          </w:p>
        </w:tc>
        <w:tc>
          <w:tcPr>
            <w:tcW w:w="388" w:type="dxa"/>
            <w:tcBorders>
              <w:top w:val="nil" w:sz="6" w:space="0" w:color="auto"/>
              <w:left w:val="nil" w:sz="6" w:space="0" w:color="auto"/>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388" w:type="dxa"/>
            <w:tcBorders>
              <w:top w:val="nil" w:sz="6" w:space="0" w:color="auto"/>
              <w:left w:val="single" w:sz="6" w:space="0" w:color="000000"/>
              <w:bottom w:val="single" w:sz="6" w:space="0" w:color="000000"/>
              <w:right w:val="nil" w:sz="6" w:space="0" w:color="auto"/>
            </w:tcBorders>
          </w:tcPr>
          <w:p>
            <w:pPr>
              <w:pStyle w:val="TableParagraph"/>
              <w:spacing w:line="261" w:lineRule="exact"/>
              <w:ind w:right="68"/>
              <w:jc w:val="right"/>
              <w:rPr>
                <w:rFonts w:ascii="宋体" w:hAnsi="宋体" w:cs="宋体" w:eastAsia="宋体" w:hint="default"/>
                <w:sz w:val="21"/>
                <w:szCs w:val="21"/>
              </w:rPr>
            </w:pPr>
            <w:r>
              <w:rPr>
                <w:rFonts w:ascii="宋体" w:hAnsi="宋体" w:cs="宋体" w:eastAsia="宋体" w:hint="default"/>
                <w:sz w:val="21"/>
                <w:szCs w:val="21"/>
              </w:rPr>
              <w:t>准</w:t>
            </w:r>
          </w:p>
        </w:tc>
        <w:tc>
          <w:tcPr>
            <w:tcW w:w="389" w:type="dxa"/>
            <w:tcBorders>
              <w:top w:val="nil" w:sz="6" w:space="0" w:color="auto"/>
              <w:left w:val="nil" w:sz="6" w:space="0" w:color="auto"/>
              <w:bottom w:val="single" w:sz="6" w:space="0" w:color="000000"/>
              <w:right w:val="single" w:sz="6" w:space="0" w:color="000000"/>
            </w:tcBorders>
          </w:tcPr>
          <w:p>
            <w:pPr/>
          </w:p>
        </w:tc>
        <w:tc>
          <w:tcPr>
            <w:tcW w:w="776" w:type="dxa"/>
            <w:vMerge/>
            <w:tcBorders>
              <w:left w:val="single" w:sz="6" w:space="0" w:color="000000"/>
              <w:bottom w:val="single" w:sz="6" w:space="0" w:color="000000"/>
              <w:right w:val="single" w:sz="6" w:space="0" w:color="000000"/>
            </w:tcBorders>
          </w:tcPr>
          <w:p>
            <w:pPr/>
          </w:p>
        </w:tc>
        <w:tc>
          <w:tcPr>
            <w:tcW w:w="1530" w:type="dxa"/>
            <w:tcBorders>
              <w:top w:val="nil" w:sz="6" w:space="0" w:color="auto"/>
              <w:left w:val="single" w:sz="6" w:space="0" w:color="000000"/>
              <w:bottom w:val="single" w:sz="6" w:space="0" w:color="000000"/>
              <w:right w:val="single" w:sz="6" w:space="0" w:color="000000"/>
            </w:tcBorders>
          </w:tcPr>
          <w:p>
            <w:pPr/>
          </w:p>
        </w:tc>
        <w:tc>
          <w:tcPr>
            <w:tcW w:w="776" w:type="dxa"/>
            <w:tcBorders>
              <w:top w:val="nil" w:sz="6" w:space="0" w:color="auto"/>
              <w:left w:val="single" w:sz="6" w:space="0" w:color="000000"/>
              <w:bottom w:val="single" w:sz="6" w:space="0" w:color="000000"/>
              <w:right w:val="single" w:sz="6" w:space="0" w:color="000000"/>
            </w:tcBorders>
          </w:tcPr>
          <w:p>
            <w:pPr/>
          </w:p>
        </w:tc>
        <w:tc>
          <w:tcPr>
            <w:tcW w:w="778" w:type="dxa"/>
            <w:tcBorders>
              <w:top w:val="nil" w:sz="6" w:space="0" w:color="auto"/>
              <w:left w:val="single" w:sz="6" w:space="0" w:color="000000"/>
              <w:bottom w:val="single" w:sz="6" w:space="0" w:color="000000"/>
              <w:right w:val="single" w:sz="6" w:space="0" w:color="000000"/>
            </w:tcBorders>
          </w:tcPr>
          <w:p>
            <w:pPr/>
          </w:p>
        </w:tc>
        <w:tc>
          <w:tcPr>
            <w:tcW w:w="776" w:type="dxa"/>
            <w:vMerge/>
            <w:tcBorders>
              <w:left w:val="single" w:sz="6" w:space="0" w:color="000000"/>
              <w:bottom w:val="single" w:sz="6" w:space="0" w:color="000000"/>
              <w:right w:val="single" w:sz="6" w:space="0" w:color="000000"/>
            </w:tcBorders>
          </w:tcPr>
          <w:p>
            <w:pPr/>
          </w:p>
        </w:tc>
        <w:tc>
          <w:tcPr>
            <w:tcW w:w="778" w:type="dxa"/>
            <w:vMerge/>
            <w:tcBorders>
              <w:left w:val="single" w:sz="6" w:space="0" w:color="000000"/>
              <w:bottom w:val="single" w:sz="6" w:space="0" w:color="000000"/>
              <w:right w:val="single" w:sz="6" w:space="0" w:color="000000"/>
            </w:tcBorders>
          </w:tcPr>
          <w:p>
            <w:pPr/>
          </w:p>
        </w:tc>
      </w:tr>
    </w:tbl>
    <w:p>
      <w:pPr>
        <w:pStyle w:val="BodyText"/>
        <w:spacing w:line="260" w:lineRule="exact"/>
        <w:ind w:right="999"/>
        <w:jc w:val="left"/>
      </w:pPr>
      <w:r>
        <w:rPr>
          <w:spacing w:val="-3"/>
        </w:rPr>
        <w:t>本公司与控股股东黑化集团有限公司进行的日常采购、销售交易行为，均为生产经营所必须</w:t>
      </w:r>
    </w:p>
    <w:p>
      <w:pPr>
        <w:pStyle w:val="BodyText"/>
        <w:spacing w:line="273" w:lineRule="auto" w:before="37"/>
        <w:ind w:right="999"/>
        <w:jc w:val="left"/>
      </w:pPr>
      <w:r>
        <w:rPr>
          <w:spacing w:val="-3"/>
        </w:rPr>
        <w:t>的关联交易事项，对保证公司生产经营的稳定发展发挥了积极作用，双方的关联交易按市场</w:t>
      </w:r>
      <w:r>
        <w:rPr>
          <w:spacing w:val="-79"/>
        </w:rPr>
        <w:t> </w:t>
      </w:r>
      <w:r>
        <w:rPr>
          <w:spacing w:val="-79"/>
        </w:rPr>
      </w:r>
      <w:r>
        <w:rPr/>
        <w:t>化原则公平公允地进行。 </w:t>
      </w:r>
      <w:r>
        <w:rPr>
          <w:spacing w:val="-3"/>
        </w:rPr>
        <w:t>该关联交易标的为辅助性生产材料，不构成对公司独立性的影响，没有损害公司及中小股东</w:t>
      </w:r>
      <w:r>
        <w:rPr>
          <w:spacing w:val="-79"/>
        </w:rPr>
        <w:t> </w:t>
      </w:r>
      <w:r>
        <w:rPr>
          <w:spacing w:val="-79"/>
        </w:rPr>
      </w:r>
      <w:r>
        <w:rPr/>
        <w:t>的利益。</w:t>
      </w:r>
    </w:p>
    <w:p>
      <w:pPr>
        <w:spacing w:line="240" w:lineRule="auto" w:before="11"/>
        <w:rPr>
          <w:rFonts w:ascii="宋体" w:hAnsi="宋体" w:cs="宋体" w:eastAsia="宋体" w:hint="default"/>
          <w:sz w:val="26"/>
          <w:szCs w:val="26"/>
        </w:rPr>
      </w:pPr>
    </w:p>
    <w:p>
      <w:pPr>
        <w:pStyle w:val="BodyText"/>
        <w:spacing w:line="240" w:lineRule="auto"/>
        <w:ind w:right="999"/>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重大合同及其履行情况</w:t>
      </w:r>
    </w:p>
    <w:p>
      <w:pPr>
        <w:pStyle w:val="BodyText"/>
        <w:spacing w:line="309" w:lineRule="auto" w:before="83"/>
        <w:ind w:right="1118" w:hanging="1"/>
        <w:jc w:val="left"/>
      </w:pPr>
      <w:r>
        <w:rPr>
          <w:rFonts w:ascii="Times New Roman" w:hAnsi="Times New Roman" w:cs="Times New Roman" w:eastAsia="Times New Roman" w:hint="default"/>
        </w:rPr>
        <w:t>1</w:t>
      </w:r>
      <w:r>
        <w:rPr/>
        <w:t>、</w:t>
      </w:r>
      <w:r>
        <w:rPr>
          <w:spacing w:val="-3"/>
        </w:rPr>
        <w:t> </w:t>
      </w:r>
      <w:r>
        <w:rPr/>
        <w:t>为公司带来的利润达到公司本期利润总额</w:t>
      </w:r>
      <w:r>
        <w:rPr>
          <w:spacing w:val="-55"/>
        </w:rPr>
        <w:t> </w:t>
      </w:r>
      <w:r>
        <w:rPr>
          <w:rFonts w:ascii="Times New Roman" w:hAnsi="Times New Roman" w:cs="Times New Roman" w:eastAsia="Times New Roman" w:hint="default"/>
        </w:rPr>
        <w:t>10</w:t>
      </w:r>
      <w:r>
        <w:rPr/>
        <w:t>％以上（含</w:t>
      </w:r>
      <w:r>
        <w:rPr>
          <w:spacing w:val="-55"/>
        </w:rPr>
        <w:t> </w:t>
      </w:r>
      <w:r>
        <w:rPr>
          <w:rFonts w:ascii="Times New Roman" w:hAnsi="Times New Roman" w:cs="Times New Roman" w:eastAsia="Times New Roman" w:hint="default"/>
        </w:rPr>
        <w:t>10</w:t>
      </w:r>
      <w:r>
        <w:rPr/>
        <w:t>％）的托管、承包、租赁事 项</w:t>
      </w:r>
    </w:p>
    <w:p>
      <w:pPr>
        <w:pStyle w:val="BodyText"/>
        <w:spacing w:line="283" w:lineRule="auto" w:before="38"/>
        <w:ind w:left="351" w:right="6883" w:hanging="21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托管情况</w:t>
      </w:r>
      <w:r>
        <w:rPr>
          <w:w w:val="99"/>
        </w:rPr>
        <w:t> </w:t>
      </w:r>
      <w:r>
        <w:rPr/>
        <w:t>本年度公司无托管事项。</w:t>
      </w:r>
    </w:p>
    <w:p>
      <w:pPr>
        <w:spacing w:line="240" w:lineRule="auto" w:before="2"/>
        <w:rPr>
          <w:rFonts w:ascii="宋体" w:hAnsi="宋体" w:cs="宋体" w:eastAsia="宋体" w:hint="default"/>
          <w:sz w:val="26"/>
          <w:szCs w:val="26"/>
        </w:rPr>
      </w:pPr>
    </w:p>
    <w:p>
      <w:pPr>
        <w:pStyle w:val="BodyText"/>
        <w:spacing w:line="283" w:lineRule="auto"/>
        <w:ind w:left="351" w:right="6883" w:hanging="212"/>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承包情况</w:t>
      </w:r>
      <w:r>
        <w:rPr>
          <w:w w:val="99"/>
        </w:rPr>
        <w:t> </w:t>
      </w:r>
      <w:r>
        <w:rPr/>
        <w:t>本年度公司无承包事项。</w:t>
      </w:r>
    </w:p>
    <w:p>
      <w:pPr>
        <w:spacing w:line="240" w:lineRule="auto" w:before="2"/>
        <w:rPr>
          <w:rFonts w:ascii="宋体" w:hAnsi="宋体" w:cs="宋体" w:eastAsia="宋体" w:hint="default"/>
          <w:sz w:val="26"/>
          <w:szCs w:val="26"/>
        </w:rPr>
      </w:pPr>
    </w:p>
    <w:p>
      <w:pPr>
        <w:pStyle w:val="BodyText"/>
        <w:spacing w:line="283" w:lineRule="auto"/>
        <w:ind w:left="351" w:right="6883" w:hanging="212"/>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租赁情况</w:t>
      </w:r>
      <w:r>
        <w:rPr>
          <w:w w:val="99"/>
        </w:rPr>
        <w:t> </w:t>
      </w:r>
      <w:r>
        <w:rPr/>
        <w:t>本年度公司无租赁事项。</w:t>
      </w:r>
    </w:p>
    <w:p>
      <w:pPr>
        <w:spacing w:line="240" w:lineRule="auto" w:before="6"/>
        <w:rPr>
          <w:rFonts w:ascii="宋体" w:hAnsi="宋体" w:cs="宋体" w:eastAsia="宋体" w:hint="default"/>
          <w:sz w:val="23"/>
          <w:szCs w:val="23"/>
        </w:rPr>
      </w:pPr>
    </w:p>
    <w:p>
      <w:pPr>
        <w:pStyle w:val="BodyText"/>
        <w:spacing w:line="240" w:lineRule="auto" w:before="35"/>
        <w:ind w:right="999"/>
        <w:jc w:val="left"/>
      </w:pPr>
      <w:r>
        <w:rPr>
          <w:rFonts w:ascii="Times New Roman" w:hAnsi="Times New Roman" w:cs="Times New Roman" w:eastAsia="Times New Roman" w:hint="default"/>
        </w:rPr>
        <w:t>2</w:t>
      </w:r>
      <w:r>
        <w:rPr/>
        <w:t>、 担保情况</w:t>
      </w:r>
    </w:p>
    <w:p>
      <w:pPr>
        <w:pStyle w:val="BodyText"/>
        <w:spacing w:line="240" w:lineRule="auto" w:before="52"/>
        <w:ind w:left="6334" w:right="999"/>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930"/>
        <w:gridCol w:w="4370"/>
      </w:tblGrid>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公司对控股子公司的担保情况</w:t>
            </w:r>
            <w:r>
              <w:rPr>
                <w:rFonts w:ascii="宋体" w:hAnsi="宋体" w:cs="宋体" w:eastAsia="宋体" w:hint="default"/>
                <w:sz w:val="21"/>
                <w:szCs w:val="21"/>
              </w:rPr>
            </w:r>
          </w:p>
        </w:tc>
      </w:tr>
      <w:tr>
        <w:trPr>
          <w:trHeight w:val="326"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报告期末对子公司担保余额合计（</w:t>
            </w:r>
            <w:r>
              <w:rPr>
                <w:rFonts w:ascii="Times New Roman" w:hAnsi="Times New Roman" w:cs="Times New Roman" w:eastAsia="Times New Roman" w:hint="default"/>
                <w:sz w:val="21"/>
                <w:szCs w:val="21"/>
              </w:rPr>
              <w:t>B</w:t>
            </w:r>
            <w:r>
              <w:rPr>
                <w:rFonts w:ascii="宋体" w:hAnsi="宋体" w:cs="宋体" w:eastAsia="宋体" w:hint="default"/>
                <w:sz w:val="21"/>
                <w:szCs w:val="21"/>
              </w:rPr>
              <w:t>）</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438</w:t>
            </w:r>
          </w:p>
        </w:tc>
      </w:tr>
      <w:tr>
        <w:trPr>
          <w:trHeight w:val="328" w:hRule="exact"/>
        </w:trPr>
        <w:tc>
          <w:tcPr>
            <w:tcW w:w="930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430" w:right="0"/>
              <w:jc w:val="left"/>
              <w:rPr>
                <w:rFonts w:ascii="宋体" w:hAnsi="宋体" w:cs="宋体" w:eastAsia="宋体" w:hint="default"/>
                <w:sz w:val="21"/>
                <w:szCs w:val="21"/>
              </w:rPr>
            </w:pPr>
            <w:r>
              <w:rPr>
                <w:rFonts w:ascii="宋体" w:hAnsi="宋体" w:cs="宋体" w:eastAsia="宋体" w:hint="default"/>
                <w:b/>
                <w:bCs/>
                <w:sz w:val="21"/>
                <w:szCs w:val="21"/>
              </w:rPr>
              <w:t>公司担保总额情况（包括对控股子公司的担保）</w:t>
            </w:r>
            <w:r>
              <w:rPr>
                <w:rFonts w:ascii="宋体" w:hAnsi="宋体" w:cs="宋体" w:eastAsia="宋体" w:hint="default"/>
                <w:sz w:val="21"/>
                <w:szCs w:val="21"/>
              </w:rPr>
            </w:r>
          </w:p>
        </w:tc>
      </w:tr>
      <w:tr>
        <w:trPr>
          <w:trHeight w:val="326"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担保总额（</w:t>
            </w:r>
            <w:r>
              <w:rPr>
                <w:rFonts w:ascii="Times New Roman" w:hAnsi="Times New Roman" w:cs="Times New Roman" w:eastAsia="Times New Roman" w:hint="default"/>
                <w:sz w:val="21"/>
                <w:szCs w:val="21"/>
              </w:rPr>
              <w:t>A+B</w:t>
            </w:r>
            <w:r>
              <w:rPr>
                <w:rFonts w:ascii="宋体" w:hAnsi="宋体" w:cs="宋体" w:eastAsia="宋体" w:hint="default"/>
                <w:sz w:val="21"/>
                <w:szCs w:val="21"/>
              </w:rPr>
              <w:t>）</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438</w:t>
            </w:r>
          </w:p>
        </w:tc>
      </w:tr>
      <w:tr>
        <w:trPr>
          <w:trHeight w:val="328" w:hRule="exact"/>
        </w:trPr>
        <w:tc>
          <w:tcPr>
            <w:tcW w:w="493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担保总额占公司净资产的比例</w:t>
            </w:r>
            <w:r>
              <w:rPr>
                <w:rFonts w:ascii="Times New Roman" w:hAnsi="Times New Roman" w:cs="Times New Roman" w:eastAsia="Times New Roman" w:hint="default"/>
                <w:sz w:val="21"/>
                <w:szCs w:val="21"/>
              </w:rPr>
              <w:t>(%)</w:t>
            </w:r>
          </w:p>
        </w:tc>
        <w:tc>
          <w:tcPr>
            <w:tcW w:w="43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0.67</w:t>
            </w:r>
          </w:p>
        </w:tc>
      </w:tr>
    </w:tbl>
    <w:p>
      <w:pPr>
        <w:spacing w:line="240" w:lineRule="auto" w:before="5"/>
        <w:rPr>
          <w:rFonts w:ascii="宋体" w:hAnsi="宋体" w:cs="宋体" w:eastAsia="宋体" w:hint="default"/>
          <w:sz w:val="22"/>
          <w:szCs w:val="22"/>
        </w:rPr>
      </w:pPr>
    </w:p>
    <w:p>
      <w:pPr>
        <w:pStyle w:val="BodyText"/>
        <w:spacing w:line="283" w:lineRule="auto" w:before="35"/>
        <w:ind w:left="351" w:right="6463" w:hanging="212"/>
        <w:jc w:val="left"/>
      </w:pPr>
      <w:r>
        <w:rPr>
          <w:rFonts w:ascii="Times New Roman" w:hAnsi="Times New Roman" w:cs="Times New Roman" w:eastAsia="Times New Roman" w:hint="default"/>
        </w:rPr>
        <w:t>3</w:t>
      </w:r>
      <w:r>
        <w:rPr/>
        <w:t>、</w:t>
      </w:r>
      <w:r>
        <w:rPr>
          <w:spacing w:val="-1"/>
        </w:rPr>
        <w:t> </w:t>
      </w:r>
      <w:r>
        <w:rPr/>
        <w:t>委托理财情况</w:t>
      </w:r>
      <w:r>
        <w:rPr/>
        <w:t> 本年度公司无委托理财事项。</w:t>
      </w:r>
    </w:p>
    <w:p>
      <w:pPr>
        <w:spacing w:line="240" w:lineRule="auto" w:before="2"/>
        <w:rPr>
          <w:rFonts w:ascii="宋体" w:hAnsi="宋体" w:cs="宋体" w:eastAsia="宋体" w:hint="default"/>
          <w:sz w:val="26"/>
          <w:szCs w:val="26"/>
        </w:rPr>
      </w:pPr>
    </w:p>
    <w:p>
      <w:pPr>
        <w:pStyle w:val="BodyText"/>
        <w:spacing w:line="283" w:lineRule="auto"/>
        <w:ind w:left="351" w:right="6463" w:hanging="212"/>
        <w:jc w:val="left"/>
      </w:pPr>
      <w:r>
        <w:rPr>
          <w:rFonts w:ascii="Times New Roman" w:hAnsi="Times New Roman" w:cs="Times New Roman" w:eastAsia="Times New Roman" w:hint="default"/>
        </w:rPr>
        <w:t>4</w:t>
      </w:r>
      <w:r>
        <w:rPr/>
        <w:t>、</w:t>
      </w:r>
      <w:r>
        <w:rPr>
          <w:spacing w:val="-1"/>
        </w:rPr>
        <w:t> </w:t>
      </w:r>
      <w:r>
        <w:rPr/>
        <w:t>其他重大合同</w:t>
      </w:r>
      <w:r>
        <w:rPr/>
        <w:t> 本年度公司无其他重大合同。</w:t>
      </w:r>
    </w:p>
    <w:p>
      <w:pPr>
        <w:spacing w:after="0" w:line="283" w:lineRule="auto"/>
        <w:jc w:val="left"/>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BodyText"/>
        <w:spacing w:line="240" w:lineRule="auto" w:before="35"/>
        <w:ind w:right="999"/>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承诺事项履行情况</w:t>
      </w:r>
    </w:p>
    <w:p>
      <w:pPr>
        <w:pStyle w:val="BodyText"/>
        <w:spacing w:line="240" w:lineRule="auto" w:before="83"/>
        <w:ind w:left="139" w:right="999"/>
        <w:jc w:val="left"/>
      </w:pPr>
      <w:r>
        <w:rPr>
          <w:rFonts w:ascii="Times New Roman" w:hAnsi="Times New Roman" w:cs="Times New Roman" w:eastAsia="Times New Roman" w:hint="default"/>
        </w:rPr>
        <w:t>1</w:t>
      </w:r>
      <w:r>
        <w:rPr/>
        <w:t>、 公司或持股</w:t>
      </w:r>
      <w:r>
        <w:rPr>
          <w:spacing w:val="-56"/>
        </w:rPr>
        <w:t> </w:t>
      </w:r>
      <w:r>
        <w:rPr>
          <w:rFonts w:ascii="Times New Roman" w:hAnsi="Times New Roman" w:cs="Times New Roman" w:eastAsia="Times New Roman" w:hint="default"/>
        </w:rPr>
        <w:t>5%</w:t>
      </w:r>
      <w:r>
        <w:rPr/>
        <w:t>以上股东在报告期内或持续到报告期内的承诺事项</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973"/>
        <w:gridCol w:w="3475"/>
        <w:gridCol w:w="3852"/>
      </w:tblGrid>
      <w:tr>
        <w:trPr>
          <w:trHeight w:val="326"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7" w:right="0"/>
              <w:jc w:val="left"/>
              <w:rPr>
                <w:rFonts w:ascii="宋体" w:hAnsi="宋体" w:cs="宋体" w:eastAsia="宋体" w:hint="default"/>
                <w:sz w:val="21"/>
                <w:szCs w:val="21"/>
              </w:rPr>
            </w:pPr>
            <w:r>
              <w:rPr>
                <w:rFonts w:ascii="宋体" w:hAnsi="宋体" w:cs="宋体" w:eastAsia="宋体" w:hint="default"/>
                <w:sz w:val="21"/>
                <w:szCs w:val="21"/>
              </w:rPr>
              <w:t>承诺事项</w:t>
            </w:r>
          </w:p>
        </w:tc>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承诺内容</w:t>
            </w:r>
          </w:p>
        </w:tc>
        <w:tc>
          <w:tcPr>
            <w:tcW w:w="385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履行情况</w:t>
            </w:r>
          </w:p>
        </w:tc>
      </w:tr>
      <w:tr>
        <w:trPr>
          <w:trHeight w:val="324" w:hRule="exact"/>
        </w:trPr>
        <w:tc>
          <w:tcPr>
            <w:tcW w:w="1973" w:type="dxa"/>
            <w:tcBorders>
              <w:top w:val="single" w:sz="6" w:space="0" w:color="000000"/>
              <w:left w:val="single" w:sz="6" w:space="0" w:color="000000"/>
              <w:bottom w:val="nil" w:sz="6" w:space="0" w:color="auto"/>
              <w:right w:val="single" w:sz="6" w:space="0" w:color="000000"/>
            </w:tcBorders>
          </w:tcPr>
          <w:p>
            <w:pPr/>
          </w:p>
        </w:tc>
        <w:tc>
          <w:tcPr>
            <w:tcW w:w="3475" w:type="dxa"/>
            <w:tcBorders>
              <w:top w:val="single" w:sz="6" w:space="0" w:color="000000"/>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公司于</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2006</w:t>
            </w:r>
            <w:r>
              <w:rPr>
                <w:rFonts w:ascii="Times New Roman" w:hAnsi="Times New Roman" w:cs="Times New Roman" w:eastAsia="Times New Roman" w:hint="default"/>
                <w:spacing w:val="-19"/>
                <w:sz w:val="21"/>
                <w:szCs w:val="21"/>
              </w:rPr>
              <w:t> </w:t>
            </w:r>
            <w:r>
              <w:rPr>
                <w:rFonts w:ascii="宋体" w:hAnsi="宋体" w:cs="宋体" w:eastAsia="宋体" w:hint="default"/>
                <w:sz w:val="21"/>
                <w:szCs w:val="21"/>
              </w:rPr>
              <w:t>年</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6</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月</w:t>
            </w:r>
            <w:r>
              <w:rPr>
                <w:rFonts w:ascii="宋体" w:hAnsi="宋体" w:cs="宋体" w:eastAsia="宋体" w:hint="default"/>
                <w:spacing w:val="-71"/>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7"/>
                <w:sz w:val="21"/>
                <w:szCs w:val="21"/>
              </w:rPr>
              <w:t> </w:t>
            </w:r>
            <w:r>
              <w:rPr>
                <w:rFonts w:ascii="宋体" w:hAnsi="宋体" w:cs="宋体" w:eastAsia="宋体" w:hint="default"/>
                <w:sz w:val="21"/>
                <w:szCs w:val="21"/>
              </w:rPr>
              <w:t>日实施股权分</w:t>
            </w:r>
          </w:p>
        </w:tc>
        <w:tc>
          <w:tcPr>
            <w:tcW w:w="3852" w:type="dxa"/>
            <w:tcBorders>
              <w:top w:val="single" w:sz="6" w:space="0" w:color="000000"/>
              <w:left w:val="single" w:sz="6" w:space="0" w:color="000000"/>
              <w:bottom w:val="nil" w:sz="6" w:space="0" w:color="auto"/>
              <w:right w:val="single" w:sz="6" w:space="0" w:color="000000"/>
            </w:tcBorders>
          </w:tcPr>
          <w:p>
            <w:pPr/>
          </w:p>
        </w:tc>
      </w:tr>
      <w:tr>
        <w:trPr>
          <w:trHeight w:val="307" w:hRule="exact"/>
        </w:trPr>
        <w:tc>
          <w:tcPr>
            <w:tcW w:w="1973"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股改承诺</w:t>
            </w:r>
          </w:p>
        </w:tc>
        <w:tc>
          <w:tcPr>
            <w:tcW w:w="3475" w:type="dxa"/>
            <w:tcBorders>
              <w:top w:val="nil" w:sz="6" w:space="0" w:color="auto"/>
              <w:left w:val="single" w:sz="6" w:space="0" w:color="000000"/>
              <w:bottom w:val="nil" w:sz="6" w:space="0" w:color="auto"/>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置改革</w:t>
            </w:r>
            <w:r>
              <w:rPr>
                <w:rFonts w:ascii="宋体" w:hAnsi="宋体" w:cs="宋体" w:eastAsia="宋体" w:hint="default"/>
                <w:spacing w:val="-100"/>
                <w:sz w:val="21"/>
                <w:szCs w:val="21"/>
              </w:rPr>
              <w:t>，</w:t>
            </w:r>
            <w:r>
              <w:rPr>
                <w:rFonts w:ascii="宋体" w:hAnsi="宋体" w:cs="宋体" w:eastAsia="宋体" w:hint="default"/>
                <w:sz w:val="21"/>
                <w:szCs w:val="21"/>
              </w:rPr>
              <w:t>黑龙江黑化集团有限公司未</w:t>
            </w:r>
          </w:p>
        </w:tc>
        <w:tc>
          <w:tcPr>
            <w:tcW w:w="3852" w:type="dxa"/>
            <w:tcBorders>
              <w:top w:val="nil" w:sz="6" w:space="0" w:color="auto"/>
              <w:left w:val="single" w:sz="6" w:space="0" w:color="000000"/>
              <w:bottom w:val="nil" w:sz="6" w:space="0" w:color="auto"/>
              <w:right w:val="single" w:sz="6" w:space="0" w:color="000000"/>
            </w:tcBorders>
          </w:tcPr>
          <w:p>
            <w:pPr>
              <w:pStyle w:val="TableParagraph"/>
              <w:spacing w:line="255" w:lineRule="exact"/>
              <w:ind w:right="64"/>
              <w:jc w:val="center"/>
              <w:rPr>
                <w:rFonts w:ascii="宋体" w:hAnsi="宋体" w:cs="宋体" w:eastAsia="宋体" w:hint="default"/>
                <w:sz w:val="21"/>
                <w:szCs w:val="21"/>
              </w:rPr>
            </w:pPr>
            <w:r>
              <w:rPr>
                <w:rFonts w:ascii="宋体" w:hAnsi="宋体" w:cs="宋体" w:eastAsia="宋体" w:hint="default"/>
                <w:sz w:val="21"/>
                <w:szCs w:val="21"/>
              </w:rPr>
              <w:t>报告期内已经履行完毕法定承诺义务。</w:t>
            </w:r>
          </w:p>
        </w:tc>
      </w:tr>
      <w:tr>
        <w:trPr>
          <w:trHeight w:val="320" w:hRule="exact"/>
        </w:trPr>
        <w:tc>
          <w:tcPr>
            <w:tcW w:w="1973" w:type="dxa"/>
            <w:tcBorders>
              <w:top w:val="nil" w:sz="6" w:space="0" w:color="auto"/>
              <w:left w:val="single" w:sz="6" w:space="0" w:color="000000"/>
              <w:bottom w:val="single" w:sz="6" w:space="0" w:color="000000"/>
              <w:right w:val="single" w:sz="6" w:space="0" w:color="000000"/>
            </w:tcBorders>
          </w:tcPr>
          <w:p>
            <w:pPr/>
          </w:p>
        </w:tc>
        <w:tc>
          <w:tcPr>
            <w:tcW w:w="3475"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做出法定承诺以外的特别承诺事项。</w:t>
            </w:r>
          </w:p>
        </w:tc>
        <w:tc>
          <w:tcPr>
            <w:tcW w:w="3852" w:type="dxa"/>
            <w:tcBorders>
              <w:top w:val="nil" w:sz="6" w:space="0" w:color="auto"/>
              <w:left w:val="single" w:sz="6" w:space="0" w:color="000000"/>
              <w:bottom w:val="single" w:sz="6" w:space="0" w:color="000000"/>
              <w:right w:val="single" w:sz="6" w:space="0" w:color="000000"/>
            </w:tcBorders>
          </w:tcPr>
          <w:p>
            <w:pPr/>
          </w:p>
        </w:tc>
      </w:tr>
    </w:tbl>
    <w:p>
      <w:pPr>
        <w:pStyle w:val="BodyText"/>
        <w:spacing w:line="260" w:lineRule="exact"/>
        <w:ind w:right="999"/>
        <w:jc w:val="left"/>
      </w:pPr>
      <w:r>
        <w:rPr/>
        <w:t>报告期内已经履行完毕法定承诺义务。</w:t>
      </w:r>
    </w:p>
    <w:p>
      <w:pPr>
        <w:spacing w:line="240" w:lineRule="auto" w:before="5"/>
        <w:rPr>
          <w:rFonts w:ascii="宋体" w:hAnsi="宋体" w:cs="宋体" w:eastAsia="宋体" w:hint="default"/>
          <w:sz w:val="26"/>
          <w:szCs w:val="26"/>
        </w:rPr>
      </w:pPr>
    </w:p>
    <w:p>
      <w:pPr>
        <w:pStyle w:val="BodyText"/>
        <w:spacing w:line="240" w:lineRule="auto" w:before="35"/>
        <w:ind w:right="999"/>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聘任、解聘会计师事务所情况</w:t>
      </w:r>
    </w:p>
    <w:p>
      <w:pPr>
        <w:pStyle w:val="BodyText"/>
        <w:spacing w:line="240" w:lineRule="auto" w:before="52"/>
        <w:ind w:left="6334" w:right="999"/>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是否改聘会计师事务所：</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现聘任</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境内会计师事务所名称</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天职国际会计师事务所有限公司</w:t>
            </w:r>
          </w:p>
        </w:tc>
      </w:tr>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境内会计师事务所报酬</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z w:val="21"/>
              </w:rPr>
              <w:t>50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境内会计师事务所审计年限</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5</w:t>
            </w:r>
          </w:p>
        </w:tc>
      </w:tr>
    </w:tbl>
    <w:p>
      <w:pPr>
        <w:spacing w:line="240" w:lineRule="auto" w:before="5"/>
        <w:rPr>
          <w:rFonts w:ascii="宋体" w:hAnsi="宋体" w:cs="宋体" w:eastAsia="宋体" w:hint="default"/>
          <w:sz w:val="22"/>
          <w:szCs w:val="22"/>
        </w:rPr>
      </w:pPr>
    </w:p>
    <w:p>
      <w:pPr>
        <w:pStyle w:val="BodyText"/>
        <w:spacing w:line="278" w:lineRule="auto" w:before="35"/>
        <w:ind w:left="139" w:right="999"/>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上市公司及其董事、监事、高级管理人员、公司股东、实际控制人处罚及整改情况</w:t>
      </w:r>
      <w:r>
        <w:rPr>
          <w:w w:val="99"/>
        </w:rPr>
        <w:t> </w:t>
      </w:r>
      <w:r>
        <w:rPr>
          <w:spacing w:val="-3"/>
        </w:rPr>
        <w:t>报告期内公司、公司及董事、监事、高级管理人员、公司股东、实际控制人均未受中国证监</w:t>
      </w:r>
      <w:r>
        <w:rPr>
          <w:spacing w:val="-85"/>
        </w:rPr>
        <w:t> </w:t>
      </w:r>
      <w:r>
        <w:rPr>
          <w:spacing w:val="-85"/>
        </w:rPr>
      </w:r>
      <w:r>
        <w:rPr/>
        <w:t>会的稽查、行政处罚、通报批评及证券交易所的公开谴责。</w:t>
      </w:r>
    </w:p>
    <w:p>
      <w:pPr>
        <w:spacing w:line="240" w:lineRule="auto" w:before="7"/>
        <w:rPr>
          <w:rFonts w:ascii="宋体" w:hAnsi="宋体" w:cs="宋体" w:eastAsia="宋体" w:hint="default"/>
          <w:sz w:val="26"/>
          <w:szCs w:val="26"/>
        </w:rPr>
      </w:pPr>
    </w:p>
    <w:p>
      <w:pPr>
        <w:pStyle w:val="BodyText"/>
        <w:spacing w:line="240" w:lineRule="auto"/>
        <w:ind w:left="139" w:right="999"/>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公司是否被列入环保部门公布的污染严重企业名单：否</w:t>
      </w:r>
    </w:p>
    <w:p>
      <w:pPr>
        <w:spacing w:line="240" w:lineRule="auto" w:before="3"/>
        <w:rPr>
          <w:rFonts w:ascii="宋体" w:hAnsi="宋体" w:cs="宋体" w:eastAsia="宋体" w:hint="default"/>
          <w:sz w:val="30"/>
          <w:szCs w:val="30"/>
        </w:rPr>
      </w:pPr>
    </w:p>
    <w:p>
      <w:pPr>
        <w:pStyle w:val="BodyText"/>
        <w:spacing w:line="283" w:lineRule="auto"/>
        <w:ind w:left="350" w:right="6464" w:hanging="212"/>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t>其他重大事项的说明</w:t>
      </w:r>
      <w:r>
        <w:rPr>
          <w:w w:val="99"/>
        </w:rPr>
        <w:t> </w:t>
      </w:r>
      <w:r>
        <w:rPr/>
        <w:t>本年度公司无其他重大事项。</w:t>
      </w:r>
    </w:p>
    <w:p>
      <w:pPr>
        <w:spacing w:line="240" w:lineRule="auto" w:before="2"/>
        <w:rPr>
          <w:rFonts w:ascii="宋体" w:hAnsi="宋体" w:cs="宋体" w:eastAsia="宋体" w:hint="default"/>
          <w:sz w:val="26"/>
          <w:szCs w:val="26"/>
        </w:rPr>
      </w:pPr>
    </w:p>
    <w:p>
      <w:pPr>
        <w:pStyle w:val="BodyText"/>
        <w:spacing w:line="240" w:lineRule="auto"/>
        <w:ind w:left="139" w:right="999"/>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信息披露索引</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328"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事项</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28" w:right="0"/>
              <w:jc w:val="left"/>
              <w:rPr>
                <w:rFonts w:ascii="宋体" w:hAnsi="宋体" w:cs="宋体" w:eastAsia="宋体" w:hint="default"/>
                <w:sz w:val="21"/>
                <w:szCs w:val="21"/>
              </w:rPr>
            </w:pPr>
            <w:r>
              <w:rPr>
                <w:rFonts w:ascii="宋体" w:hAnsi="宋体" w:cs="宋体" w:eastAsia="宋体" w:hint="default"/>
                <w:sz w:val="21"/>
                <w:szCs w:val="21"/>
              </w:rPr>
              <w:t>刊载的报刊名称及版面</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8" w:right="0"/>
              <w:jc w:val="left"/>
              <w:rPr>
                <w:rFonts w:ascii="宋体" w:hAnsi="宋体" w:cs="宋体" w:eastAsia="宋体" w:hint="default"/>
                <w:sz w:val="21"/>
                <w:szCs w:val="21"/>
              </w:rPr>
            </w:pPr>
            <w:r>
              <w:rPr>
                <w:rFonts w:ascii="宋体" w:hAnsi="宋体" w:cs="宋体" w:eastAsia="宋体" w:hint="default"/>
                <w:sz w:val="21"/>
                <w:szCs w:val="21"/>
              </w:rPr>
              <w:t>刊载日期</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87" w:right="0"/>
              <w:jc w:val="left"/>
              <w:rPr>
                <w:rFonts w:ascii="宋体" w:hAnsi="宋体" w:cs="宋体" w:eastAsia="宋体" w:hint="default"/>
                <w:sz w:val="21"/>
                <w:szCs w:val="21"/>
              </w:rPr>
            </w:pPr>
            <w:r>
              <w:rPr>
                <w:rFonts w:ascii="宋体" w:hAnsi="宋体" w:cs="宋体" w:eastAsia="宋体" w:hint="default"/>
                <w:sz w:val="21"/>
                <w:szCs w:val="21"/>
              </w:rPr>
              <w:t>刊载的互联网网站及检索路径</w:t>
            </w:r>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董事会</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次会议决 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《中国证券报》第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C006</w:t>
            </w:r>
          </w:p>
          <w:p>
            <w:pPr>
              <w:pStyle w:val="TableParagraph"/>
              <w:spacing w:line="256" w:lineRule="auto" w:before="21"/>
              <w:ind w:left="100" w:right="98"/>
              <w:jc w:val="left"/>
              <w:rPr>
                <w:rFonts w:ascii="宋体" w:hAnsi="宋体" w:cs="宋体" w:eastAsia="宋体" w:hint="default"/>
                <w:sz w:val="21"/>
                <w:szCs w:val="21"/>
              </w:rPr>
            </w:pPr>
            <w:r>
              <w:rPr>
                <w:rFonts w:ascii="宋体" w:hAnsi="宋体" w:cs="宋体" w:eastAsia="宋体" w:hint="default"/>
                <w:spacing w:val="4"/>
                <w:sz w:val="21"/>
                <w:szCs w:val="21"/>
              </w:rPr>
              <w:t>版、《上海证券报》</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33 </w:t>
            </w:r>
            <w:r>
              <w:rPr>
                <w:rFonts w:ascii="宋体" w:hAnsi="宋体" w:cs="宋体" w:eastAsia="宋体" w:hint="default"/>
                <w:sz w:val="21"/>
                <w:szCs w:val="21"/>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4</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融资租赁公告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pacing w:val="34"/>
                <w:sz w:val="21"/>
                <w:szCs w:val="21"/>
              </w:rPr>
              <w:t>《中国证 </w:t>
            </w:r>
            <w:r>
              <w:rPr>
                <w:rFonts w:ascii="宋体" w:hAnsi="宋体" w:cs="宋体" w:eastAsia="宋体" w:hint="default"/>
                <w:spacing w:val="30"/>
                <w:sz w:val="21"/>
                <w:szCs w:val="21"/>
              </w:rPr>
              <w:t>券报》</w:t>
            </w:r>
            <w:r>
              <w:rPr>
                <w:rFonts w:ascii="宋体" w:hAnsi="宋体" w:cs="宋体" w:eastAsia="宋体" w:hint="default"/>
                <w:spacing w:val="2"/>
                <w:sz w:val="21"/>
                <w:szCs w:val="21"/>
              </w:rPr>
              <w:t> </w:t>
            </w:r>
            <w:r>
              <w:rPr>
                <w:rFonts w:ascii="宋体" w:hAnsi="宋体" w:cs="宋体" w:eastAsia="宋体" w:hint="default"/>
                <w:sz w:val="21"/>
                <w:szCs w:val="21"/>
              </w:rPr>
              <w:t>第</w:t>
            </w:r>
          </w:p>
          <w:p>
            <w:pPr>
              <w:pStyle w:val="TableParagraph"/>
              <w:spacing w:line="240" w:lineRule="auto" w:before="37"/>
              <w:ind w:left="100" w:right="-4"/>
              <w:jc w:val="left"/>
              <w:rPr>
                <w:rFonts w:ascii="宋体" w:hAnsi="宋体" w:cs="宋体" w:eastAsia="宋体" w:hint="default"/>
                <w:sz w:val="21"/>
                <w:szCs w:val="21"/>
              </w:rPr>
            </w:pPr>
            <w:r>
              <w:rPr>
                <w:rFonts w:ascii="Times New Roman" w:hAnsi="Times New Roman" w:cs="Times New Roman" w:eastAsia="Times New Roman" w:hint="default"/>
                <w:spacing w:val="-1"/>
                <w:w w:val="99"/>
                <w:sz w:val="21"/>
                <w:szCs w:val="21"/>
              </w:rPr>
              <w:t>D</w:t>
            </w:r>
            <w:r>
              <w:rPr>
                <w:rFonts w:ascii="Times New Roman" w:hAnsi="Times New Roman" w:cs="Times New Roman" w:eastAsia="Times New Roman" w:hint="default"/>
                <w:sz w:val="21"/>
                <w:szCs w:val="21"/>
              </w:rPr>
              <w:t>002 </w:t>
            </w:r>
            <w:r>
              <w:rPr>
                <w:rFonts w:ascii="宋体" w:hAnsi="宋体" w:cs="宋体" w:eastAsia="宋体" w:hint="default"/>
                <w:spacing w:val="-2"/>
                <w:sz w:val="21"/>
                <w:szCs w:val="21"/>
              </w:rPr>
              <w:t>版</w:t>
            </w:r>
            <w:r>
              <w:rPr>
                <w:rFonts w:ascii="宋体" w:hAnsi="宋体" w:cs="宋体" w:eastAsia="宋体" w:hint="default"/>
                <w:spacing w:val="-147"/>
                <w:sz w:val="21"/>
                <w:szCs w:val="21"/>
              </w:rPr>
              <w:t>、</w:t>
            </w:r>
            <w:r>
              <w:rPr>
                <w:rFonts w:ascii="宋体" w:hAnsi="宋体" w:cs="宋体" w:eastAsia="宋体" w:hint="default"/>
                <w:sz w:val="21"/>
                <w:szCs w:val="21"/>
              </w:rPr>
              <w:t>《</w:t>
            </w:r>
            <w:r>
              <w:rPr>
                <w:rFonts w:ascii="宋体" w:hAnsi="宋体" w:cs="宋体" w:eastAsia="宋体" w:hint="default"/>
                <w:spacing w:val="-2"/>
                <w:sz w:val="21"/>
                <w:szCs w:val="21"/>
              </w:rPr>
              <w:t>上</w:t>
            </w:r>
            <w:r>
              <w:rPr>
                <w:rFonts w:ascii="宋体" w:hAnsi="宋体" w:cs="宋体" w:eastAsia="宋体" w:hint="default"/>
                <w:sz w:val="21"/>
                <w:szCs w:val="21"/>
              </w:rPr>
              <w:t>海证券报》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A7</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5</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126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董事会第十三次会</w:t>
            </w:r>
            <w:r>
              <w:rPr>
                <w:rFonts w:ascii="宋体" w:hAnsi="宋体" w:cs="宋体" w:eastAsia="宋体" w:hint="default"/>
                <w:sz w:val="21"/>
                <w:szCs w:val="21"/>
              </w:rPr>
            </w:r>
          </w:p>
          <w:p>
            <w:pPr>
              <w:pStyle w:val="TableParagraph"/>
              <w:spacing w:line="273" w:lineRule="auto" w:before="37"/>
              <w:ind w:left="100" w:right="86"/>
              <w:jc w:val="both"/>
              <w:rPr>
                <w:rFonts w:ascii="宋体" w:hAnsi="宋体" w:cs="宋体" w:eastAsia="宋体" w:hint="default"/>
                <w:sz w:val="21"/>
                <w:szCs w:val="21"/>
              </w:rPr>
            </w:pPr>
            <w:r>
              <w:rPr>
                <w:rFonts w:ascii="宋体" w:hAnsi="宋体" w:cs="宋体" w:eastAsia="宋体" w:hint="default"/>
                <w:spacing w:val="13"/>
                <w:sz w:val="21"/>
                <w:szCs w:val="21"/>
              </w:rPr>
              <w:t>议决议公告暨召开 ２０１０年度第一 </w:t>
            </w:r>
            <w:r>
              <w:rPr>
                <w:rFonts w:ascii="宋体" w:hAnsi="宋体" w:cs="宋体" w:eastAsia="宋体" w:hint="default"/>
                <w:sz w:val="21"/>
                <w:szCs w:val="21"/>
              </w:rPr>
              <w:t>次临时股东的通知</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both"/>
              <w:rPr>
                <w:rFonts w:ascii="宋体" w:hAnsi="宋体" w:cs="宋体" w:eastAsia="宋体" w:hint="default"/>
                <w:sz w:val="21"/>
                <w:szCs w:val="21"/>
              </w:rPr>
            </w:pPr>
            <w:r>
              <w:rPr>
                <w:rFonts w:ascii="宋体" w:hAnsi="宋体" w:cs="宋体" w:eastAsia="宋体" w:hint="default"/>
                <w:sz w:val="21"/>
                <w:szCs w:val="21"/>
              </w:rPr>
              <w:t>《中国证券报》第</w:t>
            </w:r>
            <w:r>
              <w:rPr>
                <w:rFonts w:ascii="宋体" w:hAnsi="宋体" w:cs="宋体" w:eastAsia="宋体" w:hint="default"/>
                <w:spacing w:val="15"/>
                <w:sz w:val="21"/>
                <w:szCs w:val="21"/>
              </w:rPr>
              <w:t> </w:t>
            </w:r>
            <w:r>
              <w:rPr>
                <w:rFonts w:ascii="Times New Roman" w:hAnsi="Times New Roman" w:cs="Times New Roman" w:eastAsia="Times New Roman" w:hint="default"/>
                <w:sz w:val="21"/>
                <w:szCs w:val="21"/>
              </w:rPr>
              <w:t>B07</w:t>
            </w:r>
            <w:r>
              <w:rPr>
                <w:rFonts w:ascii="Times New Roman" w:hAnsi="Times New Roman" w:cs="Times New Roman" w:eastAsia="Times New Roman" w:hint="default"/>
                <w:spacing w:val="-50"/>
                <w:sz w:val="21"/>
                <w:szCs w:val="21"/>
              </w:rPr>
              <w:t> </w:t>
            </w:r>
            <w:r>
              <w:rPr>
                <w:rFonts w:ascii="宋体" w:hAnsi="宋体" w:cs="宋体" w:eastAsia="宋体" w:hint="default"/>
                <w:spacing w:val="-17"/>
                <w:sz w:val="21"/>
                <w:szCs w:val="21"/>
              </w:rPr>
              <w:t>版、《上海证券报》</w:t>
            </w:r>
            <w:r>
              <w:rPr>
                <w:rFonts w:ascii="宋体" w:hAnsi="宋体" w:cs="宋体" w:eastAsia="宋体" w:hint="default"/>
                <w:spacing w:val="-38"/>
                <w:sz w:val="21"/>
                <w:szCs w:val="21"/>
              </w:rPr>
              <w:t> </w:t>
            </w:r>
            <w:r>
              <w:rPr>
                <w:rFonts w:ascii="Times New Roman" w:hAnsi="Times New Roman" w:cs="Times New Roman" w:eastAsia="Times New Roman" w:hint="default"/>
                <w:spacing w:val="-1"/>
                <w:sz w:val="21"/>
                <w:szCs w:val="21"/>
              </w:rPr>
              <w:t>B15 </w:t>
            </w:r>
            <w:r>
              <w:rPr>
                <w:rFonts w:ascii="宋体" w:hAnsi="宋体" w:cs="宋体" w:eastAsia="宋体" w:hint="default"/>
                <w:sz w:val="21"/>
                <w:szCs w:val="21"/>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27</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9"/>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年第一次 临时股东大会公告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《中国证券报》第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D010</w:t>
            </w:r>
          </w:p>
          <w:p>
            <w:pPr>
              <w:pStyle w:val="TableParagraph"/>
              <w:spacing w:line="256" w:lineRule="auto" w:before="21"/>
              <w:ind w:left="100" w:right="98"/>
              <w:jc w:val="left"/>
              <w:rPr>
                <w:rFonts w:ascii="宋体" w:hAnsi="宋体" w:cs="宋体" w:eastAsia="宋体" w:hint="default"/>
                <w:sz w:val="21"/>
                <w:szCs w:val="21"/>
              </w:rPr>
            </w:pPr>
            <w:r>
              <w:rPr>
                <w:rFonts w:ascii="宋体" w:hAnsi="宋体" w:cs="宋体" w:eastAsia="宋体" w:hint="default"/>
                <w:spacing w:val="4"/>
                <w:sz w:val="21"/>
                <w:szCs w:val="21"/>
              </w:rPr>
              <w:t>版、《上海证券报》</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61 </w:t>
            </w:r>
            <w:r>
              <w:rPr>
                <w:rFonts w:ascii="宋体" w:hAnsi="宋体" w:cs="宋体" w:eastAsia="宋体" w:hint="default"/>
                <w:sz w:val="21"/>
                <w:szCs w:val="21"/>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2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1" w:right="0" w:hanging="1"/>
              <w:jc w:val="left"/>
              <w:rPr>
                <w:rFonts w:ascii="宋体" w:hAnsi="宋体" w:cs="宋体" w:eastAsia="宋体" w:hint="default"/>
                <w:sz w:val="21"/>
                <w:szCs w:val="21"/>
              </w:rPr>
            </w:pPr>
            <w:r>
              <w:rPr>
                <w:rFonts w:ascii="宋体" w:hAnsi="宋体" w:cs="宋体" w:eastAsia="宋体" w:hint="default"/>
                <w:sz w:val="21"/>
                <w:szCs w:val="21"/>
              </w:rPr>
              <w:t>《公司</w:t>
            </w:r>
            <w:r>
              <w:rPr>
                <w:rFonts w:ascii="宋体" w:hAnsi="宋体" w:cs="宋体" w:eastAsia="宋体" w:hint="default"/>
                <w:spacing w:val="-58"/>
                <w:sz w:val="21"/>
                <w:szCs w:val="21"/>
              </w:rPr>
              <w:t> </w:t>
            </w: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6"/>
                <w:sz w:val="21"/>
                <w:szCs w:val="21"/>
              </w:rPr>
              <w:t> </w:t>
            </w:r>
            <w:r>
              <w:rPr>
                <w:rFonts w:ascii="宋体" w:hAnsi="宋体" w:cs="宋体" w:eastAsia="宋体" w:hint="default"/>
                <w:sz w:val="21"/>
                <w:szCs w:val="21"/>
              </w:rPr>
              <w:t>年报及</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pacing w:val="12"/>
                <w:sz w:val="21"/>
                <w:szCs w:val="21"/>
              </w:rPr>
              <w:t>摘要</w:t>
            </w:r>
            <w:r>
              <w:rPr>
                <w:rFonts w:ascii="宋体" w:hAnsi="宋体" w:cs="宋体" w:eastAsia="宋体" w:hint="default"/>
                <w:spacing w:val="-93"/>
                <w:sz w:val="21"/>
                <w:szCs w:val="21"/>
              </w:rPr>
              <w:t>》、</w:t>
            </w:r>
            <w:r>
              <w:rPr>
                <w:rFonts w:ascii="宋体" w:hAnsi="宋体" w:cs="宋体" w:eastAsia="宋体" w:hint="default"/>
                <w:spacing w:val="12"/>
                <w:sz w:val="21"/>
                <w:szCs w:val="21"/>
              </w:rPr>
              <w:t>《</w:t>
            </w:r>
            <w:r>
              <w:rPr>
                <w:rFonts w:ascii="宋体" w:hAnsi="宋体" w:cs="宋体" w:eastAsia="宋体" w:hint="default"/>
                <w:spacing w:val="10"/>
                <w:sz w:val="21"/>
                <w:szCs w:val="21"/>
              </w:rPr>
              <w:t>内</w:t>
            </w:r>
            <w:r>
              <w:rPr>
                <w:rFonts w:ascii="宋体" w:hAnsi="宋体" w:cs="宋体" w:eastAsia="宋体" w:hint="default"/>
                <w:spacing w:val="12"/>
                <w:sz w:val="21"/>
                <w:szCs w:val="21"/>
              </w:rPr>
              <w:t>幕信息</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《中国证券报》第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D032</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版</w:t>
            </w:r>
            <w:r>
              <w:rPr>
                <w:rFonts w:ascii="宋体" w:hAnsi="宋体" w:cs="宋体" w:eastAsia="宋体" w:hint="default"/>
                <w:spacing w:val="-102"/>
                <w:sz w:val="21"/>
                <w:szCs w:val="21"/>
              </w:rPr>
              <w:t>、</w:t>
            </w:r>
            <w:r>
              <w:rPr>
                <w:rFonts w:ascii="宋体" w:hAnsi="宋体" w:cs="宋体" w:eastAsia="宋体" w:hint="default"/>
                <w:spacing w:val="2"/>
                <w:sz w:val="21"/>
                <w:szCs w:val="21"/>
              </w:rPr>
              <w:t>《上海证券报》</w:t>
            </w:r>
            <w:r>
              <w:rPr>
                <w:rFonts w:ascii="Times New Roman" w:hAnsi="Times New Roman" w:cs="Times New Roman" w:eastAsia="Times New Roman" w:hint="default"/>
                <w:sz w:val="21"/>
                <w:szCs w:val="21"/>
              </w:rPr>
              <w:t>B39</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15</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320"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知情人登记备案制</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1613" w:type="dxa"/>
            <w:vMerge w:val="restart"/>
            <w:tcBorders>
              <w:top w:val="single" w:sz="6" w:space="0" w:color="000000"/>
              <w:left w:val="single" w:sz="6" w:space="0" w:color="000000"/>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度</w:t>
            </w:r>
            <w:r>
              <w:rPr>
                <w:rFonts w:ascii="宋体" w:hAnsi="宋体" w:cs="宋体" w:eastAsia="宋体" w:hint="default"/>
                <w:spacing w:val="-93"/>
                <w:sz w:val="21"/>
                <w:szCs w:val="21"/>
              </w:rPr>
              <w:t>》、</w:t>
            </w:r>
            <w:r>
              <w:rPr>
                <w:rFonts w:ascii="宋体" w:hAnsi="宋体" w:cs="宋体" w:eastAsia="宋体" w:hint="default"/>
                <w:spacing w:val="12"/>
                <w:sz w:val="21"/>
                <w:szCs w:val="21"/>
              </w:rPr>
              <w:t>《年</w:t>
            </w:r>
            <w:r>
              <w:rPr>
                <w:rFonts w:ascii="宋体" w:hAnsi="宋体" w:cs="宋体" w:eastAsia="宋体" w:hint="default"/>
                <w:spacing w:val="10"/>
                <w:sz w:val="21"/>
                <w:szCs w:val="21"/>
              </w:rPr>
              <w:t>报</w:t>
            </w:r>
            <w:r>
              <w:rPr>
                <w:rFonts w:ascii="宋体" w:hAnsi="宋体" w:cs="宋体" w:eastAsia="宋体" w:hint="default"/>
                <w:spacing w:val="12"/>
                <w:sz w:val="21"/>
                <w:szCs w:val="21"/>
              </w:rPr>
              <w:t>信息披</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露重大差错责任追</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究制度</w:t>
            </w:r>
            <w:r>
              <w:rPr>
                <w:rFonts w:ascii="宋体" w:hAnsi="宋体" w:cs="宋体" w:eastAsia="宋体" w:hint="default"/>
                <w:spacing w:val="-93"/>
                <w:sz w:val="21"/>
                <w:szCs w:val="21"/>
              </w:rPr>
              <w:t>》、</w:t>
            </w:r>
            <w:r>
              <w:rPr>
                <w:rFonts w:ascii="宋体" w:hAnsi="宋体" w:cs="宋体" w:eastAsia="宋体" w:hint="default"/>
                <w:spacing w:val="10"/>
                <w:sz w:val="21"/>
                <w:szCs w:val="21"/>
              </w:rPr>
              <w:t>《</w:t>
            </w:r>
            <w:r>
              <w:rPr>
                <w:rFonts w:ascii="宋体" w:hAnsi="宋体" w:cs="宋体" w:eastAsia="宋体" w:hint="default"/>
                <w:spacing w:val="12"/>
                <w:sz w:val="21"/>
                <w:szCs w:val="21"/>
              </w:rPr>
              <w:t>外部信</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息报送和使用管理</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制度</w:t>
            </w:r>
            <w:r>
              <w:rPr>
                <w:rFonts w:ascii="宋体" w:hAnsi="宋体" w:cs="宋体" w:eastAsia="宋体" w:hint="default"/>
                <w:spacing w:val="-93"/>
                <w:sz w:val="21"/>
                <w:szCs w:val="21"/>
              </w:rPr>
              <w:t>》、</w:t>
            </w:r>
            <w:r>
              <w:rPr>
                <w:rFonts w:ascii="宋体" w:hAnsi="宋体" w:cs="宋体" w:eastAsia="宋体" w:hint="default"/>
                <w:spacing w:val="12"/>
                <w:sz w:val="21"/>
                <w:szCs w:val="21"/>
              </w:rPr>
              <w:t>《</w:t>
            </w:r>
            <w:r>
              <w:rPr>
                <w:rFonts w:ascii="宋体" w:hAnsi="宋体" w:cs="宋体" w:eastAsia="宋体" w:hint="default"/>
                <w:spacing w:val="10"/>
                <w:sz w:val="21"/>
                <w:szCs w:val="21"/>
              </w:rPr>
              <w:t>关</w:t>
            </w:r>
            <w:r>
              <w:rPr>
                <w:rFonts w:ascii="宋体" w:hAnsi="宋体" w:cs="宋体" w:eastAsia="宋体" w:hint="default"/>
                <w:spacing w:val="12"/>
                <w:sz w:val="21"/>
                <w:szCs w:val="21"/>
              </w:rPr>
              <w:t>于股票</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交易实行退市风险</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警示特</w:t>
            </w:r>
            <w:r>
              <w:rPr>
                <w:rFonts w:ascii="宋体" w:hAnsi="宋体" w:cs="宋体" w:eastAsia="宋体" w:hint="default"/>
                <w:spacing w:val="-53"/>
                <w:sz w:val="21"/>
                <w:szCs w:val="21"/>
              </w:rPr>
              <w:t> </w:t>
            </w:r>
            <w:r>
              <w:rPr>
                <w:rFonts w:ascii="宋体" w:hAnsi="宋体" w:cs="宋体" w:eastAsia="宋体" w:hint="default"/>
                <w:sz w:val="21"/>
                <w:szCs w:val="21"/>
              </w:rPr>
              <w:t>别</w:t>
            </w:r>
            <w:r>
              <w:rPr>
                <w:rFonts w:ascii="宋体" w:hAnsi="宋体" w:cs="宋体" w:eastAsia="宋体" w:hint="default"/>
                <w:spacing w:val="-53"/>
                <w:sz w:val="21"/>
                <w:szCs w:val="21"/>
              </w:rPr>
              <w:t> </w:t>
            </w:r>
            <w:r>
              <w:rPr>
                <w:rFonts w:ascii="宋体" w:hAnsi="宋体" w:cs="宋体" w:eastAsia="宋体" w:hint="default"/>
                <w:spacing w:val="33"/>
                <w:sz w:val="21"/>
                <w:szCs w:val="21"/>
              </w:rPr>
              <w:t>处理公</w:t>
            </w:r>
            <w:r>
              <w:rPr>
                <w:rFonts w:ascii="宋体" w:hAnsi="宋体" w:cs="宋体" w:eastAsia="宋体" w:hint="default"/>
                <w:spacing w:val="-55"/>
                <w:sz w:val="21"/>
                <w:szCs w:val="21"/>
              </w:rPr>
              <w:t> </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8"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09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年度控</w:t>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0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股股东及其他关联</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方资金占用情况的</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专项说明</w:t>
            </w:r>
            <w:r>
              <w:rPr>
                <w:rFonts w:ascii="宋体" w:hAnsi="宋体" w:cs="宋体" w:eastAsia="宋体" w:hint="default"/>
                <w:spacing w:val="-93"/>
                <w:sz w:val="21"/>
                <w:szCs w:val="21"/>
              </w:rPr>
              <w:t>》</w:t>
            </w:r>
            <w:r>
              <w:rPr>
                <w:rFonts w:ascii="宋体" w:hAnsi="宋体" w:cs="宋体" w:eastAsia="宋体" w:hint="default"/>
                <w:spacing w:val="-94"/>
                <w:sz w:val="21"/>
                <w:szCs w:val="21"/>
              </w:rPr>
              <w:t>、</w:t>
            </w:r>
            <w:r>
              <w:rPr>
                <w:rFonts w:ascii="宋体" w:hAnsi="宋体" w:cs="宋体" w:eastAsia="宋体" w:hint="default"/>
                <w:spacing w:val="12"/>
                <w:sz w:val="21"/>
                <w:szCs w:val="21"/>
              </w:rPr>
              <w:t>《董事</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会第十三次会议决</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8"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议公告暨召开</w:t>
            </w:r>
            <w:r>
              <w:rPr>
                <w:rFonts w:ascii="宋体" w:hAnsi="宋体" w:cs="宋体" w:eastAsia="宋体" w:hint="default"/>
                <w:spacing w:val="-11"/>
                <w:sz w:val="21"/>
                <w:szCs w:val="21"/>
              </w:rPr>
              <w:t> </w:t>
            </w:r>
            <w:r>
              <w:rPr>
                <w:rFonts w:ascii="Times New Roman" w:hAnsi="Times New Roman" w:cs="Times New Roman" w:eastAsia="Times New Roman" w:hint="default"/>
                <w:sz w:val="21"/>
                <w:szCs w:val="21"/>
              </w:rPr>
              <w:t>2009</w:t>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0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年度股东大会的通</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8"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知</w:t>
            </w:r>
            <w:r>
              <w:rPr>
                <w:rFonts w:ascii="宋体" w:hAnsi="宋体" w:cs="宋体" w:eastAsia="宋体" w:hint="default"/>
                <w:spacing w:val="-105"/>
                <w:sz w:val="21"/>
                <w:szCs w:val="21"/>
              </w:rPr>
              <w:t>》、</w:t>
            </w:r>
            <w:r>
              <w:rPr>
                <w:rFonts w:ascii="宋体" w:hAnsi="宋体" w:cs="宋体" w:eastAsia="宋体" w:hint="default"/>
                <w:spacing w:val="-2"/>
                <w:sz w:val="21"/>
                <w:szCs w:val="21"/>
              </w:rPr>
              <w:t>《</w:t>
            </w:r>
            <w:r>
              <w:rPr>
                <w:rFonts w:ascii="Times New Roman" w:hAnsi="Times New Roman" w:cs="Times New Roman" w:eastAsia="Times New Roman" w:hint="default"/>
                <w:sz w:val="21"/>
                <w:szCs w:val="21"/>
              </w:rPr>
              <w:t>2</w:t>
            </w:r>
            <w:r>
              <w:rPr>
                <w:rFonts w:ascii="Times New Roman" w:hAnsi="Times New Roman" w:cs="Times New Roman" w:eastAsia="Times New Roman" w:hint="default"/>
                <w:spacing w:val="-1"/>
                <w:sz w:val="21"/>
                <w:szCs w:val="21"/>
              </w:rPr>
              <w:t>0</w:t>
            </w:r>
            <w:r>
              <w:rPr>
                <w:rFonts w:ascii="Times New Roman" w:hAnsi="Times New Roman" w:cs="Times New Roman" w:eastAsia="Times New Roman" w:hint="default"/>
                <w:sz w:val="21"/>
                <w:szCs w:val="21"/>
              </w:rPr>
              <w:t>10 </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年日常</w:t>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06"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55" w:lineRule="exact"/>
              <w:ind w:left="100" w:right="0"/>
              <w:jc w:val="left"/>
              <w:rPr>
                <w:rFonts w:ascii="宋体" w:hAnsi="宋体" w:cs="宋体" w:eastAsia="宋体" w:hint="default"/>
                <w:sz w:val="21"/>
                <w:szCs w:val="21"/>
              </w:rPr>
            </w:pPr>
            <w:r>
              <w:rPr>
                <w:rFonts w:ascii="宋体" w:hAnsi="宋体" w:cs="宋体" w:eastAsia="宋体" w:hint="default"/>
                <w:sz w:val="21"/>
                <w:szCs w:val="21"/>
              </w:rPr>
              <w:t>关联交易的公告</w:t>
            </w:r>
            <w:r>
              <w:rPr>
                <w:rFonts w:ascii="宋体" w:hAnsi="宋体" w:cs="宋体" w:eastAsia="宋体" w:hint="default"/>
                <w:spacing w:val="-105"/>
                <w:sz w:val="21"/>
                <w:szCs w:val="21"/>
              </w:rPr>
              <w:t>》</w:t>
            </w:r>
            <w:r>
              <w:rPr>
                <w:rFonts w:ascii="宋体" w:hAnsi="宋体" w:cs="宋体" w:eastAsia="宋体" w:hint="default"/>
                <w:sz w:val="21"/>
                <w:szCs w:val="21"/>
              </w:rPr>
              <w:t>、</w:t>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《第四届监事会第</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3"/>
                <w:sz w:val="21"/>
                <w:szCs w:val="21"/>
              </w:rPr>
              <w:t>九次会</w:t>
            </w:r>
            <w:r>
              <w:rPr>
                <w:rFonts w:ascii="宋体" w:hAnsi="宋体" w:cs="宋体" w:eastAsia="宋体" w:hint="default"/>
                <w:spacing w:val="-53"/>
                <w:sz w:val="21"/>
                <w:szCs w:val="21"/>
              </w:rPr>
              <w:t> </w:t>
            </w:r>
            <w:r>
              <w:rPr>
                <w:rFonts w:ascii="宋体" w:hAnsi="宋体" w:cs="宋体" w:eastAsia="宋体" w:hint="default"/>
                <w:sz w:val="21"/>
                <w:szCs w:val="21"/>
              </w:rPr>
              <w:t>议</w:t>
            </w:r>
            <w:r>
              <w:rPr>
                <w:rFonts w:ascii="宋体" w:hAnsi="宋体" w:cs="宋体" w:eastAsia="宋体" w:hint="default"/>
                <w:spacing w:val="-53"/>
                <w:sz w:val="21"/>
                <w:szCs w:val="21"/>
              </w:rPr>
              <w:t> </w:t>
            </w:r>
            <w:r>
              <w:rPr>
                <w:rFonts w:ascii="宋体" w:hAnsi="宋体" w:cs="宋体" w:eastAsia="宋体" w:hint="default"/>
                <w:spacing w:val="33"/>
                <w:sz w:val="21"/>
                <w:szCs w:val="21"/>
              </w:rPr>
              <w:t>决议公</w:t>
            </w:r>
            <w:r>
              <w:rPr>
                <w:rFonts w:ascii="宋体" w:hAnsi="宋体" w:cs="宋体" w:eastAsia="宋体" w:hint="default"/>
                <w:spacing w:val="-55"/>
                <w:sz w:val="21"/>
                <w:szCs w:val="21"/>
              </w:rPr>
              <w:t> </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8"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《一季度报告》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《中国证券报》第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D030</w:t>
            </w:r>
          </w:p>
          <w:p>
            <w:pPr>
              <w:pStyle w:val="TableParagraph"/>
              <w:spacing w:line="256" w:lineRule="auto" w:before="21"/>
              <w:ind w:left="100" w:right="97"/>
              <w:jc w:val="left"/>
              <w:rPr>
                <w:rFonts w:ascii="宋体" w:hAnsi="宋体" w:cs="宋体" w:eastAsia="宋体" w:hint="default"/>
                <w:sz w:val="21"/>
                <w:szCs w:val="21"/>
              </w:rPr>
            </w:pPr>
            <w:r>
              <w:rPr>
                <w:rFonts w:ascii="宋体" w:hAnsi="宋体" w:cs="宋体" w:eastAsia="宋体" w:hint="default"/>
                <w:spacing w:val="-8"/>
                <w:sz w:val="21"/>
                <w:szCs w:val="21"/>
              </w:rPr>
              <w:t>版、《上海证券报》</w:t>
            </w:r>
            <w:r>
              <w:rPr>
                <w:rFonts w:ascii="Times New Roman" w:hAnsi="Times New Roman" w:cs="Times New Roman" w:eastAsia="Times New Roman" w:hint="default"/>
                <w:spacing w:val="-8"/>
                <w:sz w:val="21"/>
                <w:szCs w:val="21"/>
              </w:rPr>
              <w:t>B23</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4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8"/>
              <w:jc w:val="left"/>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41"/>
                <w:sz w:val="21"/>
                <w:szCs w:val="21"/>
              </w:rPr>
              <w:t> </w:t>
            </w:r>
            <w:r>
              <w:rPr>
                <w:rFonts w:ascii="宋体" w:hAnsi="宋体" w:cs="宋体" w:eastAsia="宋体" w:hint="default"/>
                <w:sz w:val="21"/>
                <w:szCs w:val="21"/>
              </w:rPr>
              <w:t>年度股东大 会公告》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6"/>
                <w:sz w:val="21"/>
                <w:szCs w:val="21"/>
              </w:rPr>
              <w:t>《中国证券报》第</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D032</w:t>
            </w:r>
          </w:p>
          <w:p>
            <w:pPr>
              <w:pStyle w:val="TableParagraph"/>
              <w:spacing w:line="256" w:lineRule="auto" w:before="21"/>
              <w:ind w:left="100" w:right="97"/>
              <w:jc w:val="left"/>
              <w:rPr>
                <w:rFonts w:ascii="宋体" w:hAnsi="宋体" w:cs="宋体" w:eastAsia="宋体" w:hint="default"/>
                <w:sz w:val="21"/>
                <w:szCs w:val="21"/>
              </w:rPr>
            </w:pPr>
            <w:r>
              <w:rPr>
                <w:rFonts w:ascii="宋体" w:hAnsi="宋体" w:cs="宋体" w:eastAsia="宋体" w:hint="default"/>
                <w:spacing w:val="-8"/>
                <w:sz w:val="21"/>
                <w:szCs w:val="21"/>
              </w:rPr>
              <w:t>版、《上海证券报》</w:t>
            </w:r>
            <w:r>
              <w:rPr>
                <w:rFonts w:ascii="Times New Roman" w:hAnsi="Times New Roman" w:cs="Times New Roman" w:eastAsia="Times New Roman" w:hint="default"/>
                <w:spacing w:val="-8"/>
                <w:sz w:val="21"/>
                <w:szCs w:val="21"/>
              </w:rPr>
              <w:t>B19</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5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12</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《关于限售流通股</w:t>
            </w:r>
            <w:r>
              <w:rPr>
                <w:rFonts w:ascii="宋体" w:hAnsi="宋体" w:cs="宋体" w:eastAsia="宋体" w:hint="default"/>
                <w:sz w:val="21"/>
                <w:szCs w:val="21"/>
              </w:rPr>
            </w:r>
          </w:p>
          <w:p>
            <w:pPr>
              <w:pStyle w:val="TableParagraph"/>
              <w:spacing w:line="273" w:lineRule="auto" w:before="37"/>
              <w:ind w:left="100" w:right="86"/>
              <w:jc w:val="left"/>
              <w:rPr>
                <w:rFonts w:ascii="宋体" w:hAnsi="宋体" w:cs="宋体" w:eastAsia="宋体" w:hint="default"/>
                <w:sz w:val="21"/>
                <w:szCs w:val="21"/>
              </w:rPr>
            </w:pPr>
            <w:r>
              <w:rPr>
                <w:rFonts w:ascii="宋体" w:hAnsi="宋体" w:cs="宋体" w:eastAsia="宋体" w:hint="default"/>
                <w:spacing w:val="13"/>
                <w:sz w:val="21"/>
                <w:szCs w:val="21"/>
              </w:rPr>
              <w:t>司法继续冻结的公 </w:t>
            </w: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《中国证券报》第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B001</w:t>
            </w:r>
          </w:p>
          <w:p>
            <w:pPr>
              <w:pStyle w:val="TableParagraph"/>
              <w:spacing w:line="256" w:lineRule="auto" w:before="21"/>
              <w:ind w:left="100" w:right="98"/>
              <w:jc w:val="left"/>
              <w:rPr>
                <w:rFonts w:ascii="宋体" w:hAnsi="宋体" w:cs="宋体" w:eastAsia="宋体" w:hint="default"/>
                <w:sz w:val="21"/>
                <w:szCs w:val="21"/>
              </w:rPr>
            </w:pPr>
            <w:r>
              <w:rPr>
                <w:rFonts w:ascii="宋体" w:hAnsi="宋体" w:cs="宋体" w:eastAsia="宋体" w:hint="default"/>
                <w:spacing w:val="4"/>
                <w:sz w:val="21"/>
                <w:szCs w:val="21"/>
              </w:rPr>
              <w:t>版、《上海证券报》</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31 </w:t>
            </w:r>
            <w:r>
              <w:rPr>
                <w:rFonts w:ascii="宋体" w:hAnsi="宋体" w:cs="宋体" w:eastAsia="宋体" w:hint="default"/>
                <w:sz w:val="21"/>
                <w:szCs w:val="21"/>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19</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6"/>
              <w:jc w:val="left"/>
              <w:rPr>
                <w:rFonts w:ascii="宋体" w:hAnsi="宋体" w:cs="宋体" w:eastAsia="宋体" w:hint="default"/>
                <w:sz w:val="21"/>
                <w:szCs w:val="21"/>
              </w:rPr>
            </w:pPr>
            <w:r>
              <w:rPr>
                <w:rFonts w:ascii="宋体" w:hAnsi="宋体" w:cs="宋体" w:eastAsia="宋体" w:hint="default"/>
                <w:spacing w:val="13"/>
                <w:sz w:val="21"/>
                <w:szCs w:val="21"/>
              </w:rPr>
              <w:t>《重大事项停牌公 </w:t>
            </w:r>
            <w:r>
              <w:rPr>
                <w:rFonts w:ascii="宋体" w:hAnsi="宋体" w:cs="宋体" w:eastAsia="宋体" w:hint="default"/>
                <w:sz w:val="21"/>
                <w:szCs w:val="21"/>
              </w:rPr>
              <w:t>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《中国证券报》第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B015</w:t>
            </w:r>
          </w:p>
          <w:p>
            <w:pPr>
              <w:pStyle w:val="TableParagraph"/>
              <w:spacing w:line="256" w:lineRule="auto" w:before="21"/>
              <w:ind w:left="100" w:right="97"/>
              <w:jc w:val="left"/>
              <w:rPr>
                <w:rFonts w:ascii="宋体" w:hAnsi="宋体" w:cs="宋体" w:eastAsia="宋体" w:hint="default"/>
                <w:sz w:val="21"/>
                <w:szCs w:val="21"/>
              </w:rPr>
            </w:pPr>
            <w:r>
              <w:rPr>
                <w:rFonts w:ascii="宋体" w:hAnsi="宋体" w:cs="宋体" w:eastAsia="宋体" w:hint="default"/>
                <w:spacing w:val="-8"/>
                <w:sz w:val="21"/>
                <w:szCs w:val="21"/>
              </w:rPr>
              <w:t>版、《上海证券报》</w:t>
            </w:r>
            <w:r>
              <w:rPr>
                <w:rFonts w:ascii="Times New Roman" w:hAnsi="Times New Roman" w:cs="Times New Roman" w:eastAsia="Times New Roman" w:hint="default"/>
                <w:spacing w:val="-8"/>
                <w:sz w:val="21"/>
                <w:szCs w:val="21"/>
              </w:rPr>
              <w:t>B15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7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29</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1"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952"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6"/>
              <w:jc w:val="left"/>
              <w:rPr>
                <w:rFonts w:ascii="宋体" w:hAnsi="宋体" w:cs="宋体" w:eastAsia="宋体" w:hint="default"/>
                <w:sz w:val="21"/>
                <w:szCs w:val="21"/>
              </w:rPr>
            </w:pPr>
            <w:r>
              <w:rPr>
                <w:rFonts w:ascii="宋体" w:hAnsi="宋体" w:cs="宋体" w:eastAsia="宋体" w:hint="default"/>
                <w:spacing w:val="13"/>
                <w:sz w:val="21"/>
                <w:szCs w:val="21"/>
              </w:rPr>
              <w:t>《半年度报告及摘 </w:t>
            </w:r>
            <w:r>
              <w:rPr>
                <w:rFonts w:ascii="宋体" w:hAnsi="宋体" w:cs="宋体" w:eastAsia="宋体" w:hint="default"/>
                <w:sz w:val="21"/>
                <w:szCs w:val="21"/>
              </w:rPr>
              <w:t>要》</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3"/>
                <w:sz w:val="21"/>
                <w:szCs w:val="21"/>
              </w:rPr>
              <w:t>《中国证券报》第</w:t>
            </w:r>
            <w:r>
              <w:rPr>
                <w:rFonts w:ascii="宋体" w:hAnsi="宋体" w:cs="宋体" w:eastAsia="宋体" w:hint="default"/>
                <w:spacing w:val="-50"/>
                <w:sz w:val="21"/>
                <w:szCs w:val="21"/>
              </w:rPr>
              <w:t> </w:t>
            </w:r>
            <w:r>
              <w:rPr>
                <w:rFonts w:ascii="Times New Roman" w:hAnsi="Times New Roman" w:cs="Times New Roman" w:eastAsia="Times New Roman" w:hint="default"/>
                <w:spacing w:val="-3"/>
                <w:sz w:val="21"/>
                <w:szCs w:val="21"/>
              </w:rPr>
              <w:t>B011</w:t>
            </w:r>
          </w:p>
          <w:p>
            <w:pPr>
              <w:pStyle w:val="TableParagraph"/>
              <w:spacing w:line="256" w:lineRule="auto" w:before="21"/>
              <w:ind w:left="100" w:right="98"/>
              <w:jc w:val="left"/>
              <w:rPr>
                <w:rFonts w:ascii="宋体" w:hAnsi="宋体" w:cs="宋体" w:eastAsia="宋体" w:hint="default"/>
                <w:sz w:val="21"/>
                <w:szCs w:val="21"/>
              </w:rPr>
            </w:pPr>
            <w:r>
              <w:rPr>
                <w:rFonts w:ascii="宋体" w:hAnsi="宋体" w:cs="宋体" w:eastAsia="宋体" w:hint="default"/>
                <w:spacing w:val="4"/>
                <w:sz w:val="21"/>
                <w:szCs w:val="21"/>
              </w:rPr>
              <w:t>版、《上海证券报》</w:t>
            </w:r>
            <w:r>
              <w:rPr>
                <w:rFonts w:ascii="宋体" w:hAnsi="宋体" w:cs="宋体" w:eastAsia="宋体" w:hint="default"/>
                <w:spacing w:val="-87"/>
                <w:sz w:val="21"/>
                <w:szCs w:val="21"/>
              </w:rPr>
              <w:t> </w:t>
            </w:r>
            <w:r>
              <w:rPr>
                <w:rFonts w:ascii="Times New Roman" w:hAnsi="Times New Roman" w:cs="Times New Roman" w:eastAsia="Times New Roman" w:hint="default"/>
                <w:sz w:val="21"/>
                <w:szCs w:val="21"/>
              </w:rPr>
              <w:t>38 </w:t>
            </w:r>
            <w:r>
              <w:rPr>
                <w:rFonts w:ascii="宋体" w:hAnsi="宋体" w:cs="宋体" w:eastAsia="宋体" w:hint="default"/>
                <w:sz w:val="21"/>
                <w:szCs w:val="21"/>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23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95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86"/>
              <w:jc w:val="left"/>
              <w:rPr>
                <w:rFonts w:ascii="宋体" w:hAnsi="宋体" w:cs="宋体" w:eastAsia="宋体" w:hint="default"/>
                <w:sz w:val="21"/>
                <w:szCs w:val="21"/>
              </w:rPr>
            </w:pPr>
            <w:r>
              <w:rPr>
                <w:rFonts w:ascii="宋体" w:hAnsi="宋体" w:cs="宋体" w:eastAsia="宋体" w:hint="default"/>
                <w:spacing w:val="13"/>
                <w:sz w:val="21"/>
                <w:szCs w:val="21"/>
              </w:rPr>
              <w:t>《重大资产重组延 </w:t>
            </w:r>
            <w:r>
              <w:rPr>
                <w:rFonts w:ascii="宋体" w:hAnsi="宋体" w:cs="宋体" w:eastAsia="宋体" w:hint="default"/>
                <w:sz w:val="21"/>
                <w:szCs w:val="21"/>
              </w:rPr>
              <w:t>期复牌公告》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pacing w:val="-4"/>
                <w:sz w:val="21"/>
                <w:szCs w:val="21"/>
              </w:rPr>
              <w:t>《中国证券报》第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B002</w:t>
            </w:r>
          </w:p>
          <w:p>
            <w:pPr>
              <w:pStyle w:val="TableParagraph"/>
              <w:spacing w:line="256" w:lineRule="auto" w:before="21"/>
              <w:ind w:left="100" w:right="97"/>
              <w:jc w:val="left"/>
              <w:rPr>
                <w:rFonts w:ascii="宋体" w:hAnsi="宋体" w:cs="宋体" w:eastAsia="宋体" w:hint="default"/>
                <w:sz w:val="21"/>
                <w:szCs w:val="21"/>
              </w:rPr>
            </w:pPr>
            <w:r>
              <w:rPr>
                <w:rFonts w:ascii="宋体" w:hAnsi="宋体" w:cs="宋体" w:eastAsia="宋体" w:hint="default"/>
                <w:spacing w:val="-8"/>
                <w:sz w:val="21"/>
                <w:szCs w:val="21"/>
              </w:rPr>
              <w:t>版、《上海证券报》</w:t>
            </w:r>
            <w:r>
              <w:rPr>
                <w:rFonts w:ascii="Times New Roman" w:hAnsi="Times New Roman" w:cs="Times New Roman" w:eastAsia="Times New Roman" w:hint="default"/>
                <w:spacing w:val="-8"/>
                <w:sz w:val="21"/>
                <w:szCs w:val="21"/>
              </w:rPr>
              <w:t>B27</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28"/>
                <w:sz w:val="21"/>
                <w:szCs w:val="21"/>
              </w:rPr>
              <w:t> </w:t>
            </w:r>
            <w:r>
              <w:rPr>
                <w:rFonts w:ascii="Times New Roman" w:hAnsi="Times New Roman" w:cs="Times New Roman" w:eastAsia="Times New Roman" w:hint="default"/>
                <w:sz w:val="21"/>
                <w:szCs w:val="21"/>
              </w:rPr>
              <w:t>3</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left="100"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1264"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3"/>
                <w:sz w:val="21"/>
                <w:szCs w:val="21"/>
              </w:rPr>
              <w:t>《监事会十三次会</w:t>
            </w:r>
            <w:r>
              <w:rPr>
                <w:rFonts w:ascii="宋体" w:hAnsi="宋体" w:cs="宋体" w:eastAsia="宋体" w:hint="default"/>
                <w:sz w:val="21"/>
                <w:szCs w:val="21"/>
              </w:rPr>
            </w:r>
          </w:p>
          <w:p>
            <w:pPr>
              <w:pStyle w:val="TableParagraph"/>
              <w:spacing w:line="273" w:lineRule="auto" w:before="37"/>
              <w:ind w:left="100" w:right="88"/>
              <w:jc w:val="both"/>
              <w:rPr>
                <w:rFonts w:ascii="宋体" w:hAnsi="宋体" w:cs="宋体" w:eastAsia="宋体" w:hint="default"/>
                <w:sz w:val="21"/>
                <w:szCs w:val="21"/>
              </w:rPr>
            </w:pPr>
            <w:r>
              <w:rPr>
                <w:rFonts w:ascii="宋体" w:hAnsi="宋体" w:cs="宋体" w:eastAsia="宋体" w:hint="default"/>
                <w:spacing w:val="-12"/>
                <w:sz w:val="21"/>
                <w:szCs w:val="21"/>
              </w:rPr>
              <w:t>议决议》、《关联交</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2"/>
                <w:sz w:val="21"/>
                <w:szCs w:val="21"/>
              </w:rPr>
              <w:t>易公告》、《董事会</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决议公告》</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before="141"/>
              <w:ind w:left="100" w:right="97"/>
              <w:jc w:val="both"/>
              <w:rPr>
                <w:rFonts w:ascii="宋体" w:hAnsi="宋体" w:cs="宋体" w:eastAsia="宋体" w:hint="default"/>
                <w:sz w:val="21"/>
                <w:szCs w:val="21"/>
              </w:rPr>
            </w:pPr>
            <w:r>
              <w:rPr>
                <w:rFonts w:ascii="宋体" w:hAnsi="宋体" w:cs="宋体" w:eastAsia="宋体" w:hint="default"/>
                <w:sz w:val="21"/>
                <w:szCs w:val="21"/>
              </w:rPr>
              <w:t>《中国证券报》</w:t>
            </w:r>
            <w:r>
              <w:rPr>
                <w:rFonts w:ascii="宋体" w:hAnsi="宋体" w:cs="宋体" w:eastAsia="宋体" w:hint="default"/>
                <w:spacing w:val="-44"/>
                <w:sz w:val="21"/>
                <w:szCs w:val="21"/>
              </w:rPr>
              <w:t> </w:t>
            </w:r>
            <w:r>
              <w:rPr>
                <w:rFonts w:ascii="宋体" w:hAnsi="宋体" w:cs="宋体" w:eastAsia="宋体" w:hint="default"/>
                <w:sz w:val="21"/>
                <w:szCs w:val="21"/>
              </w:rPr>
              <w:t>第</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A26</w:t>
            </w:r>
            <w:r>
              <w:rPr>
                <w:rFonts w:ascii="Times New Roman" w:hAnsi="Times New Roman" w:cs="Times New Roman" w:eastAsia="Times New Roman" w:hint="default"/>
                <w:spacing w:val="-1"/>
                <w:sz w:val="21"/>
                <w:szCs w:val="21"/>
              </w:rPr>
              <w:t> </w:t>
            </w:r>
            <w:r>
              <w:rPr>
                <w:rFonts w:ascii="宋体" w:hAnsi="宋体" w:cs="宋体" w:eastAsia="宋体" w:hint="default"/>
                <w:spacing w:val="-8"/>
                <w:sz w:val="21"/>
                <w:szCs w:val="21"/>
              </w:rPr>
              <w:t>版、《上海证券报》</w:t>
            </w:r>
            <w:r>
              <w:rPr>
                <w:rFonts w:ascii="Times New Roman" w:hAnsi="Times New Roman" w:cs="Times New Roman" w:eastAsia="Times New Roman" w:hint="default"/>
                <w:spacing w:val="-8"/>
                <w:sz w:val="21"/>
                <w:szCs w:val="21"/>
              </w:rPr>
              <w:t>B28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版</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w:t>
            </w:r>
            <w:r>
              <w:rPr>
                <w:rFonts w:ascii="宋体" w:hAnsi="宋体" w:cs="宋体" w:eastAsia="宋体" w:hint="default"/>
                <w:spacing w:val="-75"/>
                <w:sz w:val="21"/>
                <w:szCs w:val="21"/>
              </w:rPr>
              <w:t> </w:t>
            </w:r>
            <w:r>
              <w:rPr>
                <w:rFonts w:ascii="Times New Roman" w:hAnsi="Times New Roman" w:cs="Times New Roman" w:eastAsia="Times New Roman" w:hint="default"/>
                <w:sz w:val="21"/>
                <w:szCs w:val="21"/>
              </w:rPr>
              <w:t>14</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r>
        <w:trPr>
          <w:trHeight w:val="640" w:hRule="exact"/>
        </w:trPr>
        <w:tc>
          <w:tcPr>
            <w:tcW w:w="199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《重大资产置换及</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pacing w:val="13"/>
                <w:sz w:val="21"/>
                <w:szCs w:val="21"/>
              </w:rPr>
              <w:t>以新增股份换股吸</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《中国证券报》第</w:t>
            </w:r>
            <w:r>
              <w:rPr>
                <w:rFonts w:ascii="宋体" w:hAnsi="宋体" w:cs="宋体" w:eastAsia="宋体" w:hint="default"/>
                <w:spacing w:val="6"/>
                <w:sz w:val="21"/>
                <w:szCs w:val="21"/>
              </w:rPr>
              <w:t> </w:t>
            </w:r>
            <w:r>
              <w:rPr>
                <w:rFonts w:ascii="Times New Roman" w:hAnsi="Times New Roman" w:cs="Times New Roman" w:eastAsia="Times New Roman" w:hint="default"/>
                <w:sz w:val="21"/>
                <w:szCs w:val="21"/>
              </w:rPr>
              <w:t>A49</w:t>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宋体" w:hAnsi="宋体" w:cs="宋体" w:eastAsia="宋体" w:hint="default"/>
                <w:spacing w:val="2"/>
                <w:sz w:val="21"/>
                <w:szCs w:val="21"/>
              </w:rPr>
              <w:t>版</w:t>
            </w:r>
            <w:r>
              <w:rPr>
                <w:rFonts w:ascii="宋体" w:hAnsi="宋体" w:cs="宋体" w:eastAsia="宋体" w:hint="default"/>
                <w:spacing w:val="-102"/>
                <w:sz w:val="21"/>
                <w:szCs w:val="21"/>
              </w:rPr>
              <w:t>、</w:t>
            </w:r>
            <w:r>
              <w:rPr>
                <w:rFonts w:ascii="宋体" w:hAnsi="宋体" w:cs="宋体" w:eastAsia="宋体" w:hint="default"/>
                <w:spacing w:val="2"/>
                <w:sz w:val="21"/>
                <w:szCs w:val="21"/>
              </w:rPr>
              <w:t>《上海证券报》</w:t>
            </w:r>
            <w:r>
              <w:rPr>
                <w:rFonts w:ascii="Times New Roman" w:hAnsi="Times New Roman" w:cs="Times New Roman" w:eastAsia="Times New Roman" w:hint="default"/>
                <w:sz w:val="21"/>
                <w:szCs w:val="21"/>
              </w:rPr>
              <w:t>B28</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年</w:t>
            </w:r>
            <w:r>
              <w:rPr>
                <w:rFonts w:ascii="宋体" w:hAnsi="宋体" w:cs="宋体" w:eastAsia="宋体" w:hint="default"/>
                <w:spacing w:val="-72"/>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月</w:t>
            </w:r>
            <w:r>
              <w:rPr>
                <w:rFonts w:ascii="宋体" w:hAnsi="宋体" w:cs="宋体" w:eastAsia="宋体" w:hint="default"/>
                <w:spacing w:val="-73"/>
                <w:sz w:val="21"/>
                <w:szCs w:val="21"/>
              </w:rPr>
              <w:t> </w:t>
            </w:r>
            <w:r>
              <w:rPr>
                <w:rFonts w:ascii="Times New Roman" w:hAnsi="Times New Roman" w:cs="Times New Roman" w:eastAsia="Times New Roman" w:hint="default"/>
                <w:sz w:val="21"/>
                <w:szCs w:val="21"/>
              </w:rPr>
              <w:t>31</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日</w:t>
            </w:r>
          </w:p>
        </w:tc>
        <w:tc>
          <w:tcPr>
            <w:tcW w:w="33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hyperlink r:id="rId9">
              <w:r>
                <w:rPr>
                  <w:rFonts w:ascii="Times New Roman"/>
                  <w:sz w:val="21"/>
                </w:rPr>
                <w:t>http://www.sse.com.cn</w:t>
              </w:r>
            </w:hyperlink>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1992"/>
        <w:gridCol w:w="2374"/>
        <w:gridCol w:w="1613"/>
        <w:gridCol w:w="3322"/>
      </w:tblGrid>
      <w:tr>
        <w:trPr>
          <w:trHeight w:val="320" w:hRule="exact"/>
        </w:trPr>
        <w:tc>
          <w:tcPr>
            <w:tcW w:w="1992"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8" w:id="9"/>
            <w:bookmarkEnd w:id="9"/>
            <w:r>
              <w:rPr/>
            </w:r>
            <w:r>
              <w:rPr>
                <w:rFonts w:ascii="宋体" w:hAnsi="宋体" w:cs="宋体" w:eastAsia="宋体" w:hint="default"/>
                <w:spacing w:val="13"/>
                <w:sz w:val="21"/>
                <w:szCs w:val="21"/>
              </w:rPr>
              <w:t>收合并翔鹭石化股</w:t>
            </w:r>
            <w:r>
              <w:rPr>
                <w:rFonts w:ascii="宋体" w:hAnsi="宋体" w:cs="宋体" w:eastAsia="宋体" w:hint="default"/>
                <w:sz w:val="21"/>
                <w:szCs w:val="21"/>
              </w:rPr>
            </w:r>
          </w:p>
        </w:tc>
        <w:tc>
          <w:tcPr>
            <w:tcW w:w="2374" w:type="dxa"/>
            <w:tcBorders>
              <w:top w:val="single" w:sz="6" w:space="0" w:color="000000"/>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版</w:t>
            </w:r>
          </w:p>
        </w:tc>
        <w:tc>
          <w:tcPr>
            <w:tcW w:w="1613" w:type="dxa"/>
            <w:vMerge w:val="restart"/>
            <w:tcBorders>
              <w:top w:val="single" w:sz="6" w:space="0" w:color="000000"/>
              <w:left w:val="single" w:sz="6" w:space="0" w:color="000000"/>
              <w:right w:val="single" w:sz="6" w:space="0" w:color="000000"/>
            </w:tcBorders>
          </w:tcPr>
          <w:p>
            <w:pPr/>
          </w:p>
        </w:tc>
        <w:tc>
          <w:tcPr>
            <w:tcW w:w="3322" w:type="dxa"/>
            <w:vMerge w:val="restart"/>
            <w:tcBorders>
              <w:top w:val="single" w:sz="6" w:space="0" w:color="000000"/>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份有限公司暨关联</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交易预案</w:t>
            </w:r>
            <w:r>
              <w:rPr>
                <w:rFonts w:ascii="宋体" w:hAnsi="宋体" w:cs="宋体" w:eastAsia="宋体" w:hint="default"/>
                <w:spacing w:val="-93"/>
                <w:sz w:val="21"/>
                <w:szCs w:val="21"/>
              </w:rPr>
              <w:t>》</w:t>
            </w:r>
            <w:r>
              <w:rPr>
                <w:rFonts w:ascii="宋体" w:hAnsi="宋体" w:cs="宋体" w:eastAsia="宋体" w:hint="default"/>
                <w:spacing w:val="-94"/>
                <w:sz w:val="21"/>
                <w:szCs w:val="21"/>
              </w:rPr>
              <w:t>、</w:t>
            </w:r>
            <w:r>
              <w:rPr>
                <w:rFonts w:ascii="宋体" w:hAnsi="宋体" w:cs="宋体" w:eastAsia="宋体" w:hint="default"/>
                <w:spacing w:val="12"/>
                <w:sz w:val="21"/>
                <w:szCs w:val="21"/>
              </w:rPr>
              <w:t>《监事</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会第十三次会议决</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议公告</w:t>
            </w:r>
            <w:r>
              <w:rPr>
                <w:rFonts w:ascii="宋体" w:hAnsi="宋体" w:cs="宋体" w:eastAsia="宋体" w:hint="default"/>
                <w:spacing w:val="-93"/>
                <w:sz w:val="21"/>
                <w:szCs w:val="21"/>
              </w:rPr>
              <w:t>》、</w:t>
            </w:r>
            <w:r>
              <w:rPr>
                <w:rFonts w:ascii="宋体" w:hAnsi="宋体" w:cs="宋体" w:eastAsia="宋体" w:hint="default"/>
                <w:spacing w:val="10"/>
                <w:sz w:val="21"/>
                <w:szCs w:val="21"/>
              </w:rPr>
              <w:t>《</w:t>
            </w:r>
            <w:r>
              <w:rPr>
                <w:rFonts w:ascii="宋体" w:hAnsi="宋体" w:cs="宋体" w:eastAsia="宋体" w:hint="default"/>
                <w:spacing w:val="12"/>
                <w:sz w:val="21"/>
                <w:szCs w:val="21"/>
              </w:rPr>
              <w:t>董事会</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12" w:hRule="exact"/>
        </w:trPr>
        <w:tc>
          <w:tcPr>
            <w:tcW w:w="1992"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3"/>
                <w:sz w:val="21"/>
                <w:szCs w:val="21"/>
              </w:rPr>
              <w:t>第十七次会议决议</w:t>
            </w:r>
            <w:r>
              <w:rPr>
                <w:rFonts w:ascii="宋体" w:hAnsi="宋体" w:cs="宋体" w:eastAsia="宋体" w:hint="default"/>
                <w:sz w:val="21"/>
                <w:szCs w:val="21"/>
              </w:rPr>
            </w:r>
          </w:p>
        </w:tc>
        <w:tc>
          <w:tcPr>
            <w:tcW w:w="2374" w:type="dxa"/>
            <w:tcBorders>
              <w:top w:val="nil" w:sz="6" w:space="0" w:color="auto"/>
              <w:left w:val="single" w:sz="6" w:space="0" w:color="000000"/>
              <w:bottom w:val="nil" w:sz="6" w:space="0" w:color="auto"/>
              <w:right w:val="single" w:sz="6" w:space="0" w:color="000000"/>
            </w:tcBorders>
          </w:tcPr>
          <w:p>
            <w:pPr/>
          </w:p>
        </w:tc>
        <w:tc>
          <w:tcPr>
            <w:tcW w:w="1613" w:type="dxa"/>
            <w:vMerge/>
            <w:tcBorders>
              <w:left w:val="single" w:sz="6" w:space="0" w:color="000000"/>
              <w:right w:val="single" w:sz="6" w:space="0" w:color="000000"/>
            </w:tcBorders>
          </w:tcPr>
          <w:p>
            <w:pPr/>
          </w:p>
        </w:tc>
        <w:tc>
          <w:tcPr>
            <w:tcW w:w="3322" w:type="dxa"/>
            <w:vMerge/>
            <w:tcBorders>
              <w:left w:val="single" w:sz="6" w:space="0" w:color="000000"/>
              <w:right w:val="single" w:sz="6" w:space="0" w:color="000000"/>
            </w:tcBorders>
          </w:tcPr>
          <w:p>
            <w:pPr/>
          </w:p>
        </w:tc>
      </w:tr>
      <w:tr>
        <w:trPr>
          <w:trHeight w:val="320" w:hRule="exact"/>
        </w:trPr>
        <w:tc>
          <w:tcPr>
            <w:tcW w:w="1992"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公告》</w:t>
            </w:r>
          </w:p>
        </w:tc>
        <w:tc>
          <w:tcPr>
            <w:tcW w:w="2374" w:type="dxa"/>
            <w:tcBorders>
              <w:top w:val="nil" w:sz="6" w:space="0" w:color="auto"/>
              <w:left w:val="single" w:sz="6" w:space="0" w:color="000000"/>
              <w:bottom w:val="single" w:sz="6" w:space="0" w:color="000000"/>
              <w:right w:val="single" w:sz="6" w:space="0" w:color="000000"/>
            </w:tcBorders>
          </w:tcPr>
          <w:p>
            <w:pPr/>
          </w:p>
        </w:tc>
        <w:tc>
          <w:tcPr>
            <w:tcW w:w="1613" w:type="dxa"/>
            <w:vMerge/>
            <w:tcBorders>
              <w:left w:val="single" w:sz="6" w:space="0" w:color="000000"/>
              <w:bottom w:val="single" w:sz="6" w:space="0" w:color="000000"/>
              <w:right w:val="single" w:sz="6" w:space="0" w:color="000000"/>
            </w:tcBorders>
          </w:tcPr>
          <w:p>
            <w:pPr/>
          </w:p>
        </w:tc>
        <w:tc>
          <w:tcPr>
            <w:tcW w:w="3322" w:type="dxa"/>
            <w:vMerge/>
            <w:tcBorders>
              <w:left w:val="single" w:sz="6" w:space="0" w:color="000000"/>
              <w:bottom w:val="single" w:sz="6" w:space="0" w:color="000000"/>
              <w:right w:val="single" w:sz="6" w:space="0" w:color="000000"/>
            </w:tcBorders>
          </w:tcPr>
          <w:p>
            <w:pPr/>
          </w:p>
        </w:tc>
      </w:tr>
    </w:tbl>
    <w:p>
      <w:pPr>
        <w:spacing w:line="240" w:lineRule="auto" w:before="6"/>
        <w:rPr>
          <w:rFonts w:ascii="Times New Roman" w:hAnsi="Times New Roman" w:cs="Times New Roman" w:eastAsia="Times New Roman" w:hint="default"/>
          <w:sz w:val="25"/>
          <w:szCs w:val="25"/>
        </w:rPr>
      </w:pPr>
    </w:p>
    <w:p>
      <w:pPr>
        <w:spacing w:line="300" w:lineRule="auto" w:before="35"/>
        <w:ind w:left="560" w:right="1004" w:hanging="420"/>
        <w:jc w:val="left"/>
        <w:rPr>
          <w:rFonts w:ascii="宋体" w:hAnsi="宋体" w:cs="宋体" w:eastAsia="宋体" w:hint="default"/>
          <w:sz w:val="21"/>
          <w:szCs w:val="21"/>
        </w:rPr>
      </w:pPr>
      <w:r>
        <w:rPr>
          <w:rFonts w:ascii="宋体" w:hAnsi="宋体" w:cs="宋体" w:eastAsia="宋体" w:hint="default"/>
          <w:b/>
          <w:bCs/>
          <w:sz w:val="21"/>
          <w:szCs w:val="21"/>
        </w:rPr>
        <w:t>十一、</w:t>
      </w:r>
      <w:r>
        <w:rPr>
          <w:rFonts w:ascii="宋体" w:hAnsi="宋体" w:cs="宋体" w:eastAsia="宋体" w:hint="default"/>
          <w:b/>
          <w:bCs/>
          <w:spacing w:val="-2"/>
          <w:sz w:val="21"/>
          <w:szCs w:val="21"/>
        </w:rPr>
        <w:t> </w:t>
      </w:r>
      <w:r>
        <w:rPr>
          <w:rFonts w:ascii="宋体" w:hAnsi="宋体" w:cs="宋体" w:eastAsia="宋体" w:hint="default"/>
          <w:b/>
          <w:bCs/>
          <w:sz w:val="21"/>
          <w:szCs w:val="21"/>
        </w:rPr>
        <w:t>财务会计报告</w:t>
      </w:r>
      <w:r>
        <w:rPr>
          <w:rFonts w:ascii="宋体" w:hAnsi="宋体" w:cs="宋体" w:eastAsia="宋体" w:hint="default"/>
          <w:b/>
          <w:bCs/>
          <w:w w:val="99"/>
          <w:sz w:val="21"/>
          <w:szCs w:val="21"/>
        </w:rPr>
        <w:t> </w:t>
      </w:r>
      <w:r>
        <w:rPr>
          <w:rFonts w:ascii="宋体" w:hAnsi="宋体" w:cs="宋体" w:eastAsia="宋体" w:hint="default"/>
          <w:sz w:val="21"/>
          <w:szCs w:val="21"/>
        </w:rPr>
        <w:t>公司年度财务报告已经天职国际会计师事务所有限公司注册会计师文武兴、匡敏审计，</w:t>
      </w:r>
    </w:p>
    <w:p>
      <w:pPr>
        <w:pStyle w:val="BodyText"/>
        <w:spacing w:line="260" w:lineRule="exact"/>
        <w:ind w:right="999"/>
        <w:jc w:val="left"/>
      </w:pPr>
      <w:r>
        <w:rPr/>
        <w:t>并出具了标准无保留意见的审计报告。</w:t>
      </w:r>
    </w:p>
    <w:p>
      <w:pPr>
        <w:pStyle w:val="BodyText"/>
        <w:spacing w:line="718" w:lineRule="exact" w:before="51"/>
        <w:ind w:right="7693"/>
        <w:jc w:val="left"/>
      </w:pPr>
      <w:r>
        <w:rPr>
          <w:rFonts w:ascii="Times New Roman" w:hAnsi="Times New Roman" w:cs="Times New Roman" w:eastAsia="Times New Roman" w:hint="default"/>
        </w:rPr>
        <w:t>(</w:t>
      </w:r>
      <w:r>
        <w:rPr/>
        <w:t>一</w:t>
      </w:r>
      <w:r>
        <w:rPr>
          <w:rFonts w:ascii="Times New Roman" w:hAnsi="Times New Roman" w:cs="Times New Roman" w:eastAsia="Times New Roman" w:hint="default"/>
        </w:rPr>
        <w:t>) </w:t>
      </w:r>
      <w:r>
        <w:rPr/>
        <w:t>审计报告</w:t>
      </w:r>
      <w:r>
        <w:rPr>
          <w:w w:val="99"/>
        </w:rPr>
        <w:t> </w:t>
      </w:r>
      <w:r>
        <w:rPr/>
        <w:t>审计报告</w:t>
      </w:r>
    </w:p>
    <w:p>
      <w:pPr>
        <w:pStyle w:val="BodyText"/>
        <w:spacing w:line="214" w:lineRule="exact"/>
        <w:ind w:right="999"/>
        <w:jc w:val="left"/>
      </w:pPr>
      <w:r>
        <w:rPr/>
        <w:t>天职京</w:t>
      </w:r>
      <w:r>
        <w:rPr>
          <w:spacing w:val="-59"/>
        </w:rPr>
        <w:t> </w:t>
      </w:r>
      <w:r>
        <w:rPr>
          <w:rFonts w:ascii="Times New Roman" w:hAnsi="Times New Roman" w:cs="Times New Roman" w:eastAsia="Times New Roman" w:hint="default"/>
        </w:rPr>
        <w:t>SJ[2011]546</w:t>
      </w:r>
      <w:r>
        <w:rPr>
          <w:rFonts w:ascii="Times New Roman" w:hAnsi="Times New Roman" w:cs="Times New Roman" w:eastAsia="Times New Roman" w:hint="default"/>
          <w:spacing w:val="-6"/>
        </w:rPr>
        <w:t> </w:t>
      </w:r>
      <w:r>
        <w:rPr/>
        <w:t>号</w:t>
      </w:r>
    </w:p>
    <w:p>
      <w:pPr>
        <w:pStyle w:val="BodyText"/>
        <w:spacing w:line="624" w:lineRule="exact" w:before="79"/>
        <w:ind w:right="1099"/>
        <w:jc w:val="left"/>
      </w:pPr>
      <w:r>
        <w:rPr/>
        <w:t>黑龙江黑化股份有限公司全体股东： 我们审计了后附的黑龙江黑化股份有限公司（以下简称黑化股份）财务报表，包括</w:t>
      </w:r>
      <w:r>
        <w:rPr>
          <w:spacing w:val="-48"/>
        </w:rPr>
        <w:t> </w:t>
      </w:r>
      <w:r>
        <w:rPr>
          <w:rFonts w:ascii="Times New Roman" w:hAnsi="Times New Roman" w:cs="Times New Roman" w:eastAsia="Times New Roman" w:hint="default"/>
        </w:rPr>
        <w:t>2010</w:t>
      </w:r>
      <w:r>
        <w:rPr>
          <w:rFonts w:ascii="Times New Roman" w:hAnsi="Times New Roman" w:cs="Times New Roman" w:eastAsia="Times New Roman" w:hint="default"/>
          <w:spacing w:val="5"/>
        </w:rPr>
        <w:t> </w:t>
      </w:r>
      <w:r>
        <w:rPr/>
        <w:t>年</w:t>
      </w:r>
    </w:p>
    <w:p>
      <w:pPr>
        <w:pStyle w:val="BodyText"/>
        <w:spacing w:line="233" w:lineRule="exact"/>
        <w:ind w:right="999"/>
        <w:jc w:val="left"/>
      </w:pP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0"/>
        </w:rPr>
        <w:t> </w:t>
      </w:r>
      <w:r>
        <w:rPr>
          <w:rFonts w:ascii="Times New Roman" w:hAnsi="Times New Roman" w:cs="Times New Roman" w:eastAsia="Times New Roman" w:hint="default"/>
        </w:rPr>
        <w:t>31</w:t>
      </w:r>
      <w:r>
        <w:rPr>
          <w:rFonts w:ascii="Times New Roman" w:hAnsi="Times New Roman" w:cs="Times New Roman" w:eastAsia="Times New Roman" w:hint="default"/>
          <w:spacing w:val="3"/>
        </w:rPr>
        <w:t> </w:t>
      </w:r>
      <w:r>
        <w:rPr>
          <w:spacing w:val="-3"/>
        </w:rPr>
        <w:t>日的资产负债表及合并资产负债表，</w:t>
      </w:r>
      <w:r>
        <w:rPr>
          <w:rFonts w:ascii="Times New Roman" w:hAnsi="Times New Roman" w:cs="Times New Roman" w:eastAsia="Times New Roman" w:hint="default"/>
          <w:spacing w:val="-3"/>
        </w:rPr>
        <w:t>2010</w:t>
      </w:r>
      <w:r>
        <w:rPr>
          <w:rFonts w:ascii="Times New Roman" w:hAnsi="Times New Roman" w:cs="Times New Roman" w:eastAsia="Times New Roman" w:hint="default"/>
          <w:spacing w:val="3"/>
        </w:rPr>
        <w:t> </w:t>
      </w:r>
      <w:r>
        <w:rPr>
          <w:spacing w:val="-3"/>
        </w:rPr>
        <w:t>年度的利润表及合并利润表、所有者权益</w:t>
      </w:r>
    </w:p>
    <w:p>
      <w:pPr>
        <w:pStyle w:val="BodyText"/>
        <w:spacing w:line="240" w:lineRule="auto" w:before="21"/>
        <w:ind w:left="139" w:right="999"/>
        <w:jc w:val="left"/>
      </w:pPr>
      <w:r>
        <w:rPr/>
        <w:t>变动表及合并所有者权益变动表和现金流量表及合并现金流量表以及财务报表附注。</w:t>
      </w:r>
    </w:p>
    <w:p>
      <w:pPr>
        <w:spacing w:line="240" w:lineRule="auto" w:before="9"/>
        <w:rPr>
          <w:rFonts w:ascii="宋体" w:hAnsi="宋体" w:cs="宋体" w:eastAsia="宋体" w:hint="default"/>
          <w:sz w:val="26"/>
          <w:szCs w:val="26"/>
        </w:rPr>
      </w:pPr>
    </w:p>
    <w:p>
      <w:pPr>
        <w:pStyle w:val="BodyText"/>
        <w:spacing w:line="240" w:lineRule="auto"/>
        <w:ind w:left="139" w:right="999"/>
        <w:jc w:val="left"/>
      </w:pPr>
      <w:r>
        <w:rPr/>
        <w:t>一、管理层对财务报表的责任</w:t>
      </w:r>
    </w:p>
    <w:p>
      <w:pPr>
        <w:pStyle w:val="BodyText"/>
        <w:spacing w:line="256" w:lineRule="auto" w:before="37"/>
        <w:ind w:left="139" w:right="1117"/>
        <w:jc w:val="both"/>
      </w:pPr>
      <w:r>
        <w:rPr/>
        <w:t>按照《企业会计准则》</w:t>
      </w:r>
      <w:r>
        <w:rPr>
          <w:rFonts w:ascii="Times New Roman" w:hAnsi="Times New Roman" w:cs="Times New Roman" w:eastAsia="Times New Roman" w:hint="default"/>
        </w:rPr>
        <w:t>(</w:t>
      </w:r>
      <w:r>
        <w:rPr/>
        <w:t>财政部</w:t>
      </w:r>
      <w:r>
        <w:rPr>
          <w:spacing w:val="-58"/>
        </w:rPr>
        <w:t> </w:t>
      </w:r>
      <w:r>
        <w:rPr>
          <w:rFonts w:ascii="Times New Roman" w:hAnsi="Times New Roman" w:cs="Times New Roman" w:eastAsia="Times New Roman" w:hint="default"/>
        </w:rPr>
        <w:t>2006</w:t>
      </w:r>
      <w:r>
        <w:rPr>
          <w:rFonts w:ascii="Times New Roman" w:hAnsi="Times New Roman" w:cs="Times New Roman" w:eastAsia="Times New Roman" w:hint="default"/>
          <w:spacing w:val="-6"/>
        </w:rPr>
        <w:t> </w:t>
      </w:r>
      <w:r>
        <w:rPr/>
        <w:t>年</w:t>
      </w:r>
      <w:r>
        <w:rPr>
          <w:spacing w:val="-58"/>
        </w:rPr>
        <w:t> </w:t>
      </w:r>
      <w:r>
        <w:rPr>
          <w:rFonts w:ascii="Times New Roman" w:hAnsi="Times New Roman" w:cs="Times New Roman" w:eastAsia="Times New Roman" w:hint="default"/>
        </w:rPr>
        <w:t>2</w:t>
      </w:r>
      <w:r>
        <w:rPr>
          <w:rFonts w:ascii="Times New Roman" w:hAnsi="Times New Roman" w:cs="Times New Roman" w:eastAsia="Times New Roman" w:hint="default"/>
          <w:spacing w:val="-5"/>
        </w:rPr>
        <w:t> </w:t>
      </w:r>
      <w:r>
        <w:rPr/>
        <w:t>月</w:t>
      </w:r>
      <w:r>
        <w:rPr>
          <w:spacing w:val="-59"/>
        </w:rPr>
        <w:t> </w:t>
      </w:r>
      <w:r>
        <w:rPr>
          <w:rFonts w:ascii="Times New Roman" w:hAnsi="Times New Roman" w:cs="Times New Roman" w:eastAsia="Times New Roman" w:hint="default"/>
        </w:rPr>
        <w:t>15</w:t>
      </w:r>
      <w:r>
        <w:rPr>
          <w:rFonts w:ascii="Times New Roman" w:hAnsi="Times New Roman" w:cs="Times New Roman" w:eastAsia="Times New Roman" w:hint="default"/>
          <w:spacing w:val="-5"/>
        </w:rPr>
        <w:t> </w:t>
      </w:r>
      <w:r>
        <w:rPr/>
        <w:t>日颁布</w:t>
      </w:r>
      <w:r>
        <w:rPr>
          <w:rFonts w:ascii="Times New Roman" w:hAnsi="Times New Roman" w:cs="Times New Roman" w:eastAsia="Times New Roman" w:hint="default"/>
        </w:rPr>
        <w:t>)</w:t>
      </w:r>
      <w:r>
        <w:rPr/>
        <w:t>的规定编制财务报表是黑化股份管理 </w:t>
      </w:r>
      <w:r>
        <w:rPr>
          <w:spacing w:val="-5"/>
        </w:rPr>
        <w:t>层的责任。这种责任包括：（</w:t>
      </w:r>
      <w:r>
        <w:rPr>
          <w:rFonts w:ascii="Times New Roman" w:hAnsi="Times New Roman" w:cs="Times New Roman" w:eastAsia="Times New Roman" w:hint="default"/>
          <w:spacing w:val="-5"/>
        </w:rPr>
        <w:t>1</w:t>
      </w:r>
      <w:r>
        <w:rPr>
          <w:spacing w:val="-5"/>
        </w:rPr>
        <w:t>）设计、实施和维护与财务报表编制相关的内部控制，以使财</w:t>
      </w:r>
      <w:r>
        <w:rPr/>
        <w:t> </w:t>
      </w:r>
      <w:r>
        <w:rPr>
          <w:spacing w:val="-8"/>
        </w:rPr>
        <w:t>务报表不存在由于舞弊或错误而导致的重大错报；（</w:t>
      </w:r>
      <w:r>
        <w:rPr>
          <w:rFonts w:ascii="Times New Roman" w:hAnsi="Times New Roman" w:cs="Times New Roman" w:eastAsia="Times New Roman" w:hint="default"/>
          <w:spacing w:val="-8"/>
        </w:rPr>
        <w:t>2</w:t>
      </w:r>
      <w:r>
        <w:rPr>
          <w:spacing w:val="-8"/>
        </w:rPr>
        <w:t>）选择和运用恰当的会计政策；（</w:t>
      </w:r>
      <w:r>
        <w:rPr>
          <w:rFonts w:ascii="Times New Roman" w:hAnsi="Times New Roman" w:cs="Times New Roman" w:eastAsia="Times New Roman" w:hint="default"/>
          <w:spacing w:val="-8"/>
        </w:rPr>
        <w:t>3</w:t>
      </w:r>
      <w:r>
        <w:rPr>
          <w:spacing w:val="-8"/>
        </w:rPr>
        <w:t>）作</w:t>
      </w:r>
      <w:r>
        <w:rPr>
          <w:spacing w:val="-100"/>
        </w:rPr>
        <w:t> </w:t>
      </w:r>
      <w:r>
        <w:rPr/>
        <w:t>出合理的会计估计。</w:t>
      </w:r>
    </w:p>
    <w:p>
      <w:pPr>
        <w:spacing w:line="240" w:lineRule="auto" w:before="7"/>
        <w:rPr>
          <w:rFonts w:ascii="宋体" w:hAnsi="宋体" w:cs="宋体" w:eastAsia="宋体" w:hint="default"/>
          <w:sz w:val="25"/>
          <w:szCs w:val="25"/>
        </w:rPr>
      </w:pPr>
    </w:p>
    <w:p>
      <w:pPr>
        <w:pStyle w:val="BodyText"/>
        <w:spacing w:line="273" w:lineRule="auto"/>
        <w:ind w:left="139" w:right="999"/>
        <w:jc w:val="left"/>
      </w:pPr>
      <w:r>
        <w:rPr/>
        <w:t>二、注册会计师的责任 </w:t>
      </w:r>
      <w:r>
        <w:rPr>
          <w:spacing w:val="-3"/>
        </w:rPr>
        <w:t>我们的责任是在实施审计工作的基础上对财务报表发表审计意见。我们按照中国注册会计师</w:t>
      </w:r>
      <w:r>
        <w:rPr>
          <w:spacing w:val="-79"/>
        </w:rPr>
        <w:t> </w:t>
      </w:r>
      <w:r>
        <w:rPr>
          <w:spacing w:val="-79"/>
        </w:rPr>
      </w:r>
      <w:r>
        <w:rPr>
          <w:spacing w:val="-3"/>
        </w:rPr>
        <w:t>审计准则的规定执行了审计工作。中国注册会计师审计准则要求我们遵守职业道德规范，计</w:t>
      </w:r>
      <w:r>
        <w:rPr>
          <w:spacing w:val="-79"/>
        </w:rPr>
        <w:t> </w:t>
      </w:r>
      <w:r>
        <w:rPr>
          <w:spacing w:val="-79"/>
        </w:rPr>
      </w:r>
      <w:r>
        <w:rPr/>
        <w:t>划和实施审计工作以对财务报表是否不存在重大错报获取合理保证。 </w:t>
      </w:r>
      <w:r>
        <w:rPr>
          <w:spacing w:val="-3"/>
        </w:rPr>
        <w:t>审计工作涉及实施审计程序，以获取有关财务报表金额和披露的审计证据。选择的审计程序</w:t>
      </w:r>
      <w:r>
        <w:rPr>
          <w:spacing w:val="-79"/>
        </w:rPr>
        <w:t> </w:t>
      </w:r>
      <w:r>
        <w:rPr>
          <w:spacing w:val="-79"/>
        </w:rPr>
      </w:r>
      <w:r>
        <w:rPr>
          <w:spacing w:val="-3"/>
        </w:rPr>
        <w:t>取决于注册会计师的判断，包括对由于舞弊或错误导致的财务报表重大错报风险的评估。在</w:t>
      </w:r>
      <w:r>
        <w:rPr>
          <w:spacing w:val="-79"/>
        </w:rPr>
        <w:t> </w:t>
      </w:r>
      <w:r>
        <w:rPr>
          <w:spacing w:val="-79"/>
        </w:rPr>
      </w:r>
      <w:r>
        <w:rPr>
          <w:spacing w:val="-3"/>
        </w:rPr>
        <w:t>进行风险评估时，我们考虑与财务报表编制相关的内部控制，以设计恰当的审计程序，但目</w:t>
      </w:r>
      <w:r>
        <w:rPr>
          <w:spacing w:val="-81"/>
        </w:rPr>
        <w:t> </w:t>
      </w:r>
      <w:r>
        <w:rPr>
          <w:spacing w:val="-81"/>
        </w:rPr>
      </w:r>
      <w:r>
        <w:rPr>
          <w:spacing w:val="-3"/>
        </w:rPr>
        <w:t>的并非对内部控制的有效性发表意见。审计工作还包括评价管理层选用会计政策的恰当性和</w:t>
      </w:r>
      <w:r>
        <w:rPr>
          <w:spacing w:val="-79"/>
        </w:rPr>
        <w:t> </w:t>
      </w:r>
      <w:r>
        <w:rPr>
          <w:spacing w:val="-79"/>
        </w:rPr>
      </w:r>
      <w:r>
        <w:rPr/>
        <w:t>作出会计估计的合理性，以及评价财务报表的总体列报。 我们相信，我们获取的审计证据是充分、适当的，为发表审计意见提供了基础。</w:t>
      </w:r>
    </w:p>
    <w:p>
      <w:pPr>
        <w:spacing w:line="240" w:lineRule="auto" w:before="6"/>
        <w:rPr>
          <w:rFonts w:ascii="宋体" w:hAnsi="宋体" w:cs="宋体" w:eastAsia="宋体" w:hint="default"/>
          <w:sz w:val="24"/>
          <w:szCs w:val="24"/>
        </w:rPr>
      </w:pPr>
    </w:p>
    <w:p>
      <w:pPr>
        <w:pStyle w:val="BodyText"/>
        <w:spacing w:line="240" w:lineRule="auto"/>
        <w:ind w:left="139" w:right="999"/>
        <w:jc w:val="left"/>
      </w:pPr>
      <w:r>
        <w:rPr/>
        <w:t>三、审计意见</w:t>
      </w:r>
    </w:p>
    <w:p>
      <w:pPr>
        <w:pStyle w:val="BodyText"/>
        <w:spacing w:line="240" w:lineRule="auto" w:before="37"/>
        <w:ind w:left="139" w:right="999"/>
        <w:jc w:val="left"/>
      </w:pPr>
      <w:r>
        <w:rPr/>
        <w:t>我们认为，黑化股份财务报表已经按照《企业会计准则》</w:t>
      </w:r>
      <w:r>
        <w:rPr>
          <w:rFonts w:ascii="Times New Roman" w:hAnsi="Times New Roman" w:cs="Times New Roman" w:eastAsia="Times New Roman" w:hint="default"/>
        </w:rPr>
        <w:t>(</w:t>
      </w:r>
      <w:r>
        <w:rPr/>
        <w:t>财政部</w:t>
      </w:r>
      <w:r>
        <w:rPr>
          <w:spacing w:val="-59"/>
        </w:rPr>
        <w:t> </w:t>
      </w:r>
      <w:r>
        <w:rPr>
          <w:rFonts w:ascii="Times New Roman" w:hAnsi="Times New Roman" w:cs="Times New Roman" w:eastAsia="Times New Roman" w:hint="default"/>
        </w:rPr>
        <w:t>2006</w:t>
      </w:r>
      <w:r>
        <w:rPr>
          <w:rFonts w:ascii="Times New Roman" w:hAnsi="Times New Roman" w:cs="Times New Roman" w:eastAsia="Times New Roman" w:hint="default"/>
          <w:spacing w:val="-7"/>
        </w:rPr>
        <w:t> </w:t>
      </w:r>
      <w:r>
        <w:rPr/>
        <w:t>年</w:t>
      </w:r>
      <w:r>
        <w:rPr>
          <w:spacing w:val="-59"/>
        </w:rPr>
        <w:t> </w:t>
      </w:r>
      <w:r>
        <w:rPr>
          <w:rFonts w:ascii="Times New Roman" w:hAnsi="Times New Roman" w:cs="Times New Roman" w:eastAsia="Times New Roman" w:hint="default"/>
        </w:rPr>
        <w:t>2</w:t>
      </w:r>
      <w:r>
        <w:rPr>
          <w:rFonts w:ascii="Times New Roman" w:hAnsi="Times New Roman" w:cs="Times New Roman" w:eastAsia="Times New Roman" w:hint="default"/>
          <w:spacing w:val="-6"/>
        </w:rPr>
        <w:t> </w:t>
      </w:r>
      <w:r>
        <w:rPr/>
        <w:t>月</w:t>
      </w:r>
      <w:r>
        <w:rPr>
          <w:spacing w:val="-60"/>
        </w:rPr>
        <w:t> </w:t>
      </w:r>
      <w:r>
        <w:rPr>
          <w:rFonts w:ascii="Times New Roman" w:hAnsi="Times New Roman" w:cs="Times New Roman" w:eastAsia="Times New Roman" w:hint="default"/>
        </w:rPr>
        <w:t>15</w:t>
      </w:r>
      <w:r>
        <w:rPr>
          <w:rFonts w:ascii="Times New Roman" w:hAnsi="Times New Roman" w:cs="Times New Roman" w:eastAsia="Times New Roman" w:hint="default"/>
          <w:spacing w:val="-6"/>
        </w:rPr>
        <w:t> </w:t>
      </w:r>
      <w:r>
        <w:rPr/>
        <w:t>日颁布</w:t>
      </w:r>
      <w:r>
        <w:rPr>
          <w:rFonts w:ascii="Times New Roman" w:hAnsi="Times New Roman" w:cs="Times New Roman" w:eastAsia="Times New Roman" w:hint="default"/>
        </w:rPr>
        <w:t>)</w:t>
      </w:r>
      <w:r>
        <w:rPr/>
        <w:t>的</w:t>
      </w:r>
    </w:p>
    <w:p>
      <w:pPr>
        <w:pStyle w:val="BodyText"/>
        <w:spacing w:line="256" w:lineRule="auto" w:before="21"/>
        <w:ind w:left="138" w:right="1110"/>
        <w:jc w:val="left"/>
      </w:pPr>
      <w:r>
        <w:rPr/>
        <w:t>规定编制，在所有重大方面公允反映了黑化股份</w:t>
      </w:r>
      <w:r>
        <w:rPr>
          <w:spacing w:val="-53"/>
        </w:rPr>
        <w:t> </w:t>
      </w:r>
      <w:r>
        <w:rPr>
          <w:rFonts w:ascii="Times New Roman" w:hAnsi="Times New Roman" w:cs="Times New Roman" w:eastAsia="Times New Roman" w:hint="default"/>
        </w:rPr>
        <w:t>2010</w:t>
      </w:r>
      <w:r>
        <w:rPr>
          <w:rFonts w:ascii="Times New Roman" w:hAnsi="Times New Roman" w:cs="Times New Roman" w:eastAsia="Times New Roman" w:hint="default"/>
          <w:spacing w:val="1"/>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3"/>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日的财务状况及合并财务 状况、</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年度的经营成果和现金流量及合并经营成果和合并现金流量。</w:t>
      </w:r>
    </w:p>
    <w:p>
      <w:pPr>
        <w:spacing w:after="0" w:line="256"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right="0"/>
        <w:jc w:val="left"/>
        <w:rPr>
          <w:rFonts w:ascii="Times New Roman" w:hAnsi="Times New Roman" w:cs="Times New Roman" w:eastAsia="Times New Roman" w:hint="default"/>
        </w:rPr>
      </w:pPr>
      <w:r>
        <w:rPr>
          <w:rFonts w:ascii="Times New Roman" w:hAnsi="Times New Roman" w:cs="Times New Roman" w:eastAsia="Times New Roman" w:hint="default"/>
        </w:rPr>
        <w:t>[</w:t>
      </w:r>
      <w:r>
        <w:rPr/>
        <w:t>此页无正文</w:t>
      </w:r>
      <w:r>
        <w:rPr>
          <w:rFonts w:ascii="Times New Roman" w:hAnsi="Times New Roman" w:cs="Times New Roman" w:eastAsia="Times New Roman" w:hint="default"/>
        </w:rPr>
        <w:t>]</w:t>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8"/>
          <w:szCs w:val="18"/>
        </w:rPr>
      </w:pPr>
    </w:p>
    <w:p>
      <w:pPr>
        <w:pStyle w:val="BodyText"/>
        <w:tabs>
          <w:tab w:pos="4290" w:val="left" w:leader="none"/>
          <w:tab w:pos="6544" w:val="left" w:leader="none"/>
        </w:tabs>
        <w:spacing w:line="240" w:lineRule="auto" w:before="35"/>
        <w:ind w:left="147" w:right="0"/>
        <w:jc w:val="left"/>
      </w:pPr>
      <w:r>
        <w:rPr/>
        <w:t>中国·北京</w:t>
        <w:tab/>
        <w:t>中国注册会计师：</w:t>
        <w:tab/>
        <w:t>匡敏</w:t>
      </w:r>
    </w:p>
    <w:p>
      <w:pPr>
        <w:pStyle w:val="BodyText"/>
        <w:tabs>
          <w:tab w:pos="4290" w:val="left" w:leader="none"/>
          <w:tab w:pos="6649" w:val="left" w:leader="none"/>
        </w:tabs>
        <w:spacing w:line="240" w:lineRule="auto" w:before="37"/>
        <w:ind w:left="147" w:right="0"/>
        <w:jc w:val="left"/>
      </w:pPr>
      <w:r>
        <w:rPr/>
        <w:t>二○一一年三月七日</w:t>
        <w:tab/>
        <w:t>中国注册会计师：</w:t>
        <w:tab/>
        <w:t>文武兴</w:t>
      </w:r>
    </w:p>
    <w:p>
      <w:pPr>
        <w:spacing w:after="0" w:line="240" w:lineRule="auto"/>
        <w:jc w:val="left"/>
        <w:sectPr>
          <w:pgSz w:w="11910" w:h="16840"/>
          <w:pgMar w:header="877" w:footer="982" w:top="1100" w:bottom="1180" w:left="1660" w:right="1660"/>
        </w:sectPr>
      </w:pPr>
    </w:p>
    <w:p>
      <w:pPr>
        <w:spacing w:line="240" w:lineRule="auto" w:before="1"/>
        <w:rPr>
          <w:rFonts w:ascii="宋体" w:hAnsi="宋体" w:cs="宋体" w:eastAsia="宋体" w:hint="default"/>
          <w:sz w:val="23"/>
          <w:szCs w:val="23"/>
        </w:rPr>
      </w:pPr>
    </w:p>
    <w:p>
      <w:pPr>
        <w:spacing w:before="35"/>
        <w:ind w:left="140" w:right="999" w:firstLine="0"/>
        <w:jc w:val="left"/>
        <w:rPr>
          <w:rFonts w:ascii="宋体" w:hAnsi="宋体" w:cs="宋体" w:eastAsia="宋体"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二</w:t>
      </w:r>
      <w:r>
        <w:rPr>
          <w:rFonts w:ascii="Times New Roman" w:hAnsi="Times New Roman" w:cs="Times New Roman" w:eastAsia="Times New Roman" w:hint="default"/>
          <w:sz w:val="21"/>
          <w:szCs w:val="21"/>
        </w:rPr>
        <w:t>)</w:t>
      </w:r>
      <w:r>
        <w:rPr>
          <w:rFonts w:ascii="Times New Roman" w:hAnsi="Times New Roman" w:cs="Times New Roman" w:eastAsia="Times New Roman" w:hint="default"/>
          <w:spacing w:val="50"/>
          <w:sz w:val="21"/>
          <w:szCs w:val="21"/>
        </w:rPr>
        <w:t> </w:t>
      </w:r>
      <w:r>
        <w:rPr>
          <w:rFonts w:ascii="宋体" w:hAnsi="宋体" w:cs="宋体" w:eastAsia="宋体" w:hint="default"/>
          <w:b/>
          <w:bCs/>
          <w:sz w:val="21"/>
          <w:szCs w:val="21"/>
        </w:rPr>
        <w:t>财务报表</w:t>
      </w:r>
      <w:r>
        <w:rPr>
          <w:rFonts w:ascii="宋体" w:hAnsi="宋体" w:cs="宋体" w:eastAsia="宋体" w:hint="default"/>
          <w:sz w:val="21"/>
          <w:szCs w:val="21"/>
        </w:rPr>
      </w:r>
    </w:p>
    <w:p>
      <w:pPr>
        <w:spacing w:line="240" w:lineRule="auto" w:before="2"/>
        <w:rPr>
          <w:rFonts w:ascii="宋体" w:hAnsi="宋体" w:cs="宋体" w:eastAsia="宋体" w:hint="default"/>
          <w:b/>
          <w:bCs/>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680"/>
        </w:sect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8"/>
          <w:szCs w:val="28"/>
        </w:rPr>
      </w:pPr>
    </w:p>
    <w:p>
      <w:pPr>
        <w:pStyle w:val="BodyText"/>
        <w:spacing w:line="240" w:lineRule="auto"/>
        <w:ind w:left="139" w:right="-19"/>
        <w:jc w:val="left"/>
      </w:pPr>
      <w:r>
        <w:rPr/>
        <w:t>编制单位</w:t>
      </w:r>
      <w:r>
        <w:rPr>
          <w:rFonts w:ascii="Times New Roman" w:hAnsi="Times New Roman" w:cs="Times New Roman" w:eastAsia="Times New Roman" w:hint="default"/>
        </w:rPr>
        <w:t>:</w:t>
      </w:r>
      <w:r>
        <w:rPr/>
        <w:t>黑龙江黑化股份有限公司</w:t>
      </w:r>
    </w:p>
    <w:p>
      <w:pPr>
        <w:pStyle w:val="Heading1"/>
        <w:spacing w:line="240" w:lineRule="auto"/>
        <w:ind w:left="37" w:right="0"/>
        <w:jc w:val="center"/>
        <w:rPr>
          <w:b w:val="0"/>
          <w:bCs w:val="0"/>
        </w:rPr>
      </w:pPr>
      <w:r>
        <w:rPr>
          <w:b w:val="0"/>
          <w:bCs w:val="0"/>
        </w:rPr>
        <w:br w:type="column"/>
      </w:r>
      <w:r>
        <w:rPr/>
        <w:t>合并资产负债表</w:t>
      </w:r>
      <w:r>
        <w:rPr>
          <w:b w:val="0"/>
          <w:bCs w:val="0"/>
        </w:rPr>
      </w:r>
    </w:p>
    <w:p>
      <w:pPr>
        <w:pStyle w:val="BodyText"/>
        <w:spacing w:line="240" w:lineRule="auto" w:before="37"/>
        <w:ind w:left="38" w:right="0"/>
        <w:jc w:val="center"/>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3" w:equalWidth="0">
            <w:col w:w="3349" w:space="40"/>
            <w:col w:w="1771" w:space="1245"/>
            <w:col w:w="316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257,615,073.36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239,420,541.02</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结算备付金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拆出资金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38,001,125.00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6,427,320.00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155,318,847.26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183,857,618.61</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21,456,454.32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17,549,045.87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应收保费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应收分保合同准备金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12,053,919.27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12,715,648.99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买入返售金融资产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156,338,704.75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185,292,889.42</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640,784,123.96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645,263,063.91</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发放委托贷款及垫款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1,054,668,550.78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1,159,229,064.57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61,603,854.23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24,246,402.28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9,929,753.24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11,915,703.92</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1,126,202,158.25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1,195,391,170.77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1,766,986,282.21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1,840,654,234.68</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357,280,000.00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446,550,000.00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向中央银行借款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吸收存款及同业存放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289,000,000.00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145,000,000.00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310,796,292.79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359,768,363.03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55,038,308.59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48,261,433.15</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卖出回购金融资产款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应付手续费及佣金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2,446,667.50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1,616,804.05</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-2,830,582.21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84,411,117.95</w:t>
            </w:r>
            <w:r>
              <w:rPr>
                <w:rFonts w:ascii="Times New Roman"/>
                <w:sz w:val="21"/>
              </w:rPr>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2"/>
                <w:sz w:val="21"/>
              </w:rPr>
              <w:t>8,807,119.31</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17,145,319.61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应付分保账款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保险合同准备金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代理买卖证券款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代理承销证券款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1,045,537,805.98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1,127,753,037.79</w:t>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54,390,000.00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79,390,000.00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20,760,000.00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9,000,000.00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75,150,000.00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88,390,000.00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1,120,687,805.98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1,216,143,037.79</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390,000,000.00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325,637,339.56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325,637,339.56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12,271,664.08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6,378,720.72</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28,067,460.06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28,067,460.06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-113,782,588.91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-130,519,494.41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外币报表折算差额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归属于母公司所有者</w:t>
            </w:r>
            <w:r>
              <w:rPr>
                <w:rFonts w:ascii="宋体" w:hAnsi="宋体" w:cs="宋体" w:eastAsia="宋体" w:hint="default"/>
                <w:spacing w:val="1"/>
                <w:sz w:val="21"/>
                <w:szCs w:val="21"/>
              </w:rPr>
              <w:t> </w:t>
            </w:r>
            <w:r>
              <w:rPr>
                <w:rFonts w:ascii="宋体" w:hAnsi="宋体" w:cs="宋体" w:eastAsia="宋体" w:hint="default"/>
                <w:sz w:val="21"/>
                <w:szCs w:val="21"/>
              </w:rPr>
              <w:t>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642,193,874.79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619,564,025.93</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少数股东权益</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4,104,601.44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4,947,170.96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所有者权益合计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646,298,476.23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624,511,196.89</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1,766,986,282.21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1,840,654,234.68</w:t>
            </w:r>
          </w:p>
        </w:tc>
      </w:tr>
    </w:tbl>
    <w:p>
      <w:pPr>
        <w:pStyle w:val="BodyText"/>
        <w:spacing w:line="260" w:lineRule="exact"/>
        <w:ind w:right="999"/>
        <w:jc w:val="left"/>
      </w:pPr>
      <w:r>
        <w:rPr/>
        <w:t>法定代表人：王宏伟 主管会计工作负责人：刘亚芳</w:t>
      </w:r>
      <w:r>
        <w:rPr>
          <w:spacing w:val="-4"/>
        </w:rPr>
        <w:t> </w:t>
      </w:r>
      <w:r>
        <w:rPr/>
        <w:t>会计机构负责人：周芳苇</w:t>
      </w:r>
    </w:p>
    <w:p>
      <w:pPr>
        <w:spacing w:after="0" w:line="260" w:lineRule="exact"/>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8"/>
          <w:szCs w:val="28"/>
        </w:rPr>
      </w:pPr>
    </w:p>
    <w:p>
      <w:pPr>
        <w:pStyle w:val="BodyText"/>
        <w:spacing w:line="240" w:lineRule="auto"/>
        <w:ind w:left="139" w:right="-19"/>
        <w:jc w:val="left"/>
      </w:pPr>
      <w:r>
        <w:rPr/>
        <w:t>编制单位</w:t>
      </w:r>
      <w:r>
        <w:rPr>
          <w:rFonts w:ascii="Times New Roman" w:hAnsi="Times New Roman" w:cs="Times New Roman" w:eastAsia="Times New Roman" w:hint="default"/>
        </w:rPr>
        <w:t>:</w:t>
      </w:r>
      <w:r>
        <w:rPr/>
        <w:t>黑龙江黑化股份有限公司</w:t>
      </w:r>
    </w:p>
    <w:p>
      <w:pPr>
        <w:pStyle w:val="Heading1"/>
        <w:spacing w:line="240" w:lineRule="auto"/>
        <w:ind w:left="61" w:right="-12"/>
        <w:jc w:val="left"/>
        <w:rPr>
          <w:b w:val="0"/>
          <w:bCs w:val="0"/>
        </w:rPr>
      </w:pPr>
      <w:r>
        <w:rPr>
          <w:b w:val="0"/>
          <w:bCs w:val="0"/>
        </w:rPr>
        <w:br w:type="column"/>
      </w:r>
      <w:r>
        <w:rPr/>
        <w:t>母公司资产负债表</w:t>
      </w:r>
      <w:r>
        <w:rPr>
          <w:b w:val="0"/>
          <w:bCs w:val="0"/>
        </w:rPr>
      </w:r>
    </w:p>
    <w:p>
      <w:pPr>
        <w:pStyle w:val="BodyText"/>
        <w:spacing w:line="240" w:lineRule="auto" w:before="37"/>
        <w:ind w:left="38" w:right="-12"/>
        <w:jc w:val="left"/>
      </w:pP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1"/>
        </w:rPr>
        <w:t> </w:t>
      </w:r>
      <w:r>
        <w:rPr/>
        <w:t>日</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30"/>
          <w:szCs w:val="30"/>
        </w:rPr>
      </w:pPr>
    </w:p>
    <w:p>
      <w:pPr>
        <w:pStyle w:val="BodyText"/>
        <w:spacing w:line="240" w:lineRule="auto"/>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3" w:equalWidth="0">
            <w:col w:w="3349" w:space="40"/>
            <w:col w:w="1771" w:space="1245"/>
            <w:col w:w="316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期末余额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年初余额</w:t>
            </w:r>
            <w:r>
              <w:rPr>
                <w:rFonts w:ascii="宋体" w:hAnsi="宋体" w:cs="宋体" w:eastAsia="宋体" w:hint="default"/>
                <w:sz w:val="21"/>
                <w:szCs w:val="21"/>
              </w:rPr>
            </w:r>
          </w:p>
        </w:tc>
      </w:tr>
      <w:tr>
        <w:trPr>
          <w:trHeight w:val="32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货币资金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257,604,412.31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238,572,858.21</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38,001,125.00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6,427,320.00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157,614,954.76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186,541,854.50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预付款项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21,184,944.32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16,655,000.87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应收股利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11,993,768.68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12,683,503.57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149,953,853.28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179,222,270.97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636,353,058.35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640,102,808.12</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非流动资产：</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可供出售金融资产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持有至到期投资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长期应收款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长期股权投资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19,030,000.00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19,030,000.00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投资性房地产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1,039,576,939.48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1,143,047,028.80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61,603,854.23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24,246,402.28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工程物资</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固定资产清理</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生产性生物资产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油气资产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无形资产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开发支出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商誉</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长期待摊费用</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其他非流动资产</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9,929,753.24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11,915,703.92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非流动资产合计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1,130,140,546.95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1,198,239,135.00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1,766,493,605.30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1,838,341,943.12</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短期借款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357,280,000.00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446,550,000.00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交易性金融负债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应付票据</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289,000,000.00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145,000,000.00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应付账款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308,918,949.13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358,388,237.98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预收款项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55,038,308.59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48,261,433.15</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应付职工薪酬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2,082,622.99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1,261,089.49</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应交税费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-2,831,651.67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84,411,065.08</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应付利息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应付股利</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7,800,659.89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16,225,882.65</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一年内到期的非流动</w:t>
            </w:r>
            <w:r>
              <w:rPr>
                <w:rFonts w:ascii="宋体" w:hAnsi="宋体" w:cs="宋体" w:eastAsia="宋体" w:hint="default"/>
                <w:spacing w:val="1"/>
                <w:sz w:val="21"/>
                <w:szCs w:val="21"/>
              </w:rPr>
              <w:t> </w:t>
            </w:r>
            <w:r>
              <w:rPr>
                <w:rFonts w:ascii="宋体" w:hAnsi="宋体" w:cs="宋体" w:eastAsia="宋体" w:hint="default"/>
                <w:sz w:val="21"/>
                <w:szCs w:val="21"/>
              </w:rPr>
              <w:t>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1,042,288,888.93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1,125,097,708.35</w:t>
            </w:r>
          </w:p>
        </w:tc>
      </w:tr>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非流动负债：</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长期借款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应付债券</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长期应付款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50,010,000.00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75,010,000.00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专项应付款</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预计负债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递延所得税负债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其他非流动负债</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20,760,000.00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9,000,000.00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非流动负债合计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70,770,000.00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84,010,000.00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负债合计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1,113,058,888.93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1,209,107,708.35</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pacing w:val="20"/>
                <w:sz w:val="21"/>
                <w:szCs w:val="21"/>
              </w:rPr>
              <w:t>所有者权益（</w:t>
            </w:r>
            <w:r>
              <w:rPr>
                <w:rFonts w:ascii="宋体" w:hAnsi="宋体" w:cs="宋体" w:eastAsia="宋体" w:hint="default"/>
                <w:b/>
                <w:bCs/>
                <w:spacing w:val="-88"/>
                <w:sz w:val="21"/>
                <w:szCs w:val="21"/>
              </w:rPr>
              <w:t> </w:t>
            </w:r>
            <w:r>
              <w:rPr>
                <w:rFonts w:ascii="宋体" w:hAnsi="宋体" w:cs="宋体" w:eastAsia="宋体" w:hint="default"/>
                <w:b/>
                <w:bCs/>
                <w:spacing w:val="18"/>
                <w:sz w:val="21"/>
                <w:szCs w:val="21"/>
              </w:rPr>
              <w:t>或股东权</w:t>
            </w:r>
            <w:r>
              <w:rPr>
                <w:rFonts w:ascii="宋体" w:hAnsi="宋体" w:cs="宋体" w:eastAsia="宋体" w:hint="default"/>
                <w:spacing w:val="18"/>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pacing w:val="1"/>
                <w:w w:val="99"/>
                <w:sz w:val="21"/>
                <w:szCs w:val="21"/>
              </w:rPr>
              <w:t>益</w:t>
            </w:r>
            <w:r>
              <w:rPr>
                <w:rFonts w:ascii="宋体" w:hAnsi="宋体" w:cs="宋体" w:eastAsia="宋体" w:hint="default"/>
                <w:b/>
                <w:bCs/>
                <w:spacing w:val="-105"/>
                <w:w w:val="99"/>
                <w:sz w:val="21"/>
                <w:szCs w:val="21"/>
              </w:rPr>
              <w:t>）</w:t>
            </w:r>
            <w:r>
              <w:rPr>
                <w:rFonts w:ascii="宋体" w:hAnsi="宋体" w:cs="宋体" w:eastAsia="宋体" w:hint="default"/>
                <w:b/>
                <w:bCs/>
                <w:w w:val="99"/>
                <w:sz w:val="21"/>
                <w:szCs w:val="21"/>
              </w:rPr>
              <w:t>：</w:t>
            </w:r>
            <w:r>
              <w:rPr>
                <w:rFonts w:ascii="宋体" w:hAnsi="宋体" w:cs="宋体" w:eastAsia="宋体" w:hint="default"/>
                <w:sz w:val="21"/>
                <w:szCs w:val="21"/>
              </w:rPr>
            </w:r>
          </w:p>
        </w:tc>
        <w:tc>
          <w:tcPr>
            <w:tcW w:w="6763" w:type="dxa"/>
            <w:gridSpan w:val="3"/>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实收资本（或股本）</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390,000,000.00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390,000,000.00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资本公积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325,637,339.56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325,637,339.56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减：库存股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专项储备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12,271,664.08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6,378,720.72</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盈余公积</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28,067,460.06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28,067,460.06</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一般风险准备</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-102,541,747.33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-120,849,285.57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4"/>
              <w:jc w:val="left"/>
              <w:rPr>
                <w:rFonts w:ascii="宋体" w:hAnsi="宋体" w:cs="宋体" w:eastAsia="宋体" w:hint="default"/>
                <w:sz w:val="21"/>
                <w:szCs w:val="21"/>
              </w:rPr>
            </w:pPr>
            <w:r>
              <w:rPr>
                <w:rFonts w:ascii="宋体" w:hAnsi="宋体" w:cs="宋体" w:eastAsia="宋体" w:hint="default"/>
                <w:sz w:val="21"/>
                <w:szCs w:val="21"/>
              </w:rPr>
              <w:t>所有者权</w:t>
            </w:r>
            <w:r>
              <w:rPr>
                <w:rFonts w:ascii="宋体" w:hAnsi="宋体" w:cs="宋体" w:eastAsia="宋体" w:hint="default"/>
                <w:spacing w:val="-95"/>
                <w:sz w:val="21"/>
                <w:szCs w:val="21"/>
              </w:rPr>
              <w:t>益</w:t>
            </w:r>
            <w:r>
              <w:rPr>
                <w:rFonts w:ascii="宋体" w:hAnsi="宋体" w:cs="宋体" w:eastAsia="宋体" w:hint="default"/>
                <w:sz w:val="21"/>
                <w:szCs w:val="21"/>
              </w:rPr>
              <w:t>（或股东权益）</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653,434,716.37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629,234,234.77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负债和所有者权益</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（或股东权益）总计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1,766,493,605.30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1,838,341,943.12</w:t>
            </w:r>
          </w:p>
        </w:tc>
      </w:tr>
    </w:tbl>
    <w:p>
      <w:pPr>
        <w:pStyle w:val="BodyText"/>
        <w:spacing w:line="260" w:lineRule="exact"/>
        <w:ind w:right="999"/>
        <w:jc w:val="left"/>
      </w:pPr>
      <w:r>
        <w:rPr/>
        <w:t>法定代表人：王宏伟 主管会计工作负责人：刘亚芳</w:t>
      </w:r>
      <w:r>
        <w:rPr>
          <w:spacing w:val="-4"/>
        </w:rPr>
        <w:t> </w:t>
      </w:r>
      <w:r>
        <w:rPr/>
        <w:t>会计机构负责人：周芳苇</w:t>
      </w:r>
    </w:p>
    <w:p>
      <w:pPr>
        <w:spacing w:after="0" w:line="260" w:lineRule="exact"/>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Heading1"/>
        <w:spacing w:line="240" w:lineRule="auto"/>
        <w:ind w:left="0" w:right="231"/>
        <w:jc w:val="right"/>
        <w:rPr>
          <w:b w:val="0"/>
          <w:bCs w:val="0"/>
        </w:rPr>
      </w:pPr>
      <w:r>
        <w:rPr>
          <w:w w:val="95"/>
        </w:rPr>
        <w:t>合并利润表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5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4" w:space="40"/>
            <w:col w:w="44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一、营业总收入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1,574,764,180.88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1,461,775,454.13</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1,574,764,180.88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1,461,775,454.13</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已赚保费</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二、营业总成本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1,717,385,503.99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1,695,352,185.29</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1,573,051,409.48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1,577,029,559.18</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手续费及佣金支出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退保金</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赔付支出净额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提取保险合同准备金净额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保单红利支出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分保费用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70,151.34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1,424,564.96</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9,140,394.02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11,449,998.18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103,161,827.04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59,336,663.10</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30,598,160.61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23,129,408.44</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15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1,363,561.50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22,981,991.43</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投资收益（损失以“－”号填</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84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其中：对联营企业和合营企 </w:t>
            </w:r>
            <w:r>
              <w:rPr>
                <w:rFonts w:ascii="宋体" w:hAnsi="宋体" w:cs="宋体" w:eastAsia="宋体" w:hint="default"/>
                <w:sz w:val="21"/>
                <w:szCs w:val="21"/>
              </w:rPr>
              <w:t>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pacing w:val="2"/>
                <w:sz w:val="21"/>
                <w:szCs w:val="21"/>
              </w:rPr>
              <w:t>汇兑收益（损失以“－”号填</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三、营业利润（亏损以“－”号填列）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-142,621,323.11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-233,576,731.16</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158,665,321.88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288,853.97</w:t>
            </w:r>
            <w:r>
              <w:rPr>
                <w:rFonts w:ascii="Times New Roman"/>
                <w:sz w:val="21"/>
              </w:rPr>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149,662.79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1,287,740.13</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149,662.79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987,610.76</w:t>
            </w:r>
            <w:r>
              <w:rPr>
                <w:rFonts w:ascii="Times New Roman"/>
                <w:sz w:val="21"/>
              </w:rPr>
            </w: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15,894,335.98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-234,575,617.32</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五、净利润（净亏损以“－”号填列）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15,894,335.98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-234,575,617.32</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归属于母公司所有者的净利润</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16,736,905.50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-233,678,505.32</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少数股东损益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-842,569.52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w w:val="95"/>
                <w:sz w:val="21"/>
              </w:rPr>
              <w:t>-897,112.00</w:t>
            </w:r>
            <w:r>
              <w:rPr>
                <w:rFonts w:ascii="Times New Roman"/>
                <w:spacing w:val="-1"/>
                <w:sz w:val="21"/>
              </w:rPr>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w w:val="95"/>
                <w:sz w:val="21"/>
              </w:rPr>
              <w:t>-0.60</w:t>
            </w:r>
            <w:r>
              <w:rPr>
                <w:rFonts w:ascii="Times New Roman"/>
                <w:sz w:val="21"/>
              </w:rPr>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0.04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w w:val="95"/>
                <w:sz w:val="21"/>
              </w:rPr>
              <w:t>-0.60</w:t>
            </w:r>
            <w:r>
              <w:rPr>
                <w:rFonts w:ascii="Times New Roman"/>
                <w:sz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15,894,335.98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-234,575,617.32</w:t>
            </w: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归属于母公司所有者的综合收益</w:t>
            </w:r>
            <w:r>
              <w:rPr>
                <w:rFonts w:ascii="宋体" w:hAnsi="宋体" w:cs="宋体" w:eastAsia="宋体" w:hint="default"/>
                <w:spacing w:val="2"/>
                <w:sz w:val="21"/>
                <w:szCs w:val="21"/>
              </w:rPr>
              <w:t> </w:t>
            </w:r>
            <w:r>
              <w:rPr>
                <w:rFonts w:ascii="宋体" w:hAnsi="宋体" w:cs="宋体" w:eastAsia="宋体" w:hint="default"/>
                <w:sz w:val="21"/>
                <w:szCs w:val="21"/>
              </w:rPr>
              <w:t>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16,736,905.50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-233,678,505.32</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归属于少数股东的综合收益总额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-842,569.52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w w:val="95"/>
                <w:sz w:val="21"/>
              </w:rPr>
              <w:t>-897,112.00</w:t>
            </w:r>
            <w:r>
              <w:rPr>
                <w:rFonts w:ascii="Times New Roman"/>
                <w:spacing w:val="-1"/>
                <w:sz w:val="21"/>
              </w:rPr>
            </w:r>
          </w:p>
        </w:tc>
      </w:tr>
    </w:tbl>
    <w:p>
      <w:pPr>
        <w:pStyle w:val="BodyText"/>
        <w:spacing w:line="260" w:lineRule="exact"/>
        <w:ind w:right="999"/>
        <w:jc w:val="left"/>
      </w:pPr>
      <w:r>
        <w:rPr/>
        <w:t>法定代表人：王宏伟 主管会计工作负责人：刘亚芳</w:t>
      </w:r>
      <w:r>
        <w:rPr>
          <w:spacing w:val="-4"/>
        </w:rPr>
        <w:t> </w:t>
      </w:r>
      <w:r>
        <w:rPr/>
        <w:t>会计机构负责人：周芳苇</w:t>
      </w:r>
    </w:p>
    <w:p>
      <w:pPr>
        <w:spacing w:after="0" w:line="260" w:lineRule="exact"/>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Heading1"/>
        <w:spacing w:line="240" w:lineRule="auto"/>
        <w:ind w:left="0" w:right="127"/>
        <w:jc w:val="right"/>
        <w:rPr>
          <w:b w:val="0"/>
          <w:bCs w:val="0"/>
        </w:rPr>
      </w:pPr>
      <w:r>
        <w:rPr>
          <w:w w:val="95"/>
        </w:rPr>
        <w:t>母公司利润表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5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4" w:space="40"/>
            <w:col w:w="44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607"/>
        <w:gridCol w:w="1043"/>
        <w:gridCol w:w="2278"/>
        <w:gridCol w:w="2372"/>
      </w:tblGrid>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08" w:right="0"/>
              <w:jc w:val="left"/>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6" w:right="0"/>
              <w:jc w:val="left"/>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一、营业收入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1,571,572,088.38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1,458,698,167.83</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减：营业成本</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1,569,793,369.43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1,574,033,179.62</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营业税金及附加</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70,151.34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1,424,564.96</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销售费用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9,054,517.55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11,373,590.58</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管理费用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101,012,080.60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57,260,311.54</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财务费用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30,598,390.87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23,129,669.74</w:t>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z w:val="21"/>
                <w:szCs w:val="21"/>
              </w:rPr>
              <w:t>资产减值损失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1,401,362.23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22,567,515.29</w:t>
            </w: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6" w:firstLine="420"/>
              <w:jc w:val="left"/>
              <w:rPr>
                <w:rFonts w:ascii="宋体" w:hAnsi="宋体" w:cs="宋体" w:eastAsia="宋体" w:hint="default"/>
                <w:sz w:val="21"/>
                <w:szCs w:val="21"/>
              </w:rPr>
            </w:pPr>
            <w:r>
              <w:rPr>
                <w:rFonts w:ascii="宋体" w:hAnsi="宋体" w:cs="宋体" w:eastAsia="宋体" w:hint="default"/>
                <w:sz w:val="21"/>
                <w:szCs w:val="21"/>
              </w:rPr>
              <w:t>加：公允价值变动收益（损失以</w:t>
            </w:r>
            <w:r>
              <w:rPr>
                <w:rFonts w:ascii="宋体" w:hAnsi="宋体" w:cs="宋体" w:eastAsia="宋体" w:hint="default"/>
                <w:spacing w:val="2"/>
                <w:sz w:val="21"/>
                <w:szCs w:val="21"/>
              </w:rPr>
              <w:t> </w:t>
            </w:r>
            <w:r>
              <w:rPr>
                <w:rFonts w:ascii="宋体" w:hAnsi="宋体" w:cs="宋体" w:eastAsia="宋体" w:hint="default"/>
                <w:sz w:val="21"/>
                <w:szCs w:val="21"/>
              </w:rPr>
              <w:t>“－”号填列）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940" w:right="0"/>
              <w:jc w:val="left"/>
              <w:rPr>
                <w:rFonts w:ascii="宋体" w:hAnsi="宋体" w:cs="宋体" w:eastAsia="宋体" w:hint="default"/>
                <w:sz w:val="21"/>
                <w:szCs w:val="21"/>
              </w:rPr>
            </w:pPr>
            <w:r>
              <w:rPr>
                <w:rFonts w:ascii="宋体" w:hAnsi="宋体" w:cs="宋体" w:eastAsia="宋体" w:hint="default"/>
                <w:spacing w:val="2"/>
                <w:sz w:val="21"/>
                <w:szCs w:val="21"/>
              </w:rPr>
              <w:t>投资收益（损失以“－”号</w:t>
            </w:r>
            <w:r>
              <w:rPr>
                <w:rFonts w:ascii="宋体" w:hAnsi="宋体" w:cs="宋体" w:eastAsia="宋体" w:hint="default"/>
                <w:sz w:val="21"/>
                <w:szCs w:val="21"/>
              </w:rPr>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9" w:firstLine="1050"/>
              <w:jc w:val="left"/>
              <w:rPr>
                <w:rFonts w:ascii="宋体" w:hAnsi="宋体" w:cs="宋体" w:eastAsia="宋体" w:hint="default"/>
                <w:sz w:val="21"/>
                <w:szCs w:val="21"/>
              </w:rPr>
            </w:pPr>
            <w:r>
              <w:rPr>
                <w:rFonts w:ascii="宋体" w:hAnsi="宋体" w:cs="宋体" w:eastAsia="宋体" w:hint="default"/>
                <w:spacing w:val="2"/>
                <w:sz w:val="21"/>
                <w:szCs w:val="21"/>
              </w:rPr>
              <w:t>其中：对联营企业和合营</w:t>
            </w:r>
            <w:r>
              <w:rPr>
                <w:rFonts w:ascii="宋体" w:hAnsi="宋体" w:cs="宋体" w:eastAsia="宋体" w:hint="default"/>
                <w:sz w:val="21"/>
                <w:szCs w:val="21"/>
              </w:rPr>
              <w:t> 企业的投资收益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二、营业利润（亏损以“－”号填列）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-140,357,783.64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-231,090,663.90</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加：营业外收入</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158,665,321.88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288,853.97</w:t>
            </w:r>
            <w:r>
              <w:rPr>
                <w:rFonts w:ascii="Times New Roman"/>
                <w:sz w:val="21"/>
              </w:rPr>
            </w:r>
          </w:p>
        </w:tc>
      </w:tr>
      <w:tr>
        <w:trPr>
          <w:trHeight w:val="39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减：营业外支出</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1,232,597.53</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31"/>
              <w:jc w:val="right"/>
              <w:rPr>
                <w:rFonts w:ascii="宋体" w:hAnsi="宋体" w:cs="宋体" w:eastAsia="宋体" w:hint="default"/>
                <w:sz w:val="21"/>
                <w:szCs w:val="21"/>
              </w:rPr>
            </w:pPr>
            <w:r>
              <w:rPr>
                <w:rFonts w:ascii="宋体" w:hAnsi="宋体" w:cs="宋体" w:eastAsia="宋体" w:hint="default"/>
                <w:sz w:val="21"/>
                <w:szCs w:val="21"/>
              </w:rPr>
              <w:t>其中：非流动资产处置损失</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三、利润总额（亏损总额以“－”号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18,307,538.24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-232,034,407.46</w:t>
            </w:r>
          </w:p>
        </w:tc>
      </w:tr>
      <w:tr>
        <w:trPr>
          <w:trHeight w:val="389"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减：所得税费用</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5"/>
              <w:jc w:val="right"/>
              <w:rPr>
                <w:rFonts w:ascii="宋体" w:hAnsi="宋体" w:cs="宋体" w:eastAsia="宋体" w:hint="default"/>
                <w:sz w:val="21"/>
                <w:szCs w:val="21"/>
              </w:rPr>
            </w:pPr>
            <w:r>
              <w:rPr>
                <w:rFonts w:ascii="宋体" w:hAnsi="宋体" w:cs="宋体" w:eastAsia="宋体" w:hint="default"/>
                <w:spacing w:val="-5"/>
                <w:sz w:val="21"/>
                <w:szCs w:val="21"/>
              </w:rPr>
              <w:t>四、净利润（净亏损以“－”号填列）</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18,307,538.24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-232,034,407.46</w:t>
            </w: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（一）基本每股收益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20" w:right="0"/>
              <w:jc w:val="left"/>
              <w:rPr>
                <w:rFonts w:ascii="宋体" w:hAnsi="宋体" w:cs="宋体" w:eastAsia="宋体" w:hint="default"/>
                <w:sz w:val="21"/>
                <w:szCs w:val="21"/>
              </w:rPr>
            </w:pPr>
            <w:r>
              <w:rPr>
                <w:rFonts w:ascii="宋体" w:hAnsi="宋体" w:cs="宋体" w:eastAsia="宋体" w:hint="default"/>
                <w:sz w:val="21"/>
                <w:szCs w:val="21"/>
              </w:rPr>
              <w:t>（二）稀释每股收益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六、其他综合收益</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60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七、综合收益总额</w:t>
            </w:r>
          </w:p>
        </w:tc>
        <w:tc>
          <w:tcPr>
            <w:tcW w:w="1043" w:type="dxa"/>
            <w:tcBorders>
              <w:top w:val="single" w:sz="6" w:space="0" w:color="000000"/>
              <w:left w:val="single" w:sz="6" w:space="0" w:color="000000"/>
              <w:bottom w:val="single" w:sz="6" w:space="0" w:color="000000"/>
              <w:right w:val="single" w:sz="6" w:space="0" w:color="000000"/>
            </w:tcBorders>
          </w:tcPr>
          <w:p>
            <w:pP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18,307,538.24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-232,034,407.46</w:t>
            </w:r>
          </w:p>
        </w:tc>
      </w:tr>
    </w:tbl>
    <w:p>
      <w:pPr>
        <w:pStyle w:val="BodyText"/>
        <w:spacing w:line="260" w:lineRule="exact"/>
        <w:ind w:right="999"/>
        <w:jc w:val="left"/>
      </w:pPr>
      <w:r>
        <w:rPr/>
        <w:t>法定代表人：王宏伟 主管会计工作负责人：刘亚芳</w:t>
      </w:r>
      <w:r>
        <w:rPr>
          <w:spacing w:val="-2"/>
        </w:rPr>
        <w:t> </w:t>
      </w:r>
      <w:r>
        <w:rPr/>
        <w:t>会计机构负责人：周芳苇</w:t>
      </w:r>
    </w:p>
    <w:p>
      <w:pPr>
        <w:spacing w:after="0" w:line="260" w:lineRule="exact"/>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Heading1"/>
        <w:spacing w:line="240" w:lineRule="auto"/>
        <w:ind w:left="0" w:right="21"/>
        <w:jc w:val="right"/>
        <w:rPr>
          <w:b w:val="0"/>
          <w:bCs w:val="0"/>
        </w:rPr>
      </w:pPr>
      <w:r>
        <w:rPr>
          <w:w w:val="95"/>
        </w:rPr>
        <w:t>合并现金流量表</w:t>
      </w:r>
      <w:r>
        <w:rPr>
          <w:b w:val="0"/>
          <w:bCs w:val="0"/>
        </w:rPr>
      </w:r>
    </w:p>
    <w:p>
      <w:pPr>
        <w:pStyle w:val="BodyText"/>
        <w:spacing w:line="240" w:lineRule="auto" w:before="37"/>
        <w:ind w:left="0" w:right="0"/>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450"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054" w:space="40"/>
            <w:col w:w="447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7"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销售商品、提供劳务</w:t>
            </w:r>
            <w:r>
              <w:rPr>
                <w:rFonts w:ascii="宋体" w:hAnsi="宋体" w:cs="宋体" w:eastAsia="宋体" w:hint="default"/>
                <w:spacing w:val="1"/>
                <w:sz w:val="21"/>
                <w:szCs w:val="21"/>
              </w:rPr>
              <w:t> </w:t>
            </w: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834,728,634.44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782,201,057.73</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客户存款和同业存放</w:t>
            </w:r>
            <w:r>
              <w:rPr>
                <w:rFonts w:ascii="宋体" w:hAnsi="宋体" w:cs="宋体" w:eastAsia="宋体" w:hint="default"/>
                <w:spacing w:val="1"/>
                <w:sz w:val="21"/>
                <w:szCs w:val="21"/>
              </w:rPr>
              <w:t> </w:t>
            </w: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向中央银行借款净增</w:t>
            </w:r>
            <w:r>
              <w:rPr>
                <w:rFonts w:ascii="宋体" w:hAnsi="宋体" w:cs="宋体" w:eastAsia="宋体" w:hint="default"/>
                <w:spacing w:val="1"/>
                <w:sz w:val="21"/>
                <w:szCs w:val="21"/>
              </w:rPr>
              <w:t> </w:t>
            </w: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向其他金融机构拆入</w:t>
            </w:r>
            <w:r>
              <w:rPr>
                <w:rFonts w:ascii="宋体" w:hAnsi="宋体" w:cs="宋体" w:eastAsia="宋体" w:hint="default"/>
                <w:spacing w:val="1"/>
                <w:sz w:val="21"/>
                <w:szCs w:val="21"/>
              </w:rPr>
              <w:t> </w:t>
            </w:r>
            <w:r>
              <w:rPr>
                <w:rFonts w:ascii="宋体" w:hAnsi="宋体" w:cs="宋体" w:eastAsia="宋体" w:hint="default"/>
                <w:sz w:val="21"/>
                <w:szCs w:val="21"/>
              </w:rPr>
              <w:t>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收到原保险合同保费</w:t>
            </w:r>
            <w:r>
              <w:rPr>
                <w:rFonts w:ascii="宋体" w:hAnsi="宋体" w:cs="宋体" w:eastAsia="宋体" w:hint="default"/>
                <w:spacing w:val="1"/>
                <w:sz w:val="21"/>
                <w:szCs w:val="21"/>
              </w:rPr>
              <w:t> </w:t>
            </w:r>
            <w:r>
              <w:rPr>
                <w:rFonts w:ascii="宋体" w:hAnsi="宋体" w:cs="宋体" w:eastAsia="宋体" w:hint="default"/>
                <w:sz w:val="21"/>
                <w:szCs w:val="21"/>
              </w:rPr>
              <w:t>取得的现金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收到再保险业务现金</w:t>
            </w:r>
            <w:r>
              <w:rPr>
                <w:rFonts w:ascii="宋体" w:hAnsi="宋体" w:cs="宋体" w:eastAsia="宋体" w:hint="default"/>
                <w:spacing w:val="1"/>
                <w:sz w:val="21"/>
                <w:szCs w:val="21"/>
              </w:rPr>
              <w:t> </w:t>
            </w:r>
            <w:r>
              <w:rPr>
                <w:rFonts w:ascii="宋体" w:hAnsi="宋体" w:cs="宋体" w:eastAsia="宋体" w:hint="default"/>
                <w:sz w:val="21"/>
                <w:szCs w:val="21"/>
              </w:rPr>
              <w:t>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保户储金及投资款净</w:t>
            </w:r>
            <w:r>
              <w:rPr>
                <w:rFonts w:ascii="宋体" w:hAnsi="宋体" w:cs="宋体" w:eastAsia="宋体" w:hint="default"/>
                <w:spacing w:val="1"/>
                <w:sz w:val="21"/>
                <w:szCs w:val="21"/>
              </w:rPr>
              <w:t> </w:t>
            </w:r>
            <w:r>
              <w:rPr>
                <w:rFonts w:ascii="宋体" w:hAnsi="宋体" w:cs="宋体" w:eastAsia="宋体" w:hint="default"/>
                <w:sz w:val="21"/>
                <w:szCs w:val="21"/>
              </w:rPr>
              <w:t>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处置交易性金融资产</w:t>
            </w:r>
            <w:r>
              <w:rPr>
                <w:rFonts w:ascii="宋体" w:hAnsi="宋体" w:cs="宋体" w:eastAsia="宋体" w:hint="default"/>
                <w:spacing w:val="1"/>
                <w:sz w:val="21"/>
                <w:szCs w:val="21"/>
              </w:rPr>
              <w:t> </w:t>
            </w:r>
            <w:r>
              <w:rPr>
                <w:rFonts w:ascii="宋体" w:hAnsi="宋体" w:cs="宋体" w:eastAsia="宋体" w:hint="default"/>
                <w:sz w:val="21"/>
                <w:szCs w:val="21"/>
              </w:rPr>
              <w:t>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收取利息、手续费及</w:t>
            </w:r>
            <w:r>
              <w:rPr>
                <w:rFonts w:ascii="宋体" w:hAnsi="宋体" w:cs="宋体" w:eastAsia="宋体" w:hint="default"/>
                <w:spacing w:val="1"/>
                <w:sz w:val="21"/>
                <w:szCs w:val="21"/>
              </w:rPr>
              <w:t> </w:t>
            </w: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拆入资金净增加额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回购业务资金净增加</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159,963,725.49</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2,079,769.77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994,692,359.93</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784,280,827.50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购买商品、接受劳务</w:t>
            </w:r>
            <w:r>
              <w:rPr>
                <w:rFonts w:ascii="宋体" w:hAnsi="宋体" w:cs="宋体" w:eastAsia="宋体" w:hint="default"/>
                <w:spacing w:val="1"/>
                <w:sz w:val="21"/>
                <w:szCs w:val="21"/>
              </w:rPr>
              <w:t> </w:t>
            </w: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611,923,866.37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697,102,057.68</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客户贷款及垫款净增</w:t>
            </w:r>
            <w:r>
              <w:rPr>
                <w:rFonts w:ascii="宋体" w:hAnsi="宋体" w:cs="宋体" w:eastAsia="宋体" w:hint="default"/>
                <w:spacing w:val="1"/>
                <w:sz w:val="21"/>
                <w:szCs w:val="21"/>
              </w:rPr>
              <w:t> </w:t>
            </w:r>
            <w:r>
              <w:rPr>
                <w:rFonts w:ascii="宋体" w:hAnsi="宋体" w:cs="宋体" w:eastAsia="宋体" w:hint="default"/>
                <w:sz w:val="21"/>
                <w:szCs w:val="21"/>
              </w:rPr>
              <w:t>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存放中央银行和同业</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款项净增加额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支付原保险合同赔付</w:t>
            </w:r>
            <w:r>
              <w:rPr>
                <w:rFonts w:ascii="宋体" w:hAnsi="宋体" w:cs="宋体" w:eastAsia="宋体" w:hint="default"/>
                <w:spacing w:val="1"/>
                <w:sz w:val="21"/>
                <w:szCs w:val="21"/>
              </w:rPr>
              <w:t> </w:t>
            </w:r>
            <w:r>
              <w:rPr>
                <w:rFonts w:ascii="宋体" w:hAnsi="宋体" w:cs="宋体" w:eastAsia="宋体" w:hint="default"/>
                <w:sz w:val="21"/>
                <w:szCs w:val="21"/>
              </w:rPr>
              <w:t>款项的现金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支付利息、手续费及</w:t>
            </w:r>
            <w:r>
              <w:rPr>
                <w:rFonts w:ascii="宋体" w:hAnsi="宋体" w:cs="宋体" w:eastAsia="宋体" w:hint="default"/>
                <w:spacing w:val="1"/>
                <w:sz w:val="21"/>
                <w:szCs w:val="21"/>
              </w:rPr>
              <w:t> </w:t>
            </w:r>
            <w:r>
              <w:rPr>
                <w:rFonts w:ascii="宋体" w:hAnsi="宋体" w:cs="宋体" w:eastAsia="宋体" w:hint="default"/>
                <w:sz w:val="21"/>
                <w:szCs w:val="21"/>
              </w:rPr>
              <w:t>佣金的现金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支付保单红利的现金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支付给职工以及为职</w:t>
            </w:r>
            <w:r>
              <w:rPr>
                <w:rFonts w:ascii="宋体" w:hAnsi="宋体" w:cs="宋体" w:eastAsia="宋体" w:hint="default"/>
                <w:spacing w:val="1"/>
                <w:sz w:val="21"/>
                <w:szCs w:val="21"/>
              </w:rPr>
              <w:t> </w:t>
            </w: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82,558,743.75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85,406,660.58</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89,698,311.98</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17,636,992.52</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13,175,618.17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18,018,797.56</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797,356,540.27</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818,164,508.34</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197,335,819.66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-33,883,680.84</w:t>
            </w:r>
            <w:r>
              <w:rPr>
                <w:rFonts w:ascii="Times New Roman"/>
                <w:sz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取得投资收益收到的</w:t>
            </w:r>
            <w:r>
              <w:rPr>
                <w:rFonts w:ascii="宋体" w:hAnsi="宋体" w:cs="宋体" w:eastAsia="宋体" w:hint="default"/>
                <w:spacing w:val="1"/>
                <w:sz w:val="21"/>
                <w:szCs w:val="21"/>
              </w:rPr>
              <w:t> </w:t>
            </w: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11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处置固定资产、无形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90,730,000.00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11,760,000.00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9,000,000.00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11,760,000.00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99,730,000.00</w:t>
            </w:r>
          </w:p>
        </w:tc>
      </w:tr>
      <w:tr>
        <w:trPr>
          <w:trHeight w:val="11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购建固定资产、无形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38,208,082.20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36,581,537.17</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质押贷款净增加额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38,208,082.20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36,581,537.17</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-26,448,082.20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63,148,462.83</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其中：子公司吸收少</w:t>
            </w:r>
            <w:r>
              <w:rPr>
                <w:rFonts w:ascii="宋体" w:hAnsi="宋体" w:cs="宋体" w:eastAsia="宋体" w:hint="default"/>
                <w:spacing w:val="1"/>
                <w:sz w:val="21"/>
                <w:szCs w:val="21"/>
              </w:rPr>
              <w:t> </w:t>
            </w:r>
            <w:r>
              <w:rPr>
                <w:rFonts w:ascii="宋体" w:hAnsi="宋体" w:cs="宋体" w:eastAsia="宋体" w:hint="default"/>
                <w:sz w:val="21"/>
                <w:szCs w:val="21"/>
              </w:rPr>
              <w:t>数股东投资收到的现金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437,280,000.00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446,550,000.00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437,280,000.00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446,550,000.00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551,550,000.00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333,580,000.00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分配股利、利润或偿</w:t>
            </w:r>
            <w:r>
              <w:rPr>
                <w:rFonts w:ascii="宋体" w:hAnsi="宋体" w:cs="宋体" w:eastAsia="宋体" w:hint="default"/>
                <w:spacing w:val="1"/>
                <w:sz w:val="21"/>
                <w:szCs w:val="21"/>
              </w:rPr>
              <w:t> </w:t>
            </w: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23,425,444.12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21,025,218.46</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其中：子公司支付给</w:t>
            </w:r>
            <w:r>
              <w:rPr>
                <w:rFonts w:ascii="宋体" w:hAnsi="宋体" w:cs="宋体" w:eastAsia="宋体" w:hint="default"/>
                <w:spacing w:val="1"/>
                <w:sz w:val="21"/>
                <w:szCs w:val="21"/>
              </w:rPr>
              <w:t> </w:t>
            </w:r>
            <w:r>
              <w:rPr>
                <w:rFonts w:ascii="宋体" w:hAnsi="宋体" w:cs="宋体" w:eastAsia="宋体" w:hint="default"/>
                <w:sz w:val="21"/>
                <w:szCs w:val="21"/>
              </w:rPr>
              <w:t>少数股东的股利、利润</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4,998,161.00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2,754,048.00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579,973,605.12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357,359,266.46</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-142,693,605.12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89,190,733.54</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28,194,132.34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118,455,515.53</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加：期初现金及现金</w:t>
            </w:r>
            <w:r>
              <w:rPr>
                <w:rFonts w:ascii="宋体" w:hAnsi="宋体" w:cs="宋体" w:eastAsia="宋体" w:hint="default"/>
                <w:spacing w:val="1"/>
                <w:sz w:val="21"/>
                <w:szCs w:val="21"/>
              </w:rPr>
              <w:t> </w:t>
            </w: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142,420,541.02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23,965,025.49</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170,614,673.36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142,420,541.02</w:t>
            </w:r>
          </w:p>
        </w:tc>
      </w:tr>
    </w:tbl>
    <w:p>
      <w:pPr>
        <w:pStyle w:val="BodyText"/>
        <w:spacing w:line="260" w:lineRule="exact"/>
        <w:ind w:right="999"/>
        <w:jc w:val="left"/>
      </w:pPr>
      <w:r>
        <w:rPr/>
        <w:t>法定代表人：王宏伟 主管会计工作负责人：刘亚芳</w:t>
      </w:r>
      <w:r>
        <w:rPr>
          <w:spacing w:val="-4"/>
        </w:rPr>
        <w:t> </w:t>
      </w:r>
      <w:r>
        <w:rPr/>
        <w:t>会计机构负责人：周芳苇</w:t>
      </w:r>
    </w:p>
    <w:p>
      <w:pPr>
        <w:spacing w:after="0" w:line="260" w:lineRule="exact"/>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spacing w:after="0" w:line="240" w:lineRule="auto"/>
        <w:rPr>
          <w:rFonts w:ascii="宋体" w:hAnsi="宋体" w:cs="宋体" w:eastAsia="宋体" w:hint="default"/>
          <w:sz w:val="20"/>
          <w:szCs w:val="20"/>
        </w:rPr>
        <w:sectPr>
          <w:pgSz w:w="11910" w:h="16840"/>
          <w:pgMar w:header="877" w:footer="982" w:top="1100" w:bottom="1180" w:left="1660" w:right="680"/>
        </w:sectPr>
      </w:pPr>
    </w:p>
    <w:p>
      <w:pPr>
        <w:pStyle w:val="Heading1"/>
        <w:spacing w:line="240" w:lineRule="auto"/>
        <w:ind w:left="0" w:right="0"/>
        <w:jc w:val="right"/>
        <w:rPr>
          <w:b w:val="0"/>
          <w:bCs w:val="0"/>
        </w:rPr>
      </w:pPr>
      <w:r>
        <w:rPr>
          <w:w w:val="95"/>
        </w:rPr>
        <w:t>母公司现金流量表</w:t>
      </w:r>
      <w:r>
        <w:rPr>
          <w:b w:val="0"/>
          <w:bCs w:val="0"/>
        </w:rPr>
      </w:r>
    </w:p>
    <w:p>
      <w:pPr>
        <w:pStyle w:val="BodyText"/>
        <w:spacing w:line="240" w:lineRule="auto" w:before="37"/>
        <w:ind w:left="0" w:right="81"/>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1367"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5137" w:space="40"/>
            <w:col w:w="4393"/>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26"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项目</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6" w:right="0"/>
              <w:jc w:val="left"/>
              <w:rPr>
                <w:rFonts w:ascii="宋体" w:hAnsi="宋体" w:cs="宋体" w:eastAsia="宋体" w:hint="default"/>
                <w:sz w:val="21"/>
                <w:szCs w:val="21"/>
              </w:rPr>
            </w:pPr>
            <w:r>
              <w:rPr>
                <w:rFonts w:ascii="宋体" w:hAnsi="宋体" w:cs="宋体" w:eastAsia="宋体" w:hint="default"/>
                <w:b/>
                <w:bCs/>
                <w:sz w:val="21"/>
                <w:szCs w:val="21"/>
              </w:rPr>
              <w:t>附注</w:t>
            </w:r>
            <w:r>
              <w:rPr>
                <w:rFonts w:ascii="宋体" w:hAnsi="宋体" w:cs="宋体" w:eastAsia="宋体" w:hint="default"/>
                <w:sz w:val="21"/>
                <w:szCs w:val="21"/>
              </w:rPr>
            </w: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b/>
                <w:bCs/>
                <w:sz w:val="21"/>
                <w:szCs w:val="21"/>
              </w:rPr>
              <w:t>本期金额</w:t>
            </w:r>
            <w:r>
              <w:rPr>
                <w:rFonts w:ascii="宋体" w:hAnsi="宋体" w:cs="宋体" w:eastAsia="宋体" w:hint="default"/>
                <w:sz w:val="21"/>
                <w:szCs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b/>
                <w:bCs/>
                <w:sz w:val="21"/>
                <w:szCs w:val="21"/>
              </w:rPr>
              <w:t>上期金额</w:t>
            </w:r>
            <w:r>
              <w:rPr>
                <w:rFonts w:ascii="宋体" w:hAnsi="宋体" w:cs="宋体" w:eastAsia="宋体" w:hint="default"/>
                <w:sz w:val="21"/>
                <w:szCs w:val="21"/>
              </w:rPr>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一、经营活动产生的现金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销售商品、提供劳务</w:t>
            </w:r>
            <w:r>
              <w:rPr>
                <w:rFonts w:ascii="宋体" w:hAnsi="宋体" w:cs="宋体" w:eastAsia="宋体" w:hint="default"/>
                <w:spacing w:val="1"/>
                <w:sz w:val="21"/>
                <w:szCs w:val="21"/>
              </w:rPr>
              <w:t> </w:t>
            </w:r>
            <w:r>
              <w:rPr>
                <w:rFonts w:ascii="宋体" w:hAnsi="宋体" w:cs="宋体" w:eastAsia="宋体" w:hint="default"/>
                <w:sz w:val="21"/>
                <w:szCs w:val="21"/>
              </w:rPr>
              <w:t>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831,329,732.54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776,076,479.46</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收到的税费返还</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159,961,098.70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1,920,298.60</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991,290,831.24</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777,996,778.06</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购买商品、接受劳务</w:t>
            </w:r>
            <w:r>
              <w:rPr>
                <w:rFonts w:ascii="宋体" w:hAnsi="宋体" w:cs="宋体" w:eastAsia="宋体" w:hint="default"/>
                <w:spacing w:val="1"/>
                <w:sz w:val="21"/>
                <w:szCs w:val="21"/>
              </w:rPr>
              <w:t> </w:t>
            </w:r>
            <w:r>
              <w:rPr>
                <w:rFonts w:ascii="宋体" w:hAnsi="宋体" w:cs="宋体" w:eastAsia="宋体" w:hint="default"/>
                <w:sz w:val="21"/>
                <w:szCs w:val="21"/>
              </w:rPr>
              <w:t>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608,811,214.26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691,932,084.07</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支付给职工以及为职</w:t>
            </w:r>
            <w:r>
              <w:rPr>
                <w:rFonts w:ascii="宋体" w:hAnsi="宋体" w:cs="宋体" w:eastAsia="宋体" w:hint="default"/>
                <w:spacing w:val="1"/>
                <w:sz w:val="21"/>
                <w:szCs w:val="21"/>
              </w:rPr>
              <w:t> </w:t>
            </w:r>
            <w:r>
              <w:rPr>
                <w:rFonts w:ascii="宋体" w:hAnsi="宋体" w:cs="宋体" w:eastAsia="宋体" w:hint="default"/>
                <w:sz w:val="21"/>
                <w:szCs w:val="21"/>
              </w:rPr>
              <w:t>工支付的现金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81,957,486.15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84,716,901.04</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支付的各项税费</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89,610,128.76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17,536,062.63</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支付其他与经营活动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12,739,160.65</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17,504,716.88</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经营活动现金流出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793,117,989.82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811,689,764.62</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经营活动产生的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198,172,841.42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-33,692,986.56</w:t>
            </w:r>
            <w:r>
              <w:rPr>
                <w:rFonts w:ascii="Times New Roman"/>
                <w:sz w:val="21"/>
              </w:rPr>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二、投资活动产生的现金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收回投资收到的现金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取得投资收益收到的</w:t>
            </w:r>
            <w:r>
              <w:rPr>
                <w:rFonts w:ascii="宋体" w:hAnsi="宋体" w:cs="宋体" w:eastAsia="宋体" w:hint="default"/>
                <w:spacing w:val="1"/>
                <w:sz w:val="21"/>
                <w:szCs w:val="21"/>
              </w:rPr>
              <w:t> </w:t>
            </w:r>
            <w:r>
              <w:rPr>
                <w:rFonts w:ascii="宋体" w:hAnsi="宋体" w:cs="宋体" w:eastAsia="宋体" w:hint="default"/>
                <w:sz w:val="21"/>
                <w:szCs w:val="21"/>
              </w:rPr>
              <w:t>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113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处置固定资产、无形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资产和其他长期资产收回</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8"/>
              <w:ind w:right="98"/>
              <w:jc w:val="right"/>
              <w:rPr>
                <w:rFonts w:ascii="Times New Roman" w:hAnsi="Times New Roman" w:cs="Times New Roman" w:eastAsia="Times New Roman" w:hint="default"/>
                <w:sz w:val="21"/>
                <w:szCs w:val="21"/>
              </w:rPr>
            </w:pPr>
            <w:r>
              <w:rPr>
                <w:rFonts w:ascii="Times New Roman"/>
                <w:spacing w:val="-1"/>
                <w:sz w:val="21"/>
              </w:rPr>
              <w:t>90,700,000.00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处置子公司及其他营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业单位收到的现金净额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11,760,000.00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9,000,000.00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投资活动现金流入</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6"/>
              <w:jc w:val="right"/>
              <w:rPr>
                <w:rFonts w:ascii="Times New Roman" w:hAnsi="Times New Roman" w:cs="Times New Roman" w:eastAsia="Times New Roman" w:hint="default"/>
                <w:sz w:val="21"/>
                <w:szCs w:val="21"/>
              </w:rPr>
            </w:pPr>
            <w:r>
              <w:rPr>
                <w:rFonts w:ascii="Times New Roman"/>
                <w:spacing w:val="-1"/>
                <w:sz w:val="21"/>
              </w:rPr>
              <w:t>11,760,000.00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99,700,000.00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113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both"/>
              <w:rPr>
                <w:rFonts w:ascii="宋体" w:hAnsi="宋体" w:cs="宋体" w:eastAsia="宋体" w:hint="default"/>
                <w:sz w:val="21"/>
                <w:szCs w:val="21"/>
              </w:rPr>
            </w:pPr>
            <w:r>
              <w:rPr>
                <w:rFonts w:ascii="宋体" w:hAnsi="宋体" w:cs="宋体" w:eastAsia="宋体" w:hint="default"/>
                <w:sz w:val="21"/>
                <w:szCs w:val="21"/>
              </w:rPr>
              <w:t>购建固定资产、无形</w:t>
            </w:r>
            <w:r>
              <w:rPr>
                <w:rFonts w:ascii="宋体" w:hAnsi="宋体" w:cs="宋体" w:eastAsia="宋体" w:hint="default"/>
                <w:spacing w:val="1"/>
                <w:sz w:val="21"/>
                <w:szCs w:val="21"/>
              </w:rPr>
              <w:t> </w:t>
            </w:r>
            <w:r>
              <w:rPr>
                <w:rFonts w:ascii="宋体" w:hAnsi="宋体" w:cs="宋体" w:eastAsia="宋体" w:hint="default"/>
                <w:sz w:val="21"/>
                <w:szCs w:val="21"/>
              </w:rPr>
              <w:t>资产和其他长期资产支付</w:t>
            </w:r>
            <w:r>
              <w:rPr>
                <w:rFonts w:ascii="宋体" w:hAnsi="宋体" w:cs="宋体" w:eastAsia="宋体" w:hint="default"/>
                <w:spacing w:val="-100"/>
                <w:sz w:val="21"/>
                <w:szCs w:val="21"/>
              </w:rPr>
              <w:t> </w:t>
            </w:r>
            <w:r>
              <w:rPr>
                <w:rFonts w:ascii="宋体" w:hAnsi="宋体" w:cs="宋体" w:eastAsia="宋体" w:hint="default"/>
                <w:spacing w:val="-100"/>
                <w:sz w:val="21"/>
                <w:szCs w:val="21"/>
              </w:rPr>
            </w:r>
            <w:r>
              <w:rPr>
                <w:rFonts w:ascii="宋体" w:hAnsi="宋体" w:cs="宋体" w:eastAsia="宋体" w:hint="default"/>
                <w:sz w:val="21"/>
                <w:szCs w:val="21"/>
              </w:rPr>
              <w:t>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38,208,082.20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3"/>
              <w:ind w:right="0"/>
              <w:jc w:val="left"/>
              <w:rPr>
                <w:rFonts w:ascii="Times New Roman" w:hAnsi="Times New Roman" w:cs="Times New Roman" w:eastAsia="Times New Roman"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36,581,537.17</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投资支付的现金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取得子公司及其他营</w:t>
            </w:r>
            <w:r>
              <w:rPr>
                <w:rFonts w:ascii="宋体" w:hAnsi="宋体" w:cs="宋体" w:eastAsia="宋体" w:hint="default"/>
                <w:spacing w:val="1"/>
                <w:sz w:val="21"/>
                <w:szCs w:val="21"/>
              </w:rPr>
              <w:t> </w:t>
            </w:r>
            <w:r>
              <w:rPr>
                <w:rFonts w:ascii="宋体" w:hAnsi="宋体" w:cs="宋体" w:eastAsia="宋体" w:hint="default"/>
                <w:sz w:val="21"/>
                <w:szCs w:val="21"/>
              </w:rPr>
              <w:t>业单位支付的现金净额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支付其他与投资活动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投资活动现金流出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38,208,082.20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36,581,537.17</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投资活动产生的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-26,448,082.20</w:t>
            </w:r>
            <w:r>
              <w:rPr>
                <w:rFonts w:ascii="Times New Roman"/>
                <w:sz w:val="21"/>
              </w:rPr>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63,118,462.83</w:t>
            </w: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三、筹资活动产生的现金</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流量：</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吸收投资收到的现金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取得借款收到的现金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437,280,000.00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446,550,000.00</w:t>
            </w:r>
          </w:p>
        </w:tc>
      </w:tr>
      <w:tr>
        <w:trPr>
          <w:trHeight w:val="389"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发行债券收到的现金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收到其他与筹资活动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筹资活动现金流入</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437,280,000.00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446,550,000.00</w:t>
            </w:r>
          </w:p>
        </w:tc>
      </w:tr>
      <w:tr>
        <w:trPr>
          <w:trHeight w:val="39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09"/>
              <w:jc w:val="right"/>
              <w:rPr>
                <w:rFonts w:ascii="宋体" w:hAnsi="宋体" w:cs="宋体" w:eastAsia="宋体" w:hint="default"/>
                <w:sz w:val="21"/>
                <w:szCs w:val="21"/>
              </w:rPr>
            </w:pPr>
            <w:r>
              <w:rPr>
                <w:rFonts w:ascii="宋体" w:hAnsi="宋体" w:cs="宋体" w:eastAsia="宋体" w:hint="default"/>
                <w:sz w:val="21"/>
                <w:szCs w:val="21"/>
              </w:rPr>
              <w:t>偿还债务支付的现金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551,550,000.00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333,580,000.00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分配股利、利润或偿</w:t>
            </w:r>
            <w:r>
              <w:rPr>
                <w:rFonts w:ascii="宋体" w:hAnsi="宋体" w:cs="宋体" w:eastAsia="宋体" w:hint="default"/>
                <w:spacing w:val="1"/>
                <w:sz w:val="21"/>
                <w:szCs w:val="21"/>
              </w:rPr>
              <w:t> </w:t>
            </w:r>
            <w:r>
              <w:rPr>
                <w:rFonts w:ascii="宋体" w:hAnsi="宋体" w:cs="宋体" w:eastAsia="宋体" w:hint="default"/>
                <w:sz w:val="21"/>
                <w:szCs w:val="21"/>
              </w:rPr>
              <w:t>付利息支付的现金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23,425,444.12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21,025,218.46</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支付其他与筹资活动</w:t>
            </w:r>
            <w:r>
              <w:rPr>
                <w:rFonts w:ascii="宋体" w:hAnsi="宋体" w:cs="宋体" w:eastAsia="宋体" w:hint="default"/>
                <w:spacing w:val="1"/>
                <w:sz w:val="21"/>
                <w:szCs w:val="21"/>
              </w:rPr>
              <w:t> </w:t>
            </w:r>
            <w:r>
              <w:rPr>
                <w:rFonts w:ascii="宋体" w:hAnsi="宋体" w:cs="宋体" w:eastAsia="宋体" w:hint="default"/>
                <w:sz w:val="21"/>
                <w:szCs w:val="21"/>
              </w:rPr>
              <w:t>有关的现金</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4,998,161.00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2,754,048.00</w:t>
            </w:r>
          </w:p>
        </w:tc>
      </w:tr>
      <w:tr>
        <w:trPr>
          <w:trHeight w:val="763"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筹资活动现金流出</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579,973,605.12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357,359,266.46</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840"/>
              <w:jc w:val="left"/>
              <w:rPr>
                <w:rFonts w:ascii="宋体" w:hAnsi="宋体" w:cs="宋体" w:eastAsia="宋体" w:hint="default"/>
                <w:sz w:val="21"/>
                <w:szCs w:val="21"/>
              </w:rPr>
            </w:pPr>
            <w:r>
              <w:rPr>
                <w:rFonts w:ascii="宋体" w:hAnsi="宋体" w:cs="宋体" w:eastAsia="宋体" w:hint="default"/>
                <w:sz w:val="21"/>
                <w:szCs w:val="21"/>
              </w:rPr>
              <w:t>筹资活动产生的</w:t>
            </w:r>
            <w:r>
              <w:rPr>
                <w:rFonts w:ascii="宋体" w:hAnsi="宋体" w:cs="宋体" w:eastAsia="宋体" w:hint="default"/>
                <w:spacing w:val="1"/>
                <w:sz w:val="21"/>
                <w:szCs w:val="21"/>
              </w:rPr>
              <w:t> </w:t>
            </w:r>
            <w:r>
              <w:rPr>
                <w:rFonts w:ascii="宋体" w:hAnsi="宋体" w:cs="宋体" w:eastAsia="宋体" w:hint="default"/>
                <w:sz w:val="21"/>
                <w:szCs w:val="21"/>
              </w:rPr>
              <w:t>现金流量净额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-142,693,605.12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89,190,733.54</w:t>
            </w:r>
          </w:p>
        </w:tc>
      </w:tr>
      <w:tr>
        <w:trPr>
          <w:trHeight w:val="638"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四、汇率变动对现金及现</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金等价物的影响</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
        </w:tc>
        <w:tc>
          <w:tcPr>
            <w:tcW w:w="281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五、现金及现金等价物净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增加额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29,031,154.10</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118,616,209.81</w:t>
            </w:r>
          </w:p>
        </w:tc>
      </w:tr>
      <w:tr>
        <w:trPr>
          <w:trHeight w:val="764"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420"/>
              <w:jc w:val="left"/>
              <w:rPr>
                <w:rFonts w:ascii="宋体" w:hAnsi="宋体" w:cs="宋体" w:eastAsia="宋体" w:hint="default"/>
                <w:sz w:val="21"/>
                <w:szCs w:val="21"/>
              </w:rPr>
            </w:pPr>
            <w:r>
              <w:rPr>
                <w:rFonts w:ascii="宋体" w:hAnsi="宋体" w:cs="宋体" w:eastAsia="宋体" w:hint="default"/>
                <w:sz w:val="21"/>
                <w:szCs w:val="21"/>
              </w:rPr>
              <w:t>加：期初现金及现金</w:t>
            </w:r>
            <w:r>
              <w:rPr>
                <w:rFonts w:ascii="宋体" w:hAnsi="宋体" w:cs="宋体" w:eastAsia="宋体" w:hint="default"/>
                <w:spacing w:val="1"/>
                <w:sz w:val="21"/>
                <w:szCs w:val="21"/>
              </w:rPr>
              <w:t> </w:t>
            </w:r>
            <w:r>
              <w:rPr>
                <w:rFonts w:ascii="宋体" w:hAnsi="宋体" w:cs="宋体" w:eastAsia="宋体" w:hint="default"/>
                <w:sz w:val="21"/>
                <w:szCs w:val="21"/>
              </w:rPr>
              <w:t>等价物余额</w:t>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141,572,858.21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22,956,648.40</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2537"/>
        <w:gridCol w:w="1033"/>
        <w:gridCol w:w="2912"/>
        <w:gridCol w:w="2818"/>
      </w:tblGrid>
      <w:tr>
        <w:trPr>
          <w:trHeight w:val="640" w:hRule="exact"/>
        </w:trPr>
        <w:tc>
          <w:tcPr>
            <w:tcW w:w="25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b/>
                <w:bCs/>
                <w:sz w:val="21"/>
                <w:szCs w:val="21"/>
              </w:rPr>
              <w:t>六、期末现金及现金等价</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b/>
                <w:bCs/>
                <w:sz w:val="21"/>
                <w:szCs w:val="21"/>
              </w:rPr>
              <w:t>物余额</w:t>
            </w:r>
            <w:r>
              <w:rPr>
                <w:rFonts w:ascii="宋体" w:hAnsi="宋体" w:cs="宋体" w:eastAsia="宋体" w:hint="default"/>
                <w:sz w:val="21"/>
                <w:szCs w:val="21"/>
              </w:rPr>
            </w:r>
          </w:p>
        </w:tc>
        <w:tc>
          <w:tcPr>
            <w:tcW w:w="1033" w:type="dxa"/>
            <w:tcBorders>
              <w:top w:val="single" w:sz="6" w:space="0" w:color="000000"/>
              <w:left w:val="single" w:sz="6" w:space="0" w:color="000000"/>
              <w:bottom w:val="single" w:sz="6" w:space="0" w:color="000000"/>
              <w:right w:val="single" w:sz="6" w:space="0" w:color="000000"/>
            </w:tcBorders>
          </w:tcPr>
          <w:p>
            <w:pPr/>
          </w:p>
        </w:tc>
        <w:tc>
          <w:tcPr>
            <w:tcW w:w="29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485" w:right="0"/>
              <w:jc w:val="left"/>
              <w:rPr>
                <w:rFonts w:ascii="Times New Roman" w:hAnsi="Times New Roman" w:cs="Times New Roman" w:eastAsia="Times New Roman" w:hint="default"/>
                <w:sz w:val="21"/>
                <w:szCs w:val="21"/>
              </w:rPr>
            </w:pPr>
            <w:r>
              <w:rPr>
                <w:rFonts w:ascii="Times New Roman"/>
                <w:sz w:val="21"/>
              </w:rPr>
              <w:t>170,604,012.31</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389" w:right="0"/>
              <w:jc w:val="left"/>
              <w:rPr>
                <w:rFonts w:ascii="Times New Roman" w:hAnsi="Times New Roman" w:cs="Times New Roman" w:eastAsia="Times New Roman" w:hint="default"/>
                <w:sz w:val="21"/>
                <w:szCs w:val="21"/>
              </w:rPr>
            </w:pPr>
            <w:r>
              <w:rPr>
                <w:rFonts w:ascii="Times New Roman"/>
                <w:sz w:val="21"/>
              </w:rPr>
              <w:t>141,572,858.21</w:t>
            </w:r>
          </w:p>
        </w:tc>
      </w:tr>
    </w:tbl>
    <w:p>
      <w:pPr>
        <w:pStyle w:val="BodyText"/>
        <w:spacing w:line="260" w:lineRule="exact"/>
        <w:ind w:right="999"/>
        <w:jc w:val="left"/>
      </w:pPr>
      <w:r>
        <w:rPr/>
        <w:t>法定代表人：王宏伟 主管会计工作负责人：刘亚芳</w:t>
      </w:r>
      <w:r>
        <w:rPr>
          <w:spacing w:val="-4"/>
        </w:rPr>
        <w:t> </w:t>
      </w:r>
      <w:r>
        <w:rPr/>
        <w:t>会计机构负责人：周芳苇</w:t>
      </w:r>
    </w:p>
    <w:p>
      <w:pPr>
        <w:spacing w:after="0" w:line="260" w:lineRule="exact"/>
        <w:jc w:val="left"/>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2"/>
        <w:rPr>
          <w:rFonts w:ascii="宋体" w:hAnsi="宋体" w:cs="宋体" w:eastAsia="宋体" w:hint="default"/>
          <w:sz w:val="29"/>
          <w:szCs w:val="29"/>
        </w:rPr>
      </w:pPr>
    </w:p>
    <w:p>
      <w:pPr>
        <w:spacing w:after="0" w:line="240" w:lineRule="auto"/>
        <w:rPr>
          <w:rFonts w:ascii="宋体" w:hAnsi="宋体" w:cs="宋体" w:eastAsia="宋体" w:hint="default"/>
          <w:sz w:val="29"/>
          <w:szCs w:val="29"/>
        </w:rPr>
        <w:sectPr>
          <w:headerReference w:type="default" r:id="rId11"/>
          <w:footerReference w:type="default" r:id="rId12"/>
          <w:pgSz w:w="16840" w:h="11910" w:orient="landscape"/>
          <w:pgMar w:header="0" w:footer="0" w:top="1100" w:bottom="280" w:left="1320" w:right="1340"/>
        </w:sectPr>
      </w:pPr>
    </w:p>
    <w:p>
      <w:pPr>
        <w:pStyle w:val="Heading1"/>
        <w:spacing w:line="240" w:lineRule="auto"/>
        <w:ind w:left="0" w:right="0"/>
        <w:jc w:val="right"/>
        <w:rPr>
          <w:b w:val="0"/>
          <w:bCs w:val="0"/>
        </w:rPr>
      </w:pPr>
      <w:r>
        <w:rPr>
          <w:w w:val="95"/>
        </w:rPr>
        <w:t>合并所有者权益变动表</w:t>
      </w:r>
      <w:r>
        <w:rPr>
          <w:b w:val="0"/>
          <w:bCs w:val="0"/>
        </w:rPr>
      </w:r>
    </w:p>
    <w:p>
      <w:pPr>
        <w:pStyle w:val="BodyText"/>
        <w:spacing w:line="240" w:lineRule="auto" w:before="36"/>
        <w:ind w:left="0" w:right="291"/>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4"/>
        <w:rPr>
          <w:rFonts w:ascii="宋体" w:hAnsi="宋体" w:cs="宋体" w:eastAsia="宋体" w:hint="default"/>
          <w:sz w:val="28"/>
          <w:szCs w:val="28"/>
        </w:rPr>
      </w:pPr>
    </w:p>
    <w:p>
      <w:pPr>
        <w:pStyle w:val="BodyText"/>
        <w:spacing w:line="240" w:lineRule="auto"/>
        <w:ind w:left="3983"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1320" w:right="1340"/>
          <w:cols w:num="2" w:equalWidth="0">
            <w:col w:w="8153" w:space="40"/>
            <w:col w:w="5987"/>
          </w:cols>
        </w:sectPr>
      </w:pPr>
    </w:p>
    <w:p>
      <w:pPr>
        <w:spacing w:line="240" w:lineRule="auto" w:before="10"/>
        <w:rPr>
          <w:rFonts w:ascii="宋体" w:hAnsi="宋体" w:cs="宋体" w:eastAsia="宋体" w:hint="default"/>
          <w:sz w:val="2"/>
          <w:szCs w:val="2"/>
        </w:rPr>
      </w:pPr>
    </w:p>
    <w:tbl>
      <w:tblPr>
        <w:tblW w:w="0" w:type="auto"/>
        <w:jc w:val="left"/>
        <w:tblInd w:w="104" w:type="dxa"/>
        <w:tblLayout w:type="fixed"/>
        <w:tblCellMar>
          <w:top w:w="0" w:type="dxa"/>
          <w:left w:w="0" w:type="dxa"/>
          <w:bottom w:w="0" w:type="dxa"/>
          <w:right w:w="0" w:type="dxa"/>
        </w:tblCellMar>
        <w:tblLook w:val="01E0"/>
      </w:tblPr>
      <w:tblGrid>
        <w:gridCol w:w="1372"/>
        <w:gridCol w:w="1529"/>
        <w:gridCol w:w="1529"/>
        <w:gridCol w:w="636"/>
        <w:gridCol w:w="1424"/>
        <w:gridCol w:w="1424"/>
        <w:gridCol w:w="426"/>
        <w:gridCol w:w="1598"/>
        <w:gridCol w:w="1164"/>
        <w:gridCol w:w="1319"/>
        <w:gridCol w:w="1529"/>
      </w:tblGrid>
      <w:tr>
        <w:trPr>
          <w:trHeight w:val="328" w:hRule="exact"/>
        </w:trPr>
        <w:tc>
          <w:tcPr>
            <w:tcW w:w="1372"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578"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326" w:hRule="exact"/>
        </w:trPr>
        <w:tc>
          <w:tcPr>
            <w:tcW w:w="1372" w:type="dxa"/>
            <w:vMerge/>
            <w:tcBorders>
              <w:left w:val="single" w:sz="6" w:space="0" w:color="000000"/>
              <w:right w:val="single" w:sz="6" w:space="0" w:color="000000"/>
            </w:tcBorders>
          </w:tcPr>
          <w:p>
            <w:pPr/>
          </w:p>
        </w:tc>
        <w:tc>
          <w:tcPr>
            <w:tcW w:w="9731"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73" w:lineRule="auto"/>
              <w:ind w:left="547" w:right="125"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73" w:lineRule="auto"/>
              <w:ind w:left="651" w:right="125"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1888" w:hRule="exact"/>
        </w:trPr>
        <w:tc>
          <w:tcPr>
            <w:tcW w:w="137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专项储备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1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6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19"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上年年末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6,378,720.72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-130,519,494.41</w:t>
            </w: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4,947,170.96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624,511,196.89</w:t>
            </w:r>
          </w:p>
        </w:tc>
      </w:tr>
      <w:tr>
        <w:trPr>
          <w:trHeight w:val="7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525"/>
              <w:jc w:val="left"/>
              <w:rPr>
                <w:rFonts w:ascii="宋体" w:hAnsi="宋体" w:cs="宋体" w:eastAsia="宋体" w:hint="default"/>
                <w:sz w:val="21"/>
                <w:szCs w:val="21"/>
              </w:rPr>
            </w:pPr>
            <w:r>
              <w:rPr>
                <w:rFonts w:ascii="宋体" w:hAnsi="宋体" w:cs="宋体" w:eastAsia="宋体" w:hint="default"/>
                <w:sz w:val="21"/>
                <w:szCs w:val="21"/>
              </w:rPr>
              <w:t>加：会 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945"/>
              <w:jc w:val="left"/>
              <w:rPr>
                <w:rFonts w:ascii="宋体" w:hAnsi="宋体" w:cs="宋体" w:eastAsia="宋体" w:hint="default"/>
                <w:sz w:val="21"/>
                <w:szCs w:val="21"/>
              </w:rPr>
            </w:pPr>
            <w:r>
              <w:rPr>
                <w:rFonts w:ascii="宋体" w:hAnsi="宋体" w:cs="宋体" w:eastAsia="宋体" w:hint="default"/>
                <w:sz w:val="21"/>
                <w:szCs w:val="21"/>
              </w:rPr>
              <w:t>前 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764"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本年年初</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6,378,720.72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-130,519,494.41</w:t>
            </w: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4,947,170.96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624,511,196.89</w:t>
            </w: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本期增减</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8"/>
                <w:sz w:val="21"/>
                <w:szCs w:val="21"/>
              </w:rPr>
              <w:t>变动金额（减</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pacing w:val="-18"/>
                <w:sz w:val="21"/>
                <w:szCs w:val="21"/>
              </w:rPr>
              <w:t>少以“－”号</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07" w:right="0"/>
              <w:jc w:val="center"/>
              <w:rPr>
                <w:rFonts w:ascii="Times New Roman" w:hAnsi="Times New Roman" w:cs="Times New Roman" w:eastAsia="Times New Roman" w:hint="default"/>
                <w:sz w:val="21"/>
                <w:szCs w:val="21"/>
              </w:rPr>
            </w:pPr>
            <w:r>
              <w:rPr>
                <w:rFonts w:ascii="Times New Roman"/>
                <w:sz w:val="21"/>
              </w:rPr>
              <w:t>5,892,943.36</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16,736,905.50</w:t>
            </w: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86" w:right="0"/>
              <w:jc w:val="center"/>
              <w:rPr>
                <w:rFonts w:ascii="Times New Roman" w:hAnsi="Times New Roman" w:cs="Times New Roman" w:eastAsia="Times New Roman" w:hint="default"/>
                <w:sz w:val="21"/>
                <w:szCs w:val="21"/>
              </w:rPr>
            </w:pPr>
            <w:r>
              <w:rPr>
                <w:rFonts w:ascii="Times New Roman"/>
                <w:sz w:val="21"/>
              </w:rPr>
              <w:t>-842,569.52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21,787,279.34</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600" w:bottom="280" w:left="1320" w:right="134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636"/>
        <w:gridCol w:w="1424"/>
        <w:gridCol w:w="1424"/>
        <w:gridCol w:w="426"/>
        <w:gridCol w:w="1598"/>
        <w:gridCol w:w="1164"/>
        <w:gridCol w:w="1319"/>
        <w:gridCol w:w="1529"/>
      </w:tblGrid>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z w:val="21"/>
                <w:szCs w:val="21"/>
              </w:rPr>
              <w:t>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16,736,905.50</w:t>
            </w: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-842,569.52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15,894,335.98</w:t>
            </w: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w:t>
            </w:r>
            <w:r>
              <w:rPr>
                <w:rFonts w:ascii="宋体" w:hAnsi="宋体" w:cs="宋体" w:eastAsia="宋体" w:hint="default"/>
                <w:spacing w:val="-105"/>
                <w:sz w:val="21"/>
                <w:szCs w:val="21"/>
              </w:rPr>
              <w:t>）</w:t>
            </w:r>
            <w:r>
              <w:rPr>
                <w:rFonts w:ascii="宋体" w:hAnsi="宋体" w:cs="宋体" w:eastAsia="宋体" w:hint="default"/>
                <w:sz w:val="21"/>
                <w:szCs w:val="21"/>
              </w:rPr>
              <w:t>其他综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上述（一）和</w:t>
            </w:r>
          </w:p>
          <w:p>
            <w:pPr>
              <w:pStyle w:val="TableParagraph"/>
              <w:spacing w:line="240" w:lineRule="auto" w:before="37"/>
              <w:ind w:left="101" w:right="0"/>
              <w:jc w:val="left"/>
              <w:rPr>
                <w:rFonts w:ascii="宋体" w:hAnsi="宋体" w:cs="宋体" w:eastAsia="宋体" w:hint="default"/>
                <w:sz w:val="21"/>
                <w:szCs w:val="21"/>
              </w:rPr>
            </w:pPr>
            <w:r>
              <w:rPr>
                <w:rFonts w:ascii="宋体" w:hAnsi="宋体" w:cs="宋体" w:eastAsia="宋体" w:hint="default"/>
                <w:sz w:val="21"/>
                <w:szCs w:val="21"/>
              </w:rPr>
              <w:t>（二）小计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16,736,905.50</w:t>
            </w: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-842,569.52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15,894,335.98</w:t>
            </w: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7"/>
              <w:ind w:left="100" w:right="72"/>
              <w:jc w:val="left"/>
              <w:rPr>
                <w:rFonts w:ascii="宋体" w:hAnsi="宋体" w:cs="宋体" w:eastAsia="宋体" w:hint="default"/>
                <w:sz w:val="21"/>
                <w:szCs w:val="21"/>
              </w:rPr>
            </w:pPr>
            <w:r>
              <w:rPr>
                <w:rFonts w:ascii="宋体" w:hAnsi="宋体" w:cs="宋体" w:eastAsia="宋体" w:hint="default"/>
                <w:spacing w:val="20"/>
                <w:sz w:val="21"/>
                <w:szCs w:val="21"/>
              </w:rPr>
              <w:t>投入和减少</w:t>
            </w:r>
            <w:r>
              <w:rPr>
                <w:rFonts w:ascii="宋体" w:hAnsi="宋体" w:cs="宋体" w:eastAsia="宋体" w:hint="default"/>
                <w:spacing w:val="-101"/>
                <w:sz w:val="21"/>
                <w:szCs w:val="21"/>
              </w:rPr>
              <w:t> </w:t>
            </w:r>
            <w:r>
              <w:rPr>
                <w:rFonts w:ascii="宋体" w:hAnsi="宋体" w:cs="宋体" w:eastAsia="宋体" w:hint="default"/>
                <w:sz w:val="21"/>
                <w:szCs w:val="21"/>
              </w:rPr>
              <w:t>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w:t>
            </w:r>
          </w:p>
          <w:p>
            <w:pPr>
              <w:pStyle w:val="TableParagraph"/>
              <w:spacing w:line="273" w:lineRule="auto" w:before="21"/>
              <w:ind w:left="100" w:right="72"/>
              <w:jc w:val="left"/>
              <w:rPr>
                <w:rFonts w:ascii="宋体" w:hAnsi="宋体" w:cs="宋体" w:eastAsia="宋体" w:hint="default"/>
                <w:sz w:val="21"/>
                <w:szCs w:val="21"/>
              </w:rPr>
            </w:pPr>
            <w:r>
              <w:rPr>
                <w:rFonts w:ascii="宋体" w:hAnsi="宋体" w:cs="宋体" w:eastAsia="宋体" w:hint="default"/>
                <w:spacing w:val="20"/>
                <w:sz w:val="21"/>
                <w:szCs w:val="21"/>
              </w:rPr>
              <w:t>计入所有者</w:t>
            </w:r>
            <w:r>
              <w:rPr>
                <w:rFonts w:ascii="宋体" w:hAnsi="宋体" w:cs="宋体" w:eastAsia="宋体" w:hint="default"/>
                <w:spacing w:val="-101"/>
                <w:sz w:val="21"/>
                <w:szCs w:val="21"/>
              </w:rPr>
              <w:t> </w:t>
            </w:r>
            <w:r>
              <w:rPr>
                <w:rFonts w:ascii="宋体" w:hAnsi="宋体" w:cs="宋体" w:eastAsia="宋体" w:hint="default"/>
                <w:sz w:val="21"/>
                <w:szCs w:val="21"/>
              </w:rPr>
              <w:t>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利润分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（或股东）的</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bl>
    <w:p>
      <w:pPr>
        <w:spacing w:after="0"/>
        <w:sectPr>
          <w:headerReference w:type="default" r:id="rId13"/>
          <w:footerReference w:type="default" r:id="rId14"/>
          <w:pgSz w:w="16840" w:h="11910" w:orient="landscape"/>
          <w:pgMar w:header="877" w:footer="978" w:top="1100" w:bottom="1160" w:left="1300" w:right="1300"/>
          <w:pgNumType w:start="44"/>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372"/>
        <w:gridCol w:w="1529"/>
        <w:gridCol w:w="1529"/>
        <w:gridCol w:w="636"/>
        <w:gridCol w:w="1424"/>
        <w:gridCol w:w="1424"/>
        <w:gridCol w:w="426"/>
        <w:gridCol w:w="1598"/>
        <w:gridCol w:w="1164"/>
        <w:gridCol w:w="1319"/>
        <w:gridCol w:w="1529"/>
      </w:tblGrid>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105"/>
                <w:sz w:val="21"/>
                <w:szCs w:val="21"/>
              </w:rPr>
              <w:t>）</w:t>
            </w:r>
            <w:r>
              <w:rPr>
                <w:rFonts w:ascii="宋体" w:hAnsi="宋体" w:cs="宋体" w:eastAsia="宋体" w:hint="default"/>
                <w:sz w:val="21"/>
                <w:szCs w:val="21"/>
              </w:rPr>
              <w:t>所有者</w:t>
            </w:r>
          </w:p>
          <w:p>
            <w:pPr>
              <w:pStyle w:val="TableParagraph"/>
              <w:spacing w:line="273" w:lineRule="auto" w:before="36"/>
              <w:ind w:left="100" w:right="72"/>
              <w:jc w:val="left"/>
              <w:rPr>
                <w:rFonts w:ascii="宋体" w:hAnsi="宋体" w:cs="宋体" w:eastAsia="宋体" w:hint="default"/>
                <w:sz w:val="21"/>
                <w:szCs w:val="21"/>
              </w:rPr>
            </w:pPr>
            <w:r>
              <w:rPr>
                <w:rFonts w:ascii="宋体" w:hAnsi="宋体" w:cs="宋体" w:eastAsia="宋体" w:hint="default"/>
                <w:spacing w:val="20"/>
                <w:sz w:val="21"/>
                <w:szCs w:val="21"/>
              </w:rPr>
              <w:t>权益内部结</w:t>
            </w:r>
            <w:r>
              <w:rPr>
                <w:rFonts w:ascii="宋体" w:hAnsi="宋体" w:cs="宋体" w:eastAsia="宋体" w:hint="default"/>
                <w:spacing w:val="-101"/>
                <w:sz w:val="21"/>
                <w:szCs w:val="21"/>
              </w:rPr>
              <w:t> </w:t>
            </w:r>
            <w:r>
              <w:rPr>
                <w:rFonts w:ascii="宋体" w:hAnsi="宋体" w:cs="宋体" w:eastAsia="宋体" w:hint="default"/>
                <w:sz w:val="21"/>
                <w:szCs w:val="21"/>
              </w:rPr>
              <w:t>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pacing w:val="-18"/>
                <w:sz w:val="21"/>
                <w:szCs w:val="21"/>
              </w:rPr>
              <w:t>转增资本（或</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w:t>
            </w:r>
            <w:r>
              <w:rPr>
                <w:rFonts w:ascii="宋体" w:hAnsi="宋体" w:cs="宋体" w:eastAsia="宋体" w:hint="default"/>
                <w:spacing w:val="-105"/>
                <w:sz w:val="21"/>
                <w:szCs w:val="21"/>
              </w:rPr>
              <w:t>）</w:t>
            </w:r>
            <w:r>
              <w:rPr>
                <w:rFonts w:ascii="宋体" w:hAnsi="宋体" w:cs="宋体" w:eastAsia="宋体" w:hint="default"/>
                <w:sz w:val="21"/>
                <w:szCs w:val="21"/>
              </w:rPr>
              <w:t>专项储</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5,892,943.36</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5,892,943.36</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7,647,735.44</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7,647,735.44</w:t>
            </w:r>
          </w:p>
        </w:tc>
      </w:tr>
      <w:tr>
        <w:trPr>
          <w:trHeight w:val="326"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1,754,792.08</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1,754,792.08</w:t>
            </w:r>
          </w:p>
        </w:tc>
      </w:tr>
      <w:tr>
        <w:trPr>
          <w:trHeight w:val="328"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105"/>
                <w:sz w:val="21"/>
                <w:szCs w:val="21"/>
              </w:rPr>
              <w:t>、</w:t>
            </w:r>
            <w:r>
              <w:rPr>
                <w:rFonts w:ascii="宋体" w:hAnsi="宋体" w:cs="宋体" w:eastAsia="宋体" w:hint="default"/>
                <w:sz w:val="21"/>
                <w:szCs w:val="21"/>
              </w:rPr>
              <w:t>本期期末</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12,271,664.08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7" w:right="0"/>
              <w:jc w:val="left"/>
              <w:rPr>
                <w:rFonts w:ascii="Times New Roman" w:hAnsi="Times New Roman" w:cs="Times New Roman" w:eastAsia="Times New Roman" w:hint="default"/>
                <w:sz w:val="21"/>
                <w:szCs w:val="21"/>
              </w:rPr>
            </w:pPr>
            <w:r>
              <w:rPr>
                <w:rFonts w:ascii="Times New Roman"/>
                <w:sz w:val="21"/>
              </w:rPr>
              <w:t>-113,782,588.91</w:t>
            </w:r>
          </w:p>
        </w:tc>
        <w:tc>
          <w:tcPr>
            <w:tcW w:w="116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4,104,601.44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646,298,476.23</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139"/>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686"/>
        <w:gridCol w:w="1530"/>
        <w:gridCol w:w="1529"/>
        <w:gridCol w:w="636"/>
        <w:gridCol w:w="1319"/>
        <w:gridCol w:w="1424"/>
        <w:gridCol w:w="426"/>
        <w:gridCol w:w="1598"/>
        <w:gridCol w:w="884"/>
        <w:gridCol w:w="1319"/>
        <w:gridCol w:w="1598"/>
      </w:tblGrid>
      <w:tr>
        <w:trPr>
          <w:trHeight w:val="328" w:hRule="exact"/>
        </w:trPr>
        <w:tc>
          <w:tcPr>
            <w:tcW w:w="1686"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2"/>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2264" w:type="dxa"/>
            <w:gridSpan w:val="10"/>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326" w:hRule="exact"/>
        </w:trPr>
        <w:tc>
          <w:tcPr>
            <w:tcW w:w="1686" w:type="dxa"/>
            <w:vMerge/>
            <w:tcBorders>
              <w:left w:val="single" w:sz="6" w:space="0" w:color="000000"/>
              <w:right w:val="single" w:sz="6" w:space="0" w:color="000000"/>
            </w:tcBorders>
          </w:tcPr>
          <w:p>
            <w:pPr/>
          </w:p>
        </w:tc>
        <w:tc>
          <w:tcPr>
            <w:tcW w:w="9347"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归属于母公司所有者权益</w:t>
            </w:r>
          </w:p>
        </w:tc>
        <w:tc>
          <w:tcPr>
            <w:tcW w:w="131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73" w:lineRule="auto"/>
              <w:ind w:left="547" w:right="125" w:hanging="420"/>
              <w:jc w:val="left"/>
              <w:rPr>
                <w:rFonts w:ascii="宋体" w:hAnsi="宋体" w:cs="宋体" w:eastAsia="宋体" w:hint="default"/>
                <w:sz w:val="21"/>
                <w:szCs w:val="21"/>
              </w:rPr>
            </w:pPr>
            <w:r>
              <w:rPr>
                <w:rFonts w:ascii="宋体" w:hAnsi="宋体" w:cs="宋体" w:eastAsia="宋体" w:hint="default"/>
                <w:sz w:val="21"/>
                <w:szCs w:val="21"/>
              </w:rPr>
              <w:t>少数股东权 益</w:t>
            </w:r>
          </w:p>
        </w:tc>
        <w:tc>
          <w:tcPr>
            <w:tcW w:w="159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73" w:lineRule="auto"/>
              <w:ind w:left="686" w:right="160"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1888" w:hRule="exact"/>
        </w:trPr>
        <w:tc>
          <w:tcPr>
            <w:tcW w:w="1686"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41" w:right="126"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专项储备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未分配利润</w:t>
            </w:r>
          </w:p>
        </w:tc>
        <w:tc>
          <w:tcPr>
            <w:tcW w:w="8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24"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319" w:type="dxa"/>
            <w:vMerge/>
            <w:tcBorders>
              <w:left w:val="single" w:sz="6" w:space="0" w:color="000000"/>
              <w:bottom w:val="single" w:sz="6" w:space="0" w:color="000000"/>
              <w:right w:val="single" w:sz="6" w:space="0" w:color="000000"/>
            </w:tcBorders>
          </w:tcPr>
          <w:p>
            <w:pPr/>
          </w:p>
        </w:tc>
        <w:tc>
          <w:tcPr>
            <w:tcW w:w="1598" w:type="dxa"/>
            <w:vMerge/>
            <w:tcBorders>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30,148,477.71</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8" w:right="0"/>
              <w:jc w:val="center"/>
              <w:rPr>
                <w:rFonts w:ascii="Times New Roman" w:hAnsi="Times New Roman" w:cs="Times New Roman" w:eastAsia="Times New Roman" w:hint="default"/>
                <w:sz w:val="21"/>
                <w:szCs w:val="21"/>
              </w:rPr>
            </w:pPr>
            <w:r>
              <w:rPr>
                <w:rFonts w:ascii="Times New Roman"/>
                <w:sz w:val="21"/>
              </w:rPr>
              <w:t>103,159,010.91</w:t>
            </w: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5,844,282.96</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854,789,111.14</w:t>
            </w:r>
          </w:p>
        </w:tc>
      </w:tr>
      <w:tr>
        <w:trPr>
          <w:trHeight w:val="764"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326" w:lineRule="auto" w:before="17"/>
              <w:ind w:left="100" w:right="98" w:firstLine="1050"/>
              <w:jc w:val="left"/>
              <w:rPr>
                <w:rFonts w:ascii="宋体" w:hAnsi="宋体" w:cs="宋体" w:eastAsia="宋体" w:hint="default"/>
                <w:sz w:val="21"/>
                <w:szCs w:val="21"/>
              </w:rPr>
            </w:pPr>
            <w:r>
              <w:rPr>
                <w:rFonts w:ascii="宋体" w:hAnsi="宋体" w:cs="宋体" w:eastAsia="宋体" w:hint="default"/>
                <w:sz w:val="21"/>
                <w:szCs w:val="21"/>
              </w:rPr>
              <w:t>加： 会计政策变更</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2,081,017.65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sz w:val="19"/>
                <w:szCs w:val="19"/>
              </w:rPr>
            </w:pPr>
          </w:p>
          <w:p>
            <w:pPr>
              <w:pStyle w:val="TableParagraph"/>
              <w:spacing w:line="240" w:lineRule="auto"/>
              <w:ind w:left="36" w:right="0"/>
              <w:jc w:val="center"/>
              <w:rPr>
                <w:rFonts w:ascii="Times New Roman" w:hAnsi="Times New Roman" w:cs="Times New Roman" w:eastAsia="Times New Roman" w:hint="default"/>
                <w:sz w:val="21"/>
                <w:szCs w:val="21"/>
              </w:rPr>
            </w:pPr>
            <w:r>
              <w:rPr>
                <w:rFonts w:ascii="Times New Roman"/>
                <w:sz w:val="21"/>
              </w:rPr>
              <w:t>-2,081,017.65</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763"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前期</w:t>
            </w:r>
          </w:p>
          <w:p>
            <w:pPr>
              <w:pStyle w:val="TableParagraph"/>
              <w:spacing w:line="240" w:lineRule="auto" w:before="99"/>
              <w:ind w:left="100" w:right="0"/>
              <w:jc w:val="left"/>
              <w:rPr>
                <w:rFonts w:ascii="宋体" w:hAnsi="宋体" w:cs="宋体" w:eastAsia="宋体" w:hint="default"/>
                <w:sz w:val="21"/>
                <w:szCs w:val="21"/>
              </w:rPr>
            </w:pPr>
            <w:r>
              <w:rPr>
                <w:rFonts w:ascii="宋体" w:hAnsi="宋体" w:cs="宋体" w:eastAsia="宋体" w:hint="default"/>
                <w:sz w:val="21"/>
                <w:szCs w:val="21"/>
              </w:rPr>
              <w:t>差错更正</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98"/>
              <w:jc w:val="right"/>
              <w:rPr>
                <w:rFonts w:ascii="宋体" w:hAnsi="宋体" w:cs="宋体" w:eastAsia="宋体" w:hint="default"/>
                <w:sz w:val="21"/>
                <w:szCs w:val="21"/>
              </w:rPr>
            </w:pP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2,081,017.65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69" w:right="0"/>
              <w:jc w:val="center"/>
              <w:rPr>
                <w:rFonts w:ascii="Times New Roman" w:hAnsi="Times New Roman" w:cs="Times New Roman" w:eastAsia="Times New Roman" w:hint="default"/>
                <w:sz w:val="21"/>
                <w:szCs w:val="21"/>
              </w:rPr>
            </w:pPr>
            <w:r>
              <w:rPr>
                <w:rFonts w:ascii="Times New Roman"/>
                <w:sz w:val="21"/>
              </w:rPr>
              <w:t>103,159,010.91</w:t>
            </w: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5,844,282.96</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854,789,111.14</w:t>
            </w:r>
          </w:p>
        </w:tc>
      </w:tr>
      <w:tr>
        <w:trPr>
          <w:trHeight w:val="952"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动金额（减少以 “－”号填列）</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4,297,703.07</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-233,678,505.32</w:t>
            </w: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94" w:right="0"/>
              <w:jc w:val="center"/>
              <w:rPr>
                <w:rFonts w:ascii="Times New Roman" w:hAnsi="Times New Roman" w:cs="Times New Roman" w:eastAsia="Times New Roman" w:hint="default"/>
                <w:sz w:val="21"/>
                <w:szCs w:val="21"/>
              </w:rPr>
            </w:pPr>
            <w:r>
              <w:rPr>
                <w:rFonts w:ascii="Times New Roman"/>
                <w:sz w:val="21"/>
              </w:rPr>
              <w:t>-897,112.00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-230,277,914.25</w:t>
            </w: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-233,678,505.32</w:t>
            </w: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4" w:right="0"/>
              <w:jc w:val="center"/>
              <w:rPr>
                <w:rFonts w:ascii="Times New Roman" w:hAnsi="Times New Roman" w:cs="Times New Roman" w:eastAsia="Times New Roman" w:hint="default"/>
                <w:sz w:val="21"/>
                <w:szCs w:val="21"/>
              </w:rPr>
            </w:pPr>
            <w:r>
              <w:rPr>
                <w:rFonts w:ascii="Times New Roman"/>
                <w:sz w:val="21"/>
              </w:rPr>
              <w:t>-897,112.00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-234,575,617.32</w:t>
            </w: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4"/>
              <w:jc w:val="right"/>
              <w:rPr>
                <w:rFonts w:ascii="宋体" w:hAnsi="宋体" w:cs="宋体" w:eastAsia="宋体" w:hint="default"/>
                <w:sz w:val="21"/>
                <w:szCs w:val="21"/>
              </w:rPr>
            </w:pPr>
            <w:r>
              <w:rPr>
                <w:rFonts w:ascii="宋体" w:hAnsi="宋体" w:cs="宋体" w:eastAsia="宋体" w:hint="default"/>
                <w:sz w:val="21"/>
                <w:szCs w:val="21"/>
              </w:rPr>
              <w:t>上</w:t>
            </w:r>
            <w:r>
              <w:rPr>
                <w:rFonts w:ascii="宋体" w:hAnsi="宋体" w:cs="宋体" w:eastAsia="宋体" w:hint="default"/>
                <w:spacing w:val="-105"/>
                <w:sz w:val="21"/>
                <w:szCs w:val="21"/>
              </w:rPr>
              <w:t>述</w:t>
            </w:r>
            <w:r>
              <w:rPr>
                <w:rFonts w:ascii="宋体" w:hAnsi="宋体" w:cs="宋体" w:eastAsia="宋体" w:hint="default"/>
                <w:sz w:val="21"/>
                <w:szCs w:val="21"/>
              </w:rPr>
              <w:t>（一</w:t>
            </w:r>
            <w:r>
              <w:rPr>
                <w:rFonts w:ascii="宋体" w:hAnsi="宋体" w:cs="宋体" w:eastAsia="宋体" w:hint="default"/>
                <w:spacing w:val="-105"/>
                <w:sz w:val="21"/>
                <w:szCs w:val="21"/>
              </w:rPr>
              <w:t>）</w:t>
            </w:r>
            <w:r>
              <w:rPr>
                <w:rFonts w:ascii="宋体" w:hAnsi="宋体" w:cs="宋体" w:eastAsia="宋体" w:hint="default"/>
                <w:spacing w:val="-106"/>
                <w:sz w:val="21"/>
                <w:szCs w:val="21"/>
              </w:rPr>
              <w:t>和</w:t>
            </w:r>
            <w:r>
              <w:rPr>
                <w:rFonts w:ascii="宋体" w:hAnsi="宋体" w:cs="宋体" w:eastAsia="宋体" w:hint="default"/>
                <w:spacing w:val="-2"/>
                <w:sz w:val="21"/>
                <w:szCs w:val="21"/>
              </w:rPr>
              <w:t>（</w:t>
            </w:r>
            <w:r>
              <w:rPr>
                <w:rFonts w:ascii="宋体" w:hAnsi="宋体" w:cs="宋体" w:eastAsia="宋体" w:hint="default"/>
                <w:sz w:val="21"/>
                <w:szCs w:val="21"/>
              </w:rPr>
              <w:t>二）</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-233,678,505.32</w:t>
            </w: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4" w:right="0"/>
              <w:jc w:val="center"/>
              <w:rPr>
                <w:rFonts w:ascii="Times New Roman" w:hAnsi="Times New Roman" w:cs="Times New Roman" w:eastAsia="Times New Roman" w:hint="default"/>
                <w:sz w:val="21"/>
                <w:szCs w:val="21"/>
              </w:rPr>
            </w:pPr>
            <w:r>
              <w:rPr>
                <w:rFonts w:ascii="Times New Roman"/>
                <w:sz w:val="21"/>
              </w:rPr>
              <w:t>-897,112.00</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-234,575,617.32</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686"/>
        <w:gridCol w:w="1530"/>
        <w:gridCol w:w="1529"/>
        <w:gridCol w:w="636"/>
        <w:gridCol w:w="1319"/>
        <w:gridCol w:w="1424"/>
        <w:gridCol w:w="426"/>
        <w:gridCol w:w="1598"/>
        <w:gridCol w:w="884"/>
        <w:gridCol w:w="1319"/>
        <w:gridCol w:w="1598"/>
      </w:tblGrid>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入和减少资本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所有者</w:t>
            </w:r>
            <w:r>
              <w:rPr>
                <w:rFonts w:ascii="宋体" w:hAnsi="宋体" w:cs="宋体" w:eastAsia="宋体" w:hint="default"/>
                <w:spacing w:val="-2"/>
                <w:sz w:val="21"/>
                <w:szCs w:val="21"/>
              </w:rPr>
              <w:t>投</w:t>
            </w:r>
            <w:r>
              <w:rPr>
                <w:rFonts w:ascii="宋体" w:hAnsi="宋体" w:cs="宋体" w:eastAsia="宋体" w:hint="default"/>
                <w:sz w:val="21"/>
                <w:szCs w:val="21"/>
              </w:rPr>
              <w:t>入资</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95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股份支</w:t>
            </w:r>
            <w:r>
              <w:rPr>
                <w:rFonts w:ascii="宋体" w:hAnsi="宋体" w:cs="宋体" w:eastAsia="宋体" w:hint="default"/>
                <w:spacing w:val="-2"/>
                <w:sz w:val="21"/>
                <w:szCs w:val="21"/>
              </w:rPr>
              <w:t>付</w:t>
            </w:r>
            <w:r>
              <w:rPr>
                <w:rFonts w:ascii="宋体" w:hAnsi="宋体" w:cs="宋体" w:eastAsia="宋体" w:hint="default"/>
                <w:sz w:val="21"/>
                <w:szCs w:val="21"/>
              </w:rPr>
              <w:t>计入</w:t>
            </w:r>
          </w:p>
          <w:p>
            <w:pPr>
              <w:pStyle w:val="TableParagraph"/>
              <w:spacing w:line="273" w:lineRule="auto" w:before="21"/>
              <w:ind w:left="100" w:right="98"/>
              <w:jc w:val="left"/>
              <w:rPr>
                <w:rFonts w:ascii="宋体" w:hAnsi="宋体" w:cs="宋体" w:eastAsia="宋体" w:hint="default"/>
                <w:sz w:val="21"/>
                <w:szCs w:val="21"/>
              </w:rPr>
            </w:pPr>
            <w:r>
              <w:rPr>
                <w:rFonts w:ascii="宋体" w:hAnsi="宋体" w:cs="宋体" w:eastAsia="宋体" w:hint="default"/>
                <w:sz w:val="21"/>
                <w:szCs w:val="21"/>
              </w:rPr>
              <w:t>所有者权益的金 额</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提取盈</w:t>
            </w:r>
            <w:r>
              <w:rPr>
                <w:rFonts w:ascii="宋体" w:hAnsi="宋体" w:cs="宋体" w:eastAsia="宋体" w:hint="default"/>
                <w:spacing w:val="-2"/>
                <w:sz w:val="21"/>
                <w:szCs w:val="21"/>
              </w:rPr>
              <w:t>余</w:t>
            </w:r>
            <w:r>
              <w:rPr>
                <w:rFonts w:ascii="宋体" w:hAnsi="宋体" w:cs="宋体" w:eastAsia="宋体" w:hint="default"/>
                <w:sz w:val="21"/>
                <w:szCs w:val="21"/>
              </w:rPr>
              <w:t>公积</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提取一</w:t>
            </w:r>
            <w:r>
              <w:rPr>
                <w:rFonts w:ascii="宋体" w:hAnsi="宋体" w:cs="宋体" w:eastAsia="宋体" w:hint="default"/>
                <w:spacing w:val="-2"/>
                <w:sz w:val="21"/>
                <w:szCs w:val="21"/>
              </w:rPr>
              <w:t>般</w:t>
            </w:r>
            <w:r>
              <w:rPr>
                <w:rFonts w:ascii="宋体" w:hAnsi="宋体" w:cs="宋体" w:eastAsia="宋体" w:hint="default"/>
                <w:sz w:val="21"/>
                <w:szCs w:val="21"/>
              </w:rPr>
              <w:t>风险</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14"/>
                <w:sz w:val="21"/>
                <w:szCs w:val="21"/>
              </w:rPr>
              <w:t>3</w:t>
            </w:r>
            <w:r>
              <w:rPr>
                <w:rFonts w:ascii="宋体" w:hAnsi="宋体" w:cs="宋体" w:eastAsia="宋体" w:hint="default"/>
                <w:spacing w:val="-14"/>
                <w:sz w:val="21"/>
                <w:szCs w:val="21"/>
              </w:rPr>
              <w:t>．对所有者（或</w:t>
            </w:r>
          </w:p>
          <w:p>
            <w:pPr>
              <w:pStyle w:val="TableParagraph"/>
              <w:spacing w:line="240" w:lineRule="auto" w:before="21"/>
              <w:ind w:left="101" w:right="0"/>
              <w:jc w:val="left"/>
              <w:rPr>
                <w:rFonts w:ascii="宋体" w:hAnsi="宋体" w:cs="宋体" w:eastAsia="宋体" w:hint="default"/>
                <w:sz w:val="21"/>
                <w:szCs w:val="21"/>
              </w:rPr>
            </w:pPr>
            <w:r>
              <w:rPr>
                <w:rFonts w:ascii="宋体" w:hAnsi="宋体" w:cs="宋体" w:eastAsia="宋体" w:hint="default"/>
                <w:sz w:val="21"/>
                <w:szCs w:val="21"/>
              </w:rPr>
              <w:t>股东）的分配</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益内部结转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pacing w:val="-105"/>
                <w:sz w:val="21"/>
                <w:szCs w:val="21"/>
              </w:rPr>
              <w:t>．</w:t>
            </w:r>
            <w:r>
              <w:rPr>
                <w:rFonts w:ascii="宋体" w:hAnsi="宋体" w:cs="宋体" w:eastAsia="宋体" w:hint="default"/>
                <w:sz w:val="21"/>
                <w:szCs w:val="21"/>
              </w:rPr>
              <w:t>资本公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转增</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资本（或股本）</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pacing w:val="-105"/>
                <w:sz w:val="21"/>
                <w:szCs w:val="21"/>
              </w:rPr>
              <w:t>．</w:t>
            </w:r>
            <w:r>
              <w:rPr>
                <w:rFonts w:ascii="宋体" w:hAnsi="宋体" w:cs="宋体" w:eastAsia="宋体" w:hint="default"/>
                <w:sz w:val="21"/>
                <w:szCs w:val="21"/>
              </w:rPr>
              <w:t>盈余公</w:t>
            </w:r>
            <w:r>
              <w:rPr>
                <w:rFonts w:ascii="宋体" w:hAnsi="宋体" w:cs="宋体" w:eastAsia="宋体" w:hint="default"/>
                <w:spacing w:val="-2"/>
                <w:sz w:val="21"/>
                <w:szCs w:val="21"/>
              </w:rPr>
              <w:t>积</w:t>
            </w:r>
            <w:r>
              <w:rPr>
                <w:rFonts w:ascii="宋体" w:hAnsi="宋体" w:cs="宋体" w:eastAsia="宋体" w:hint="default"/>
                <w:sz w:val="21"/>
                <w:szCs w:val="21"/>
              </w:rPr>
              <w:t>弥补</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亏损</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3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1686"/>
        <w:gridCol w:w="1530"/>
        <w:gridCol w:w="1529"/>
        <w:gridCol w:w="636"/>
        <w:gridCol w:w="1319"/>
        <w:gridCol w:w="1424"/>
        <w:gridCol w:w="426"/>
        <w:gridCol w:w="1598"/>
        <w:gridCol w:w="884"/>
        <w:gridCol w:w="1319"/>
        <w:gridCol w:w="1598"/>
      </w:tblGrid>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4,297,703.07</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4,297,703.07</w:t>
            </w: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7,333,885.74</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7,333,885.74</w:t>
            </w:r>
          </w:p>
        </w:tc>
      </w:tr>
      <w:tr>
        <w:trPr>
          <w:trHeight w:val="328"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3,036,182.67</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3,036,182.67</w:t>
            </w:r>
          </w:p>
        </w:tc>
      </w:tr>
      <w:tr>
        <w:trPr>
          <w:trHeight w:val="326"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30"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额</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6,378,720.72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-130,519,494.41</w:t>
            </w:r>
          </w:p>
        </w:tc>
        <w:tc>
          <w:tcPr>
            <w:tcW w:w="884"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4,947,170.96</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624,511,196.89</w:t>
            </w:r>
          </w:p>
        </w:tc>
      </w:tr>
    </w:tbl>
    <w:p>
      <w:pPr>
        <w:pStyle w:val="BodyText"/>
        <w:spacing w:line="260" w:lineRule="exact"/>
        <w:ind w:left="139" w:right="0"/>
        <w:jc w:val="left"/>
      </w:pPr>
      <w:r>
        <w:rPr/>
        <w:t>法定代表人：王宏伟 主管会计工作负责人：刘亚芳</w:t>
      </w:r>
      <w:r>
        <w:rPr>
          <w:spacing w:val="-4"/>
        </w:rPr>
        <w:t> </w:t>
      </w:r>
      <w:r>
        <w:rPr/>
        <w:t>会计机构负责人：周芳苇</w:t>
      </w:r>
    </w:p>
    <w:p>
      <w:pPr>
        <w:spacing w:line="240" w:lineRule="auto" w:before="0"/>
        <w:rPr>
          <w:rFonts w:ascii="宋体" w:hAnsi="宋体" w:cs="宋体" w:eastAsia="宋体" w:hint="default"/>
          <w:sz w:val="24"/>
          <w:szCs w:val="24"/>
        </w:rPr>
      </w:pPr>
    </w:p>
    <w:p>
      <w:pPr>
        <w:spacing w:after="0" w:line="240" w:lineRule="auto"/>
        <w:rPr>
          <w:rFonts w:ascii="宋体" w:hAnsi="宋体" w:cs="宋体" w:eastAsia="宋体" w:hint="default"/>
          <w:sz w:val="24"/>
          <w:szCs w:val="24"/>
        </w:rPr>
        <w:sectPr>
          <w:pgSz w:w="16840" w:h="11910" w:orient="landscape"/>
          <w:pgMar w:header="877" w:footer="978" w:top="1100" w:bottom="1160" w:left="1300" w:right="1200"/>
        </w:sectPr>
      </w:pPr>
    </w:p>
    <w:p>
      <w:pPr>
        <w:pStyle w:val="Heading1"/>
        <w:spacing w:line="240" w:lineRule="auto"/>
        <w:ind w:left="0" w:right="0"/>
        <w:jc w:val="right"/>
        <w:rPr>
          <w:b w:val="0"/>
          <w:bCs w:val="0"/>
        </w:rPr>
      </w:pPr>
      <w:r>
        <w:rPr>
          <w:w w:val="95"/>
        </w:rPr>
        <w:t>母公司所有者权益变动表</w:t>
      </w:r>
      <w:r>
        <w:rPr>
          <w:b w:val="0"/>
          <w:bCs w:val="0"/>
        </w:rPr>
      </w:r>
    </w:p>
    <w:p>
      <w:pPr>
        <w:pStyle w:val="BodyText"/>
        <w:spacing w:line="240" w:lineRule="auto" w:before="37"/>
        <w:ind w:left="0" w:right="395"/>
        <w:jc w:val="right"/>
      </w:pPr>
      <w:r>
        <w:rPr>
          <w:rFonts w:ascii="Times New Roman" w:hAnsi="Times New Roman" w:cs="Times New Roman" w:eastAsia="Times New Roman" w:hint="default"/>
        </w:rPr>
        <w:t>2010</w:t>
      </w:r>
      <w:r>
        <w:rPr>
          <w:rFonts w:ascii="Times New Roman" w:hAnsi="Times New Roman" w:cs="Times New Roman" w:eastAsia="Times New Roman" w:hint="default"/>
          <w:spacing w:val="-3"/>
        </w:rPr>
        <w:t> </w:t>
      </w:r>
      <w:r>
        <w:rPr/>
        <w:t>年</w:t>
      </w:r>
      <w:r>
        <w:rPr>
          <w:spacing w:val="-55"/>
        </w:rPr>
        <w:t> </w:t>
      </w:r>
      <w:r>
        <w:rPr>
          <w:rFonts w:ascii="Times New Roman" w:hAnsi="Times New Roman" w:cs="Times New Roman" w:eastAsia="Times New Roman" w:hint="default"/>
        </w:rPr>
        <w:t>1</w:t>
      </w:r>
      <w:r>
        <w:rPr/>
        <w:t>—</w:t>
      </w:r>
      <w:r>
        <w:rPr>
          <w:rFonts w:ascii="Times New Roman" w:hAnsi="Times New Roman" w:cs="Times New Roman" w:eastAsia="Times New Roman" w:hint="default"/>
        </w:rPr>
        <w:t>12</w:t>
      </w:r>
      <w:r>
        <w:rPr>
          <w:rFonts w:ascii="Times New Roman" w:hAnsi="Times New Roman" w:cs="Times New Roman" w:eastAsia="Times New Roman" w:hint="default"/>
          <w:spacing w:val="-2"/>
        </w:rPr>
        <w:t> </w:t>
      </w:r>
      <w:r>
        <w:rPr/>
        <w:t>月</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5"/>
        <w:rPr>
          <w:rFonts w:ascii="宋体" w:hAnsi="宋体" w:cs="宋体" w:eastAsia="宋体" w:hint="default"/>
          <w:sz w:val="28"/>
          <w:szCs w:val="28"/>
        </w:rPr>
      </w:pPr>
    </w:p>
    <w:p>
      <w:pPr>
        <w:pStyle w:val="BodyText"/>
        <w:spacing w:line="240" w:lineRule="auto"/>
        <w:ind w:left="387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6840" w:h="11910" w:orient="landscape"/>
          <w:pgMar w:top="1600" w:bottom="280" w:left="1300" w:right="1200"/>
          <w:cols w:num="2" w:equalWidth="0">
            <w:col w:w="8277" w:space="40"/>
            <w:col w:w="6023"/>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977"/>
        <w:gridCol w:w="1529"/>
        <w:gridCol w:w="1529"/>
        <w:gridCol w:w="636"/>
        <w:gridCol w:w="1424"/>
        <w:gridCol w:w="1423"/>
        <w:gridCol w:w="426"/>
        <w:gridCol w:w="1600"/>
        <w:gridCol w:w="1531"/>
      </w:tblGrid>
      <w:tr>
        <w:trPr>
          <w:trHeight w:val="328" w:hRule="exact"/>
        </w:trPr>
        <w:tc>
          <w:tcPr>
            <w:tcW w:w="3977"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0098"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本期金额</w:t>
            </w:r>
          </w:p>
        </w:tc>
      </w:tr>
      <w:tr>
        <w:trPr>
          <w:trHeight w:val="1886" w:hRule="exact"/>
        </w:trPr>
        <w:tc>
          <w:tcPr>
            <w:tcW w:w="3977"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专项储备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652" w:right="126"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32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6,378,720.72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-120,849,285.57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629,234,234.77</w:t>
            </w:r>
          </w:p>
        </w:tc>
      </w:tr>
      <w:tr>
        <w:trPr>
          <w:trHeight w:val="389"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654"/>
              <w:jc w:val="righ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right="1654"/>
              <w:jc w:val="righ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6" w:right="0"/>
              <w:jc w:val="center"/>
              <w:rPr>
                <w:rFonts w:ascii="Times New Roman" w:hAnsi="Times New Roman" w:cs="Times New Roman" w:eastAsia="Times New Roman" w:hint="default"/>
                <w:sz w:val="21"/>
                <w:szCs w:val="21"/>
              </w:rPr>
            </w:pPr>
            <w:r>
              <w:rPr>
                <w:rFonts w:ascii="Times New Roman"/>
                <w:sz w:val="21"/>
              </w:rPr>
              <w:t>6,378,720.72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-120,849,285.57</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629,234,234.77</w:t>
            </w:r>
          </w:p>
        </w:tc>
      </w:tr>
      <w:tr>
        <w:trPr>
          <w:trHeight w:val="640"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三、本期增减变动金额（减少以“－”号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6" w:right="0"/>
              <w:jc w:val="center"/>
              <w:rPr>
                <w:rFonts w:ascii="Times New Roman" w:hAnsi="Times New Roman" w:cs="Times New Roman" w:eastAsia="Times New Roman" w:hint="default"/>
                <w:sz w:val="21"/>
                <w:szCs w:val="21"/>
              </w:rPr>
            </w:pPr>
            <w:r>
              <w:rPr>
                <w:rFonts w:ascii="Times New Roman"/>
                <w:sz w:val="21"/>
              </w:rPr>
              <w:t>5,892,943.36</w:t>
            </w: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18,307,538.24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24,200,481.60</w:t>
            </w:r>
          </w:p>
        </w:tc>
      </w:tr>
    </w:tbl>
    <w:p>
      <w:pPr>
        <w:spacing w:after="0" w:line="240" w:lineRule="auto"/>
        <w:jc w:val="right"/>
        <w:rPr>
          <w:rFonts w:ascii="Times New Roman" w:hAnsi="Times New Roman" w:cs="Times New Roman" w:eastAsia="Times New Roman" w:hint="default"/>
          <w:sz w:val="21"/>
          <w:szCs w:val="21"/>
        </w:rPr>
        <w:sectPr>
          <w:type w:val="continuous"/>
          <w:pgSz w:w="16840" w:h="11910" w:orient="landscape"/>
          <w:pgMar w:top="1600" w:bottom="28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1"/>
        <w:rPr>
          <w:rFonts w:ascii="Times New Roman" w:hAnsi="Times New Roman" w:cs="Times New Roman" w:eastAsia="Times New Roman" w:hint="default"/>
          <w:sz w:val="18"/>
          <w:szCs w:val="18"/>
        </w:rPr>
      </w:pPr>
    </w:p>
    <w:tbl>
      <w:tblPr>
        <w:tblW w:w="0" w:type="auto"/>
        <w:jc w:val="left"/>
        <w:tblInd w:w="124" w:type="dxa"/>
        <w:tblLayout w:type="fixed"/>
        <w:tblCellMar>
          <w:top w:w="0" w:type="dxa"/>
          <w:left w:w="0" w:type="dxa"/>
          <w:bottom w:w="0" w:type="dxa"/>
          <w:right w:w="0" w:type="dxa"/>
        </w:tblCellMar>
        <w:tblLook w:val="01E0"/>
      </w:tblPr>
      <w:tblGrid>
        <w:gridCol w:w="3977"/>
        <w:gridCol w:w="1529"/>
        <w:gridCol w:w="1529"/>
        <w:gridCol w:w="636"/>
        <w:gridCol w:w="1424"/>
        <w:gridCol w:w="1423"/>
        <w:gridCol w:w="426"/>
        <w:gridCol w:w="1600"/>
        <w:gridCol w:w="1531"/>
      </w:tblGrid>
      <w:tr>
        <w:trPr>
          <w:trHeight w:val="326"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18,307,538.24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18,307,538.24</w:t>
            </w:r>
          </w:p>
        </w:tc>
      </w:tr>
      <w:tr>
        <w:trPr>
          <w:trHeight w:val="326"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18,307,538.24</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18,307,538.24</w:t>
            </w:r>
          </w:p>
        </w:tc>
      </w:tr>
      <w:tr>
        <w:trPr>
          <w:trHeight w:val="326"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5,892,943.36</w:t>
            </w: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5,892,943.36</w:t>
            </w:r>
          </w:p>
        </w:tc>
      </w:tr>
      <w:tr>
        <w:trPr>
          <w:trHeight w:val="32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7,647,735.44</w:t>
            </w: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7,647,735.44</w:t>
            </w:r>
          </w:p>
        </w:tc>
      </w:tr>
      <w:tr>
        <w:trPr>
          <w:trHeight w:val="326"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1,754,792.08</w:t>
            </w: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1,754,792.08</w:t>
            </w:r>
          </w:p>
        </w:tc>
      </w:tr>
      <w:tr>
        <w:trPr>
          <w:trHeight w:val="32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c>
          <w:tcPr>
            <w:tcW w:w="1531"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12,271,664.08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1" w:right="0"/>
              <w:jc w:val="left"/>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-102,541,747.33</w:t>
            </w:r>
          </w:p>
        </w:tc>
        <w:tc>
          <w:tcPr>
            <w:tcW w:w="15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653,434,716.37</w:t>
            </w:r>
          </w:p>
        </w:tc>
      </w:tr>
    </w:tbl>
    <w:p>
      <w:pPr>
        <w:spacing w:after="0" w:line="240" w:lineRule="auto"/>
        <w:jc w:val="right"/>
        <w:rPr>
          <w:rFonts w:ascii="Times New Roman" w:hAnsi="Times New Roman" w:cs="Times New Roman" w:eastAsia="Times New Roman" w:hint="default"/>
          <w:sz w:val="21"/>
          <w:szCs w:val="21"/>
        </w:rPr>
        <w:sectPr>
          <w:pgSz w:w="16840" w:h="11910" w:orient="landscape"/>
          <w:pgMar w:header="877" w:footer="978" w:top="1100" w:bottom="1160" w:left="1300" w:right="120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8"/>
        <w:rPr>
          <w:rFonts w:ascii="Times New Roman" w:hAnsi="Times New Roman" w:cs="Times New Roman" w:eastAsia="Times New Roman" w:hint="default"/>
          <w:sz w:val="17"/>
          <w:szCs w:val="17"/>
        </w:rPr>
      </w:pPr>
    </w:p>
    <w:p>
      <w:pPr>
        <w:pStyle w:val="BodyText"/>
        <w:spacing w:line="240" w:lineRule="auto"/>
        <w:ind w:left="0" w:right="239"/>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4014"/>
        <w:gridCol w:w="1529"/>
        <w:gridCol w:w="1529"/>
        <w:gridCol w:w="636"/>
        <w:gridCol w:w="1319"/>
        <w:gridCol w:w="1424"/>
        <w:gridCol w:w="426"/>
        <w:gridCol w:w="1598"/>
        <w:gridCol w:w="1600"/>
      </w:tblGrid>
      <w:tr>
        <w:trPr>
          <w:trHeight w:val="328" w:hRule="exact"/>
        </w:trPr>
        <w:tc>
          <w:tcPr>
            <w:tcW w:w="4014"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6"/>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0061" w:type="dxa"/>
            <w:gridSpan w:val="8"/>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上年同期金额</w:t>
            </w:r>
          </w:p>
        </w:tc>
      </w:tr>
      <w:tr>
        <w:trPr>
          <w:trHeight w:val="1886" w:hRule="exact"/>
        </w:trPr>
        <w:tc>
          <w:tcPr>
            <w:tcW w:w="401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441" w:right="125" w:hanging="315"/>
              <w:jc w:val="left"/>
              <w:rPr>
                <w:rFonts w:ascii="宋体" w:hAnsi="宋体" w:cs="宋体" w:eastAsia="宋体" w:hint="default"/>
                <w:sz w:val="21"/>
                <w:szCs w:val="21"/>
              </w:rPr>
            </w:pPr>
            <w:r>
              <w:rPr>
                <w:rFonts w:ascii="宋体" w:hAnsi="宋体" w:cs="宋体" w:eastAsia="宋体" w:hint="default"/>
                <w:sz w:val="21"/>
                <w:szCs w:val="21"/>
              </w:rPr>
              <w:t>实收资本（或 股本）</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资本公积</w:t>
            </w:r>
          </w:p>
        </w:tc>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减： 库存 股</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专项储备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盈余公积</w:t>
            </w:r>
          </w:p>
        </w:tc>
        <w:tc>
          <w:tcPr>
            <w:tcW w:w="4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一</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般 风 险 准 备</w:t>
            </w: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66" w:right="0"/>
              <w:jc w:val="left"/>
              <w:rPr>
                <w:rFonts w:ascii="宋体" w:hAnsi="宋体" w:cs="宋体" w:eastAsia="宋体" w:hint="default"/>
                <w:sz w:val="21"/>
                <w:szCs w:val="21"/>
              </w:rPr>
            </w:pPr>
            <w:r>
              <w:rPr>
                <w:rFonts w:ascii="宋体" w:hAnsi="宋体" w:cs="宋体" w:eastAsia="宋体" w:hint="default"/>
                <w:sz w:val="21"/>
                <w:szCs w:val="21"/>
              </w:rPr>
              <w:t>未分配利润</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686" w:right="161" w:hanging="525"/>
              <w:jc w:val="left"/>
              <w:rPr>
                <w:rFonts w:ascii="宋体" w:hAnsi="宋体" w:cs="宋体" w:eastAsia="宋体" w:hint="default"/>
                <w:sz w:val="21"/>
                <w:szCs w:val="21"/>
              </w:rPr>
            </w:pPr>
            <w:r>
              <w:rPr>
                <w:rFonts w:ascii="宋体" w:hAnsi="宋体" w:cs="宋体" w:eastAsia="宋体" w:hint="default"/>
                <w:sz w:val="21"/>
                <w:szCs w:val="21"/>
              </w:rPr>
              <w:t>所有者权益合 计</w:t>
            </w: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一、上年年末余额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30,148,477.71</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111,185,121.89</w:t>
            </w:r>
            <w:r>
              <w:rPr>
                <w:rFonts w:ascii="Times New Roman"/>
                <w:sz w:val="21"/>
              </w:rPr>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856,970,939.16</w:t>
            </w:r>
          </w:p>
        </w:tc>
      </w:tr>
      <w:tr>
        <w:trPr>
          <w:trHeight w:val="389"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626" w:right="0"/>
              <w:jc w:val="left"/>
              <w:rPr>
                <w:rFonts w:ascii="宋体" w:hAnsi="宋体" w:cs="宋体" w:eastAsia="宋体" w:hint="default"/>
                <w:sz w:val="21"/>
                <w:szCs w:val="21"/>
              </w:rPr>
            </w:pPr>
            <w:r>
              <w:rPr>
                <w:rFonts w:ascii="宋体" w:hAnsi="宋体" w:cs="宋体" w:eastAsia="宋体" w:hint="default"/>
                <w:sz w:val="21"/>
                <w:szCs w:val="21"/>
              </w:rPr>
              <w:t>加：会计政策变更</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 w:right="0"/>
              <w:jc w:val="center"/>
              <w:rPr>
                <w:rFonts w:ascii="Times New Roman" w:hAnsi="Times New Roman" w:cs="Times New Roman" w:eastAsia="Times New Roman" w:hint="default"/>
                <w:sz w:val="21"/>
                <w:szCs w:val="21"/>
              </w:rPr>
            </w:pPr>
            <w:r>
              <w:rPr>
                <w:rFonts w:ascii="Times New Roman"/>
                <w:sz w:val="21"/>
              </w:rPr>
              <w:t>2,081,017.65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36" w:right="0"/>
              <w:jc w:val="center"/>
              <w:rPr>
                <w:rFonts w:ascii="Times New Roman" w:hAnsi="Times New Roman" w:cs="Times New Roman" w:eastAsia="Times New Roman" w:hint="default"/>
                <w:sz w:val="21"/>
                <w:szCs w:val="21"/>
              </w:rPr>
            </w:pPr>
            <w:r>
              <w:rPr>
                <w:rFonts w:ascii="Times New Roman"/>
                <w:sz w:val="21"/>
              </w:rPr>
              <w:t>-2,081,017.65</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21"/>
                <w:szCs w:val="21"/>
              </w:rPr>
            </w:pPr>
            <w:r>
              <w:rPr>
                <w:rFonts w:ascii="宋体" w:hAnsi="宋体" w:cs="宋体" w:eastAsia="宋体" w:hint="default"/>
                <w:sz w:val="21"/>
                <w:szCs w:val="21"/>
              </w:rPr>
              <w:t>前期差错更正</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04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二、本年年初余额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2,081,017.65</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111,185,121.89</w:t>
            </w:r>
            <w:r>
              <w:rPr>
                <w:rFonts w:ascii="Times New Roman"/>
                <w:sz w:val="21"/>
              </w:rPr>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856,970,939.16</w:t>
            </w:r>
          </w:p>
        </w:tc>
      </w:tr>
      <w:tr>
        <w:trPr>
          <w:trHeight w:val="63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三、本期增减变动金额（减少以“－”号</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填列）</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4,297,703.07</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-232,034,407.46</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-227,736,704.39</w:t>
            </w: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（一）净利润</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-232,034,407.46</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-232,034,407.46</w:t>
            </w:r>
          </w:p>
        </w:tc>
      </w:tr>
      <w:tr>
        <w:trPr>
          <w:trHeight w:val="326"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（二）其他综合收益</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上述（一）和（二）小计</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-232,034,407.46</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-232,034,407.46</w:t>
            </w:r>
          </w:p>
        </w:tc>
      </w:tr>
      <w:tr>
        <w:trPr>
          <w:trHeight w:val="326"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（三）所有者投入和减少资本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．所有者投入资本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．股份支付计入所有者权益的金额</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（四）利润分配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．提取盈余公积</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提取一般风险准备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bl>
    <w:p>
      <w:pPr>
        <w:spacing w:after="0"/>
        <w:sectPr>
          <w:pgSz w:w="16840" w:h="11910" w:orient="landscape"/>
          <w:pgMar w:header="877" w:footer="978" w:top="1100" w:bottom="1160" w:left="1300" w:right="12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1"/>
          <w:szCs w:val="11"/>
        </w:rPr>
      </w:pPr>
    </w:p>
    <w:tbl>
      <w:tblPr>
        <w:tblW w:w="0" w:type="auto"/>
        <w:jc w:val="left"/>
        <w:tblInd w:w="124" w:type="dxa"/>
        <w:tblLayout w:type="fixed"/>
        <w:tblCellMar>
          <w:top w:w="0" w:type="dxa"/>
          <w:left w:w="0" w:type="dxa"/>
          <w:bottom w:w="0" w:type="dxa"/>
          <w:right w:w="0" w:type="dxa"/>
        </w:tblCellMar>
        <w:tblLook w:val="01E0"/>
      </w:tblPr>
      <w:tblGrid>
        <w:gridCol w:w="4014"/>
        <w:gridCol w:w="1529"/>
        <w:gridCol w:w="1529"/>
        <w:gridCol w:w="636"/>
        <w:gridCol w:w="1319"/>
        <w:gridCol w:w="1424"/>
        <w:gridCol w:w="426"/>
        <w:gridCol w:w="1598"/>
        <w:gridCol w:w="1600"/>
      </w:tblGrid>
      <w:tr>
        <w:trPr>
          <w:trHeight w:val="326"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．对所有者（或股东）的分配</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（五）所有者权益内部结转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．资本公积转增资本（或股本）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．盈余公积转增资本（或股本）</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．盈余公积弥补亏损</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（六）专项储备</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4,297,703.07</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4,297,703.07</w:t>
            </w: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．本期提取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7,333,885.74</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7,333,885.74</w:t>
            </w:r>
          </w:p>
        </w:tc>
      </w:tr>
      <w:tr>
        <w:trPr>
          <w:trHeight w:val="326"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．本期使用</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3,036,182.67</w:t>
            </w: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3,036,182.67</w:t>
            </w: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（七）其他</w:t>
            </w:r>
          </w:p>
        </w:tc>
        <w:tc>
          <w:tcPr>
            <w:tcW w:w="152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
        </w:tc>
        <w:tc>
          <w:tcPr>
            <w:tcW w:w="16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0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四、本期期末余额</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390,000,000.00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325,637,339.56</w:t>
            </w:r>
          </w:p>
        </w:tc>
        <w:tc>
          <w:tcPr>
            <w:tcW w:w="636"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6,378,720.72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2" w:right="0"/>
              <w:jc w:val="left"/>
              <w:rPr>
                <w:rFonts w:ascii="Times New Roman" w:hAnsi="Times New Roman" w:cs="Times New Roman" w:eastAsia="Times New Roman" w:hint="default"/>
                <w:sz w:val="21"/>
                <w:szCs w:val="21"/>
              </w:rPr>
            </w:pPr>
            <w:r>
              <w:rPr>
                <w:rFonts w:ascii="Times New Roman"/>
                <w:sz w:val="21"/>
              </w:rPr>
              <w:t>28,067,460.06</w:t>
            </w:r>
          </w:p>
        </w:tc>
        <w:tc>
          <w:tcPr>
            <w:tcW w:w="426" w:type="dxa"/>
            <w:tcBorders>
              <w:top w:val="single" w:sz="6" w:space="0" w:color="000000"/>
              <w:left w:val="single" w:sz="6" w:space="0" w:color="000000"/>
              <w:bottom w:val="single" w:sz="6" w:space="0" w:color="000000"/>
              <w:right w:val="single" w:sz="6" w:space="0" w:color="000000"/>
            </w:tcBorders>
          </w:tcPr>
          <w:p>
            <w:pPr/>
          </w:p>
        </w:tc>
        <w:tc>
          <w:tcPr>
            <w:tcW w:w="15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-120,849,285.57</w:t>
            </w:r>
          </w:p>
        </w:tc>
        <w:tc>
          <w:tcPr>
            <w:tcW w:w="1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629,234,234.77</w:t>
            </w:r>
          </w:p>
        </w:tc>
      </w:tr>
    </w:tbl>
    <w:p>
      <w:pPr>
        <w:pStyle w:val="BodyText"/>
        <w:spacing w:line="260" w:lineRule="exact"/>
        <w:ind w:left="139" w:right="0"/>
        <w:jc w:val="left"/>
      </w:pPr>
      <w:r>
        <w:rPr/>
        <w:t>法定代表人：王宏伟 主管会计工作负责人：刘亚芳</w:t>
      </w:r>
      <w:r>
        <w:rPr>
          <w:spacing w:val="-4"/>
        </w:rPr>
        <w:t> </w:t>
      </w:r>
      <w:r>
        <w:rPr/>
        <w:t>会计机构负责人：周芳苇</w:t>
      </w:r>
    </w:p>
    <w:p>
      <w:pPr>
        <w:spacing w:after="0" w:line="260" w:lineRule="exact"/>
        <w:jc w:val="left"/>
        <w:sectPr>
          <w:pgSz w:w="16840" w:h="11910" w:orient="landscape"/>
          <w:pgMar w:header="877" w:footer="978" w:top="1100" w:bottom="1160" w:left="1300" w:right="1200"/>
        </w:sectPr>
      </w:pPr>
    </w:p>
    <w:p>
      <w:pPr>
        <w:spacing w:line="240" w:lineRule="auto" w:before="2"/>
        <w:rPr>
          <w:rFonts w:ascii="宋体" w:hAnsi="宋体" w:cs="宋体" w:eastAsia="宋体" w:hint="default"/>
          <w:sz w:val="10"/>
          <w:szCs w:val="10"/>
        </w:rPr>
      </w:pPr>
    </w:p>
    <w:p>
      <w:pPr>
        <w:pStyle w:val="BodyText"/>
        <w:spacing w:line="240" w:lineRule="auto" w:before="35"/>
        <w:ind w:left="120" w:right="104"/>
        <w:jc w:val="left"/>
      </w:pPr>
      <w:r>
        <w:rPr>
          <w:rFonts w:ascii="Times New Roman" w:hAnsi="Times New Roman" w:cs="Times New Roman" w:eastAsia="Times New Roman" w:hint="default"/>
        </w:rPr>
        <w:t>(</w:t>
      </w:r>
      <w:r>
        <w:rPr/>
        <w:t>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公司概况</w:t>
      </w:r>
    </w:p>
    <w:p>
      <w:pPr>
        <w:pStyle w:val="BodyText"/>
        <w:spacing w:line="240" w:lineRule="auto" w:before="52"/>
        <w:ind w:left="120" w:right="104"/>
        <w:jc w:val="left"/>
      </w:pPr>
      <w:r>
        <w:rPr>
          <w:rFonts w:ascii="Times New Roman" w:hAnsi="Times New Roman" w:cs="Times New Roman" w:eastAsia="Times New Roman" w:hint="default"/>
        </w:rPr>
        <w:t>1. </w:t>
      </w:r>
      <w:r>
        <w:rPr>
          <w:rFonts w:ascii="Times New Roman" w:hAnsi="Times New Roman" w:cs="Times New Roman" w:eastAsia="Times New Roman" w:hint="default"/>
          <w:spacing w:val="41"/>
        </w:rPr>
        <w:t> </w:t>
      </w:r>
      <w:r>
        <w:rPr>
          <w:spacing w:val="2"/>
        </w:rPr>
        <w:t>黑龙江黑化股份有限公司（以下简称</w:t>
      </w:r>
      <w:r>
        <w:rPr>
          <w:rFonts w:ascii="Times New Roman" w:hAnsi="Times New Roman" w:cs="Times New Roman" w:eastAsia="Times New Roman" w:hint="default"/>
          <w:spacing w:val="2"/>
        </w:rPr>
        <w:t>"</w:t>
      </w:r>
      <w:r>
        <w:rPr>
          <w:spacing w:val="2"/>
        </w:rPr>
        <w:t>公司</w:t>
      </w:r>
      <w:r>
        <w:rPr>
          <w:rFonts w:ascii="Times New Roman" w:hAnsi="Times New Roman" w:cs="Times New Roman" w:eastAsia="Times New Roman" w:hint="default"/>
          <w:spacing w:val="2"/>
        </w:rPr>
        <w:t>"</w:t>
      </w:r>
      <w:r>
        <w:rPr>
          <w:spacing w:val="2"/>
        </w:rPr>
        <w:t>或</w:t>
      </w:r>
      <w:r>
        <w:rPr>
          <w:rFonts w:ascii="Times New Roman" w:hAnsi="Times New Roman" w:cs="Times New Roman" w:eastAsia="Times New Roman" w:hint="default"/>
          <w:spacing w:val="2"/>
        </w:rPr>
        <w:t>"</w:t>
      </w:r>
      <w:r>
        <w:rPr>
          <w:spacing w:val="2"/>
        </w:rPr>
        <w:t>本公司</w:t>
      </w:r>
      <w:r>
        <w:rPr>
          <w:rFonts w:ascii="Times New Roman" w:hAnsi="Times New Roman" w:cs="Times New Roman" w:eastAsia="Times New Roman" w:hint="default"/>
          <w:spacing w:val="2"/>
        </w:rPr>
        <w:t>"</w:t>
      </w:r>
      <w:r>
        <w:rPr>
          <w:spacing w:val="2"/>
        </w:rPr>
        <w:t>）是经黑龙江省人民政府黑政函</w:t>
      </w:r>
      <w:r>
        <w:rPr/>
      </w:r>
    </w:p>
    <w:p>
      <w:pPr>
        <w:pStyle w:val="BodyText"/>
        <w:spacing w:line="256" w:lineRule="auto" w:before="21"/>
        <w:ind w:left="120" w:right="214"/>
        <w:jc w:val="both"/>
        <w:rPr>
          <w:rFonts w:ascii="Times New Roman" w:hAnsi="Times New Roman" w:cs="Times New Roman" w:eastAsia="Times New Roman" w:hint="default"/>
        </w:rPr>
      </w:pPr>
      <w:r>
        <w:rPr/>
        <w:t>（</w:t>
      </w:r>
      <w:r>
        <w:rPr>
          <w:rFonts w:ascii="Times New Roman" w:hAnsi="Times New Roman" w:cs="Times New Roman" w:eastAsia="Times New Roman" w:hint="default"/>
        </w:rPr>
        <w:t>1998</w:t>
      </w:r>
      <w:r>
        <w:rPr/>
        <w:t>）</w:t>
      </w:r>
      <w:r>
        <w:rPr>
          <w:rFonts w:ascii="Times New Roman" w:hAnsi="Times New Roman" w:cs="Times New Roman" w:eastAsia="Times New Roman" w:hint="default"/>
        </w:rPr>
        <w:t>57</w:t>
      </w:r>
      <w:r>
        <w:rPr>
          <w:rFonts w:ascii="Times New Roman" w:hAnsi="Times New Roman" w:cs="Times New Roman" w:eastAsia="Times New Roman" w:hint="default"/>
          <w:spacing w:val="30"/>
        </w:rPr>
        <w:t> </w:t>
      </w:r>
      <w:r>
        <w:rPr/>
        <w:t>号文批准，由黑龙江黑化集团有限公司（以下简称</w:t>
      </w:r>
      <w:r>
        <w:rPr>
          <w:rFonts w:ascii="Times New Roman" w:hAnsi="Times New Roman" w:cs="Times New Roman" w:eastAsia="Times New Roman" w:hint="default"/>
        </w:rPr>
        <w:t>"</w:t>
      </w:r>
      <w:r>
        <w:rPr/>
        <w:t>黑化集团</w:t>
      </w:r>
      <w:r>
        <w:rPr>
          <w:rFonts w:ascii="Times New Roman" w:hAnsi="Times New Roman" w:cs="Times New Roman" w:eastAsia="Times New Roman" w:hint="default"/>
        </w:rPr>
        <w:t>"</w:t>
      </w:r>
      <w:r>
        <w:rPr/>
        <w:t>）作为独家发起</w:t>
      </w:r>
      <w:r>
        <w:rPr>
          <w:spacing w:val="-99"/>
        </w:rPr>
        <w:t> </w:t>
      </w:r>
      <w:r>
        <w:rPr>
          <w:spacing w:val="-99"/>
        </w:rPr>
      </w:r>
      <w:r>
        <w:rPr/>
        <w:t>人，并以募集方式设立的股份有限公司。经中国证券监督管理委员会证监发字</w:t>
      </w:r>
      <w:r>
        <w:rPr>
          <w:rFonts w:ascii="Times New Roman" w:hAnsi="Times New Roman" w:cs="Times New Roman" w:eastAsia="Times New Roman" w:hint="default"/>
        </w:rPr>
        <w:t>(1998)241</w:t>
      </w:r>
      <w:r>
        <w:rPr>
          <w:rFonts w:ascii="Times New Roman" w:hAnsi="Times New Roman" w:cs="Times New Roman" w:eastAsia="Times New Roman" w:hint="default"/>
          <w:spacing w:val="26"/>
        </w:rPr>
        <w:t> </w:t>
      </w:r>
      <w:r>
        <w:rPr/>
        <w:t>号 和证监发字</w:t>
      </w:r>
      <w:r>
        <w:rPr>
          <w:rFonts w:ascii="Times New Roman" w:hAnsi="Times New Roman" w:cs="Times New Roman" w:eastAsia="Times New Roman" w:hint="default"/>
        </w:rPr>
        <w:t>(1998)242</w:t>
      </w:r>
      <w:r>
        <w:rPr>
          <w:rFonts w:ascii="Times New Roman" w:hAnsi="Times New Roman" w:cs="Times New Roman" w:eastAsia="Times New Roman" w:hint="default"/>
          <w:spacing w:val="-5"/>
        </w:rPr>
        <w:t> </w:t>
      </w:r>
      <w:r>
        <w:rPr/>
        <w:t>号批准</w:t>
      </w:r>
      <w:r>
        <w:rPr>
          <w:rFonts w:ascii="Times New Roman" w:hAnsi="Times New Roman" w:cs="Times New Roman" w:eastAsia="Times New Roman" w:hint="default"/>
        </w:rPr>
        <w:t>,</w:t>
      </w:r>
      <w:r>
        <w:rPr/>
        <w:t>公司于</w:t>
      </w:r>
      <w:r>
        <w:rPr>
          <w:spacing w:val="-57"/>
        </w:rPr>
        <w:t> </w:t>
      </w:r>
      <w:r>
        <w:rPr>
          <w:rFonts w:ascii="Times New Roman" w:hAnsi="Times New Roman" w:cs="Times New Roman" w:eastAsia="Times New Roman" w:hint="default"/>
        </w:rPr>
        <w:t>1998</w:t>
      </w:r>
      <w:r>
        <w:rPr>
          <w:rFonts w:ascii="Times New Roman" w:hAnsi="Times New Roman" w:cs="Times New Roman" w:eastAsia="Times New Roman" w:hint="default"/>
          <w:spacing w:val="-4"/>
        </w:rPr>
        <w:t> </w:t>
      </w:r>
      <w:r>
        <w:rPr/>
        <w:t>年</w:t>
      </w:r>
      <w:r>
        <w:rPr>
          <w:spacing w:val="-57"/>
        </w:rPr>
        <w:t> </w:t>
      </w:r>
      <w:r>
        <w:rPr>
          <w:rFonts w:ascii="Times New Roman" w:hAnsi="Times New Roman" w:cs="Times New Roman" w:eastAsia="Times New Roman" w:hint="default"/>
        </w:rPr>
        <w:t>9</w:t>
      </w:r>
      <w:r>
        <w:rPr>
          <w:rFonts w:ascii="Times New Roman" w:hAnsi="Times New Roman" w:cs="Times New Roman" w:eastAsia="Times New Roman" w:hint="default"/>
          <w:spacing w:val="-4"/>
        </w:rPr>
        <w:t> </w:t>
      </w:r>
      <w:r>
        <w:rPr/>
        <w:t>月</w:t>
      </w:r>
      <w:r>
        <w:rPr>
          <w:spacing w:val="-57"/>
        </w:rPr>
        <w:t> </w:t>
      </w:r>
      <w:r>
        <w:rPr>
          <w:rFonts w:ascii="Times New Roman" w:hAnsi="Times New Roman" w:cs="Times New Roman" w:eastAsia="Times New Roman" w:hint="default"/>
        </w:rPr>
        <w:t>22</w:t>
      </w:r>
      <w:r>
        <w:rPr>
          <w:rFonts w:ascii="Times New Roman" w:hAnsi="Times New Roman" w:cs="Times New Roman" w:eastAsia="Times New Roman" w:hint="default"/>
          <w:spacing w:val="-5"/>
        </w:rPr>
        <w:t> </w:t>
      </w:r>
      <w:r>
        <w:rPr/>
        <w:t>日向社会公开发行人民币普通股</w:t>
      </w:r>
      <w:r>
        <w:rPr>
          <w:spacing w:val="-57"/>
        </w:rPr>
        <w:t> </w:t>
      </w:r>
      <w:r>
        <w:rPr>
          <w:rFonts w:ascii="Times New Roman" w:hAnsi="Times New Roman" w:cs="Times New Roman" w:eastAsia="Times New Roman" w:hint="default"/>
        </w:rPr>
        <w:t>10,000</w:t>
      </w:r>
    </w:p>
    <w:p>
      <w:pPr>
        <w:pStyle w:val="BodyText"/>
        <w:spacing w:line="256" w:lineRule="auto" w:before="5"/>
        <w:ind w:left="119" w:right="216"/>
        <w:jc w:val="both"/>
      </w:pPr>
      <w:r>
        <w:rPr/>
        <w:t>万股。发行后公司总股本为</w:t>
      </w:r>
      <w:r>
        <w:rPr>
          <w:spacing w:val="-57"/>
        </w:rPr>
        <w:t> </w:t>
      </w:r>
      <w:r>
        <w:rPr>
          <w:rFonts w:ascii="Times New Roman" w:hAnsi="Times New Roman" w:cs="Times New Roman" w:eastAsia="Times New Roman" w:hint="default"/>
        </w:rPr>
        <w:t>33,000</w:t>
      </w:r>
      <w:r>
        <w:rPr>
          <w:rFonts w:ascii="Times New Roman" w:hAnsi="Times New Roman" w:cs="Times New Roman" w:eastAsia="Times New Roman" w:hint="default"/>
          <w:spacing w:val="-5"/>
        </w:rPr>
        <w:t> </w:t>
      </w:r>
      <w:r>
        <w:rPr/>
        <w:t>万股，其中法人股</w:t>
      </w:r>
      <w:r>
        <w:rPr>
          <w:spacing w:val="-57"/>
        </w:rPr>
        <w:t> </w:t>
      </w:r>
      <w:r>
        <w:rPr>
          <w:rFonts w:ascii="Times New Roman" w:hAnsi="Times New Roman" w:cs="Times New Roman" w:eastAsia="Times New Roman" w:hint="default"/>
        </w:rPr>
        <w:t>23,000</w:t>
      </w:r>
      <w:r>
        <w:rPr>
          <w:rFonts w:ascii="Times New Roman" w:hAnsi="Times New Roman" w:cs="Times New Roman" w:eastAsia="Times New Roman" w:hint="default"/>
          <w:spacing w:val="-4"/>
        </w:rPr>
        <w:t> </w:t>
      </w:r>
      <w:r>
        <w:rPr>
          <w:spacing w:val="-3"/>
        </w:rPr>
        <w:t>万股，占总股本的</w:t>
      </w:r>
      <w:r>
        <w:rPr>
          <w:spacing w:val="-57"/>
        </w:rPr>
        <w:t> </w:t>
      </w:r>
      <w:r>
        <w:rPr>
          <w:rFonts w:ascii="Times New Roman" w:hAnsi="Times New Roman" w:cs="Times New Roman" w:eastAsia="Times New Roman" w:hint="default"/>
          <w:spacing w:val="-5"/>
        </w:rPr>
        <w:t>69.70%</w:t>
      </w:r>
      <w:r>
        <w:rPr>
          <w:spacing w:val="-5"/>
        </w:rPr>
        <w:t>；社</w:t>
      </w:r>
      <w:r>
        <w:rPr>
          <w:spacing w:val="-15"/>
        </w:rPr>
        <w:t> </w:t>
      </w:r>
      <w:r>
        <w:rPr/>
        <w:t>会公众股</w:t>
      </w:r>
      <w:r>
        <w:rPr>
          <w:spacing w:val="-54"/>
        </w:rPr>
        <w:t> </w:t>
      </w:r>
      <w:r>
        <w:rPr>
          <w:rFonts w:ascii="Times New Roman" w:hAnsi="Times New Roman" w:cs="Times New Roman" w:eastAsia="Times New Roman" w:hint="default"/>
        </w:rPr>
        <w:t>10,000</w:t>
      </w:r>
      <w:r>
        <w:rPr>
          <w:rFonts w:ascii="Times New Roman" w:hAnsi="Times New Roman" w:cs="Times New Roman" w:eastAsia="Times New Roman" w:hint="default"/>
          <w:spacing w:val="-1"/>
        </w:rPr>
        <w:t> </w:t>
      </w:r>
      <w:r>
        <w:rPr/>
        <w:t>万股</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占总股本的</w:t>
      </w:r>
      <w:r>
        <w:rPr>
          <w:spacing w:val="-54"/>
        </w:rPr>
        <w:t> </w:t>
      </w:r>
      <w:r>
        <w:rPr>
          <w:rFonts w:ascii="Times New Roman" w:hAnsi="Times New Roman" w:cs="Times New Roman" w:eastAsia="Times New Roman" w:hint="default"/>
          <w:spacing w:val="-6"/>
        </w:rPr>
        <w:t>30.30%</w:t>
      </w:r>
      <w:r>
        <w:rPr>
          <w:spacing w:val="-6"/>
        </w:rPr>
        <w:t>。根据公司</w:t>
      </w:r>
      <w:r>
        <w:rPr>
          <w:spacing w:val="-54"/>
        </w:rPr>
        <w:t> </w:t>
      </w:r>
      <w:r>
        <w:rPr>
          <w:rFonts w:ascii="Times New Roman" w:hAnsi="Times New Roman" w:cs="Times New Roman" w:eastAsia="Times New Roman" w:hint="default"/>
        </w:rPr>
        <w:t>2006</w:t>
      </w:r>
      <w:r>
        <w:rPr>
          <w:rFonts w:ascii="Times New Roman" w:hAnsi="Times New Roman" w:cs="Times New Roman" w:eastAsia="Times New Roman" w:hint="default"/>
          <w:spacing w:val="-1"/>
        </w:rPr>
        <w:t> </w:t>
      </w:r>
      <w:r>
        <w:rPr/>
        <w:t>年第一次临时股东大会通过的股 权分置改革方案，公司流通股股东每持有</w:t>
      </w:r>
      <w:r>
        <w:rPr>
          <w:spacing w:val="-51"/>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股流通股股份将获得由资本公积定向转增</w:t>
      </w:r>
      <w:r>
        <w:rPr>
          <w:spacing w:val="-51"/>
        </w:rPr>
        <w:t> </w:t>
      </w:r>
      <w:r>
        <w:rPr>
          <w:rFonts w:ascii="Times New Roman" w:hAnsi="Times New Roman" w:cs="Times New Roman" w:eastAsia="Times New Roman" w:hint="default"/>
        </w:rPr>
        <w:t>6</w:t>
      </w:r>
      <w:r>
        <w:rPr>
          <w:rFonts w:ascii="Times New Roman" w:hAnsi="Times New Roman" w:cs="Times New Roman" w:eastAsia="Times New Roman" w:hint="default"/>
          <w:spacing w:val="2"/>
        </w:rPr>
        <w:t> </w:t>
      </w:r>
      <w:r>
        <w:rPr/>
        <w:t>股</w:t>
      </w:r>
    </w:p>
    <w:p>
      <w:pPr>
        <w:pStyle w:val="BodyText"/>
        <w:spacing w:line="240" w:lineRule="auto" w:before="5"/>
        <w:ind w:left="119" w:right="104"/>
        <w:jc w:val="left"/>
      </w:pPr>
      <w:r>
        <w:rPr/>
        <w:t>股份，共计转增 </w:t>
      </w:r>
      <w:r>
        <w:rPr>
          <w:rFonts w:ascii="Times New Roman" w:hAnsi="Times New Roman" w:cs="Times New Roman" w:eastAsia="Times New Roman" w:hint="default"/>
        </w:rPr>
        <w:t>6,000 </w:t>
      </w:r>
      <w:r>
        <w:rPr>
          <w:rFonts w:ascii="Times New Roman" w:hAnsi="Times New Roman" w:cs="Times New Roman" w:eastAsia="Times New Roman" w:hint="default"/>
          <w:spacing w:val="48"/>
        </w:rPr>
        <w:t> </w:t>
      </w:r>
      <w:r>
        <w:rPr/>
        <w:t>万股，作为非流通股获取流通权的对价，转增后公司总股本变更为</w:t>
      </w:r>
    </w:p>
    <w:p>
      <w:pPr>
        <w:pStyle w:val="BodyText"/>
        <w:spacing w:line="256" w:lineRule="auto" w:before="21"/>
        <w:ind w:left="119" w:right="104"/>
        <w:jc w:val="left"/>
      </w:pPr>
      <w:r>
        <w:rPr>
          <w:rFonts w:ascii="Times New Roman" w:hAnsi="Times New Roman" w:cs="Times New Roman" w:eastAsia="Times New Roman" w:hint="default"/>
        </w:rPr>
        <w:t>39,000</w:t>
      </w:r>
      <w:r>
        <w:rPr>
          <w:rFonts w:ascii="Times New Roman" w:hAnsi="Times New Roman" w:cs="Times New Roman" w:eastAsia="Times New Roman" w:hint="default"/>
          <w:spacing w:val="-4"/>
        </w:rPr>
        <w:t> </w:t>
      </w:r>
      <w:r>
        <w:rPr/>
        <w:t>万股，其中法人股</w:t>
      </w:r>
      <w:r>
        <w:rPr>
          <w:spacing w:val="-56"/>
        </w:rPr>
        <w:t> </w:t>
      </w:r>
      <w:r>
        <w:rPr>
          <w:rFonts w:ascii="Times New Roman" w:hAnsi="Times New Roman" w:cs="Times New Roman" w:eastAsia="Times New Roman" w:hint="default"/>
        </w:rPr>
        <w:t>23,000</w:t>
      </w:r>
      <w:r>
        <w:rPr>
          <w:rFonts w:ascii="Times New Roman" w:hAnsi="Times New Roman" w:cs="Times New Roman" w:eastAsia="Times New Roman" w:hint="default"/>
          <w:spacing w:val="-4"/>
        </w:rPr>
        <w:t> </w:t>
      </w:r>
      <w:r>
        <w:rPr/>
        <w:t>万股，占总股本的</w:t>
      </w:r>
      <w:r>
        <w:rPr>
          <w:spacing w:val="-56"/>
        </w:rPr>
        <w:t> </w:t>
      </w:r>
      <w:r>
        <w:rPr>
          <w:rFonts w:ascii="Times New Roman" w:hAnsi="Times New Roman" w:cs="Times New Roman" w:eastAsia="Times New Roman" w:hint="default"/>
        </w:rPr>
        <w:t>58.97%</w:t>
      </w:r>
      <w:r>
        <w:rPr/>
        <w:t>；社会公众股</w:t>
      </w:r>
      <w:r>
        <w:rPr>
          <w:spacing w:val="-56"/>
        </w:rPr>
        <w:t> </w:t>
      </w:r>
      <w:r>
        <w:rPr>
          <w:rFonts w:ascii="Times New Roman" w:hAnsi="Times New Roman" w:cs="Times New Roman" w:eastAsia="Times New Roman" w:hint="default"/>
        </w:rPr>
        <w:t>16,000</w:t>
      </w:r>
      <w:r>
        <w:rPr>
          <w:rFonts w:ascii="Times New Roman" w:hAnsi="Times New Roman" w:cs="Times New Roman" w:eastAsia="Times New Roman" w:hint="default"/>
          <w:spacing w:val="-4"/>
        </w:rPr>
        <w:t> </w:t>
      </w:r>
      <w:r>
        <w:rPr/>
        <w:t>万股</w:t>
      </w:r>
      <w:r>
        <w:rPr>
          <w:rFonts w:ascii="Times New Roman" w:hAnsi="Times New Roman" w:cs="Times New Roman" w:eastAsia="Times New Roman" w:hint="default"/>
        </w:rPr>
        <w:t>,</w:t>
      </w:r>
      <w:r>
        <w:rPr>
          <w:rFonts w:ascii="Times New Roman" w:hAnsi="Times New Roman" w:cs="Times New Roman" w:eastAsia="Times New Roman" w:hint="default"/>
          <w:spacing w:val="46"/>
        </w:rPr>
        <w:t> </w:t>
      </w:r>
      <w:r>
        <w:rPr/>
        <w:t>占总 股本的</w:t>
      </w:r>
      <w:r>
        <w:rPr>
          <w:spacing w:val="-57"/>
        </w:rPr>
        <w:t> </w:t>
      </w:r>
      <w:r>
        <w:rPr>
          <w:rFonts w:ascii="Times New Roman" w:hAnsi="Times New Roman" w:cs="Times New Roman" w:eastAsia="Times New Roman" w:hint="default"/>
        </w:rPr>
        <w:t>41.03%</w:t>
      </w:r>
      <w:r>
        <w:rPr/>
        <w:t>。</w:t>
      </w:r>
    </w:p>
    <w:p>
      <w:pPr>
        <w:pStyle w:val="BodyText"/>
        <w:spacing w:line="240" w:lineRule="auto" w:before="5"/>
        <w:ind w:left="119" w:right="104"/>
        <w:jc w:val="left"/>
      </w:pPr>
      <w:r>
        <w:rPr/>
        <w:t>公司经营范围：焦炭、化学肥料和粗苯、焦油等化工产品。</w:t>
      </w:r>
    </w:p>
    <w:p>
      <w:pPr>
        <w:pStyle w:val="BodyText"/>
        <w:spacing w:line="256" w:lineRule="auto" w:before="37"/>
        <w:ind w:left="119" w:right="104"/>
        <w:jc w:val="left"/>
      </w:pPr>
      <w:r>
        <w:rPr>
          <w:rFonts w:ascii="Times New Roman" w:hAnsi="Times New Roman" w:cs="Times New Roman" w:eastAsia="Times New Roman" w:hint="default"/>
        </w:rPr>
        <w:t>2. </w:t>
      </w:r>
      <w:r>
        <w:rPr/>
        <w:t>本公司注册地址是中国黑龙江省齐齐哈尔市富拉尔基区向阳大街 </w:t>
      </w:r>
      <w:r>
        <w:rPr>
          <w:rFonts w:ascii="Times New Roman" w:hAnsi="Times New Roman" w:cs="Times New Roman" w:eastAsia="Times New Roman" w:hint="default"/>
        </w:rPr>
        <w:t>2</w:t>
      </w:r>
      <w:r>
        <w:rPr>
          <w:rFonts w:ascii="Times New Roman" w:hAnsi="Times New Roman" w:cs="Times New Roman" w:eastAsia="Times New Roman" w:hint="default"/>
          <w:spacing w:val="9"/>
        </w:rPr>
        <w:t> </w:t>
      </w:r>
      <w:r>
        <w:rPr/>
        <w:t>号，总部与注册地为 同一地址，组织形式为股份有限公司。</w:t>
      </w:r>
    </w:p>
    <w:p>
      <w:pPr>
        <w:pStyle w:val="BodyText"/>
        <w:spacing w:line="240" w:lineRule="auto" w:before="22"/>
        <w:ind w:left="119" w:right="10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1"/>
        </w:rPr>
        <w:t> </w:t>
      </w:r>
      <w:r>
        <w:rPr/>
        <w:t>本公司母公司为黑龙江黑化集团有限公司，最终母公司为中国化工集团公司。</w:t>
      </w:r>
    </w:p>
    <w:p>
      <w:pPr>
        <w:spacing w:line="240" w:lineRule="auto" w:before="11"/>
        <w:rPr>
          <w:rFonts w:ascii="宋体" w:hAnsi="宋体" w:cs="宋体" w:eastAsia="宋体" w:hint="default"/>
          <w:sz w:val="27"/>
          <w:szCs w:val="27"/>
        </w:rPr>
      </w:pPr>
    </w:p>
    <w:p>
      <w:pPr>
        <w:pStyle w:val="BodyText"/>
        <w:spacing w:line="295" w:lineRule="auto"/>
        <w:ind w:left="119" w:right="4063"/>
        <w:jc w:val="left"/>
      </w:pPr>
      <w:r>
        <w:rPr>
          <w:rFonts w:ascii="Times New Roman" w:hAnsi="Times New Roman" w:cs="Times New Roman" w:eastAsia="Times New Roman" w:hint="default"/>
        </w:rPr>
        <w:t>(</w:t>
      </w:r>
      <w:r>
        <w:rPr/>
        <w:t>四</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公司主要会计政策、会计估计和前期差错：</w:t>
      </w:r>
      <w:r>
        <w:rPr>
          <w:w w:val="99"/>
        </w:rPr>
        <w:t> </w:t>
      </w:r>
      <w:r>
        <w:rPr>
          <w:rFonts w:ascii="Times New Roman" w:hAnsi="Times New Roman" w:cs="Times New Roman" w:eastAsia="Times New Roman" w:hint="default"/>
        </w:rPr>
        <w:t>1</w:t>
      </w:r>
      <w:r>
        <w:rPr/>
        <w:t>、</w:t>
      </w:r>
      <w:r>
        <w:rPr>
          <w:spacing w:val="-1"/>
        </w:rPr>
        <w:t> </w:t>
      </w:r>
      <w:r>
        <w:rPr/>
        <w:t>财务报表的编制基础：</w:t>
      </w:r>
      <w:r>
        <w:rPr>
          <w:w w:val="99"/>
        </w:rPr>
        <w:t> </w:t>
      </w:r>
      <w:r>
        <w:rPr/>
        <w:t>本公司财务报表以持续经营为编制基础。</w:t>
      </w:r>
    </w:p>
    <w:p>
      <w:pPr>
        <w:spacing w:line="240" w:lineRule="auto" w:before="5"/>
        <w:rPr>
          <w:rFonts w:ascii="宋体" w:hAnsi="宋体" w:cs="宋体" w:eastAsia="宋体" w:hint="default"/>
          <w:sz w:val="25"/>
          <w:szCs w:val="25"/>
        </w:rPr>
      </w:pPr>
    </w:p>
    <w:p>
      <w:pPr>
        <w:pStyle w:val="BodyText"/>
        <w:spacing w:line="278" w:lineRule="auto"/>
        <w:ind w:left="120" w:right="104"/>
        <w:jc w:val="left"/>
      </w:pPr>
      <w:r>
        <w:rPr>
          <w:rFonts w:ascii="Times New Roman" w:hAnsi="Times New Roman" w:cs="Times New Roman" w:eastAsia="Times New Roman" w:hint="default"/>
        </w:rPr>
        <w:t>2</w:t>
      </w:r>
      <w:r>
        <w:rPr/>
        <w:t>、</w:t>
      </w:r>
      <w:r>
        <w:rPr>
          <w:spacing w:val="-1"/>
        </w:rPr>
        <w:t> </w:t>
      </w:r>
      <w:r>
        <w:rPr/>
        <w:t>遵循企业会计准则的声明：</w:t>
      </w:r>
      <w:r>
        <w:rPr/>
        <w:t> 本公司所编制的财务报表符合企业会计准则的要求，真实、完整地反映了公司的财务状况、 经营成果、股东权益变动和现金流量等有关信息。</w:t>
      </w:r>
    </w:p>
    <w:p>
      <w:pPr>
        <w:spacing w:line="240" w:lineRule="auto" w:before="7"/>
        <w:rPr>
          <w:rFonts w:ascii="宋体" w:hAnsi="宋体" w:cs="宋体" w:eastAsia="宋体" w:hint="default"/>
          <w:sz w:val="26"/>
          <w:szCs w:val="26"/>
        </w:rPr>
      </w:pPr>
    </w:p>
    <w:p>
      <w:pPr>
        <w:pStyle w:val="BodyText"/>
        <w:spacing w:line="240" w:lineRule="auto"/>
        <w:ind w:left="120" w:right="104"/>
        <w:jc w:val="left"/>
      </w:pPr>
      <w:r>
        <w:rPr>
          <w:rFonts w:ascii="Times New Roman" w:hAnsi="Times New Roman" w:cs="Times New Roman" w:eastAsia="Times New Roman" w:hint="default"/>
        </w:rPr>
        <w:t>3</w:t>
      </w:r>
      <w:r>
        <w:rPr/>
        <w:t>、 会计期间：</w:t>
      </w:r>
    </w:p>
    <w:p>
      <w:pPr>
        <w:pStyle w:val="BodyText"/>
        <w:spacing w:line="240" w:lineRule="auto" w:before="52"/>
        <w:ind w:left="120" w:right="104"/>
        <w:jc w:val="left"/>
      </w:pPr>
      <w:r>
        <w:rPr/>
        <w:t>本公司会计年度自公历</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月</w:t>
      </w:r>
      <w:r>
        <w:rPr>
          <w:spacing w:val="-5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日起至</w:t>
      </w:r>
      <w:r>
        <w:rPr>
          <w:spacing w:val="-54"/>
        </w:rPr>
        <w:t> </w:t>
      </w:r>
      <w:r>
        <w:rPr>
          <w:rFonts w:ascii="Times New Roman" w:hAnsi="Times New Roman" w:cs="Times New Roman" w:eastAsia="Times New Roman" w:hint="default"/>
        </w:rPr>
        <w:t>12</w:t>
      </w:r>
      <w:r>
        <w:rPr>
          <w:rFonts w:ascii="Times New Roman" w:hAnsi="Times New Roman" w:cs="Times New Roman" w:eastAsia="Times New Roman" w:hint="default"/>
          <w:spacing w:val="-1"/>
        </w:rPr>
        <w:t> </w:t>
      </w:r>
      <w:r>
        <w:rPr/>
        <w:t>月</w:t>
      </w:r>
      <w:r>
        <w:rPr>
          <w:spacing w:val="-54"/>
        </w:rPr>
        <w:t> </w:t>
      </w:r>
      <w:r>
        <w:rPr>
          <w:rFonts w:ascii="Times New Roman" w:hAnsi="Times New Roman" w:cs="Times New Roman" w:eastAsia="Times New Roman" w:hint="default"/>
        </w:rPr>
        <w:t>31</w:t>
      </w:r>
      <w:r>
        <w:rPr>
          <w:rFonts w:ascii="Times New Roman" w:hAnsi="Times New Roman" w:cs="Times New Roman" w:eastAsia="Times New Roman" w:hint="default"/>
          <w:spacing w:val="-2"/>
        </w:rPr>
        <w:t> </w:t>
      </w:r>
      <w:r>
        <w:rPr/>
        <w:t>日止。</w:t>
      </w:r>
    </w:p>
    <w:p>
      <w:pPr>
        <w:spacing w:line="240" w:lineRule="auto" w:before="11"/>
        <w:rPr>
          <w:rFonts w:ascii="宋体" w:hAnsi="宋体" w:cs="宋体" w:eastAsia="宋体" w:hint="default"/>
          <w:sz w:val="27"/>
          <w:szCs w:val="27"/>
        </w:rPr>
      </w:pPr>
    </w:p>
    <w:p>
      <w:pPr>
        <w:pStyle w:val="BodyText"/>
        <w:spacing w:line="283" w:lineRule="auto"/>
        <w:ind w:left="119" w:right="5565"/>
        <w:jc w:val="left"/>
      </w:pPr>
      <w:r>
        <w:rPr>
          <w:rFonts w:ascii="Times New Roman" w:hAnsi="Times New Roman" w:cs="Times New Roman" w:eastAsia="Times New Roman" w:hint="default"/>
        </w:rPr>
        <w:t>4</w:t>
      </w:r>
      <w:r>
        <w:rPr/>
        <w:t>、</w:t>
      </w:r>
      <w:r>
        <w:rPr>
          <w:spacing w:val="-1"/>
        </w:rPr>
        <w:t> </w:t>
      </w:r>
      <w:r>
        <w:rPr/>
        <w:t>记账本位币：</w:t>
      </w:r>
      <w:r>
        <w:rPr/>
        <w:t> 本公司的记账本位币为人民币。</w:t>
      </w:r>
    </w:p>
    <w:p>
      <w:pPr>
        <w:spacing w:line="240" w:lineRule="auto" w:before="2"/>
        <w:rPr>
          <w:rFonts w:ascii="宋体" w:hAnsi="宋体" w:cs="宋体" w:eastAsia="宋体" w:hint="default"/>
          <w:sz w:val="26"/>
          <w:szCs w:val="26"/>
        </w:rPr>
      </w:pPr>
    </w:p>
    <w:p>
      <w:pPr>
        <w:pStyle w:val="BodyText"/>
        <w:spacing w:line="240" w:lineRule="auto"/>
        <w:ind w:left="119" w:right="104"/>
        <w:jc w:val="left"/>
      </w:pPr>
      <w:r>
        <w:rPr>
          <w:rFonts w:ascii="Times New Roman" w:hAnsi="Times New Roman" w:cs="Times New Roman" w:eastAsia="Times New Roman" w:hint="default"/>
        </w:rPr>
        <w:t>5</w:t>
      </w:r>
      <w:r>
        <w:rPr/>
        <w:t>、</w:t>
      </w:r>
      <w:r>
        <w:rPr>
          <w:spacing w:val="-2"/>
        </w:rPr>
        <w:t> </w:t>
      </w:r>
      <w:r>
        <w:rPr/>
        <w:t>同一控制下和非同一控制下企业合并的会计处理方法</w:t>
      </w:r>
    </w:p>
    <w:p>
      <w:pPr>
        <w:pStyle w:val="BodyText"/>
        <w:spacing w:line="266" w:lineRule="auto" w:before="52"/>
        <w:ind w:left="119" w:right="104"/>
        <w:jc w:val="left"/>
      </w:pPr>
      <w:r>
        <w:rPr>
          <w:rFonts w:ascii="Times New Roman" w:hAnsi="Times New Roman" w:cs="Times New Roman" w:eastAsia="Times New Roman" w:hint="default"/>
        </w:rPr>
        <w:t>1</w:t>
      </w:r>
      <w:r>
        <w:rPr/>
        <w:t>．同一控制下的企业合并：合并方在企业合并中取得的资产和负债，按照合并日在被合并</w:t>
      </w:r>
      <w:r>
        <w:rPr>
          <w:spacing w:val="-99"/>
        </w:rPr>
        <w:t> </w:t>
      </w:r>
      <w:r>
        <w:rPr>
          <w:spacing w:val="-99"/>
        </w:rPr>
      </w:r>
      <w:r>
        <w:rPr/>
        <w:t>方的账面价值计量。 </w:t>
      </w:r>
      <w:r>
        <w:rPr>
          <w:rFonts w:ascii="Times New Roman" w:hAnsi="Times New Roman" w:cs="Times New Roman" w:eastAsia="Times New Roman" w:hint="default"/>
          <w:spacing w:val="-3"/>
        </w:rPr>
        <w:t>2</w:t>
      </w:r>
      <w:r>
        <w:rPr>
          <w:spacing w:val="-3"/>
        </w:rPr>
        <w:t>．非同一控制下的企业合并：购买方在购买日按照合并中取得的被购买方各项可辨认资产、</w:t>
      </w:r>
      <w:r>
        <w:rPr>
          <w:spacing w:val="-78"/>
        </w:rPr>
        <w:t> </w:t>
      </w:r>
      <w:r>
        <w:rPr>
          <w:spacing w:val="-78"/>
        </w:rPr>
      </w:r>
      <w:r>
        <w:rPr>
          <w:spacing w:val="-3"/>
        </w:rPr>
        <w:t>负债的公允价值确认计量。购买方对合并成本大于合并中取得的被购买方可辨认净资产公允</w:t>
      </w:r>
      <w:r>
        <w:rPr>
          <w:spacing w:val="-79"/>
        </w:rPr>
        <w:t> </w:t>
      </w:r>
      <w:r>
        <w:rPr>
          <w:spacing w:val="-79"/>
        </w:rPr>
      </w:r>
      <w:r>
        <w:rPr>
          <w:spacing w:val="-3"/>
        </w:rPr>
        <w:t>价值份额的差额，确认为商誉。购买方对合并成本小于合并中取得的被购买方可辨认净资产</w:t>
      </w:r>
      <w:r>
        <w:rPr>
          <w:spacing w:val="-79"/>
        </w:rPr>
        <w:t> </w:t>
      </w:r>
      <w:r>
        <w:rPr>
          <w:spacing w:val="-79"/>
        </w:rPr>
      </w:r>
      <w:r>
        <w:rPr/>
        <w:t>公允价值份额的差额计入当期损益。</w:t>
      </w:r>
    </w:p>
    <w:p>
      <w:pPr>
        <w:spacing w:line="240" w:lineRule="auto" w:before="4"/>
        <w:rPr>
          <w:rFonts w:ascii="宋体" w:hAnsi="宋体" w:cs="宋体" w:eastAsia="宋体" w:hint="default"/>
          <w:sz w:val="27"/>
          <w:szCs w:val="27"/>
        </w:rPr>
      </w:pPr>
    </w:p>
    <w:p>
      <w:pPr>
        <w:pStyle w:val="BodyText"/>
        <w:spacing w:line="240" w:lineRule="auto"/>
        <w:ind w:left="119" w:right="104"/>
        <w:jc w:val="left"/>
      </w:pPr>
      <w:r>
        <w:rPr>
          <w:rFonts w:ascii="Times New Roman" w:hAnsi="Times New Roman" w:cs="Times New Roman" w:eastAsia="Times New Roman" w:hint="default"/>
        </w:rPr>
        <w:t>6</w:t>
      </w:r>
      <w:r>
        <w:rPr/>
        <w:t>、</w:t>
      </w:r>
      <w:r>
        <w:rPr>
          <w:spacing w:val="-2"/>
        </w:rPr>
        <w:t> </w:t>
      </w:r>
      <w:r>
        <w:rPr/>
        <w:t>合并财务报表的编制方法：</w:t>
      </w:r>
    </w:p>
    <w:p>
      <w:pPr>
        <w:pStyle w:val="BodyText"/>
        <w:spacing w:line="309" w:lineRule="auto" w:before="83"/>
        <w:ind w:left="119" w:right="10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rFonts w:ascii="Times New Roman" w:hAnsi="Times New Roman" w:cs="Times New Roman" w:eastAsia="Times New Roman" w:hint="default"/>
        </w:rPr>
        <w:t>1</w:t>
      </w:r>
      <w:r>
        <w:rPr/>
        <w:t>．合并范围的确定原则</w:t>
      </w:r>
      <w:r>
        <w:rPr>
          <w:w w:val="99"/>
        </w:rPr>
        <w:t> </w:t>
      </w:r>
      <w:r>
        <w:rPr>
          <w:spacing w:val="-3"/>
          <w:w w:val="99"/>
        </w:rPr>
        <w:t>本公司合并财务报表的合并范围以控制为基础予以确定，公司将其控制的所有子公司纳入合</w:t>
      </w:r>
      <w:r>
        <w:rPr>
          <w:spacing w:val="-3"/>
        </w:rPr>
      </w:r>
    </w:p>
    <w:p>
      <w:pPr>
        <w:spacing w:after="0" w:line="309" w:lineRule="auto"/>
        <w:jc w:val="left"/>
        <w:sectPr>
          <w:headerReference w:type="default" r:id="rId15"/>
          <w:footerReference w:type="default" r:id="rId16"/>
          <w:pgSz w:w="11910" w:h="16840"/>
          <w:pgMar w:header="0" w:footer="0" w:top="1600" w:bottom="280" w:left="1680" w:right="1580"/>
        </w:sectPr>
      </w:pPr>
    </w:p>
    <w:p>
      <w:pPr>
        <w:spacing w:line="240" w:lineRule="auto" w:before="1"/>
        <w:rPr>
          <w:rFonts w:ascii="宋体" w:hAnsi="宋体" w:cs="宋体" w:eastAsia="宋体" w:hint="default"/>
          <w:sz w:val="23"/>
          <w:szCs w:val="23"/>
        </w:rPr>
      </w:pPr>
    </w:p>
    <w:p>
      <w:pPr>
        <w:pStyle w:val="BodyText"/>
        <w:spacing w:line="240" w:lineRule="auto" w:before="35"/>
        <w:ind w:right="104"/>
        <w:jc w:val="left"/>
      </w:pPr>
      <w:r>
        <w:rPr/>
        <w:t>并财务报表的合并范围。</w:t>
      </w:r>
    </w:p>
    <w:p>
      <w:pPr>
        <w:pStyle w:val="BodyText"/>
        <w:spacing w:line="321" w:lineRule="auto" w:before="99"/>
        <w:ind w:right="104"/>
        <w:jc w:val="left"/>
      </w:pPr>
      <w:r>
        <w:rPr>
          <w:rFonts w:ascii="Times New Roman" w:hAnsi="Times New Roman" w:cs="Times New Roman" w:eastAsia="Times New Roman" w:hint="default"/>
        </w:rPr>
        <w:t>2</w:t>
      </w:r>
      <w:r>
        <w:rPr/>
        <w:t>．合并财务报表的编制方法 </w:t>
      </w:r>
      <w:r>
        <w:rPr>
          <w:spacing w:val="-3"/>
        </w:rPr>
        <w:t>合并财务报表以母公司和其子公司的财务报表为基础，根据其他有关资料，按照权益法调整</w:t>
      </w:r>
      <w:r>
        <w:rPr>
          <w:spacing w:val="-79"/>
        </w:rPr>
        <w:t> </w:t>
      </w:r>
      <w:r>
        <w:rPr>
          <w:spacing w:val="-79"/>
        </w:rPr>
      </w:r>
      <w:r>
        <w:rPr>
          <w:spacing w:val="-3"/>
        </w:rPr>
        <w:t>对子公司的长期股权投资，在抵销母公司与子公司、子公司之间发生的内部交易后，由母公</w:t>
      </w:r>
      <w:r>
        <w:rPr>
          <w:spacing w:val="-81"/>
        </w:rPr>
        <w:t> </w:t>
      </w:r>
      <w:r>
        <w:rPr>
          <w:spacing w:val="-81"/>
        </w:rPr>
      </w:r>
      <w:r>
        <w:rPr/>
        <w:t>司编制。子公司的会计政策和会计期间与母公司保持一致。 </w:t>
      </w:r>
      <w:r>
        <w:rPr>
          <w:spacing w:val="-3"/>
        </w:rPr>
        <w:t>子公司所有者权益中不属于母公司的份额，作为少数股东权益，在合并资产负债表中所有者</w:t>
      </w:r>
      <w:r>
        <w:rPr>
          <w:spacing w:val="-79"/>
        </w:rPr>
        <w:t> </w:t>
      </w:r>
      <w:r>
        <w:rPr>
          <w:spacing w:val="-79"/>
        </w:rPr>
      </w:r>
      <w:r>
        <w:rPr>
          <w:spacing w:val="-2"/>
        </w:rPr>
        <w:t>权益项目下以</w:t>
      </w:r>
      <w:r>
        <w:rPr>
          <w:rFonts w:ascii="Times New Roman" w:hAnsi="Times New Roman" w:cs="Times New Roman" w:eastAsia="Times New Roman" w:hint="default"/>
          <w:spacing w:val="-2"/>
        </w:rPr>
        <w:t>"</w:t>
      </w:r>
      <w:r>
        <w:rPr>
          <w:spacing w:val="-2"/>
        </w:rPr>
        <w:t>少数股东权益</w:t>
      </w:r>
      <w:r>
        <w:rPr>
          <w:rFonts w:ascii="Times New Roman" w:hAnsi="Times New Roman" w:cs="Times New Roman" w:eastAsia="Times New Roman" w:hint="default"/>
          <w:spacing w:val="-2"/>
        </w:rPr>
        <w:t>"</w:t>
      </w:r>
      <w:r>
        <w:rPr>
          <w:spacing w:val="-2"/>
        </w:rPr>
        <w:t>项目列示。子公司当期净损益中属于少数股东权益的份额，在</w:t>
      </w:r>
      <w:r>
        <w:rPr>
          <w:spacing w:val="-82"/>
        </w:rPr>
        <w:t> </w:t>
      </w:r>
      <w:r>
        <w:rPr>
          <w:spacing w:val="-82"/>
        </w:rPr>
      </w:r>
      <w:r>
        <w:rPr/>
        <w:t>合并利润表中净利润项目下以</w:t>
      </w:r>
      <w:r>
        <w:rPr>
          <w:rFonts w:ascii="Times New Roman" w:hAnsi="Times New Roman" w:cs="Times New Roman" w:eastAsia="Times New Roman" w:hint="default"/>
        </w:rPr>
        <w:t>"</w:t>
      </w:r>
      <w:r>
        <w:rPr/>
        <w:t>少数股东损益</w:t>
      </w:r>
      <w:r>
        <w:rPr>
          <w:rFonts w:ascii="Times New Roman" w:hAnsi="Times New Roman" w:cs="Times New Roman" w:eastAsia="Times New Roman" w:hint="default"/>
        </w:rPr>
        <w:t>"</w:t>
      </w:r>
      <w:r>
        <w:rPr/>
        <w:t>项目列示。</w:t>
      </w:r>
    </w:p>
    <w:p>
      <w:pPr>
        <w:spacing w:line="240" w:lineRule="auto" w:before="2"/>
        <w:rPr>
          <w:rFonts w:ascii="宋体" w:hAnsi="宋体" w:cs="宋体" w:eastAsia="宋体" w:hint="default"/>
          <w:sz w:val="24"/>
          <w:szCs w:val="24"/>
        </w:rPr>
      </w:pPr>
    </w:p>
    <w:p>
      <w:pPr>
        <w:pStyle w:val="BodyText"/>
        <w:spacing w:line="278" w:lineRule="auto"/>
        <w:ind w:right="104"/>
        <w:jc w:val="left"/>
      </w:pPr>
      <w:r>
        <w:rPr>
          <w:rFonts w:ascii="Times New Roman" w:hAnsi="Times New Roman" w:cs="Times New Roman" w:eastAsia="Times New Roman" w:hint="default"/>
        </w:rPr>
        <w:t>7</w:t>
      </w:r>
      <w:r>
        <w:rPr/>
        <w:t>、</w:t>
      </w:r>
      <w:r>
        <w:rPr>
          <w:spacing w:val="-1"/>
        </w:rPr>
        <w:t> </w:t>
      </w:r>
      <w:r>
        <w:rPr/>
        <w:t>现金及现金等价物的确定标准：</w:t>
      </w:r>
      <w:r>
        <w:rPr/>
        <w:t> </w:t>
      </w:r>
      <w:r>
        <w:rPr>
          <w:spacing w:val="-3"/>
        </w:rPr>
        <w:t>现金等价物是指企业持有的期限短（一般指从购买日起三个月内到期）、流动性强、易于转</w:t>
      </w:r>
      <w:r>
        <w:rPr>
          <w:spacing w:val="-83"/>
        </w:rPr>
        <w:t> </w:t>
      </w:r>
      <w:r>
        <w:rPr>
          <w:spacing w:val="-83"/>
        </w:rPr>
      </w:r>
      <w:r>
        <w:rPr/>
        <w:t>换为已知金额现金、价值变动风险很小的投资。</w:t>
      </w:r>
    </w:p>
    <w:p>
      <w:pPr>
        <w:spacing w:line="240" w:lineRule="auto" w:before="7"/>
        <w:rPr>
          <w:rFonts w:ascii="宋体" w:hAnsi="宋体" w:cs="宋体" w:eastAsia="宋体" w:hint="default"/>
          <w:sz w:val="26"/>
          <w:szCs w:val="26"/>
        </w:rPr>
      </w:pPr>
    </w:p>
    <w:p>
      <w:pPr>
        <w:pStyle w:val="BodyText"/>
        <w:spacing w:line="266" w:lineRule="auto"/>
        <w:ind w:right="104"/>
        <w:jc w:val="left"/>
      </w:pPr>
      <w:r>
        <w:rPr>
          <w:rFonts w:ascii="Times New Roman" w:hAnsi="Times New Roman" w:cs="Times New Roman" w:eastAsia="Times New Roman" w:hint="default"/>
        </w:rPr>
        <w:t>8</w:t>
      </w:r>
      <w:r>
        <w:rPr/>
        <w:t>、</w:t>
      </w:r>
      <w:r>
        <w:rPr>
          <w:spacing w:val="-1"/>
        </w:rPr>
        <w:t> </w:t>
      </w:r>
      <w:r>
        <w:rPr/>
        <w:t>外币业务和外币报表折算：</w:t>
      </w:r>
      <w:r>
        <w:rPr/>
        <w:t> </w:t>
      </w:r>
      <w:r>
        <w:rPr>
          <w:spacing w:val="-3"/>
        </w:rPr>
        <w:t>对发生的外币业务，采用交易发生日的即期汇率折合人民币记账。对各种外币账户的外币期</w:t>
      </w:r>
      <w:r>
        <w:rPr>
          <w:spacing w:val="-79"/>
        </w:rPr>
        <w:t> </w:t>
      </w:r>
      <w:r>
        <w:rPr>
          <w:spacing w:val="-79"/>
        </w:rPr>
      </w:r>
      <w:r>
        <w:rPr>
          <w:spacing w:val="-3"/>
        </w:rPr>
        <w:t>末余额，外币货币性项目按资产负债表日即期汇率折算，发生的差额计入当期损益；以历史</w:t>
      </w:r>
      <w:r>
        <w:rPr>
          <w:spacing w:val="-81"/>
        </w:rPr>
        <w:t> </w:t>
      </w:r>
      <w:r>
        <w:rPr>
          <w:spacing w:val="-81"/>
        </w:rPr>
      </w:r>
      <w:r>
        <w:rPr>
          <w:spacing w:val="-3"/>
        </w:rPr>
        <w:t>成本计量的外币非货币性项目仍采用交易发生日的即期汇率折算；以公允价值计量的外币非</w:t>
      </w:r>
      <w:r>
        <w:rPr>
          <w:spacing w:val="-79"/>
        </w:rPr>
        <w:t> </w:t>
      </w:r>
      <w:r>
        <w:rPr>
          <w:spacing w:val="-79"/>
        </w:rPr>
      </w:r>
      <w:r>
        <w:rPr/>
        <w:t>货币性项目，采用公允价值确定日的即期汇率折算，差额作为公允价值变动损益。 外币财务报表的折算遵循下列原则： </w:t>
      </w:r>
      <w:r>
        <w:rPr>
          <w:rFonts w:ascii="Times New Roman" w:hAnsi="Times New Roman" w:cs="Times New Roman" w:eastAsia="Times New Roman" w:hint="default"/>
        </w:rPr>
        <w:t>(1)</w:t>
      </w:r>
      <w:r>
        <w:rPr/>
        <w:t>资产负债表中的资产和负债项目，采用资产负债表日的即期汇率折算； 所有者权益项目除</w:t>
      </w:r>
      <w:r>
        <w:rPr>
          <w:rFonts w:ascii="Times New Roman" w:hAnsi="Times New Roman" w:cs="Times New Roman" w:eastAsia="Times New Roman" w:hint="default"/>
        </w:rPr>
        <w:t>"</w:t>
      </w:r>
      <w:r>
        <w:rPr/>
        <w:t>未分配利润</w:t>
      </w:r>
      <w:r>
        <w:rPr>
          <w:rFonts w:ascii="Times New Roman" w:hAnsi="Times New Roman" w:cs="Times New Roman" w:eastAsia="Times New Roman" w:hint="default"/>
        </w:rPr>
        <w:t>"</w:t>
      </w:r>
      <w:r>
        <w:rPr/>
        <w:t>项目外，其他项目采用发生时的即期汇率折算； </w:t>
      </w:r>
      <w:r>
        <w:rPr>
          <w:rFonts w:ascii="Times New Roman" w:hAnsi="Times New Roman" w:cs="Times New Roman" w:eastAsia="Times New Roman" w:hint="default"/>
        </w:rPr>
        <w:t>(2)</w:t>
      </w:r>
      <w:r>
        <w:rPr/>
        <w:t>利润表中的收入和费用项目，采用交易发生日的即期汇率折算； </w:t>
      </w:r>
      <w:r>
        <w:rPr>
          <w:rFonts w:ascii="Times New Roman" w:hAnsi="Times New Roman" w:cs="Times New Roman" w:eastAsia="Times New Roman" w:hint="default"/>
        </w:rPr>
        <w:t>(3)</w:t>
      </w:r>
      <w:r>
        <w:rPr/>
        <w:t>按照上述折算产生的外币财务报表折算差额，在资产负债表中所有者权益项目下单独列</w:t>
      </w:r>
      <w:r>
        <w:rPr>
          <w:spacing w:val="-35"/>
        </w:rPr>
        <w:t> </w:t>
      </w:r>
      <w:r>
        <w:rPr>
          <w:spacing w:val="-35"/>
        </w:rPr>
      </w:r>
      <w:r>
        <w:rPr/>
        <w:t>示；</w:t>
      </w:r>
      <w:r>
        <w:rPr/>
        <w:t> </w:t>
      </w:r>
      <w:r>
        <w:rPr>
          <w:rFonts w:ascii="Times New Roman" w:hAnsi="Times New Roman" w:cs="Times New Roman" w:eastAsia="Times New Roman" w:hint="default"/>
        </w:rPr>
        <w:t>(4)</w:t>
      </w:r>
      <w:r>
        <w:rPr/>
        <w:t>现金流量表采用现金流量发生日的即期汇率折算。汇率变动对现金的影响额作为调节项</w:t>
      </w:r>
      <w:r>
        <w:rPr>
          <w:spacing w:val="-35"/>
        </w:rPr>
        <w:t> </w:t>
      </w:r>
      <w:r>
        <w:rPr>
          <w:spacing w:val="-35"/>
        </w:rPr>
      </w:r>
      <w:r>
        <w:rPr/>
        <w:t>目，在现金流量表中单独列示。</w:t>
      </w:r>
    </w:p>
    <w:p>
      <w:pPr>
        <w:spacing w:line="240" w:lineRule="auto" w:before="4"/>
        <w:rPr>
          <w:rFonts w:ascii="宋体" w:hAnsi="宋体" w:cs="宋体" w:eastAsia="宋体" w:hint="default"/>
          <w:sz w:val="27"/>
          <w:szCs w:val="27"/>
        </w:rPr>
      </w:pPr>
    </w:p>
    <w:p>
      <w:pPr>
        <w:pStyle w:val="BodyText"/>
        <w:spacing w:line="240" w:lineRule="auto"/>
        <w:ind w:right="104"/>
        <w:jc w:val="left"/>
      </w:pPr>
      <w:r>
        <w:rPr>
          <w:rFonts w:ascii="Times New Roman" w:hAnsi="Times New Roman" w:cs="Times New Roman" w:eastAsia="Times New Roman" w:hint="default"/>
        </w:rPr>
        <w:t>9</w:t>
      </w:r>
      <w:r>
        <w:rPr/>
        <w:t>、 金融工具：</w:t>
      </w:r>
    </w:p>
    <w:p>
      <w:pPr>
        <w:pStyle w:val="BodyText"/>
        <w:spacing w:line="273" w:lineRule="auto" w:before="52"/>
        <w:ind w:right="84"/>
        <w:jc w:val="left"/>
      </w:pPr>
      <w:r>
        <w:rPr/>
        <w:t>⑴金融资产、金融负债的分类 </w:t>
      </w:r>
      <w:r>
        <w:rPr>
          <w:spacing w:val="-3"/>
        </w:rPr>
        <w:t>管理层按照取得金融资产或承担金融负债的目的，将其划分为：以公允价值计量且变动计入</w:t>
      </w:r>
      <w:r>
        <w:rPr>
          <w:spacing w:val="-79"/>
        </w:rPr>
        <w:t> </w:t>
      </w:r>
      <w:r>
        <w:rPr>
          <w:spacing w:val="-79"/>
        </w:rPr>
      </w:r>
      <w:r>
        <w:rPr/>
        <w:t>当期损益的金融资产或金融负债、持有至到期投资、贷款和应收款项、可供出售金融资产、 其他金融负债。</w:t>
      </w:r>
    </w:p>
    <w:p>
      <w:pPr>
        <w:pStyle w:val="BodyText"/>
        <w:spacing w:line="240" w:lineRule="auto" w:before="8"/>
        <w:ind w:right="104"/>
        <w:jc w:val="left"/>
      </w:pPr>
      <w:r>
        <w:rPr/>
        <w:t>⑵金融资产、金融负债的确认和计量方法</w:t>
      </w:r>
    </w:p>
    <w:p>
      <w:pPr>
        <w:pStyle w:val="BodyText"/>
        <w:spacing w:line="273" w:lineRule="auto" w:before="37"/>
        <w:ind w:right="84"/>
        <w:jc w:val="left"/>
      </w:pPr>
      <w:r>
        <w:rPr/>
        <w:t>①</w:t>
      </w:r>
      <w:r>
        <w:rPr>
          <w:spacing w:val="-1"/>
        </w:rPr>
        <w:t> </w:t>
      </w:r>
      <w:r>
        <w:rPr/>
        <w:t>以公允价值计量且其变动计入当期损益的金融资产或金融负债</w:t>
      </w:r>
      <w:r>
        <w:rPr/>
        <w:t> </w:t>
      </w:r>
      <w:r>
        <w:rPr>
          <w:spacing w:val="2"/>
        </w:rPr>
        <w:t>该类金融资产或金融负债进一步分为交易性金融资产或金融负债和直接指定为以公允价值</w:t>
      </w:r>
      <w:r>
        <w:rPr>
          <w:spacing w:val="-85"/>
        </w:rPr>
        <w:t> </w:t>
      </w:r>
      <w:r>
        <w:rPr>
          <w:spacing w:val="-85"/>
        </w:rPr>
      </w:r>
      <w:r>
        <w:rPr/>
        <w:t>计量且其变动计入当期损益的金融资产或金融负债。 取得时以公允价值作为初始确认金额，相关交易费用应当直接计入当期损益。 持有期间将取得的利息或现金股利，确认为投资收益。期末将公允价值变动计入当期损益。 </w:t>
      </w:r>
      <w:r>
        <w:rPr>
          <w:spacing w:val="-3"/>
        </w:rPr>
        <w:t>处置时，其公允价值与初始入账金额之间的差额应确认为投资收益，同时调整公允价值变动</w:t>
      </w:r>
      <w:r>
        <w:rPr>
          <w:spacing w:val="-79"/>
        </w:rPr>
        <w:t> </w:t>
      </w:r>
      <w:r>
        <w:rPr>
          <w:spacing w:val="-79"/>
        </w:rPr>
      </w:r>
      <w:r>
        <w:rPr/>
        <w:t>损益。</w:t>
      </w:r>
    </w:p>
    <w:p>
      <w:pPr>
        <w:pStyle w:val="BodyText"/>
        <w:spacing w:line="273" w:lineRule="auto" w:before="8"/>
        <w:ind w:right="104"/>
        <w:jc w:val="left"/>
      </w:pPr>
      <w:r>
        <w:rPr/>
        <w:t>②</w:t>
      </w:r>
      <w:r>
        <w:rPr>
          <w:spacing w:val="-1"/>
        </w:rPr>
        <w:t> </w:t>
      </w:r>
      <w:r>
        <w:rPr/>
        <w:t>持有至到期投资</w:t>
      </w:r>
      <w:r>
        <w:rPr/>
        <w:t> </w:t>
      </w:r>
      <w:r>
        <w:rPr>
          <w:spacing w:val="-3"/>
        </w:rPr>
        <w:t>取得时以公允价值（扣除已到期或发放但尚未领取的债券利息、股利）和相关交易费用之和</w:t>
      </w:r>
    </w:p>
    <w:p>
      <w:pPr>
        <w:spacing w:after="0" w:line="273" w:lineRule="auto"/>
        <w:jc w:val="left"/>
        <w:sectPr>
          <w:headerReference w:type="default" r:id="rId17"/>
          <w:footerReference w:type="default" r:id="rId18"/>
          <w:pgSz w:w="11910" w:h="16840"/>
          <w:pgMar w:header="877" w:footer="982" w:top="1100" w:bottom="1180" w:left="1660" w:right="1600"/>
          <w:pgNumType w:start="53"/>
        </w:sectPr>
      </w:pPr>
    </w:p>
    <w:p>
      <w:pPr>
        <w:spacing w:line="240" w:lineRule="auto" w:before="9"/>
        <w:rPr>
          <w:rFonts w:ascii="宋体" w:hAnsi="宋体" w:cs="宋体" w:eastAsia="宋体" w:hint="default"/>
          <w:sz w:val="20"/>
          <w:szCs w:val="20"/>
        </w:rPr>
      </w:pPr>
    </w:p>
    <w:p>
      <w:pPr>
        <w:pStyle w:val="BodyText"/>
        <w:spacing w:line="273" w:lineRule="auto" w:before="35"/>
        <w:ind w:right="201"/>
        <w:jc w:val="left"/>
      </w:pPr>
      <w:r>
        <w:rPr/>
        <w:t>作为初始确认金额。 </w:t>
      </w:r>
      <w:r>
        <w:rPr>
          <w:spacing w:val="-3"/>
        </w:rPr>
        <w:t>持有期间按照摊余成本和实际利率计算确认利息收入，计入投资收益。实际利率在取得时确</w:t>
      </w:r>
      <w:r>
        <w:rPr>
          <w:spacing w:val="-79"/>
        </w:rPr>
        <w:t> </w:t>
      </w:r>
      <w:r>
        <w:rPr>
          <w:spacing w:val="-79"/>
        </w:rPr>
      </w:r>
      <w:r>
        <w:rPr/>
        <w:t>定，实际利率与票面利率差别较小的，按票面利率计算利息收入。 处置时，将所取得价款与该投资账面价值之间的差额计入投资收益。</w:t>
      </w:r>
    </w:p>
    <w:p>
      <w:pPr>
        <w:pStyle w:val="BodyText"/>
        <w:spacing w:line="273" w:lineRule="auto" w:before="8"/>
        <w:ind w:right="201"/>
        <w:jc w:val="left"/>
      </w:pPr>
      <w:r>
        <w:rPr/>
        <w:t>③ 应收款项 </w:t>
      </w:r>
      <w:r>
        <w:rPr>
          <w:spacing w:val="-3"/>
        </w:rPr>
        <w:t>公司对外销售商品或提供劳务形成的应收债权，以及持有的其他企业在活跃市场没有报价的</w:t>
      </w:r>
      <w:r>
        <w:rPr>
          <w:spacing w:val="-79"/>
        </w:rPr>
        <w:t> </w:t>
      </w:r>
      <w:r>
        <w:rPr>
          <w:spacing w:val="-79"/>
        </w:rPr>
      </w:r>
      <w:r>
        <w:rPr>
          <w:spacing w:val="-3"/>
        </w:rPr>
        <w:t>债务工具的债权（包括应收账款、应收票据、预付账款、其他应收款、长期应收款等），以</w:t>
      </w:r>
      <w:r>
        <w:rPr>
          <w:spacing w:val="-82"/>
        </w:rPr>
        <w:t> </w:t>
      </w:r>
      <w:r>
        <w:rPr>
          <w:spacing w:val="-82"/>
        </w:rPr>
      </w:r>
      <w:r>
        <w:rPr/>
        <w:t>向购货方或债务人应收的合同或协议价款作为初始确认金额。</w:t>
      </w:r>
      <w:r>
        <w:rPr/>
        <w:t> 收回或处置时，应将取得的价款与该应收款项账面价值之间的差额计入当期损益。</w:t>
      </w:r>
    </w:p>
    <w:p>
      <w:pPr>
        <w:pStyle w:val="BodyText"/>
        <w:spacing w:line="273" w:lineRule="auto" w:before="8"/>
        <w:ind w:right="201"/>
        <w:jc w:val="left"/>
      </w:pPr>
      <w:r>
        <w:rPr/>
        <w:t>④</w:t>
      </w:r>
      <w:r>
        <w:rPr>
          <w:spacing w:val="-1"/>
        </w:rPr>
        <w:t> </w:t>
      </w:r>
      <w:r>
        <w:rPr/>
        <w:t>可供出售金融资产</w:t>
      </w:r>
      <w:r>
        <w:rPr/>
        <w:t> 取得时，按该金融资产的公允价值和相关交易费用之和作为初始确认金额。 </w:t>
      </w:r>
      <w:r>
        <w:rPr>
          <w:spacing w:val="-3"/>
        </w:rPr>
        <w:t>持有期间取得的利息或现金股利，应当计入投资收益。资产负债表日，可供出售金融资产应</w:t>
      </w:r>
      <w:r>
        <w:rPr>
          <w:spacing w:val="-81"/>
        </w:rPr>
        <w:t> </w:t>
      </w:r>
      <w:r>
        <w:rPr>
          <w:spacing w:val="-81"/>
        </w:rPr>
      </w:r>
      <w:r>
        <w:rPr>
          <w:spacing w:val="-4"/>
        </w:rPr>
        <w:t>当以公允价值计量，且公允价值变动计入资本公积（其他资本公积）。</w:t>
      </w:r>
      <w:r>
        <w:rPr>
          <w:spacing w:val="-86"/>
        </w:rPr>
        <w:t> </w:t>
      </w:r>
      <w:r>
        <w:rPr>
          <w:spacing w:val="-86"/>
        </w:rPr>
      </w:r>
      <w:r>
        <w:rPr>
          <w:spacing w:val="-3"/>
        </w:rPr>
        <w:t>处置时，将取得的价款与账面价值之间的差额，计入投资损益；同时，将原直接计入所有者</w:t>
      </w:r>
      <w:r>
        <w:rPr>
          <w:spacing w:val="-80"/>
        </w:rPr>
        <w:t> </w:t>
      </w:r>
      <w:r>
        <w:rPr>
          <w:spacing w:val="-80"/>
        </w:rPr>
      </w:r>
      <w:r>
        <w:rPr/>
        <w:t>权益的公允价值变动累计额对应处置部分的金额转出，计入投资损益。</w:t>
      </w:r>
    </w:p>
    <w:p>
      <w:pPr>
        <w:pStyle w:val="BodyText"/>
        <w:spacing w:line="273" w:lineRule="auto" w:before="8"/>
        <w:ind w:right="99"/>
        <w:jc w:val="left"/>
      </w:pPr>
      <w:r>
        <w:rPr/>
        <w:t>⑤</w:t>
      </w:r>
      <w:r>
        <w:rPr>
          <w:spacing w:val="-1"/>
        </w:rPr>
        <w:t> </w:t>
      </w:r>
      <w:r>
        <w:rPr/>
        <w:t>其他金融负债</w:t>
      </w:r>
      <w:r>
        <w:rPr/>
        <w:t> </w:t>
      </w:r>
      <w:r>
        <w:rPr>
          <w:spacing w:val="-5"/>
        </w:rPr>
        <w:t>取得时，按其公允价值和相关交易费用之和作为初始确认金额。采用摊余成本进行后续计量。</w:t>
      </w:r>
    </w:p>
    <w:p>
      <w:pPr>
        <w:pStyle w:val="BodyText"/>
        <w:spacing w:line="273" w:lineRule="auto" w:before="8"/>
        <w:ind w:right="99"/>
        <w:jc w:val="left"/>
      </w:pPr>
      <w:r>
        <w:rPr/>
        <w:t>⑶金融资产和金融负债的公允价值的确认 </w:t>
      </w:r>
      <w:r>
        <w:rPr>
          <w:spacing w:val="-3"/>
        </w:rPr>
        <w:t>存在活跃市场的金融资产或金融负债，以活跃市场的报价确定其公允价值；不存在活跃市场</w:t>
      </w:r>
      <w:r>
        <w:rPr>
          <w:spacing w:val="-79"/>
        </w:rPr>
        <w:t> </w:t>
      </w:r>
      <w:r>
        <w:rPr>
          <w:spacing w:val="-79"/>
        </w:rPr>
      </w:r>
      <w:r>
        <w:rPr>
          <w:spacing w:val="-5"/>
        </w:rPr>
        <w:t>的，采用估值技术（包括参考熟悉情况并自愿交易的各方最近进行的市场交易中使用的价格、</w:t>
      </w:r>
      <w:r>
        <w:rPr>
          <w:spacing w:val="-100"/>
        </w:rPr>
        <w:t> </w:t>
      </w:r>
      <w:r>
        <w:rPr>
          <w:spacing w:val="-100"/>
        </w:rPr>
      </w:r>
      <w:r>
        <w:rPr>
          <w:spacing w:val="-3"/>
        </w:rPr>
        <w:t>参照实质上相同的其他金融工具的当前公允价值、现金流量折现法和期权定价模型等。）确</w:t>
      </w:r>
      <w:r>
        <w:rPr>
          <w:spacing w:val="-82"/>
        </w:rPr>
        <w:t> </w:t>
      </w:r>
      <w:r>
        <w:rPr>
          <w:spacing w:val="-82"/>
        </w:rPr>
      </w:r>
      <w:r>
        <w:rPr>
          <w:spacing w:val="-3"/>
        </w:rPr>
        <w:t>定其公允价值；初始取得或源生的金融资产或承担的金融负债，以市场交易价格作为确定其</w:t>
      </w:r>
      <w:r>
        <w:rPr>
          <w:spacing w:val="-79"/>
        </w:rPr>
        <w:t> </w:t>
      </w:r>
      <w:r>
        <w:rPr>
          <w:spacing w:val="-79"/>
        </w:rPr>
      </w:r>
      <w:r>
        <w:rPr/>
        <w:t>公允价值的基础。</w:t>
      </w:r>
    </w:p>
    <w:p>
      <w:pPr>
        <w:pStyle w:val="BodyText"/>
        <w:spacing w:line="240" w:lineRule="auto" w:before="8"/>
        <w:ind w:right="201"/>
        <w:jc w:val="left"/>
      </w:pPr>
      <w:r>
        <w:rPr/>
        <w:t>⑷金融资产转移的确认依据和计量方法</w:t>
      </w:r>
    </w:p>
    <w:p>
      <w:pPr>
        <w:pStyle w:val="BodyText"/>
        <w:spacing w:line="273" w:lineRule="auto" w:before="37"/>
        <w:ind w:right="215"/>
        <w:jc w:val="both"/>
      </w:pPr>
      <w:r>
        <w:rPr/>
        <w:t>①</w:t>
      </w:r>
      <w:r>
        <w:rPr>
          <w:spacing w:val="6"/>
        </w:rPr>
        <w:t> </w:t>
      </w:r>
      <w:r>
        <w:rPr/>
        <w:t>金融资产转移的确认依据：本公司已将金融资产所有权上几乎所有的风险和报酬转移给</w:t>
      </w:r>
      <w:r>
        <w:rPr/>
        <w:t> </w:t>
      </w:r>
      <w:r>
        <w:rPr>
          <w:spacing w:val="-3"/>
        </w:rPr>
        <w:t>转入方的或即没有转移也没有保留金融资产所有权上几乎所有的风险和报酬，但放弃了对该</w:t>
      </w:r>
      <w:r>
        <w:rPr>
          <w:spacing w:val="-79"/>
        </w:rPr>
        <w:t> </w:t>
      </w:r>
      <w:r>
        <w:rPr>
          <w:spacing w:val="-79"/>
        </w:rPr>
      </w:r>
      <w:r>
        <w:rPr/>
        <w:t>金融资产控制的，终止对该金融资产的确认。</w:t>
      </w:r>
    </w:p>
    <w:p>
      <w:pPr>
        <w:pStyle w:val="BodyText"/>
        <w:spacing w:line="266" w:lineRule="auto" w:before="8"/>
        <w:ind w:right="104"/>
        <w:jc w:val="left"/>
      </w:pPr>
      <w:r>
        <w:rPr/>
        <w:t>② 金融资产转移的计量方法：</w:t>
      </w:r>
      <w:r>
        <w:rPr>
          <w:rFonts w:ascii="Times New Roman" w:hAnsi="Times New Roman" w:cs="Times New Roman" w:eastAsia="Times New Roman" w:hint="default"/>
        </w:rPr>
        <w:t>A</w:t>
      </w:r>
      <w:r>
        <w:rPr/>
        <w:t>、整体转移满足终止确认条件时的计量：金融资产整体转</w:t>
      </w:r>
      <w:r>
        <w:rPr>
          <w:spacing w:val="-48"/>
        </w:rPr>
        <w:t> </w:t>
      </w:r>
      <w:r>
        <w:rPr>
          <w:spacing w:val="-48"/>
        </w:rPr>
      </w:r>
      <w:r>
        <w:rPr>
          <w:spacing w:val="-3"/>
        </w:rPr>
        <w:t>移满足终止确认条件的，将下列两项的差额计入当期损益。所转移金融资产的账面价值；因</w:t>
      </w:r>
      <w:r>
        <w:rPr>
          <w:spacing w:val="-81"/>
        </w:rPr>
        <w:t> </w:t>
      </w:r>
      <w:r>
        <w:rPr>
          <w:spacing w:val="-81"/>
        </w:rPr>
      </w:r>
      <w:r>
        <w:rPr/>
        <w:t>转移而收到的对价，与原直接计入所有者权益的公允价值变动累计额之和。</w:t>
      </w:r>
      <w:r>
        <w:rPr>
          <w:rFonts w:ascii="Times New Roman" w:hAnsi="Times New Roman" w:cs="Times New Roman" w:eastAsia="Times New Roman" w:hint="default"/>
        </w:rPr>
        <w:t>B</w:t>
      </w:r>
      <w:r>
        <w:rPr/>
        <w:t>、部分转移满 </w:t>
      </w:r>
      <w:r>
        <w:rPr>
          <w:spacing w:val="-3"/>
        </w:rPr>
        <w:t>足终止确认条件时的计量：金融资产部分转移满足终止确认条件的，将所转移金融资产整体</w:t>
      </w:r>
      <w:r>
        <w:rPr>
          <w:spacing w:val="-79"/>
        </w:rPr>
        <w:t> </w:t>
      </w:r>
      <w:r>
        <w:rPr>
          <w:spacing w:val="-79"/>
        </w:rPr>
      </w:r>
      <w:r>
        <w:rPr/>
        <w:t>的账面价值，在终止确认部分和未终止确认部分之间，按照各自的相对公允价值进行分摊， 并将下列两项金额的差额计入当期损益。终止确认部分的账面价值；终止确认部分的对价， 与原直接计入所有者权益的公允价值变动累计额中对应终止确认部分的金额之和。</w:t>
      </w:r>
      <w:r>
        <w:rPr>
          <w:rFonts w:ascii="Times New Roman" w:hAnsi="Times New Roman" w:cs="Times New Roman" w:eastAsia="Times New Roman" w:hint="default"/>
        </w:rPr>
        <w:t>C</w:t>
      </w:r>
      <w:r>
        <w:rPr/>
        <w:t>、金融 </w:t>
      </w:r>
      <w:r>
        <w:rPr>
          <w:spacing w:val="-3"/>
        </w:rPr>
        <w:t>资产转移不满足终止确认条件的，继续确认该金融资产，将所收到的对价确认为一项金融负</w:t>
      </w:r>
      <w:r>
        <w:rPr>
          <w:spacing w:val="-79"/>
        </w:rPr>
        <w:t> </w:t>
      </w:r>
      <w:r>
        <w:rPr>
          <w:spacing w:val="-79"/>
        </w:rPr>
      </w:r>
      <w:r>
        <w:rPr/>
        <w:t>债。</w:t>
      </w:r>
      <w:r>
        <w:rPr>
          <w:rFonts w:ascii="Times New Roman" w:hAnsi="Times New Roman" w:cs="Times New Roman" w:eastAsia="Times New Roman" w:hint="default"/>
        </w:rPr>
        <w:t>D</w:t>
      </w:r>
      <w:r>
        <w:rPr/>
        <w:t>、对于采用继续涉入方式的金融资产转移，本公司按照继续涉入所转移金融资产的程 度确认一项金融资产，同时确认一项金融负债。</w:t>
      </w:r>
    </w:p>
    <w:p>
      <w:pPr>
        <w:pStyle w:val="BodyText"/>
        <w:spacing w:line="273" w:lineRule="auto" w:before="14"/>
        <w:ind w:right="524"/>
        <w:jc w:val="left"/>
      </w:pPr>
      <w:r>
        <w:rPr/>
        <w:t>⑸金融负债终止确认条件 本公司在金融负债的现实义务全部或部分已经解除时终止确认该金融负债或其一部分。</w:t>
      </w:r>
    </w:p>
    <w:p>
      <w:pPr>
        <w:pStyle w:val="BodyText"/>
        <w:spacing w:line="264" w:lineRule="auto" w:before="8"/>
        <w:ind w:right="99"/>
        <w:jc w:val="left"/>
      </w:pPr>
      <w:r>
        <w:rPr/>
        <w:t>⑹金融资产的终止确认 </w:t>
      </w:r>
      <w:r>
        <w:rPr>
          <w:spacing w:val="-5"/>
        </w:rPr>
        <w:t>满足下列条件之一的金融资产，予以终止确认：（</w:t>
      </w:r>
      <w:r>
        <w:rPr>
          <w:rFonts w:ascii="Times New Roman" w:hAnsi="Times New Roman" w:cs="Times New Roman" w:eastAsia="Times New Roman" w:hint="default"/>
          <w:spacing w:val="-5"/>
        </w:rPr>
        <w:t>1</w:t>
      </w:r>
      <w:r>
        <w:rPr>
          <w:spacing w:val="-5"/>
        </w:rPr>
        <w:t>）收取该金融资产现金流量的合同权利终</w:t>
      </w:r>
      <w:r>
        <w:rPr>
          <w:spacing w:val="-103"/>
        </w:rPr>
        <w:t> </w:t>
      </w:r>
      <w:r>
        <w:rPr>
          <w:spacing w:val="-103"/>
        </w:rPr>
      </w:r>
      <w:r>
        <w:rPr>
          <w:spacing w:val="-3"/>
        </w:rPr>
        <w:t>止；（</w:t>
      </w:r>
      <w:r>
        <w:rPr>
          <w:rFonts w:ascii="Times New Roman" w:hAnsi="Times New Roman" w:cs="Times New Roman" w:eastAsia="Times New Roman" w:hint="default"/>
          <w:spacing w:val="-3"/>
        </w:rPr>
        <w:t>2</w:t>
      </w:r>
      <w:r>
        <w:rPr>
          <w:spacing w:val="-3"/>
        </w:rPr>
        <w:t>）该金融资产已转移，已将金融资产所有权上几乎所有的风险和报酬转移给转入方；</w:t>
      </w:r>
    </w:p>
    <w:p>
      <w:pPr>
        <w:pStyle w:val="BodyText"/>
        <w:spacing w:line="256" w:lineRule="auto"/>
        <w:ind w:right="209"/>
        <w:jc w:val="left"/>
      </w:pPr>
      <w:r>
        <w:rPr/>
        <w:t>（</w:t>
      </w:r>
      <w:r>
        <w:rPr>
          <w:rFonts w:ascii="Times New Roman" w:hAnsi="Times New Roman" w:cs="Times New Roman" w:eastAsia="Times New Roman" w:hint="default"/>
        </w:rPr>
        <w:t>3</w:t>
      </w:r>
      <w:r>
        <w:rPr/>
        <w:t>）金融资产已转移，既没有转移也没有保留金融资产所有权上几乎所有的风险和报酬，</w:t>
      </w:r>
      <w:r>
        <w:rPr>
          <w:spacing w:val="-99"/>
        </w:rPr>
        <w:t> </w:t>
      </w:r>
      <w:r>
        <w:rPr>
          <w:spacing w:val="-99"/>
        </w:rPr>
      </w:r>
      <w:r>
        <w:rPr/>
        <w:t>但放弃了对该金融资产控制的。</w:t>
      </w:r>
    </w:p>
    <w:p>
      <w:pPr>
        <w:spacing w:after="0" w:line="256"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1004"/>
        <w:jc w:val="left"/>
      </w:pPr>
      <w:r>
        <w:rPr/>
        <w:t>⑺金融资产减值 </w:t>
      </w:r>
      <w:r>
        <w:rPr>
          <w:spacing w:val="-3"/>
        </w:rPr>
        <w:t>除了以公允价值计量且其变动计入当期损益的金融资产以外，公司在资产负债表日对其他金</w:t>
      </w:r>
      <w:r>
        <w:rPr>
          <w:spacing w:val="-79"/>
        </w:rPr>
        <w:t> </w:t>
      </w:r>
      <w:r>
        <w:rPr>
          <w:spacing w:val="-79"/>
        </w:rPr>
      </w:r>
      <w:r>
        <w:rPr/>
        <w:t>融资产的账面价值进行检查，有客观证据表明该金融资产发生减值的，应当计提减值准备。</w:t>
      </w:r>
    </w:p>
    <w:p>
      <w:pPr>
        <w:pStyle w:val="BodyText"/>
        <w:spacing w:line="273" w:lineRule="auto" w:before="8"/>
        <w:ind w:right="1004"/>
        <w:jc w:val="left"/>
      </w:pPr>
      <w:r>
        <w:rPr/>
        <w:t>①</w:t>
      </w:r>
      <w:r>
        <w:rPr>
          <w:spacing w:val="-1"/>
        </w:rPr>
        <w:t> </w:t>
      </w:r>
      <w:r>
        <w:rPr/>
        <w:t>可供出售金融资产减值</w:t>
      </w:r>
      <w:r>
        <w:rPr/>
        <w:t> </w:t>
      </w:r>
      <w:r>
        <w:rPr>
          <w:spacing w:val="-3"/>
        </w:rPr>
        <w:t>可供出售金融资产的公允价值发生较大幅度下降，或在综合考虑各种相关因素后，预期这种</w:t>
      </w:r>
      <w:r>
        <w:rPr>
          <w:spacing w:val="-79"/>
        </w:rPr>
        <w:t> </w:t>
      </w:r>
      <w:r>
        <w:rPr>
          <w:spacing w:val="-79"/>
        </w:rPr>
      </w:r>
      <w:r>
        <w:rPr/>
        <w:t>下降趋势属于非暂时性的，可以认定该可供出售金融资产已发生减值，应当确认减值损失。 如果该金融资产没有终止确认，原直接计入所有者权益的因公允价值下降形成的累计损失， </w:t>
      </w:r>
      <w:r>
        <w:rPr>
          <w:spacing w:val="-3"/>
        </w:rPr>
        <w:t>应当予以转出，计入当期损益。该转出的累计损失，为可供出售金融资产的初始取得成本扣</w:t>
      </w:r>
      <w:r>
        <w:rPr>
          <w:spacing w:val="-81"/>
        </w:rPr>
        <w:t> </w:t>
      </w:r>
      <w:r>
        <w:rPr>
          <w:spacing w:val="-81"/>
        </w:rPr>
      </w:r>
      <w:r>
        <w:rPr/>
        <w:t>除已收回本金和已摊销金额、当前公允价值和原已计入损益的减值损失后的余额。</w:t>
      </w:r>
    </w:p>
    <w:p>
      <w:pPr>
        <w:pStyle w:val="BodyText"/>
        <w:spacing w:line="273" w:lineRule="auto" w:before="8"/>
        <w:ind w:right="999"/>
        <w:jc w:val="left"/>
      </w:pPr>
      <w:r>
        <w:rPr/>
        <w:t>②</w:t>
      </w:r>
      <w:r>
        <w:rPr>
          <w:spacing w:val="-1"/>
        </w:rPr>
        <w:t> </w:t>
      </w:r>
      <w:r>
        <w:rPr/>
        <w:t>持有至到期投资减值</w:t>
      </w:r>
      <w:r>
        <w:rPr/>
        <w:t> </w:t>
      </w:r>
      <w:r>
        <w:rPr>
          <w:spacing w:val="-3"/>
        </w:rPr>
        <w:t>资产负债表日，有客观证据表明持有至到期投资发生减值，将该金融资产的账面价值减记至</w:t>
      </w:r>
      <w:r>
        <w:rPr>
          <w:spacing w:val="-79"/>
        </w:rPr>
        <w:t> </w:t>
      </w:r>
      <w:r>
        <w:rPr>
          <w:spacing w:val="-79"/>
        </w:rPr>
      </w:r>
      <w:r>
        <w:rPr>
          <w:spacing w:val="-3"/>
        </w:rPr>
        <w:t>预计未来现金流量现值，减记的金额确认为资产减值损失，计入当期损益。预计未来现金流</w:t>
      </w:r>
      <w:r>
        <w:rPr>
          <w:spacing w:val="-81"/>
        </w:rPr>
        <w:t> </w:t>
      </w:r>
      <w:r>
        <w:rPr>
          <w:spacing w:val="-81"/>
        </w:rPr>
      </w:r>
      <w:r>
        <w:rPr/>
        <w:t>量现值，按照该金融资产的原实际利率折现确定。</w:t>
      </w:r>
    </w:p>
    <w:p>
      <w:pPr>
        <w:spacing w:line="240" w:lineRule="auto" w:before="11"/>
        <w:rPr>
          <w:rFonts w:ascii="宋体" w:hAnsi="宋体" w:cs="宋体" w:eastAsia="宋体" w:hint="default"/>
          <w:sz w:val="26"/>
          <w:szCs w:val="26"/>
        </w:rPr>
      </w:pPr>
    </w:p>
    <w:p>
      <w:pPr>
        <w:pStyle w:val="BodyText"/>
        <w:spacing w:line="240" w:lineRule="auto"/>
        <w:ind w:right="999"/>
        <w:jc w:val="left"/>
      </w:pPr>
      <w:r>
        <w:rPr>
          <w:rFonts w:ascii="Times New Roman" w:hAnsi="Times New Roman" w:cs="Times New Roman" w:eastAsia="Times New Roman" w:hint="default"/>
        </w:rPr>
        <w:t>10</w:t>
      </w:r>
      <w:r>
        <w:rPr/>
        <w:t>、</w:t>
      </w:r>
      <w:r>
        <w:rPr>
          <w:spacing w:val="-1"/>
        </w:rPr>
        <w:t> </w:t>
      </w:r>
      <w:r>
        <w:rPr/>
        <w:t>应收款项：</w:t>
      </w:r>
    </w:p>
    <w:p>
      <w:pPr>
        <w:pStyle w:val="BodyText"/>
        <w:spacing w:line="240" w:lineRule="auto" w:before="83"/>
        <w:ind w:right="9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单项金额重大并单项计提坏账准备的应收款项：</w:t>
      </w:r>
    </w:p>
    <w:p>
      <w:pPr>
        <w:spacing w:line="240" w:lineRule="auto" w:before="1"/>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63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2"/>
              <w:ind w:left="100" w:right="0"/>
              <w:jc w:val="left"/>
              <w:rPr>
                <w:rFonts w:ascii="宋体" w:hAnsi="宋体" w:cs="宋体" w:eastAsia="宋体" w:hint="default"/>
                <w:sz w:val="21"/>
                <w:szCs w:val="21"/>
              </w:rPr>
            </w:pPr>
            <w:r>
              <w:rPr>
                <w:rFonts w:ascii="宋体" w:hAnsi="宋体" w:cs="宋体" w:eastAsia="宋体" w:hint="default"/>
                <w:sz w:val="21"/>
                <w:szCs w:val="21"/>
              </w:rPr>
              <w:t>单项金额重大的判断依据或金额标准</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100" w:right="98"/>
              <w:jc w:val="left"/>
              <w:rPr>
                <w:rFonts w:ascii="宋体" w:hAnsi="宋体" w:cs="宋体" w:eastAsia="宋体" w:hint="default"/>
                <w:sz w:val="21"/>
                <w:szCs w:val="21"/>
              </w:rPr>
            </w:pPr>
            <w:r>
              <w:rPr>
                <w:rFonts w:ascii="宋体" w:hAnsi="宋体" w:cs="宋体" w:eastAsia="宋体" w:hint="default"/>
                <w:sz w:val="21"/>
                <w:szCs w:val="21"/>
              </w:rPr>
              <w:t>单项金额重大是指：余额</w:t>
            </w:r>
            <w:r>
              <w:rPr>
                <w:rFonts w:ascii="宋体" w:hAnsi="宋体" w:cs="宋体" w:eastAsia="宋体" w:hint="default"/>
                <w:spacing w:val="-43"/>
                <w:sz w:val="21"/>
                <w:szCs w:val="21"/>
              </w:rPr>
              <w:t> </w:t>
            </w:r>
            <w:r>
              <w:rPr>
                <w:rFonts w:ascii="Times New Roman" w:hAnsi="Times New Roman" w:cs="Times New Roman" w:eastAsia="Times New Roman" w:hint="default"/>
                <w:sz w:val="21"/>
                <w:szCs w:val="21"/>
              </w:rPr>
              <w:t>100</w:t>
            </w:r>
            <w:r>
              <w:rPr>
                <w:rFonts w:ascii="Times New Roman" w:hAnsi="Times New Roman" w:cs="Times New Roman" w:eastAsia="Times New Roman" w:hint="default"/>
                <w:spacing w:val="10"/>
                <w:sz w:val="21"/>
                <w:szCs w:val="21"/>
              </w:rPr>
              <w:t> </w:t>
            </w:r>
            <w:r>
              <w:rPr>
                <w:rFonts w:ascii="宋体" w:hAnsi="宋体" w:cs="宋体" w:eastAsia="宋体" w:hint="default"/>
                <w:sz w:val="21"/>
                <w:szCs w:val="21"/>
              </w:rPr>
              <w:t>万元以上的应收款 项</w:t>
            </w:r>
          </w:p>
        </w:tc>
      </w:tr>
      <w:tr>
        <w:trPr>
          <w:trHeight w:val="1264"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单项金额重大并单项计提坏账准备的计提方法</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期末对于单项重大的应收款项，单独进行减值测</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试。如果有客观证据表明已经发生减值，根据其</w:t>
            </w:r>
            <w:r>
              <w:rPr>
                <w:rFonts w:ascii="宋体" w:hAnsi="宋体" w:cs="宋体" w:eastAsia="宋体" w:hint="default"/>
                <w:spacing w:val="-85"/>
                <w:sz w:val="21"/>
                <w:szCs w:val="21"/>
              </w:rPr>
              <w:t> </w:t>
            </w:r>
            <w:r>
              <w:rPr>
                <w:rFonts w:ascii="宋体" w:hAnsi="宋体" w:cs="宋体" w:eastAsia="宋体" w:hint="default"/>
                <w:sz w:val="21"/>
                <w:szCs w:val="21"/>
              </w:rPr>
              <w:t>未来现金流量现值低于其账面价值的差额，确认</w:t>
            </w:r>
            <w:r>
              <w:rPr>
                <w:rFonts w:ascii="宋体" w:hAnsi="宋体" w:cs="宋体" w:eastAsia="宋体" w:hint="default"/>
                <w:spacing w:val="-85"/>
                <w:sz w:val="21"/>
                <w:szCs w:val="21"/>
              </w:rPr>
              <w:t> </w:t>
            </w:r>
            <w:r>
              <w:rPr>
                <w:rFonts w:ascii="宋体" w:hAnsi="宋体" w:cs="宋体" w:eastAsia="宋体" w:hint="default"/>
                <w:sz w:val="21"/>
                <w:szCs w:val="21"/>
              </w:rPr>
              <w:t>减值损失，计提坏账准备。</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单项金额虽不重大但单项计提坏账准备的应收账款：</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19" w:hRule="exact"/>
        </w:trPr>
        <w:tc>
          <w:tcPr>
            <w:tcW w:w="4650" w:type="dxa"/>
            <w:tcBorders>
              <w:top w:val="single" w:sz="6" w:space="0" w:color="000000"/>
              <w:left w:val="single" w:sz="6" w:space="0" w:color="000000"/>
              <w:bottom w:val="nil" w:sz="6" w:space="0" w:color="auto"/>
              <w:right w:val="single" w:sz="6" w:space="0" w:color="000000"/>
            </w:tcBorders>
          </w:tcPr>
          <w:p>
            <w:pPr/>
          </w:p>
        </w:tc>
        <w:tc>
          <w:tcPr>
            <w:tcW w:w="465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期末对于单项金额非重大的应收款项与经单独测</w:t>
            </w:r>
          </w:p>
        </w:tc>
      </w:tr>
      <w:tr>
        <w:trPr>
          <w:trHeight w:val="311"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试后未减值的应收款项一起按类似信用风险特征</w:t>
            </w:r>
          </w:p>
        </w:tc>
      </w:tr>
      <w:tr>
        <w:trPr>
          <w:trHeight w:val="313" w:hRule="exact"/>
        </w:trPr>
        <w:tc>
          <w:tcPr>
            <w:tcW w:w="465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坏账准备的计提方法</w:t>
            </w: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划分为若干组合，再按这些应收款项组合在期末</w:t>
            </w:r>
          </w:p>
        </w:tc>
      </w:tr>
      <w:tr>
        <w:trPr>
          <w:trHeight w:val="312" w:hRule="exact"/>
        </w:trPr>
        <w:tc>
          <w:tcPr>
            <w:tcW w:w="4650" w:type="dxa"/>
            <w:tcBorders>
              <w:top w:val="nil" w:sz="6" w:space="0" w:color="auto"/>
              <w:left w:val="single" w:sz="6" w:space="0" w:color="000000"/>
              <w:bottom w:val="nil" w:sz="6" w:space="0" w:color="auto"/>
              <w:right w:val="single" w:sz="6" w:space="0" w:color="000000"/>
            </w:tcBorders>
          </w:tcPr>
          <w:p>
            <w:pPr/>
          </w:p>
        </w:tc>
        <w:tc>
          <w:tcPr>
            <w:tcW w:w="465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账面余额的一定比例计算确定减值损失，计提坏</w:t>
            </w:r>
          </w:p>
        </w:tc>
      </w:tr>
      <w:tr>
        <w:trPr>
          <w:trHeight w:val="320" w:hRule="exact"/>
        </w:trPr>
        <w:tc>
          <w:tcPr>
            <w:tcW w:w="4650" w:type="dxa"/>
            <w:tcBorders>
              <w:top w:val="nil" w:sz="6" w:space="0" w:color="auto"/>
              <w:left w:val="single" w:sz="6" w:space="0" w:color="000000"/>
              <w:bottom w:val="single" w:sz="6" w:space="0" w:color="000000"/>
              <w:right w:val="single" w:sz="6" w:space="0" w:color="000000"/>
            </w:tcBorders>
          </w:tcPr>
          <w:p>
            <w:pPr/>
          </w:p>
        </w:tc>
        <w:tc>
          <w:tcPr>
            <w:tcW w:w="4650" w:type="dxa"/>
            <w:tcBorders>
              <w:top w:val="nil" w:sz="6" w:space="0" w:color="auto"/>
              <w:left w:val="single" w:sz="6" w:space="0" w:color="000000"/>
              <w:bottom w:val="single" w:sz="6" w:space="0" w:color="000000"/>
              <w:right w:val="single" w:sz="6" w:space="0" w:color="000000"/>
            </w:tcBorders>
          </w:tcPr>
          <w:p>
            <w:pPr>
              <w:pStyle w:val="TableParagraph"/>
              <w:spacing w:line="277" w:lineRule="exact"/>
              <w:ind w:left="100" w:right="-4"/>
              <w:jc w:val="left"/>
              <w:rPr>
                <w:rFonts w:ascii="宋体" w:hAnsi="宋体" w:cs="宋体" w:eastAsia="宋体" w:hint="default"/>
                <w:sz w:val="21"/>
                <w:szCs w:val="21"/>
              </w:rPr>
            </w:pPr>
            <w:r>
              <w:rPr>
                <w:rFonts w:ascii="宋体" w:hAnsi="宋体" w:cs="宋体" w:eastAsia="宋体" w:hint="default"/>
                <w:sz w:val="21"/>
                <w:szCs w:val="21"/>
              </w:rPr>
              <w:t>账准备。计提比例为</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1-3</w:t>
            </w:r>
            <w:r>
              <w:rPr>
                <w:rFonts w:ascii="Times New Roman" w:hAnsi="Times New Roman" w:cs="Times New Roman" w:eastAsia="Times New Roman" w:hint="default"/>
                <w:spacing w:val="-5"/>
                <w:sz w:val="21"/>
                <w:szCs w:val="21"/>
              </w:rPr>
              <w:t> </w:t>
            </w:r>
            <w:r>
              <w:rPr>
                <w:rFonts w:ascii="宋体" w:hAnsi="宋体" w:cs="宋体" w:eastAsia="宋体" w:hint="default"/>
                <w:sz w:val="21"/>
                <w:szCs w:val="21"/>
              </w:rPr>
              <w:t>年</w:t>
            </w:r>
            <w:r>
              <w:rPr>
                <w:rFonts w:ascii="宋体" w:hAnsi="宋体" w:cs="宋体" w:eastAsia="宋体" w:hint="default"/>
                <w:spacing w:val="-57"/>
                <w:sz w:val="21"/>
                <w:szCs w:val="21"/>
              </w:rPr>
              <w:t> </w:t>
            </w:r>
            <w:r>
              <w:rPr>
                <w:rFonts w:ascii="Times New Roman" w:hAnsi="Times New Roman" w:cs="Times New Roman" w:eastAsia="Times New Roman" w:hint="default"/>
                <w:spacing w:val="-4"/>
                <w:sz w:val="21"/>
                <w:szCs w:val="21"/>
              </w:rPr>
              <w:t>5%</w:t>
            </w:r>
            <w:r>
              <w:rPr>
                <w:rFonts w:ascii="宋体" w:hAnsi="宋体" w:cs="宋体" w:eastAsia="宋体" w:hint="default"/>
                <w:spacing w:val="-4"/>
                <w:sz w:val="21"/>
                <w:szCs w:val="21"/>
              </w:rPr>
              <w:t>，</w:t>
            </w:r>
            <w:r>
              <w:rPr>
                <w:rFonts w:ascii="Times New Roman" w:hAnsi="Times New Roman" w:cs="Times New Roman" w:eastAsia="Times New Roman" w:hint="default"/>
                <w:spacing w:val="-4"/>
                <w:sz w:val="21"/>
                <w:szCs w:val="21"/>
              </w:rPr>
              <w:t>3 </w:t>
            </w:r>
            <w:r>
              <w:rPr>
                <w:rFonts w:ascii="宋体" w:hAnsi="宋体" w:cs="宋体" w:eastAsia="宋体" w:hint="default"/>
                <w:sz w:val="21"/>
                <w:szCs w:val="21"/>
              </w:rPr>
              <w:t>年以上</w:t>
            </w:r>
            <w:r>
              <w:rPr>
                <w:rFonts w:ascii="宋体" w:hAnsi="宋体" w:cs="宋体" w:eastAsia="宋体" w:hint="default"/>
                <w:spacing w:val="-57"/>
                <w:sz w:val="21"/>
                <w:szCs w:val="21"/>
              </w:rPr>
              <w:t> </w:t>
            </w:r>
            <w:r>
              <w:rPr>
                <w:rFonts w:ascii="Times New Roman" w:hAnsi="Times New Roman" w:cs="Times New Roman" w:eastAsia="Times New Roman" w:hint="default"/>
                <w:sz w:val="21"/>
                <w:szCs w:val="21"/>
              </w:rPr>
              <w:t>100%</w:t>
            </w:r>
            <w:r>
              <w:rPr>
                <w:rFonts w:ascii="宋体" w:hAnsi="宋体" w:cs="宋体" w:eastAsia="宋体" w:hint="default"/>
                <w:sz w:val="21"/>
                <w:szCs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11</w:t>
      </w:r>
      <w:r>
        <w:rPr/>
        <w:t>、</w:t>
      </w:r>
      <w:r>
        <w:rPr>
          <w:spacing w:val="-1"/>
        </w:rPr>
        <w:t> </w:t>
      </w:r>
      <w:r>
        <w:rPr/>
        <w:t>存货：</w:t>
      </w:r>
    </w:p>
    <w:p>
      <w:pPr>
        <w:pStyle w:val="BodyText"/>
        <w:spacing w:line="278" w:lineRule="auto" w:before="83"/>
        <w:ind w:right="9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存货的分类</w:t>
      </w:r>
      <w:r>
        <w:rPr>
          <w:w w:val="99"/>
        </w:rPr>
        <w:t> </w:t>
      </w:r>
      <w:r>
        <w:rPr>
          <w:spacing w:val="-3"/>
          <w:w w:val="99"/>
        </w:rPr>
        <w:t>存货包括在日常活动中持有以备出售的产成品或库存商品、在生产过程或提供劳务过程中耗</w:t>
      </w:r>
      <w:r>
        <w:rPr>
          <w:spacing w:val="-79"/>
          <w:w w:val="99"/>
        </w:rPr>
        <w:t> </w:t>
      </w:r>
      <w:r>
        <w:rPr>
          <w:spacing w:val="-79"/>
          <w:w w:val="99"/>
        </w:rPr>
      </w:r>
      <w:r>
        <w:rPr/>
        <w:t>用的材料和物料等。</w:t>
      </w:r>
    </w:p>
    <w:p>
      <w:pPr>
        <w:spacing w:line="240" w:lineRule="auto" w:before="7"/>
        <w:rPr>
          <w:rFonts w:ascii="宋体" w:hAnsi="宋体" w:cs="宋体" w:eastAsia="宋体" w:hint="default"/>
          <w:sz w:val="26"/>
          <w:szCs w:val="26"/>
        </w:rPr>
      </w:pPr>
    </w:p>
    <w:p>
      <w:pPr>
        <w:pStyle w:val="BodyText"/>
        <w:spacing w:line="283" w:lineRule="auto"/>
        <w:ind w:right="716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发出存货的计价方法</w:t>
      </w:r>
      <w:r>
        <w:rPr>
          <w:w w:val="99"/>
        </w:rPr>
        <w:t> </w:t>
      </w:r>
      <w:r>
        <w:rPr/>
        <w:t>加权平均法</w:t>
      </w:r>
    </w:p>
    <w:p>
      <w:pPr>
        <w:spacing w:line="240" w:lineRule="auto" w:before="2"/>
        <w:rPr>
          <w:rFonts w:ascii="宋体" w:hAnsi="宋体" w:cs="宋体" w:eastAsia="宋体" w:hint="default"/>
          <w:sz w:val="26"/>
          <w:szCs w:val="26"/>
        </w:rPr>
      </w:pPr>
    </w:p>
    <w:p>
      <w:pPr>
        <w:pStyle w:val="BodyText"/>
        <w:spacing w:line="276" w:lineRule="auto"/>
        <w:ind w:right="1004"/>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存货可变现净值的确定依据及存货跌价准备的计提方法</w:t>
      </w:r>
      <w:r>
        <w:rPr>
          <w:w w:val="99"/>
        </w:rPr>
        <w:t> </w:t>
      </w:r>
      <w:r>
        <w:rPr>
          <w:spacing w:val="-3"/>
        </w:rPr>
        <w:t>资产负债表日，存货采用成本与可变现净值孰低计量，按照存货类别成本高于可变现净值的</w:t>
      </w:r>
      <w:r>
        <w:rPr>
          <w:spacing w:val="-80"/>
        </w:rPr>
        <w:t> </w:t>
      </w:r>
      <w:r>
        <w:rPr>
          <w:spacing w:val="-80"/>
        </w:rPr>
      </w:r>
      <w:r>
        <w:rPr/>
        <w:t>差额计提存货跌价准备。产成品、库存商品和用于出售的材料等直接用于出售的商品存货，</w:t>
      </w:r>
      <w:r>
        <w:rPr>
          <w:w w:val="99"/>
        </w:rPr>
        <w:t> </w:t>
      </w:r>
      <w:r>
        <w:rPr>
          <w:spacing w:val="2"/>
        </w:rPr>
        <w:t>在正常生产经营过程中以该存货的估计售价减去估计的销售费用和相关税费后的金额确定</w:t>
      </w:r>
      <w:r>
        <w:rPr>
          <w:spacing w:val="-85"/>
        </w:rPr>
        <w:t> </w:t>
      </w:r>
      <w:r>
        <w:rPr>
          <w:spacing w:val="-85"/>
        </w:rPr>
      </w:r>
      <w:r>
        <w:rPr>
          <w:spacing w:val="-3"/>
        </w:rPr>
        <w:t>其可变现净值；需要经过加工的材料存货，在正常生产经营过程中以所生产的产成品的估计</w:t>
      </w:r>
    </w:p>
    <w:p>
      <w:pPr>
        <w:spacing w:after="0" w:line="276"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73" w:lineRule="auto" w:before="35"/>
        <w:ind w:right="104"/>
        <w:jc w:val="left"/>
      </w:pPr>
      <w:r>
        <w:rPr>
          <w:spacing w:val="-3"/>
        </w:rPr>
        <w:t>售价减去至完工时估计将要发生的成本、估计的销售费用和相关税费后的金额确定其可变现</w:t>
      </w:r>
      <w:r>
        <w:rPr>
          <w:spacing w:val="-79"/>
        </w:rPr>
        <w:t> </w:t>
      </w:r>
      <w:r>
        <w:rPr>
          <w:spacing w:val="-79"/>
        </w:rPr>
      </w:r>
      <w:r>
        <w:rPr/>
        <w:t>净值；资产负债表日，同一项存货中一部分有合同价格约定、其他部分不存在合同价格的， </w:t>
      </w:r>
      <w:r>
        <w:rPr>
          <w:spacing w:val="-3"/>
        </w:rPr>
        <w:t>分别确定其可变现净值，并与其对应的成本进行比较，分别确定存货跌价准备的计提或转回</w:t>
      </w:r>
      <w:r>
        <w:rPr>
          <w:spacing w:val="-79"/>
        </w:rPr>
        <w:t> </w:t>
      </w:r>
      <w:r>
        <w:rPr>
          <w:spacing w:val="-79"/>
        </w:rPr>
      </w:r>
      <w:r>
        <w:rPr/>
        <w:t>的金额。</w:t>
      </w:r>
    </w:p>
    <w:p>
      <w:pPr>
        <w:spacing w:line="240" w:lineRule="auto" w:before="11"/>
        <w:rPr>
          <w:rFonts w:ascii="宋体" w:hAnsi="宋体" w:cs="宋体" w:eastAsia="宋体" w:hint="default"/>
          <w:sz w:val="26"/>
          <w:szCs w:val="26"/>
        </w:rPr>
      </w:pPr>
    </w:p>
    <w:p>
      <w:pPr>
        <w:pStyle w:val="BodyText"/>
        <w:spacing w:line="283" w:lineRule="auto"/>
        <w:ind w:right="668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存货的盘存制度</w:t>
      </w:r>
      <w:r>
        <w:rPr>
          <w:w w:val="99"/>
        </w:rPr>
        <w:t> </w:t>
      </w:r>
      <w:r>
        <w:rPr/>
        <w:t>永续盘存制</w:t>
      </w:r>
    </w:p>
    <w:p>
      <w:pPr>
        <w:spacing w:line="240" w:lineRule="auto" w:before="2"/>
        <w:rPr>
          <w:rFonts w:ascii="宋体" w:hAnsi="宋体" w:cs="宋体" w:eastAsia="宋体" w:hint="default"/>
          <w:sz w:val="26"/>
          <w:szCs w:val="26"/>
        </w:rPr>
      </w:pPr>
    </w:p>
    <w:p>
      <w:pPr>
        <w:pStyle w:val="BodyText"/>
        <w:spacing w:line="240" w:lineRule="auto"/>
        <w:ind w:right="201"/>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低值易耗品和包装物的摊销方法</w:t>
      </w:r>
    </w:p>
    <w:p>
      <w:pPr>
        <w:pStyle w:val="BodyText"/>
        <w:spacing w:line="283" w:lineRule="auto" w:before="83"/>
        <w:ind w:right="7174"/>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低值易耗品</w:t>
      </w:r>
      <w:r>
        <w:rPr>
          <w:w w:val="99"/>
        </w:rPr>
        <w:t> </w:t>
      </w:r>
      <w:r>
        <w:rPr/>
        <w:t>一次摊销法</w:t>
      </w:r>
    </w:p>
    <w:p>
      <w:pPr>
        <w:spacing w:line="240" w:lineRule="auto" w:before="2"/>
        <w:rPr>
          <w:rFonts w:ascii="宋体" w:hAnsi="宋体" w:cs="宋体" w:eastAsia="宋体" w:hint="default"/>
          <w:sz w:val="26"/>
          <w:szCs w:val="26"/>
        </w:rPr>
      </w:pPr>
    </w:p>
    <w:p>
      <w:pPr>
        <w:pStyle w:val="BodyText"/>
        <w:spacing w:line="283" w:lineRule="auto"/>
        <w:ind w:right="745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包装物</w:t>
      </w:r>
      <w:r>
        <w:rPr>
          <w:w w:val="99"/>
        </w:rPr>
        <w:t> </w:t>
      </w:r>
      <w:r>
        <w:rPr/>
        <w:t>一次摊销法</w:t>
      </w:r>
    </w:p>
    <w:p>
      <w:pPr>
        <w:spacing w:line="240" w:lineRule="auto" w:before="2"/>
        <w:rPr>
          <w:rFonts w:ascii="宋体" w:hAnsi="宋体" w:cs="宋体" w:eastAsia="宋体" w:hint="default"/>
          <w:sz w:val="26"/>
          <w:szCs w:val="26"/>
        </w:rPr>
      </w:pPr>
    </w:p>
    <w:p>
      <w:pPr>
        <w:pStyle w:val="BodyText"/>
        <w:spacing w:line="240" w:lineRule="auto"/>
        <w:ind w:right="201"/>
        <w:jc w:val="left"/>
      </w:pPr>
      <w:r>
        <w:rPr>
          <w:rFonts w:ascii="Times New Roman" w:hAnsi="Times New Roman" w:cs="Times New Roman" w:eastAsia="Times New Roman" w:hint="default"/>
        </w:rPr>
        <w:t>12</w:t>
      </w:r>
      <w:r>
        <w:rPr/>
        <w:t>、</w:t>
      </w:r>
      <w:r>
        <w:rPr>
          <w:spacing w:val="-3"/>
        </w:rPr>
        <w:t> </w:t>
      </w:r>
      <w:r>
        <w:rPr/>
        <w:t>长期股权投资：</w:t>
      </w:r>
    </w:p>
    <w:p>
      <w:pPr>
        <w:pStyle w:val="BodyText"/>
        <w:spacing w:line="240" w:lineRule="auto" w:before="83"/>
        <w:ind w:right="20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投资成本确定</w:t>
      </w:r>
    </w:p>
    <w:p>
      <w:pPr>
        <w:pStyle w:val="BodyText"/>
        <w:spacing w:line="273" w:lineRule="auto" w:before="52"/>
        <w:ind w:right="216"/>
        <w:jc w:val="both"/>
      </w:pPr>
      <w:r>
        <w:rPr>
          <w:spacing w:val="-3"/>
        </w:rPr>
        <w:t>①通过同一控制下的合并取得的长期股权投资，在合并日按照被合并方所有者权益账面价值</w:t>
      </w:r>
      <w:r>
        <w:rPr>
          <w:spacing w:val="-79"/>
        </w:rPr>
        <w:t> </w:t>
      </w:r>
      <w:r>
        <w:rPr>
          <w:spacing w:val="-79"/>
        </w:rPr>
      </w:r>
      <w:r>
        <w:rPr>
          <w:spacing w:val="-3"/>
        </w:rPr>
        <w:t>的份额作为长期股权投资的投资成本。长期股权投资投资成本与支付的现金、转让的非现金</w:t>
      </w:r>
      <w:r>
        <w:rPr>
          <w:spacing w:val="-79"/>
        </w:rPr>
        <w:t> </w:t>
      </w:r>
      <w:r>
        <w:rPr>
          <w:spacing w:val="-79"/>
        </w:rPr>
      </w:r>
      <w:r>
        <w:rPr>
          <w:spacing w:val="-3"/>
        </w:rPr>
        <w:t>资产以及所承担债务账面价值或发行的权益性债券面值总额之间的差额，计入资本公积；资</w:t>
      </w:r>
      <w:r>
        <w:rPr>
          <w:spacing w:val="-79"/>
        </w:rPr>
        <w:t> </w:t>
      </w:r>
      <w:r>
        <w:rPr>
          <w:spacing w:val="-79"/>
        </w:rPr>
      </w:r>
      <w:r>
        <w:rPr/>
        <w:t>本公积不足冲减的，调整留存收益。</w:t>
      </w:r>
    </w:p>
    <w:p>
      <w:pPr>
        <w:pStyle w:val="BodyText"/>
        <w:spacing w:line="273" w:lineRule="auto" w:before="8"/>
        <w:ind w:right="216"/>
        <w:jc w:val="both"/>
      </w:pPr>
      <w:r>
        <w:rPr>
          <w:spacing w:val="-3"/>
        </w:rPr>
        <w:t>②通过非同一控制下的合并取得的长期股权投资，按照确定的合并成本作为长期股权投资的</w:t>
      </w:r>
      <w:r>
        <w:rPr>
          <w:spacing w:val="-79"/>
        </w:rPr>
        <w:t> </w:t>
      </w:r>
      <w:r>
        <w:rPr>
          <w:spacing w:val="-79"/>
        </w:rPr>
      </w:r>
      <w:r>
        <w:rPr>
          <w:spacing w:val="-3"/>
        </w:rPr>
        <w:t>投资成本。合并成本大于享有被购买方可辨认净资产公允价值份额的差额，在合并财务报表</w:t>
      </w:r>
      <w:r>
        <w:rPr>
          <w:spacing w:val="-79"/>
        </w:rPr>
        <w:t> </w:t>
      </w:r>
      <w:r>
        <w:rPr>
          <w:spacing w:val="-79"/>
        </w:rPr>
      </w:r>
      <w:r>
        <w:rPr>
          <w:spacing w:val="-3"/>
        </w:rPr>
        <w:t>中确认为商誉；合并成本小于享有被购买方可辨认净资产公允价值份额的差额，计入当期损</w:t>
      </w:r>
      <w:r>
        <w:rPr>
          <w:spacing w:val="-79"/>
        </w:rPr>
        <w:t> </w:t>
      </w:r>
      <w:r>
        <w:rPr>
          <w:spacing w:val="-79"/>
        </w:rPr>
      </w:r>
      <w:r>
        <w:rPr/>
        <w:t>益。</w:t>
      </w:r>
    </w:p>
    <w:p>
      <w:pPr>
        <w:pStyle w:val="BodyText"/>
        <w:spacing w:line="273" w:lineRule="auto" w:before="8"/>
        <w:ind w:right="99"/>
        <w:jc w:val="left"/>
      </w:pPr>
      <w:r>
        <w:rPr>
          <w:spacing w:val="-3"/>
        </w:rPr>
        <w:t>③除上述通过企业合并取得的长期股权投资外，通过支付的现金、付出的非货币性资产或发</w:t>
      </w:r>
      <w:r>
        <w:rPr>
          <w:spacing w:val="-79"/>
        </w:rPr>
        <w:t> </w:t>
      </w:r>
      <w:r>
        <w:rPr>
          <w:spacing w:val="-79"/>
        </w:rPr>
      </w:r>
      <w:r>
        <w:rPr/>
        <w:t>行的权益性证券的方式取得的长期股权投资，以其公允价值作为长期股权投资的投资成本： </w:t>
      </w:r>
      <w:r>
        <w:rPr>
          <w:spacing w:val="-3"/>
        </w:rPr>
        <w:t>长期股权投资通过债务重组方式取得的长期股权投资，以债权转为股权所享有股份的公允价</w:t>
      </w:r>
      <w:r>
        <w:rPr>
          <w:spacing w:val="-79"/>
        </w:rPr>
        <w:t> </w:t>
      </w:r>
      <w:r>
        <w:rPr>
          <w:spacing w:val="-79"/>
        </w:rPr>
      </w:r>
      <w:r>
        <w:rPr>
          <w:spacing w:val="-3"/>
        </w:rPr>
        <w:t>值作为长期股权投资的投资成本；投资者投入的长期股权投资，以投资合同或协议约定的价</w:t>
      </w:r>
      <w:r>
        <w:rPr>
          <w:spacing w:val="-79"/>
        </w:rPr>
        <w:t> </w:t>
      </w:r>
      <w:r>
        <w:rPr>
          <w:spacing w:val="-79"/>
        </w:rPr>
      </w:r>
      <w:r>
        <w:rPr>
          <w:spacing w:val="-5"/>
        </w:rPr>
        <w:t>值作为投资成本，但合同或协议约定价值不公允时，则以投入股权的公允价值作为投资成本。</w:t>
      </w:r>
      <w:r>
        <w:rPr>
          <w:spacing w:val="-100"/>
        </w:rPr>
        <w:t> </w:t>
      </w:r>
      <w:r>
        <w:rPr>
          <w:spacing w:val="-100"/>
        </w:rPr>
      </w:r>
      <w:r>
        <w:rPr/>
        <w:t>实际支付的价款或对价中包含的已宣告但尚未领取的现金股利，作为应收项目单独核算。</w:t>
      </w:r>
    </w:p>
    <w:p>
      <w:pPr>
        <w:spacing w:line="240" w:lineRule="auto" w:before="11"/>
        <w:rPr>
          <w:rFonts w:ascii="宋体" w:hAnsi="宋体" w:cs="宋体" w:eastAsia="宋体" w:hint="default"/>
          <w:sz w:val="26"/>
          <w:szCs w:val="26"/>
        </w:rPr>
      </w:pPr>
    </w:p>
    <w:p>
      <w:pPr>
        <w:pStyle w:val="BodyText"/>
        <w:spacing w:line="276" w:lineRule="auto"/>
        <w:ind w:right="201"/>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2"/>
        </w:rPr>
        <w:t> </w:t>
      </w:r>
      <w:r>
        <w:rPr/>
        <w:t>后续计量及损益确认方法</w:t>
      </w:r>
      <w:r>
        <w:rPr>
          <w:w w:val="99"/>
        </w:rPr>
        <w:t> </w:t>
      </w:r>
      <w:r>
        <w:rPr>
          <w:spacing w:val="2"/>
        </w:rPr>
        <w:t>公司对子公司的长期股权投资以及对被投资单位不具有共同控制或重大影响并且在活跃市</w:t>
      </w:r>
      <w:r>
        <w:rPr>
          <w:spacing w:val="-85"/>
        </w:rPr>
        <w:t> </w:t>
      </w:r>
      <w:r>
        <w:rPr>
          <w:spacing w:val="-85"/>
        </w:rPr>
      </w:r>
      <w:r>
        <w:rPr>
          <w:spacing w:val="-3"/>
        </w:rPr>
        <w:t>场中没有报价、公允价值不能可靠计量的长期股权投资，采用成本法核算；对被投资单位具</w:t>
      </w:r>
      <w:r>
        <w:rPr>
          <w:spacing w:val="-82"/>
        </w:rPr>
        <w:t> </w:t>
      </w:r>
      <w:r>
        <w:rPr>
          <w:spacing w:val="-82"/>
        </w:rPr>
      </w:r>
      <w:r>
        <w:rPr/>
        <w:t>有共同控制或重大影响的长期股权投资，采用权益法核算。</w:t>
      </w:r>
    </w:p>
    <w:p>
      <w:pPr>
        <w:spacing w:line="240" w:lineRule="auto" w:before="9"/>
        <w:rPr>
          <w:rFonts w:ascii="宋体" w:hAnsi="宋体" w:cs="宋体" w:eastAsia="宋体" w:hint="default"/>
          <w:sz w:val="26"/>
          <w:szCs w:val="26"/>
        </w:rPr>
      </w:pPr>
    </w:p>
    <w:p>
      <w:pPr>
        <w:pStyle w:val="BodyText"/>
        <w:spacing w:line="278" w:lineRule="auto"/>
        <w:ind w:right="201"/>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52"/>
        </w:rPr>
        <w:t> </w:t>
      </w:r>
      <w:r>
        <w:rPr/>
        <w:t>确定对被投资单位具有共同控制、重大影响的依据</w:t>
      </w:r>
      <w:r>
        <w:rPr>
          <w:w w:val="99"/>
        </w:rPr>
        <w:t> </w:t>
      </w:r>
      <w:r>
        <w:rPr>
          <w:spacing w:val="-3"/>
        </w:rPr>
        <w:t>共同控制是指按照合同约定对某项经济活动共有的控制。在确定是否构成共同控制时，一般</w:t>
      </w:r>
      <w:r>
        <w:rPr>
          <w:spacing w:val="-80"/>
        </w:rPr>
        <w:t> </w:t>
      </w:r>
      <w:r>
        <w:rPr>
          <w:spacing w:val="-80"/>
        </w:rPr>
      </w:r>
      <w:r>
        <w:rPr/>
        <w:t>考虑以下情况作为确定基础：</w:t>
      </w:r>
    </w:p>
    <w:p>
      <w:pPr>
        <w:pStyle w:val="BodyText"/>
        <w:spacing w:line="240" w:lineRule="auto" w:before="3"/>
        <w:ind w:right="201"/>
        <w:jc w:val="left"/>
      </w:pPr>
      <w:r>
        <w:rPr/>
        <w:t>①任何一个合营方均不能单独控制合营企业的生产经营活动。</w:t>
      </w:r>
    </w:p>
    <w:p>
      <w:pPr>
        <w:pStyle w:val="BodyText"/>
        <w:spacing w:line="240" w:lineRule="auto" w:before="37"/>
        <w:ind w:right="201"/>
        <w:jc w:val="left"/>
      </w:pPr>
      <w:r>
        <w:rPr/>
        <w:t>②涉及合营企业基本经营活动的决策需要各合营方一致同意。</w:t>
      </w:r>
    </w:p>
    <w:p>
      <w:pPr>
        <w:pStyle w:val="BodyText"/>
        <w:spacing w:line="240" w:lineRule="auto" w:before="37"/>
        <w:ind w:right="201"/>
        <w:jc w:val="left"/>
      </w:pPr>
      <w:r>
        <w:rPr>
          <w:spacing w:val="2"/>
        </w:rPr>
        <w:t>③各合营方可能通过合同或协议的形式任命其中的一个合营方对合营企业的日常活动进行</w:t>
      </w:r>
    </w:p>
    <w:p>
      <w:pPr>
        <w:spacing w:after="0" w:line="240"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66" w:lineRule="auto" w:before="35"/>
        <w:ind w:left="139" w:right="1111"/>
        <w:jc w:val="left"/>
      </w:pPr>
      <w:r>
        <w:rPr/>
        <w:t>管理，但其必须在各合营方已经一致同意的财务和经营政策范围内行使管理权。 </w:t>
      </w:r>
      <w:r>
        <w:rPr>
          <w:spacing w:val="-3"/>
        </w:rPr>
        <w:t>重大影响是指对被投资单位的财务和经营政策有参与决策的权力，但并不能够控制或者与其</w:t>
      </w:r>
      <w:r>
        <w:rPr>
          <w:spacing w:val="-79"/>
        </w:rPr>
        <w:t> </w:t>
      </w:r>
      <w:r>
        <w:rPr>
          <w:spacing w:val="-79"/>
        </w:rPr>
      </w:r>
      <w:r>
        <w:rPr>
          <w:spacing w:val="2"/>
        </w:rPr>
        <w:t>他方一起共同控制这些政策的制定。本公司一般以直接或通过子公司间接拥有被投资单位</w:t>
      </w:r>
      <w:r>
        <w:rPr>
          <w:spacing w:val="-85"/>
        </w:rPr>
        <w:t> </w:t>
      </w:r>
      <w:r>
        <w:rPr>
          <w:spacing w:val="-85"/>
        </w:rPr>
      </w:r>
      <w:r>
        <w:rPr>
          <w:rFonts w:ascii="Times New Roman" w:hAnsi="Times New Roman" w:cs="Times New Roman" w:eastAsia="Times New Roman" w:hint="default"/>
        </w:rPr>
        <w:t>20%</w:t>
      </w:r>
      <w:r>
        <w:rPr/>
        <w:t>以上但低于</w:t>
      </w:r>
      <w:r>
        <w:rPr>
          <w:spacing w:val="-39"/>
        </w:rPr>
        <w:t> </w:t>
      </w:r>
      <w:r>
        <w:rPr>
          <w:rFonts w:ascii="Times New Roman" w:hAnsi="Times New Roman" w:cs="Times New Roman" w:eastAsia="Times New Roman" w:hint="default"/>
          <w:spacing w:val="-3"/>
        </w:rPr>
        <w:t>50%</w:t>
      </w:r>
      <w:r>
        <w:rPr>
          <w:spacing w:val="-3"/>
        </w:rPr>
        <w:t>的表决权股份时，认为对被投资单位具有重大影响，但有明确的证据表</w:t>
      </w:r>
      <w:r>
        <w:rPr>
          <w:spacing w:val="-101"/>
        </w:rPr>
        <w:t> </w:t>
      </w:r>
      <w:r>
        <w:rPr>
          <w:spacing w:val="-101"/>
        </w:rPr>
      </w:r>
      <w:r>
        <w:rPr/>
        <w:t>明该种情况下不能参与被投资单位的生产经营决策，不形成重大影响的除外。 公司对被投资单位拥有表决权股份的比例低于</w:t>
      </w:r>
      <w:r>
        <w:rPr>
          <w:spacing w:val="30"/>
        </w:rPr>
        <w:t> </w:t>
      </w:r>
      <w:r>
        <w:rPr>
          <w:rFonts w:ascii="Times New Roman" w:hAnsi="Times New Roman" w:cs="Times New Roman" w:eastAsia="Times New Roman" w:hint="default"/>
        </w:rPr>
        <w:t>20%</w:t>
      </w:r>
      <w:r>
        <w:rPr/>
        <w:t>的，一般认为对被投资单位不具有重大</w:t>
      </w:r>
      <w:r>
        <w:rPr>
          <w:spacing w:val="-100"/>
        </w:rPr>
        <w:t> </w:t>
      </w:r>
      <w:r>
        <w:rPr>
          <w:spacing w:val="-100"/>
        </w:rPr>
      </w:r>
      <w:r>
        <w:rPr/>
        <w:t>影响，但存在下列情形的除外：</w:t>
      </w:r>
    </w:p>
    <w:p>
      <w:pPr>
        <w:pStyle w:val="BodyText"/>
        <w:spacing w:line="240" w:lineRule="auto" w:before="14"/>
        <w:ind w:left="139" w:right="999"/>
        <w:jc w:val="left"/>
      </w:pPr>
      <w:r>
        <w:rPr/>
        <w:t>①在被投资单位的董事会或类似权力机构中派有代表。</w:t>
      </w:r>
    </w:p>
    <w:p>
      <w:pPr>
        <w:pStyle w:val="BodyText"/>
        <w:spacing w:line="240" w:lineRule="auto" w:before="37"/>
        <w:ind w:right="999"/>
        <w:jc w:val="left"/>
      </w:pPr>
      <w:r>
        <w:rPr/>
        <w:t>②参与被投资单位的政策制定过程，包括股利分配政策等的制定。</w:t>
      </w:r>
    </w:p>
    <w:p>
      <w:pPr>
        <w:pStyle w:val="BodyText"/>
        <w:spacing w:line="240" w:lineRule="auto" w:before="37"/>
        <w:ind w:right="999"/>
        <w:jc w:val="left"/>
      </w:pPr>
      <w:r>
        <w:rPr/>
        <w:t>③与被投资单位之间发生重要交易。</w:t>
      </w:r>
    </w:p>
    <w:p>
      <w:pPr>
        <w:pStyle w:val="BodyText"/>
        <w:spacing w:line="240" w:lineRule="auto" w:before="37"/>
        <w:ind w:right="999"/>
        <w:jc w:val="left"/>
      </w:pPr>
      <w:r>
        <w:rPr/>
        <w:t>④向被投资单位派出管理人员。</w:t>
      </w:r>
    </w:p>
    <w:p>
      <w:pPr>
        <w:pStyle w:val="BodyText"/>
        <w:spacing w:line="240" w:lineRule="auto" w:before="37"/>
        <w:ind w:right="999"/>
        <w:jc w:val="left"/>
      </w:pPr>
      <w:r>
        <w:rPr/>
        <w:t>⑤向被投资单位提供关键技术资料。</w:t>
      </w:r>
    </w:p>
    <w:p>
      <w:pPr>
        <w:spacing w:line="240" w:lineRule="auto" w:before="1"/>
        <w:rPr>
          <w:rFonts w:ascii="宋体" w:hAnsi="宋体" w:cs="宋体" w:eastAsia="宋体" w:hint="default"/>
          <w:sz w:val="29"/>
          <w:szCs w:val="29"/>
        </w:rPr>
      </w:pPr>
    </w:p>
    <w:p>
      <w:pPr>
        <w:pStyle w:val="BodyText"/>
        <w:spacing w:line="276" w:lineRule="auto"/>
        <w:ind w:right="99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减值测试方法及减值准备计提方法</w:t>
      </w:r>
      <w:r>
        <w:rPr>
          <w:w w:val="99"/>
        </w:rPr>
        <w:t> </w:t>
      </w:r>
      <w:r>
        <w:rPr>
          <w:spacing w:val="-3"/>
        </w:rPr>
        <w:t>资产负债表日，以成本法核算的、在活跃市场中没有报价、公允价值不能可靠计量的长期股</w:t>
      </w:r>
      <w:r>
        <w:rPr>
          <w:spacing w:val="-82"/>
        </w:rPr>
        <w:t> </w:t>
      </w:r>
      <w:r>
        <w:rPr>
          <w:spacing w:val="-82"/>
        </w:rPr>
      </w:r>
      <w:r>
        <w:rPr>
          <w:spacing w:val="-3"/>
        </w:rPr>
        <w:t>权投资，有客观证据表明其发生减值的，按照类似投资当时市场收益率对预计未来现金流量</w:t>
      </w:r>
      <w:r>
        <w:rPr>
          <w:spacing w:val="-80"/>
        </w:rPr>
        <w:t> </w:t>
      </w:r>
      <w:r>
        <w:rPr>
          <w:spacing w:val="-80"/>
        </w:rPr>
      </w:r>
      <w:r>
        <w:rPr>
          <w:spacing w:val="-3"/>
        </w:rPr>
        <w:t>折现确定的现值低于其账面价值之间的差额，计提长期投资减值准备；其他投资，当存在减</w:t>
      </w:r>
      <w:r>
        <w:rPr>
          <w:spacing w:val="-82"/>
        </w:rPr>
        <w:t> </w:t>
      </w:r>
      <w:r>
        <w:rPr>
          <w:spacing w:val="-82"/>
        </w:rPr>
      </w:r>
      <w:r>
        <w:rPr/>
        <w:t>值迹象时，按本附注四、</w:t>
      </w:r>
      <w:r>
        <w:rPr>
          <w:rFonts w:ascii="Times New Roman" w:hAnsi="Times New Roman" w:cs="Times New Roman" w:eastAsia="Times New Roman" w:hint="default"/>
        </w:rPr>
        <w:t>12</w:t>
      </w:r>
      <w:r>
        <w:rPr>
          <w:rFonts w:ascii="Times New Roman" w:hAnsi="Times New Roman" w:cs="Times New Roman" w:eastAsia="Times New Roman" w:hint="default"/>
          <w:spacing w:val="-3"/>
        </w:rPr>
        <w:t> </w:t>
      </w:r>
      <w:r>
        <w:rPr/>
        <w:t>所述方法计提长期投资减值准备。</w:t>
      </w:r>
    </w:p>
    <w:p>
      <w:pPr>
        <w:spacing w:line="240" w:lineRule="auto" w:before="2"/>
        <w:rPr>
          <w:rFonts w:ascii="宋体" w:hAnsi="宋体" w:cs="宋体" w:eastAsia="宋体" w:hint="default"/>
          <w:sz w:val="25"/>
          <w:szCs w:val="25"/>
        </w:rPr>
      </w:pPr>
    </w:p>
    <w:p>
      <w:pPr>
        <w:pStyle w:val="BodyText"/>
        <w:spacing w:line="240" w:lineRule="auto"/>
        <w:ind w:left="139" w:right="999"/>
        <w:jc w:val="left"/>
      </w:pPr>
      <w:r>
        <w:rPr>
          <w:rFonts w:ascii="Times New Roman" w:hAnsi="Times New Roman" w:cs="Times New Roman" w:eastAsia="Times New Roman" w:hint="default"/>
        </w:rPr>
        <w:t>13</w:t>
      </w:r>
      <w:r>
        <w:rPr/>
        <w:t>、</w:t>
      </w:r>
      <w:r>
        <w:rPr>
          <w:spacing w:val="-1"/>
        </w:rPr>
        <w:t> </w:t>
      </w:r>
      <w:r>
        <w:rPr/>
        <w:t>固定资产：</w:t>
      </w:r>
    </w:p>
    <w:p>
      <w:pPr>
        <w:pStyle w:val="BodyText"/>
        <w:spacing w:line="271" w:lineRule="auto" w:before="83"/>
        <w:ind w:left="139" w:right="99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固定资产确认条件、计价和折旧方法：</w:t>
      </w:r>
      <w:r>
        <w:rPr>
          <w:w w:val="99"/>
        </w:rPr>
        <w:t> </w:t>
      </w:r>
      <w:r>
        <w:rPr>
          <w:spacing w:val="-3"/>
        </w:rPr>
        <w:t>固定资产是指为生产商品、提供劳务、出租或经营管理而持有的，使用年限超过一年，单位</w:t>
      </w:r>
      <w:r>
        <w:rPr>
          <w:spacing w:val="-81"/>
        </w:rPr>
        <w:t> </w:t>
      </w:r>
      <w:r>
        <w:rPr>
          <w:spacing w:val="-81"/>
        </w:rPr>
      </w:r>
      <w:r>
        <w:rPr/>
        <w:t>价值较高的有形资产。</w:t>
      </w:r>
      <w:r>
        <w:rPr>
          <w:w w:val="99"/>
        </w:rPr>
        <w:t> </w:t>
      </w:r>
      <w:r>
        <w:rPr/>
        <w:t>固定资产以取得时的实际成本入账，并从其达到预定可使用状态的次月起，采用直线法</w:t>
      </w:r>
      <w:r>
        <w:rPr>
          <w:rFonts w:ascii="Times New Roman" w:hAnsi="Times New Roman" w:cs="Times New Roman" w:eastAsia="Times New Roman" w:hint="default"/>
        </w:rPr>
        <w:t>(</w:t>
      </w:r>
      <w:r>
        <w:rPr/>
        <w:t>年</w:t>
      </w:r>
      <w:r>
        <w:rPr>
          <w:spacing w:val="-68"/>
        </w:rPr>
        <w:t> </w:t>
      </w:r>
      <w:r>
        <w:rPr/>
        <w:t>限平均法</w:t>
      </w:r>
      <w:r>
        <w:rPr>
          <w:rFonts w:ascii="Times New Roman" w:hAnsi="Times New Roman" w:cs="Times New Roman" w:eastAsia="Times New Roman" w:hint="default"/>
        </w:rPr>
        <w:t>)</w:t>
      </w:r>
      <w:r>
        <w:rPr/>
        <w:t>提取折旧。</w:t>
      </w:r>
    </w:p>
    <w:p>
      <w:pPr>
        <w:spacing w:line="240" w:lineRule="auto" w:before="7"/>
        <w:rPr>
          <w:rFonts w:ascii="宋体" w:hAnsi="宋体" w:cs="宋体" w:eastAsia="宋体" w:hint="default"/>
          <w:sz w:val="25"/>
          <w:szCs w:val="25"/>
        </w:rPr>
      </w:pPr>
    </w:p>
    <w:p>
      <w:pPr>
        <w:pStyle w:val="BodyText"/>
        <w:spacing w:line="240" w:lineRule="auto"/>
        <w:ind w:left="139"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各类固定资产的折旧方法：</w:t>
      </w:r>
    </w:p>
    <w:p>
      <w:pPr>
        <w:spacing w:line="240" w:lineRule="auto" w:before="1"/>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896"/>
        <w:gridCol w:w="2563"/>
        <w:gridCol w:w="2374"/>
        <w:gridCol w:w="2467"/>
      </w:tblGrid>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right="0"/>
              <w:jc w:val="center"/>
              <w:rPr>
                <w:rFonts w:ascii="宋体" w:hAnsi="宋体" w:cs="宋体" w:eastAsia="宋体" w:hint="default"/>
                <w:sz w:val="21"/>
                <w:szCs w:val="21"/>
              </w:rPr>
            </w:pPr>
            <w:r>
              <w:rPr>
                <w:rFonts w:ascii="宋体" w:hAnsi="宋体" w:cs="宋体" w:eastAsia="宋体" w:hint="default"/>
                <w:sz w:val="21"/>
                <w:szCs w:val="21"/>
              </w:rPr>
              <w:t>类别</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538" w:right="0"/>
              <w:jc w:val="left"/>
              <w:rPr>
                <w:rFonts w:ascii="宋体" w:hAnsi="宋体" w:cs="宋体" w:eastAsia="宋体" w:hint="default"/>
                <w:sz w:val="21"/>
                <w:szCs w:val="21"/>
              </w:rPr>
            </w:pPr>
            <w:r>
              <w:rPr>
                <w:rFonts w:ascii="宋体" w:hAnsi="宋体" w:cs="宋体" w:eastAsia="宋体" w:hint="default"/>
                <w:sz w:val="21"/>
                <w:szCs w:val="21"/>
              </w:rPr>
              <w:t>折旧年限（年）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609" w:right="0"/>
              <w:jc w:val="left"/>
              <w:rPr>
                <w:rFonts w:ascii="宋体" w:hAnsi="宋体" w:cs="宋体" w:eastAsia="宋体" w:hint="default"/>
                <w:sz w:val="18"/>
                <w:szCs w:val="18"/>
              </w:rPr>
            </w:pPr>
            <w:r>
              <w:rPr>
                <w:rFonts w:ascii="宋体" w:hAnsi="宋体" w:cs="宋体" w:eastAsia="宋体" w:hint="default"/>
                <w:sz w:val="21"/>
                <w:szCs w:val="21"/>
              </w:rPr>
              <w:t>残值率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71" w:lineRule="exact"/>
              <w:ind w:left="552" w:right="0"/>
              <w:jc w:val="left"/>
              <w:rPr>
                <w:rFonts w:ascii="宋体" w:hAnsi="宋体" w:cs="宋体" w:eastAsia="宋体" w:hint="default"/>
                <w:sz w:val="18"/>
                <w:szCs w:val="18"/>
              </w:rPr>
            </w:pPr>
            <w:r>
              <w:rPr>
                <w:rFonts w:ascii="宋体" w:hAnsi="宋体" w:cs="宋体" w:eastAsia="宋体" w:hint="default"/>
                <w:sz w:val="21"/>
                <w:szCs w:val="21"/>
              </w:rPr>
              <w:t>年折旧率</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房屋及建筑物</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15-40</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6.47%-2.43%</w:t>
            </w:r>
          </w:p>
        </w:tc>
      </w:tr>
      <w:tr>
        <w:trPr>
          <w:trHeight w:val="326"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10-28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9.70%-3.46%</w:t>
            </w:r>
          </w:p>
        </w:tc>
      </w:tr>
      <w:tr>
        <w:trPr>
          <w:trHeight w:val="328" w:hRule="exact"/>
        </w:trPr>
        <w:tc>
          <w:tcPr>
            <w:tcW w:w="189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运输设备</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8.08%</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固定资产的减值测试方法、减值准备计提方法</w:t>
      </w:r>
    </w:p>
    <w:p>
      <w:pPr>
        <w:pStyle w:val="BodyText"/>
        <w:spacing w:line="264" w:lineRule="auto" w:before="52"/>
        <w:ind w:right="999"/>
        <w:jc w:val="left"/>
      </w:pPr>
      <w:r>
        <w:rPr/>
        <w:t>（</w:t>
      </w:r>
      <w:r>
        <w:rPr>
          <w:rFonts w:ascii="Times New Roman" w:hAnsi="Times New Roman" w:cs="Times New Roman" w:eastAsia="Times New Roman" w:hint="default"/>
        </w:rPr>
        <w:t>1</w:t>
      </w:r>
      <w:r>
        <w:rPr/>
        <w:t>）在资产负债表日判断资产是否存在可能发生减值的迹象。有迹象表明一项资产可能发</w:t>
      </w:r>
      <w:r>
        <w:rPr>
          <w:spacing w:val="-99"/>
        </w:rPr>
        <w:t> </w:t>
      </w:r>
      <w:r>
        <w:rPr>
          <w:spacing w:val="-99"/>
        </w:rPr>
      </w:r>
      <w:r>
        <w:rPr>
          <w:spacing w:val="-5"/>
        </w:rPr>
        <w:t>生减值的，以单项资产为基础估计其可收回金额；难以对单项资产的可收回金额进行估计的，</w:t>
      </w:r>
      <w:r>
        <w:rPr>
          <w:spacing w:val="-100"/>
        </w:rPr>
        <w:t> </w:t>
      </w:r>
      <w:r>
        <w:rPr>
          <w:spacing w:val="-100"/>
        </w:rPr>
      </w:r>
      <w:r>
        <w:rPr/>
        <w:t>以该资产所属的资产组或资产组组合为基础确定其可收回金额。</w:t>
      </w:r>
    </w:p>
    <w:p>
      <w:pPr>
        <w:pStyle w:val="BodyText"/>
        <w:spacing w:line="256" w:lineRule="auto" w:before="16"/>
        <w:ind w:right="1109"/>
        <w:jc w:val="left"/>
      </w:pPr>
      <w:r>
        <w:rPr/>
        <w:t>（</w:t>
      </w:r>
      <w:r>
        <w:rPr>
          <w:rFonts w:ascii="Times New Roman" w:hAnsi="Times New Roman" w:cs="Times New Roman" w:eastAsia="Times New Roman" w:hint="default"/>
        </w:rPr>
        <w:t>2</w:t>
      </w:r>
      <w:r>
        <w:rPr/>
        <w:t>）可收回金额根据单项资产、资产组或资产组组合的公允价值减去处置费用后的净额与</w:t>
      </w:r>
      <w:r>
        <w:rPr>
          <w:spacing w:val="-99"/>
        </w:rPr>
        <w:t> </w:t>
      </w:r>
      <w:r>
        <w:rPr>
          <w:spacing w:val="-99"/>
        </w:rPr>
      </w:r>
      <w:r>
        <w:rPr/>
        <w:t>该单项资产、资产组或资产组组合的预计未来现金流量的现值两者之间较高者确定。</w:t>
      </w:r>
    </w:p>
    <w:p>
      <w:pPr>
        <w:pStyle w:val="BodyText"/>
        <w:spacing w:line="268" w:lineRule="auto" w:before="22"/>
        <w:ind w:right="1008"/>
        <w:jc w:val="both"/>
      </w:pPr>
      <w:r>
        <w:rPr/>
        <w:t>（</w:t>
      </w:r>
      <w:r>
        <w:rPr>
          <w:rFonts w:ascii="Times New Roman" w:hAnsi="Times New Roman" w:cs="Times New Roman" w:eastAsia="Times New Roman" w:hint="default"/>
        </w:rPr>
        <w:t>3</w:t>
      </w:r>
      <w:r>
        <w:rPr/>
        <w:t>）单项资产的可收回金额低于其账面价值的，按单项资产的账面价值与可收回金额的差</w:t>
      </w:r>
      <w:r>
        <w:rPr>
          <w:spacing w:val="-99"/>
        </w:rPr>
        <w:t> </w:t>
      </w:r>
      <w:r>
        <w:rPr>
          <w:spacing w:val="-99"/>
        </w:rPr>
      </w:r>
      <w:r>
        <w:rPr>
          <w:spacing w:val="-3"/>
        </w:rPr>
        <w:t>额计提相应的资产减值准备。资产组或资产组组合的可收回金额低于其账面价值的，确认其</w:t>
      </w:r>
      <w:r>
        <w:rPr>
          <w:spacing w:val="-79"/>
        </w:rPr>
        <w:t> </w:t>
      </w:r>
      <w:r>
        <w:rPr>
          <w:spacing w:val="-79"/>
        </w:rPr>
      </w:r>
      <w:r>
        <w:rPr>
          <w:spacing w:val="-3"/>
        </w:rPr>
        <w:t>相应的减值损失，减值损失金额先抵减分摊至资产组或资产组组合中商誉的账面价值，再根</w:t>
      </w:r>
      <w:r>
        <w:rPr>
          <w:spacing w:val="-79"/>
        </w:rPr>
        <w:t> </w:t>
      </w:r>
      <w:r>
        <w:rPr>
          <w:spacing w:val="-79"/>
        </w:rPr>
      </w:r>
      <w:r>
        <w:rPr>
          <w:spacing w:val="-3"/>
        </w:rPr>
        <w:t>据资产组或资产组组合中除商誉之外的其他各项资产的账面价值所占比重，按比例抵减其他</w:t>
      </w:r>
      <w:r>
        <w:rPr>
          <w:spacing w:val="-79"/>
        </w:rPr>
        <w:t> </w:t>
      </w:r>
      <w:r>
        <w:rPr>
          <w:spacing w:val="-79"/>
        </w:rPr>
      </w:r>
      <w:r>
        <w:rPr>
          <w:spacing w:val="-5"/>
        </w:rPr>
        <w:t>各项资产的账面价值；以上资产账面价值的抵减，作为各单项资产（包括商誉）的减值损失，</w:t>
      </w:r>
    </w:p>
    <w:p>
      <w:pPr>
        <w:spacing w:after="0" w:line="268" w:lineRule="auto"/>
        <w:jc w:val="both"/>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right="201"/>
        <w:jc w:val="left"/>
      </w:pPr>
      <w:r>
        <w:rPr/>
        <w:t>计提各单项资产的减值准备。</w:t>
      </w:r>
    </w:p>
    <w:p>
      <w:pPr>
        <w:pStyle w:val="BodyText"/>
        <w:spacing w:line="240" w:lineRule="auto" w:before="37"/>
        <w:ind w:right="201"/>
        <w:jc w:val="left"/>
      </w:pPr>
      <w:r>
        <w:rPr/>
        <w:t>（</w:t>
      </w:r>
      <w:r>
        <w:rPr>
          <w:rFonts w:ascii="Times New Roman" w:hAnsi="Times New Roman" w:cs="Times New Roman" w:eastAsia="Times New Roman" w:hint="default"/>
        </w:rPr>
        <w:t>4</w:t>
      </w:r>
      <w:r>
        <w:rPr/>
        <w:t>）上述资产减值损失一经确认，在以后会计期间不予转回。</w:t>
      </w:r>
    </w:p>
    <w:p>
      <w:pPr>
        <w:spacing w:line="240" w:lineRule="auto" w:before="11"/>
        <w:rPr>
          <w:rFonts w:ascii="宋体" w:hAnsi="宋体" w:cs="宋体" w:eastAsia="宋体" w:hint="default"/>
          <w:sz w:val="27"/>
          <w:szCs w:val="27"/>
        </w:rPr>
      </w:pPr>
    </w:p>
    <w:p>
      <w:pPr>
        <w:pStyle w:val="BodyText"/>
        <w:spacing w:line="278" w:lineRule="auto"/>
        <w:ind w:right="201"/>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52"/>
        </w:rPr>
        <w:t> </w:t>
      </w:r>
      <w:r>
        <w:rPr/>
        <w:t>融资租入固定资产的认定依据、计价方法</w:t>
      </w:r>
      <w:r>
        <w:rPr>
          <w:w w:val="99"/>
        </w:rPr>
        <w:t> </w:t>
      </w:r>
      <w:r>
        <w:rPr>
          <w:spacing w:val="-3"/>
          <w:w w:val="99"/>
        </w:rPr>
        <w:t>融资租入的固定资产，按租赁开始日租赁资产公允价值与最低租赁付款额现值两者中较低者</w:t>
      </w:r>
      <w:r>
        <w:rPr>
          <w:spacing w:val="-79"/>
          <w:w w:val="99"/>
        </w:rPr>
        <w:t> </w:t>
      </w:r>
      <w:r>
        <w:rPr>
          <w:spacing w:val="-79"/>
          <w:w w:val="99"/>
        </w:rPr>
      </w:r>
      <w:r>
        <w:rPr/>
        <w:t>作为入账价值，按自有固定资产的折旧政策计提折旧。</w:t>
      </w:r>
    </w:p>
    <w:p>
      <w:pPr>
        <w:spacing w:line="240" w:lineRule="auto" w:before="7"/>
        <w:rPr>
          <w:rFonts w:ascii="宋体" w:hAnsi="宋体" w:cs="宋体" w:eastAsia="宋体" w:hint="default"/>
          <w:sz w:val="26"/>
          <w:szCs w:val="26"/>
        </w:rPr>
      </w:pPr>
    </w:p>
    <w:p>
      <w:pPr>
        <w:pStyle w:val="BodyText"/>
        <w:spacing w:line="240" w:lineRule="auto"/>
        <w:ind w:right="201"/>
        <w:jc w:val="left"/>
      </w:pPr>
      <w:r>
        <w:rPr>
          <w:rFonts w:ascii="Times New Roman" w:hAnsi="Times New Roman" w:cs="Times New Roman" w:eastAsia="Times New Roman" w:hint="default"/>
        </w:rPr>
        <w:t>14</w:t>
      </w:r>
      <w:r>
        <w:rPr/>
        <w:t>、</w:t>
      </w:r>
      <w:r>
        <w:rPr>
          <w:spacing w:val="-1"/>
        </w:rPr>
        <w:t> </w:t>
      </w:r>
      <w:r>
        <w:rPr/>
        <w:t>在建工程：</w:t>
      </w:r>
    </w:p>
    <w:p>
      <w:pPr>
        <w:pStyle w:val="BodyText"/>
        <w:spacing w:line="264" w:lineRule="auto" w:before="52"/>
        <w:ind w:right="201"/>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2"/>
        </w:rPr>
        <w:t> </w:t>
      </w:r>
      <w:r>
        <w:rPr/>
        <w:t>在建工程的类别：本公司在建工程包括自营工程和出包工程两类。</w:t>
      </w:r>
      <w:r>
        <w:rPr>
          <w:w w:val="99"/>
        </w:rPr>
        <w:t> </w:t>
      </w:r>
      <w:r>
        <w:rPr>
          <w:rFonts w:ascii="Times New Roman" w:hAnsi="Times New Roman" w:cs="Times New Roman" w:eastAsia="Times New Roman" w:hint="default"/>
        </w:rPr>
        <w:t>(2)</w:t>
      </w:r>
      <w:r>
        <w:rPr/>
        <w:t>在建工程同时满足经济利益很可能流入、成本能够可靠计量时予以确认。在建工程按建</w:t>
      </w:r>
      <w:r>
        <w:rPr>
          <w:spacing w:val="-35"/>
        </w:rPr>
        <w:t> </w:t>
      </w:r>
      <w:r>
        <w:rPr>
          <w:spacing w:val="-35"/>
        </w:rPr>
      </w:r>
      <w:r>
        <w:rPr/>
        <w:t>造该项资产达到预定可使用状态前所发生的实际成本计量。</w:t>
      </w:r>
      <w:r>
        <w:rPr>
          <w:w w:val="99"/>
        </w:rPr>
        <w:t> </w:t>
      </w:r>
      <w:r>
        <w:rPr>
          <w:rFonts w:ascii="Times New Roman" w:hAnsi="Times New Roman" w:cs="Times New Roman" w:eastAsia="Times New Roman" w:hint="default"/>
        </w:rPr>
        <w:t>(3)</w:t>
      </w:r>
      <w:r>
        <w:rPr/>
        <w:t>在建工程达到预定可使用状态时，按工程实际成本转入固定资产。已达到预定可使用状</w:t>
      </w:r>
      <w:r>
        <w:rPr>
          <w:spacing w:val="-35"/>
        </w:rPr>
        <w:t> </w:t>
      </w:r>
      <w:r>
        <w:rPr>
          <w:spacing w:val="-35"/>
        </w:rPr>
      </w:r>
      <w:r>
        <w:rPr>
          <w:spacing w:val="-3"/>
        </w:rPr>
        <w:t>态但尚未办理竣工结算的，先按估计价值转入固定资产，待办理竣工决算后再按实际成本调</w:t>
      </w:r>
      <w:r>
        <w:rPr>
          <w:spacing w:val="-80"/>
        </w:rPr>
        <w:t> </w:t>
      </w:r>
      <w:r>
        <w:rPr>
          <w:spacing w:val="-80"/>
        </w:rPr>
      </w:r>
      <w:r>
        <w:rPr/>
        <w:t>整原暂估价值，但不再调整原已计提的折旧。</w:t>
      </w:r>
    </w:p>
    <w:p>
      <w:pPr>
        <w:pStyle w:val="BodyText"/>
        <w:spacing w:line="256" w:lineRule="auto" w:before="16"/>
        <w:ind w:right="209"/>
        <w:jc w:val="left"/>
      </w:pPr>
      <w:r>
        <w:rPr/>
        <w:t>（</w:t>
      </w:r>
      <w:r>
        <w:rPr>
          <w:rFonts w:ascii="Times New Roman" w:hAnsi="Times New Roman" w:cs="Times New Roman" w:eastAsia="Times New Roman" w:hint="default"/>
        </w:rPr>
        <w:t>4</w:t>
      </w:r>
      <w:r>
        <w:rPr/>
        <w:t>）资产负债表日，检查使用寿命有限的无形资产预计给公司带来未来经济利益的能力，</w:t>
      </w:r>
      <w:r>
        <w:rPr>
          <w:spacing w:val="-99"/>
        </w:rPr>
        <w:t> </w:t>
      </w:r>
      <w:r>
        <w:rPr>
          <w:spacing w:val="-99"/>
        </w:rPr>
      </w:r>
      <w:r>
        <w:rPr/>
        <w:t>计提无形资产减值准备。</w:t>
      </w:r>
    </w:p>
    <w:p>
      <w:pPr>
        <w:pStyle w:val="BodyText"/>
        <w:spacing w:line="271" w:lineRule="auto" w:before="22"/>
        <w:ind w:right="99"/>
        <w:jc w:val="left"/>
      </w:pPr>
      <w:r>
        <w:rPr/>
        <w:t>（</w:t>
      </w:r>
      <w:r>
        <w:rPr>
          <w:rFonts w:ascii="Times New Roman" w:hAnsi="Times New Roman" w:cs="Times New Roman" w:eastAsia="Times New Roman" w:hint="default"/>
        </w:rPr>
        <w:t>5</w:t>
      </w:r>
      <w:r>
        <w:rPr/>
        <w:t>）划分内部研究开发项目研究阶段支出和开发阶段支出的标准 公司对于内部研究开发项目，区分研究阶段与开发阶段分别进行处理。 </w:t>
      </w:r>
      <w:r>
        <w:rPr>
          <w:spacing w:val="2"/>
        </w:rPr>
        <w:t>研究阶段支出是指公司为获取并理解新的科学或技术知识而进行的独创性的有计划调查而</w:t>
      </w:r>
      <w:r>
        <w:rPr>
          <w:spacing w:val="-85"/>
        </w:rPr>
        <w:t> </w:t>
      </w:r>
      <w:r>
        <w:rPr>
          <w:spacing w:val="-85"/>
        </w:rPr>
      </w:r>
      <w:r>
        <w:rPr/>
        <w:t>发生的支出。公司内部研究开发项目发生的研究阶段的支出，于发生时计入当期损益。 </w:t>
      </w:r>
      <w:r>
        <w:rPr>
          <w:spacing w:val="-3"/>
        </w:rPr>
        <w:t>开发阶段支出是指在公司进行商业性生产或使用前，将研究成果或其他知识应用于某项计划</w:t>
      </w:r>
      <w:r>
        <w:rPr>
          <w:spacing w:val="-79"/>
        </w:rPr>
        <w:t> </w:t>
      </w:r>
      <w:r>
        <w:rPr>
          <w:spacing w:val="-79"/>
        </w:rPr>
      </w:r>
      <w:r>
        <w:rPr>
          <w:spacing w:val="-3"/>
        </w:rPr>
        <w:t>或设计，以生产出新的或具有实质性改进的材料、装置、产品等发生的支出。同时满足下列</w:t>
      </w:r>
      <w:r>
        <w:rPr>
          <w:spacing w:val="-80"/>
        </w:rPr>
        <w:t> </w:t>
      </w:r>
      <w:r>
        <w:rPr>
          <w:spacing w:val="-80"/>
        </w:rPr>
      </w:r>
      <w:r>
        <w:rPr>
          <w:spacing w:val="-3"/>
        </w:rPr>
        <w:t>条件的开发阶段支出，才能确认为无形资产：完成该无形资产以使其能够使用或出售在技术</w:t>
      </w:r>
      <w:r>
        <w:rPr>
          <w:spacing w:val="-79"/>
        </w:rPr>
        <w:t> </w:t>
      </w:r>
      <w:r>
        <w:rPr>
          <w:spacing w:val="-79"/>
        </w:rPr>
      </w:r>
      <w:r>
        <w:rPr/>
        <w:t>上具有可行性；具有完成该无形资产并使用或出售的意图；无形资产产生经济利益的方式， </w:t>
      </w:r>
      <w:r>
        <w:rPr>
          <w:spacing w:val="-3"/>
        </w:rPr>
        <w:t>包括能够证明运用该无形资产生产的产品存在市场或无形资产自身存在市场，无形资产将在</w:t>
      </w:r>
      <w:r>
        <w:rPr>
          <w:spacing w:val="-79"/>
        </w:rPr>
        <w:t> </w:t>
      </w:r>
      <w:r>
        <w:rPr>
          <w:spacing w:val="-79"/>
        </w:rPr>
      </w:r>
      <w:r>
        <w:rPr>
          <w:spacing w:val="-3"/>
        </w:rPr>
        <w:t>内部使用的，应当证明其有用性；有足够的技术、财务资源和其他资源支持，以完成该无形</w:t>
      </w:r>
      <w:r>
        <w:rPr>
          <w:spacing w:val="-80"/>
        </w:rPr>
        <w:t> </w:t>
      </w:r>
      <w:r>
        <w:rPr>
          <w:spacing w:val="-80"/>
        </w:rPr>
      </w:r>
      <w:r>
        <w:rPr>
          <w:spacing w:val="-3"/>
        </w:rPr>
        <w:t>资产的开发，并有能力使用或出售该无形资产；归属于该无形资产开发阶段的支出能够可靠</w:t>
      </w:r>
      <w:r>
        <w:rPr>
          <w:spacing w:val="-79"/>
        </w:rPr>
        <w:t> </w:t>
      </w:r>
      <w:r>
        <w:rPr>
          <w:spacing w:val="-79"/>
        </w:rPr>
      </w:r>
      <w:r>
        <w:rPr/>
        <w:t>地计量。 </w:t>
      </w:r>
      <w:r>
        <w:rPr>
          <w:spacing w:val="-5"/>
        </w:rPr>
        <w:t>公司对于无法区分研究阶段与开发阶段的支出，在发生时作为管理费用，全部计入当期损益。</w:t>
      </w:r>
    </w:p>
    <w:p>
      <w:pPr>
        <w:spacing w:line="240" w:lineRule="auto" w:before="13"/>
        <w:rPr>
          <w:rFonts w:ascii="宋体" w:hAnsi="宋体" w:cs="宋体" w:eastAsia="宋体" w:hint="default"/>
          <w:sz w:val="26"/>
          <w:szCs w:val="26"/>
        </w:rPr>
      </w:pPr>
    </w:p>
    <w:p>
      <w:pPr>
        <w:pStyle w:val="BodyText"/>
        <w:spacing w:line="240" w:lineRule="auto"/>
        <w:ind w:right="201"/>
        <w:jc w:val="left"/>
        <w:rPr>
          <w:rFonts w:ascii="Times New Roman" w:hAnsi="Times New Roman" w:cs="Times New Roman" w:eastAsia="Times New Roman" w:hint="default"/>
        </w:rPr>
      </w:pPr>
      <w:r>
        <w:rPr>
          <w:rFonts w:ascii="Times New Roman" w:hAnsi="Times New Roman" w:cs="Times New Roman" w:eastAsia="Times New Roman" w:hint="default"/>
        </w:rPr>
        <w:t>15</w:t>
      </w:r>
      <w:r>
        <w:rPr/>
        <w:t>、</w:t>
      </w:r>
      <w:r>
        <w:rPr>
          <w:spacing w:val="-1"/>
        </w:rPr>
        <w:t> </w:t>
      </w:r>
      <w:r>
        <w:rPr/>
        <w:t>借款费用</w:t>
      </w:r>
      <w:r>
        <w:rPr>
          <w:rFonts w:ascii="Times New Roman" w:hAnsi="Times New Roman" w:cs="Times New Roman" w:eastAsia="Times New Roman" w:hint="default"/>
        </w:rPr>
        <w:t>:</w:t>
      </w:r>
    </w:p>
    <w:p>
      <w:pPr>
        <w:pStyle w:val="BodyText"/>
        <w:spacing w:line="264" w:lineRule="auto" w:before="52"/>
        <w:ind w:right="201"/>
        <w:jc w:val="left"/>
      </w:pPr>
      <w:r>
        <w:rPr/>
        <w:t>（</w:t>
      </w:r>
      <w:r>
        <w:rPr>
          <w:rFonts w:ascii="Times New Roman" w:hAnsi="Times New Roman" w:cs="Times New Roman" w:eastAsia="Times New Roman" w:hint="default"/>
        </w:rPr>
        <w:t>1</w:t>
      </w:r>
      <w:r>
        <w:rPr/>
        <w:t>）借款费用的范围 </w:t>
      </w:r>
      <w:r>
        <w:rPr>
          <w:spacing w:val="-3"/>
        </w:rPr>
        <w:t>公司的借款费用包括借款利息、折价或者溢价的摊销、辅助费用以及因外币借款而发生的汇</w:t>
      </w:r>
      <w:r>
        <w:rPr>
          <w:spacing w:val="-79"/>
        </w:rPr>
        <w:t> </w:t>
      </w:r>
      <w:r>
        <w:rPr>
          <w:spacing w:val="-79"/>
        </w:rPr>
      </w:r>
      <w:r>
        <w:rPr/>
        <w:t>兑差额等。</w:t>
      </w:r>
    </w:p>
    <w:p>
      <w:pPr>
        <w:pStyle w:val="BodyText"/>
        <w:spacing w:line="264" w:lineRule="auto" w:before="16"/>
        <w:ind w:right="99"/>
        <w:jc w:val="left"/>
      </w:pPr>
      <w:r>
        <w:rPr/>
        <w:t>（</w:t>
      </w:r>
      <w:r>
        <w:rPr>
          <w:rFonts w:ascii="Times New Roman" w:hAnsi="Times New Roman" w:cs="Times New Roman" w:eastAsia="Times New Roman" w:hint="default"/>
        </w:rPr>
        <w:t>2</w:t>
      </w:r>
      <w:r>
        <w:rPr/>
        <w:t>）借款费用的确认原则 </w:t>
      </w:r>
      <w:r>
        <w:rPr>
          <w:spacing w:val="-5"/>
        </w:rPr>
        <w:t>公司发生的借款费用，可直接归属于符合资本化条件的资产的购建或者生产的，予以资本化，</w:t>
      </w:r>
      <w:r>
        <w:rPr>
          <w:spacing w:val="-100"/>
        </w:rPr>
        <w:t> </w:t>
      </w:r>
      <w:r>
        <w:rPr>
          <w:spacing w:val="-100"/>
        </w:rPr>
      </w:r>
      <w:r>
        <w:rPr/>
        <w:t>计入相关资产成本；其他借款费用，在发生时根据其发生额确认为费用，计入当期损益。</w:t>
      </w:r>
    </w:p>
    <w:p>
      <w:pPr>
        <w:pStyle w:val="BodyText"/>
        <w:spacing w:line="240" w:lineRule="auto" w:before="16"/>
        <w:ind w:right="201"/>
        <w:jc w:val="left"/>
      </w:pPr>
      <w:r>
        <w:rPr/>
        <w:t>（</w:t>
      </w:r>
      <w:r>
        <w:rPr>
          <w:rFonts w:ascii="Times New Roman" w:hAnsi="Times New Roman" w:cs="Times New Roman" w:eastAsia="Times New Roman" w:hint="default"/>
        </w:rPr>
        <w:t>3</w:t>
      </w:r>
      <w:r>
        <w:rPr/>
        <w:t>）借款费用资本化期间的确定</w:t>
      </w:r>
    </w:p>
    <w:p>
      <w:pPr>
        <w:pStyle w:val="BodyText"/>
        <w:spacing w:line="273" w:lineRule="auto" w:before="21"/>
        <w:ind w:right="201"/>
        <w:jc w:val="left"/>
      </w:pPr>
      <w:r>
        <w:rPr/>
        <w:t>①借款费用开始资本化时点的确定 </w:t>
      </w:r>
      <w:r>
        <w:rPr>
          <w:spacing w:val="-3"/>
        </w:rPr>
        <w:t>在资产支出已经发生、借款费用已经发生且为使资产达到预定可使用或者可销售状态所必要</w:t>
      </w:r>
      <w:r>
        <w:rPr>
          <w:spacing w:val="-79"/>
        </w:rPr>
        <w:t> </w:t>
      </w:r>
      <w:r>
        <w:rPr>
          <w:spacing w:val="-79"/>
        </w:rPr>
      </w:r>
      <w:r>
        <w:rPr/>
        <w:t>的购建或者生产活动已经开始时，借款费用开始资本化。</w:t>
      </w:r>
    </w:p>
    <w:p>
      <w:pPr>
        <w:pStyle w:val="BodyText"/>
        <w:spacing w:line="264" w:lineRule="auto" w:before="8"/>
        <w:ind w:right="99"/>
        <w:jc w:val="left"/>
      </w:pPr>
      <w:r>
        <w:rPr/>
        <w:t>②借款费用暂停资本化时间的确定 </w:t>
      </w:r>
      <w:r>
        <w:rPr>
          <w:spacing w:val="-3"/>
        </w:rPr>
        <w:t>符合资本化条件的资产在购建或者生产过程中发生非正常中断、且中断时间连续超过</w:t>
      </w:r>
      <w:r>
        <w:rPr>
          <w:spacing w:val="-49"/>
        </w:rPr>
        <w:t> </w:t>
      </w:r>
      <w:r>
        <w:rPr>
          <w:rFonts w:ascii="Times New Roman" w:hAnsi="Times New Roman" w:cs="Times New Roman" w:eastAsia="Times New Roman" w:hint="default"/>
        </w:rPr>
        <w:t>3</w:t>
      </w:r>
      <w:r>
        <w:rPr>
          <w:rFonts w:ascii="Times New Roman" w:hAnsi="Times New Roman" w:cs="Times New Roman" w:eastAsia="Times New Roman" w:hint="default"/>
          <w:spacing w:val="4"/>
        </w:rPr>
        <w:t> </w:t>
      </w:r>
      <w:r>
        <w:rPr/>
        <w:t>个月</w:t>
      </w:r>
      <w:r>
        <w:rPr>
          <w:spacing w:val="-97"/>
        </w:rPr>
        <w:t> </w:t>
      </w:r>
      <w:r>
        <w:rPr>
          <w:spacing w:val="-5"/>
        </w:rPr>
        <w:t>的，暂停借款费用的资本化。公司将在中断期间发生的借款费用确认为费用，计入当期损益，</w:t>
      </w:r>
    </w:p>
    <w:p>
      <w:pPr>
        <w:spacing w:after="0" w:line="264" w:lineRule="auto"/>
        <w:jc w:val="left"/>
        <w:sectPr>
          <w:pgSz w:w="11910" w:h="16840"/>
          <w:pgMar w:header="877" w:footer="982" w:top="1100" w:bottom="1180" w:left="1660" w:right="1580"/>
        </w:sectPr>
      </w:pPr>
    </w:p>
    <w:p>
      <w:pPr>
        <w:spacing w:line="240" w:lineRule="auto" w:before="9"/>
        <w:rPr>
          <w:rFonts w:ascii="宋体" w:hAnsi="宋体" w:cs="宋体" w:eastAsia="宋体" w:hint="default"/>
          <w:sz w:val="20"/>
          <w:szCs w:val="20"/>
        </w:rPr>
      </w:pPr>
    </w:p>
    <w:p>
      <w:pPr>
        <w:pStyle w:val="BodyText"/>
        <w:spacing w:line="273" w:lineRule="auto" w:before="35"/>
        <w:ind w:right="104"/>
        <w:jc w:val="left"/>
      </w:pPr>
      <w:r>
        <w:rPr>
          <w:spacing w:val="-3"/>
        </w:rPr>
        <w:t>直至资产的购建或者生产活动重新开始。如果中断是所购建或者生产符合资本化条件的资产</w:t>
      </w:r>
      <w:r>
        <w:rPr>
          <w:spacing w:val="-79"/>
        </w:rPr>
        <w:t> </w:t>
      </w:r>
      <w:r>
        <w:rPr>
          <w:spacing w:val="-79"/>
        </w:rPr>
      </w:r>
      <w:r>
        <w:rPr/>
        <w:t>达到预定可使用或者可销售状态必要的程序，借款费用的资本化继续进行。</w:t>
      </w:r>
    </w:p>
    <w:p>
      <w:pPr>
        <w:pStyle w:val="BodyText"/>
        <w:spacing w:line="273" w:lineRule="auto" w:before="8"/>
        <w:ind w:right="84"/>
        <w:jc w:val="left"/>
      </w:pPr>
      <w:r>
        <w:rPr/>
        <w:t>③借款费用停止资本化时点的确定 </w:t>
      </w:r>
      <w:r>
        <w:rPr>
          <w:spacing w:val="-3"/>
        </w:rPr>
        <w:t>在购建或者生产符合资本化条件的资产达到预定可使用或者可销售状态时，停止借款费用的</w:t>
      </w:r>
      <w:r>
        <w:rPr>
          <w:spacing w:val="-79"/>
        </w:rPr>
        <w:t> </w:t>
      </w:r>
      <w:r>
        <w:rPr>
          <w:spacing w:val="-79"/>
        </w:rPr>
      </w:r>
      <w:r>
        <w:rPr/>
        <w:t>资本化。在符合资本化条件的资产达到预定可使用或者可销售状态之后所发生的借款费用， 在发生时根据其发生额确认为费用，计入当期损益。</w:t>
      </w:r>
    </w:p>
    <w:p>
      <w:pPr>
        <w:pStyle w:val="BodyText"/>
        <w:spacing w:line="240" w:lineRule="auto" w:before="8"/>
        <w:ind w:right="104"/>
        <w:jc w:val="left"/>
      </w:pPr>
      <w:r>
        <w:rPr/>
        <w:t>（</w:t>
      </w:r>
      <w:r>
        <w:rPr>
          <w:rFonts w:ascii="Times New Roman" w:hAnsi="Times New Roman" w:cs="Times New Roman" w:eastAsia="Times New Roman" w:hint="default"/>
        </w:rPr>
        <w:t>4</w:t>
      </w:r>
      <w:r>
        <w:rPr/>
        <w:t>）借款费用资本化金额的确定</w:t>
      </w:r>
    </w:p>
    <w:p>
      <w:pPr>
        <w:pStyle w:val="BodyText"/>
        <w:spacing w:line="266" w:lineRule="auto" w:before="21"/>
        <w:ind w:right="182"/>
        <w:jc w:val="left"/>
      </w:pPr>
      <w:r>
        <w:rPr/>
        <w:t>①借款利息资本化金额的确定 </w:t>
      </w:r>
      <w:r>
        <w:rPr>
          <w:spacing w:val="-3"/>
        </w:rPr>
        <w:t>在资本化期间内，每一会计期间的利息（包括折价或溢价的摊销）资本化金额，按照下列规</w:t>
      </w:r>
      <w:r>
        <w:rPr>
          <w:spacing w:val="-80"/>
        </w:rPr>
        <w:t> </w:t>
      </w:r>
      <w:r>
        <w:rPr>
          <w:spacing w:val="-80"/>
        </w:rPr>
      </w:r>
      <w:r>
        <w:rPr/>
        <w:t>定确定： </w:t>
      </w:r>
      <w:r>
        <w:rPr>
          <w:rFonts w:ascii="Times New Roman" w:hAnsi="Times New Roman" w:cs="Times New Roman" w:eastAsia="Times New Roman" w:hint="default"/>
          <w:spacing w:val="-1"/>
        </w:rPr>
        <w:t>A</w:t>
      </w:r>
      <w:r>
        <w:rPr>
          <w:spacing w:val="-1"/>
        </w:rPr>
        <w:t>、为购建或者生产符合资本化条件的资产而借入专门借款的，公司以专门借款当期实际发</w:t>
      </w:r>
      <w:r>
        <w:rPr/>
        <w:t> </w:t>
      </w:r>
      <w:r>
        <w:rPr>
          <w:spacing w:val="-3"/>
        </w:rPr>
        <w:t>生的利息费用，减去将尚未动用的借款资金存入银行取得的利息收入或进行暂时性投资取得</w:t>
      </w:r>
      <w:r>
        <w:rPr>
          <w:spacing w:val="-79"/>
        </w:rPr>
        <w:t> </w:t>
      </w:r>
      <w:r>
        <w:rPr>
          <w:spacing w:val="-79"/>
        </w:rPr>
      </w:r>
      <w:r>
        <w:rPr/>
        <w:t>的投资收益后的金额确定。 </w:t>
      </w:r>
      <w:r>
        <w:rPr>
          <w:rFonts w:ascii="Times New Roman" w:hAnsi="Times New Roman" w:cs="Times New Roman" w:eastAsia="Times New Roman" w:hint="default"/>
          <w:spacing w:val="-1"/>
        </w:rPr>
        <w:t>B</w:t>
      </w:r>
      <w:r>
        <w:rPr>
          <w:spacing w:val="-1"/>
        </w:rPr>
        <w:t>、为购建或者生产符合资本化条件的资产而占用了一般借款的，公司根据累计资产支出超</w:t>
      </w:r>
      <w:r>
        <w:rPr>
          <w:spacing w:val="-89"/>
        </w:rPr>
        <w:t> </w:t>
      </w:r>
      <w:r>
        <w:rPr>
          <w:spacing w:val="-89"/>
        </w:rPr>
      </w:r>
      <w:r>
        <w:rPr>
          <w:spacing w:val="-3"/>
        </w:rPr>
        <w:t>过专门借款部分的资产支出加权平均数乘以所占用一般借款的资本化率，计算确定一般借款</w:t>
      </w:r>
      <w:r>
        <w:rPr>
          <w:spacing w:val="-79"/>
        </w:rPr>
        <w:t> </w:t>
      </w:r>
      <w:r>
        <w:rPr>
          <w:spacing w:val="-79"/>
        </w:rPr>
      </w:r>
      <w:r>
        <w:rPr/>
        <w:t>应予资本化的利息金额。资本化率根据一般借款加权平均利率计算确定。 </w:t>
      </w:r>
      <w:r>
        <w:rPr>
          <w:rFonts w:ascii="Times New Roman" w:hAnsi="Times New Roman" w:cs="Times New Roman" w:eastAsia="Times New Roman" w:hint="default"/>
          <w:spacing w:val="-1"/>
        </w:rPr>
        <w:t>C</w:t>
      </w:r>
      <w:r>
        <w:rPr>
          <w:spacing w:val="-1"/>
        </w:rPr>
        <w:t>、借款存在折价或者溢价的，公司按照实际利率法确定每一会计期间应摊销的折价或者溢</w:t>
      </w:r>
      <w:r>
        <w:rPr>
          <w:spacing w:val="-89"/>
        </w:rPr>
        <w:t> </w:t>
      </w:r>
      <w:r>
        <w:rPr>
          <w:spacing w:val="-89"/>
        </w:rPr>
      </w:r>
      <w:r>
        <w:rPr/>
        <w:t>价金额，调整每期利息金额。 </w:t>
      </w:r>
      <w:r>
        <w:rPr>
          <w:rFonts w:ascii="Times New Roman" w:hAnsi="Times New Roman" w:cs="Times New Roman" w:eastAsia="Times New Roman" w:hint="default"/>
          <w:spacing w:val="-1"/>
        </w:rPr>
        <w:t>D</w:t>
      </w:r>
      <w:r>
        <w:rPr>
          <w:spacing w:val="-1"/>
        </w:rPr>
        <w:t>、在资本化期间内，每一会计期间的利息资本化金额，不能超过当期相关借款实际发生的</w:t>
      </w:r>
      <w:r>
        <w:rPr>
          <w:spacing w:val="-102"/>
        </w:rPr>
        <w:t> </w:t>
      </w:r>
      <w:r>
        <w:rPr>
          <w:spacing w:val="-102"/>
        </w:rPr>
      </w:r>
      <w:r>
        <w:rPr/>
        <w:t>利息金额。</w:t>
      </w:r>
    </w:p>
    <w:p>
      <w:pPr>
        <w:pStyle w:val="BodyText"/>
        <w:spacing w:line="268" w:lineRule="auto" w:before="14"/>
        <w:ind w:right="182"/>
        <w:jc w:val="left"/>
      </w:pPr>
      <w:r>
        <w:rPr/>
        <w:t>②借款辅助费用资本化金额的确定 </w:t>
      </w:r>
      <w:r>
        <w:rPr>
          <w:rFonts w:ascii="Times New Roman" w:hAnsi="Times New Roman" w:cs="Times New Roman" w:eastAsia="Times New Roman" w:hint="default"/>
          <w:spacing w:val="-1"/>
        </w:rPr>
        <w:t>A</w:t>
      </w:r>
      <w:r>
        <w:rPr>
          <w:spacing w:val="-1"/>
        </w:rPr>
        <w:t>、专门借款发生的辅助费用，在所购建或者生产的符合资本化条件的资产达到预定可使用</w:t>
      </w:r>
      <w:r>
        <w:rPr/>
        <w:t> </w:t>
      </w:r>
      <w:r>
        <w:rPr>
          <w:spacing w:val="-3"/>
        </w:rPr>
        <w:t>或者可销售状态之前发生的，在发生时根据其发生额予以资本化，计入符合资本化条件的资</w:t>
      </w:r>
      <w:r>
        <w:rPr>
          <w:spacing w:val="-79"/>
        </w:rPr>
        <w:t> </w:t>
      </w:r>
      <w:r>
        <w:rPr>
          <w:spacing w:val="-79"/>
        </w:rPr>
      </w:r>
      <w:r>
        <w:rPr>
          <w:spacing w:val="-3"/>
        </w:rPr>
        <w:t>产的成本；在所购建或者生产的符合资本化条件的资产达到预定可使用或者可销售状态之后</w:t>
      </w:r>
      <w:r>
        <w:rPr>
          <w:spacing w:val="-79"/>
        </w:rPr>
        <w:t> </w:t>
      </w:r>
      <w:r>
        <w:rPr>
          <w:spacing w:val="-79"/>
        </w:rPr>
      </w:r>
      <w:r>
        <w:rPr/>
        <w:t>发生的，在发生时根据其发生额确认为费用，计入当期损益。 </w:t>
      </w:r>
      <w:r>
        <w:rPr>
          <w:rFonts w:ascii="Times New Roman" w:hAnsi="Times New Roman" w:cs="Times New Roman" w:eastAsia="Times New Roman" w:hint="default"/>
        </w:rPr>
        <w:t>B</w:t>
      </w:r>
      <w:r>
        <w:rPr/>
        <w:t>、一般借款发生的辅助费用，在发生时根据其发生额确认为费用，计入当期损益。</w:t>
      </w:r>
    </w:p>
    <w:p>
      <w:pPr>
        <w:pStyle w:val="BodyText"/>
        <w:spacing w:line="273" w:lineRule="auto"/>
        <w:ind w:right="104"/>
        <w:jc w:val="left"/>
      </w:pPr>
      <w:r>
        <w:rPr/>
        <w:t>③汇兑差额资本化金额的确定 </w:t>
      </w:r>
      <w:r>
        <w:rPr>
          <w:spacing w:val="-3"/>
        </w:rPr>
        <w:t>在资本化期间内，外币专门借款本金及利息的汇兑差额，予以资本化，计入符合资本化条件</w:t>
      </w:r>
      <w:r>
        <w:rPr>
          <w:spacing w:val="-81"/>
        </w:rPr>
        <w:t> </w:t>
      </w:r>
      <w:r>
        <w:rPr>
          <w:spacing w:val="-81"/>
        </w:rPr>
      </w:r>
      <w:r>
        <w:rPr/>
        <w:t>的资产的成本。</w:t>
      </w:r>
    </w:p>
    <w:p>
      <w:pPr>
        <w:spacing w:line="240" w:lineRule="auto" w:before="11"/>
        <w:rPr>
          <w:rFonts w:ascii="宋体" w:hAnsi="宋体" w:cs="宋体" w:eastAsia="宋体" w:hint="default"/>
          <w:sz w:val="26"/>
          <w:szCs w:val="26"/>
        </w:rPr>
      </w:pPr>
    </w:p>
    <w:p>
      <w:pPr>
        <w:pStyle w:val="BodyText"/>
        <w:spacing w:line="240" w:lineRule="auto"/>
        <w:ind w:right="104"/>
        <w:jc w:val="left"/>
      </w:pPr>
      <w:r>
        <w:rPr>
          <w:rFonts w:ascii="Times New Roman" w:hAnsi="Times New Roman" w:cs="Times New Roman" w:eastAsia="Times New Roman" w:hint="default"/>
        </w:rPr>
        <w:t>16</w:t>
      </w:r>
      <w:r>
        <w:rPr/>
        <w:t>、</w:t>
      </w:r>
      <w:r>
        <w:rPr>
          <w:spacing w:val="-1"/>
        </w:rPr>
        <w:t> </w:t>
      </w:r>
      <w:r>
        <w:rPr/>
        <w:t>无形资产：</w:t>
      </w:r>
    </w:p>
    <w:p>
      <w:pPr>
        <w:pStyle w:val="BodyText"/>
        <w:spacing w:line="240" w:lineRule="auto" w:before="52"/>
        <w:ind w:right="104"/>
        <w:jc w:val="left"/>
      </w:pPr>
      <w:r>
        <w:rPr/>
        <w:t>（</w:t>
      </w:r>
      <w:r>
        <w:rPr>
          <w:rFonts w:ascii="Times New Roman" w:hAnsi="Times New Roman" w:cs="Times New Roman" w:eastAsia="Times New Roman" w:hint="default"/>
        </w:rPr>
        <w:t>1</w:t>
      </w:r>
      <w:r>
        <w:rPr/>
        <w:t>）无形资产按成本进行初始计量。</w:t>
      </w:r>
    </w:p>
    <w:p>
      <w:pPr>
        <w:pStyle w:val="BodyText"/>
        <w:spacing w:line="266" w:lineRule="auto" w:before="21"/>
        <w:ind w:right="196"/>
        <w:jc w:val="both"/>
      </w:pPr>
      <w:r>
        <w:rPr/>
        <w:t>（</w:t>
      </w:r>
      <w:r>
        <w:rPr>
          <w:rFonts w:ascii="Times New Roman" w:hAnsi="Times New Roman" w:cs="Times New Roman" w:eastAsia="Times New Roman" w:hint="default"/>
        </w:rPr>
        <w:t>2</w:t>
      </w:r>
      <w:r>
        <w:rPr/>
        <w:t>）根据无形资产的合同性权利或其他法定权利、同行业情况、历史经验、相关专家论证</w:t>
      </w:r>
      <w:r>
        <w:rPr>
          <w:spacing w:val="-99"/>
        </w:rPr>
        <w:t> </w:t>
      </w:r>
      <w:r>
        <w:rPr>
          <w:spacing w:val="-99"/>
        </w:rPr>
      </w:r>
      <w:r>
        <w:rPr>
          <w:spacing w:val="-3"/>
        </w:rPr>
        <w:t>等综合因素判断，能合理确定无形资产为公司带来经济利益期限的，作为使用寿命有限的无</w:t>
      </w:r>
      <w:r>
        <w:rPr>
          <w:spacing w:val="-79"/>
        </w:rPr>
        <w:t> </w:t>
      </w:r>
      <w:r>
        <w:rPr>
          <w:spacing w:val="-79"/>
        </w:rPr>
      </w:r>
      <w:r>
        <w:rPr>
          <w:spacing w:val="-3"/>
        </w:rPr>
        <w:t>形资产；无法合理确定无形资产为公司带来经济利益期限的，视为使用寿命不确定的无形资</w:t>
      </w:r>
      <w:r>
        <w:rPr>
          <w:spacing w:val="-79"/>
        </w:rPr>
        <w:t> </w:t>
      </w:r>
      <w:r>
        <w:rPr>
          <w:spacing w:val="-79"/>
        </w:rPr>
      </w:r>
      <w:r>
        <w:rPr/>
        <w:t>产。</w:t>
      </w:r>
    </w:p>
    <w:p>
      <w:pPr>
        <w:pStyle w:val="BodyText"/>
        <w:spacing w:line="266" w:lineRule="auto" w:before="14"/>
        <w:ind w:right="196"/>
        <w:jc w:val="both"/>
      </w:pPr>
      <w:r>
        <w:rPr/>
        <w:t>（</w:t>
      </w:r>
      <w:r>
        <w:rPr>
          <w:rFonts w:ascii="Times New Roman" w:hAnsi="Times New Roman" w:cs="Times New Roman" w:eastAsia="Times New Roman" w:hint="default"/>
        </w:rPr>
        <w:t>3</w:t>
      </w:r>
      <w:r>
        <w:rPr/>
        <w:t>）使用寿命有限的无形资产，在使用寿命内按照与该项无形资产有关的经济利益的预期</w:t>
      </w:r>
      <w:r>
        <w:rPr>
          <w:spacing w:val="-99"/>
        </w:rPr>
        <w:t> </w:t>
      </w:r>
      <w:r>
        <w:rPr>
          <w:spacing w:val="-99"/>
        </w:rPr>
      </w:r>
      <w:r>
        <w:rPr>
          <w:spacing w:val="-3"/>
        </w:rPr>
        <w:t>实现方式系统合理地摊销，无法可靠确定预期实现方式的，采用直线法摊销，已计提减值准</w:t>
      </w:r>
      <w:r>
        <w:rPr>
          <w:spacing w:val="-81"/>
        </w:rPr>
        <w:t> </w:t>
      </w:r>
      <w:r>
        <w:rPr>
          <w:spacing w:val="-81"/>
        </w:rPr>
      </w:r>
      <w:r>
        <w:rPr>
          <w:spacing w:val="-3"/>
        </w:rPr>
        <w:t>备的无形资产，还应扣除已计提的无形资产减值准备累计金额。使用寿命不确定的无形资产</w:t>
      </w:r>
      <w:r>
        <w:rPr>
          <w:spacing w:val="-79"/>
        </w:rPr>
        <w:t> </w:t>
      </w:r>
      <w:r>
        <w:rPr>
          <w:spacing w:val="-79"/>
        </w:rPr>
      </w:r>
      <w:r>
        <w:rPr/>
        <w:t>不摊销，但每年均对该无形资产的使用寿命进行复核。</w:t>
      </w:r>
    </w:p>
    <w:p>
      <w:pPr>
        <w:spacing w:line="240" w:lineRule="auto" w:before="4"/>
        <w:rPr>
          <w:rFonts w:ascii="宋体" w:hAnsi="宋体" w:cs="宋体" w:eastAsia="宋体" w:hint="default"/>
          <w:sz w:val="27"/>
          <w:szCs w:val="27"/>
        </w:rPr>
      </w:pPr>
    </w:p>
    <w:p>
      <w:pPr>
        <w:pStyle w:val="BodyText"/>
        <w:spacing w:line="240" w:lineRule="auto"/>
        <w:ind w:right="104"/>
        <w:jc w:val="left"/>
      </w:pPr>
      <w:r>
        <w:rPr>
          <w:rFonts w:ascii="Times New Roman" w:hAnsi="Times New Roman" w:cs="Times New Roman" w:eastAsia="Times New Roman" w:hint="default"/>
        </w:rPr>
        <w:t>17</w:t>
      </w:r>
      <w:r>
        <w:rPr/>
        <w:t>、</w:t>
      </w:r>
      <w:r>
        <w:rPr>
          <w:spacing w:val="-1"/>
        </w:rPr>
        <w:t> </w:t>
      </w:r>
      <w:r>
        <w:rPr/>
        <w:t>收入：</w:t>
      </w:r>
    </w:p>
    <w:p>
      <w:pPr>
        <w:pStyle w:val="BodyText"/>
        <w:spacing w:line="256" w:lineRule="auto" w:before="52"/>
        <w:ind w:right="104"/>
        <w:jc w:val="left"/>
      </w:pPr>
      <w:r>
        <w:rPr/>
        <w:t>（</w:t>
      </w:r>
      <w:r>
        <w:rPr>
          <w:rFonts w:ascii="Times New Roman" w:hAnsi="Times New Roman" w:cs="Times New Roman" w:eastAsia="Times New Roman" w:hint="default"/>
        </w:rPr>
        <w:t>1</w:t>
      </w:r>
      <w:r>
        <w:rPr/>
        <w:t>）销售商品 </w:t>
      </w:r>
      <w:r>
        <w:rPr>
          <w:spacing w:val="-3"/>
        </w:rPr>
        <w:t>销售商品在同时满足商品所有权上的主要风险和报酬转移给购货方；公司不再保留通常与所</w:t>
      </w:r>
    </w:p>
    <w:p>
      <w:pPr>
        <w:spacing w:after="0" w:line="256" w:lineRule="auto"/>
        <w:jc w:val="left"/>
        <w:sectPr>
          <w:pgSz w:w="11910" w:h="16840"/>
          <w:pgMar w:header="877" w:footer="982" w:top="1100" w:bottom="1180" w:left="1660" w:right="1600"/>
        </w:sectPr>
      </w:pPr>
    </w:p>
    <w:p>
      <w:pPr>
        <w:spacing w:line="240" w:lineRule="auto" w:before="9"/>
        <w:rPr>
          <w:rFonts w:ascii="宋体" w:hAnsi="宋体" w:cs="宋体" w:eastAsia="宋体" w:hint="default"/>
          <w:sz w:val="20"/>
          <w:szCs w:val="20"/>
        </w:rPr>
      </w:pPr>
    </w:p>
    <w:p>
      <w:pPr>
        <w:pStyle w:val="BodyText"/>
        <w:spacing w:line="273" w:lineRule="auto" w:before="35"/>
        <w:ind w:right="196"/>
        <w:jc w:val="both"/>
      </w:pPr>
      <w:r>
        <w:rPr>
          <w:spacing w:val="-3"/>
        </w:rPr>
        <w:t>有权相联系的继续管理权，也不再对已售出的商品实施有效控制；收入的金额能够可靠地计</w:t>
      </w:r>
      <w:r>
        <w:rPr>
          <w:spacing w:val="-79"/>
        </w:rPr>
        <w:t> </w:t>
      </w:r>
      <w:r>
        <w:rPr>
          <w:spacing w:val="-79"/>
        </w:rPr>
      </w:r>
      <w:r>
        <w:rPr>
          <w:spacing w:val="-3"/>
        </w:rPr>
        <w:t>量；相关的经济利益很可能流入；相关的已发生或将发生的成本能够可靠地计量时，确认商</w:t>
      </w:r>
      <w:r>
        <w:rPr>
          <w:spacing w:val="-81"/>
        </w:rPr>
        <w:t> </w:t>
      </w:r>
      <w:r>
        <w:rPr>
          <w:spacing w:val="-81"/>
        </w:rPr>
      </w:r>
      <w:r>
        <w:rPr/>
        <w:t>品销售收入的实现。</w:t>
      </w:r>
    </w:p>
    <w:p>
      <w:pPr>
        <w:pStyle w:val="BodyText"/>
        <w:spacing w:line="268" w:lineRule="auto" w:before="8"/>
        <w:ind w:right="104"/>
        <w:jc w:val="left"/>
      </w:pPr>
      <w:r>
        <w:rPr/>
        <w:t>（</w:t>
      </w:r>
      <w:r>
        <w:rPr>
          <w:rFonts w:ascii="Times New Roman" w:hAnsi="Times New Roman" w:cs="Times New Roman" w:eastAsia="Times New Roman" w:hint="default"/>
        </w:rPr>
        <w:t>2</w:t>
      </w:r>
      <w:r>
        <w:rPr/>
        <w:t>）提供劳务 </w:t>
      </w:r>
      <w:r>
        <w:rPr>
          <w:spacing w:val="-3"/>
        </w:rPr>
        <w:t>提供劳务交易的结果在资产负债表日能够可靠估计的，采用完工百分比法确认提供劳务的收</w:t>
      </w:r>
      <w:r>
        <w:rPr>
          <w:spacing w:val="-79"/>
        </w:rPr>
        <w:t> </w:t>
      </w:r>
      <w:r>
        <w:rPr>
          <w:spacing w:val="-79"/>
        </w:rPr>
      </w:r>
      <w:r>
        <w:rPr>
          <w:spacing w:val="-3"/>
        </w:rPr>
        <w:t>入，并按已完工作的比例测量完工进度。提供劳务交易的结果在资产负债表日不能够可靠估</w:t>
      </w:r>
      <w:r>
        <w:rPr>
          <w:spacing w:val="-79"/>
        </w:rPr>
        <w:t> </w:t>
      </w:r>
      <w:r>
        <w:rPr>
          <w:spacing w:val="-79"/>
        </w:rPr>
      </w:r>
      <w:r>
        <w:rPr>
          <w:spacing w:val="-3"/>
        </w:rPr>
        <w:t>计的，若已经发生的劳务成本预计能够得到补偿，按已经发生的劳务成本金额确认提供劳务</w:t>
      </w:r>
      <w:r>
        <w:rPr>
          <w:spacing w:val="-79"/>
        </w:rPr>
        <w:t> </w:t>
      </w:r>
      <w:r>
        <w:rPr>
          <w:spacing w:val="-79"/>
        </w:rPr>
      </w:r>
      <w:r>
        <w:rPr>
          <w:spacing w:val="-3"/>
        </w:rPr>
        <w:t>收入，并按相同金额结转劳务成本；若已经发生的劳务成本预计不能够得到补偿，将已经发</w:t>
      </w:r>
      <w:r>
        <w:rPr>
          <w:spacing w:val="-81"/>
        </w:rPr>
        <w:t> </w:t>
      </w:r>
      <w:r>
        <w:rPr>
          <w:spacing w:val="-81"/>
        </w:rPr>
      </w:r>
      <w:r>
        <w:rPr/>
        <w:t>生的劳务成本计入当期损益不确认劳务收入。</w:t>
      </w:r>
    </w:p>
    <w:p>
      <w:pPr>
        <w:pStyle w:val="BodyText"/>
        <w:spacing w:line="266" w:lineRule="auto" w:before="12"/>
        <w:ind w:right="84"/>
        <w:jc w:val="left"/>
      </w:pPr>
      <w:r>
        <w:rPr/>
        <w:t>（</w:t>
      </w:r>
      <w:r>
        <w:rPr>
          <w:rFonts w:ascii="Times New Roman" w:hAnsi="Times New Roman" w:cs="Times New Roman" w:eastAsia="Times New Roman" w:hint="default"/>
        </w:rPr>
        <w:t>3</w:t>
      </w:r>
      <w:r>
        <w:rPr/>
        <w:t>）让渡资产使用权 </w:t>
      </w:r>
      <w:r>
        <w:rPr>
          <w:spacing w:val="-3"/>
        </w:rPr>
        <w:t>让渡资产使用权在同时满足相关的经济利益很可能流入、收入金额能够可靠计量时，确认让</w:t>
      </w:r>
      <w:r>
        <w:rPr>
          <w:spacing w:val="-79"/>
        </w:rPr>
        <w:t> </w:t>
      </w:r>
      <w:r>
        <w:rPr>
          <w:spacing w:val="-79"/>
        </w:rPr>
      </w:r>
      <w:r>
        <w:rPr/>
        <w:t>渡资产使用权的收入。利息收入按照他人使用本企业货币资金的时间和实际利率计算确定； 使用费收入按有关合同或协议约定的收费时间和方法计算确定。</w:t>
      </w:r>
    </w:p>
    <w:p>
      <w:pPr>
        <w:spacing w:line="240" w:lineRule="auto" w:before="4"/>
        <w:rPr>
          <w:rFonts w:ascii="宋体" w:hAnsi="宋体" w:cs="宋体" w:eastAsia="宋体" w:hint="default"/>
          <w:sz w:val="27"/>
          <w:szCs w:val="27"/>
        </w:rPr>
      </w:pPr>
    </w:p>
    <w:p>
      <w:pPr>
        <w:pStyle w:val="BodyText"/>
        <w:spacing w:line="273" w:lineRule="auto"/>
        <w:ind w:right="104"/>
        <w:jc w:val="left"/>
      </w:pPr>
      <w:r>
        <w:rPr>
          <w:rFonts w:ascii="Times New Roman" w:hAnsi="Times New Roman" w:cs="Times New Roman" w:eastAsia="Times New Roman" w:hint="default"/>
        </w:rPr>
        <w:t>18</w:t>
      </w:r>
      <w:r>
        <w:rPr/>
        <w:t>、</w:t>
      </w:r>
      <w:r>
        <w:rPr>
          <w:spacing w:val="-1"/>
        </w:rPr>
        <w:t> </w:t>
      </w:r>
      <w:r>
        <w:rPr/>
        <w:t>政府补助：</w:t>
      </w:r>
      <w:r>
        <w:rPr/>
        <w:t> </w:t>
      </w:r>
      <w:r>
        <w:rPr>
          <w:spacing w:val="2"/>
        </w:rPr>
        <w:t>本公司对满足政府补助所附条件并能够收到的政府补助进行确认。政府补助为货币性资产</w:t>
      </w:r>
      <w:r>
        <w:rPr>
          <w:spacing w:val="-85"/>
        </w:rPr>
        <w:t> </w:t>
      </w:r>
      <w:r>
        <w:rPr>
          <w:spacing w:val="-85"/>
        </w:rPr>
      </w:r>
      <w:r>
        <w:rPr>
          <w:spacing w:val="-3"/>
        </w:rPr>
        <w:t>的，按照收到或应收的金额计量。政府补助为非货币性资产的，按照公允价值计量；公允价</w:t>
      </w:r>
      <w:r>
        <w:rPr>
          <w:spacing w:val="-80"/>
        </w:rPr>
        <w:t> </w:t>
      </w:r>
      <w:r>
        <w:rPr>
          <w:spacing w:val="-80"/>
        </w:rPr>
      </w:r>
      <w:r>
        <w:rPr/>
        <w:t>值不能可靠取得的，按照名义金额计量。 </w:t>
      </w:r>
      <w:r>
        <w:rPr>
          <w:spacing w:val="-3"/>
        </w:rPr>
        <w:t>本公司对取得的与资产相关的政府补助，确认为递延收益，自相关资产达到预定可使用状态</w:t>
      </w:r>
      <w:r>
        <w:rPr>
          <w:spacing w:val="-79"/>
        </w:rPr>
        <w:t> </w:t>
      </w:r>
      <w:r>
        <w:rPr>
          <w:spacing w:val="-79"/>
        </w:rPr>
      </w:r>
      <w:r>
        <w:rPr>
          <w:spacing w:val="-3"/>
        </w:rPr>
        <w:t>时，在该资产使用寿命内平均分配，分次计入以后各期的损益。相关资产在使用寿命结束前</w:t>
      </w:r>
      <w:r>
        <w:rPr>
          <w:spacing w:val="-81"/>
        </w:rPr>
        <w:t> </w:t>
      </w:r>
      <w:r>
        <w:rPr>
          <w:spacing w:val="-81"/>
        </w:rPr>
      </w:r>
      <w:r>
        <w:rPr>
          <w:spacing w:val="-3"/>
        </w:rPr>
        <w:t>被出售、转让、报废或发生毁损的，将尚未分配的递延收益余额一次性转入资产处置当期的</w:t>
      </w:r>
      <w:r>
        <w:rPr>
          <w:spacing w:val="-81"/>
        </w:rPr>
        <w:t> </w:t>
      </w:r>
      <w:r>
        <w:rPr>
          <w:spacing w:val="-81"/>
        </w:rPr>
      </w:r>
      <w:r>
        <w:rPr>
          <w:spacing w:val="-3"/>
        </w:rPr>
        <w:t>损益。对取得的用于补偿公司以后期间相关费用或损失的与收益相关的政府补助，取得时确</w:t>
      </w:r>
      <w:r>
        <w:rPr>
          <w:spacing w:val="-79"/>
        </w:rPr>
        <w:t> </w:t>
      </w:r>
      <w:r>
        <w:rPr>
          <w:spacing w:val="-79"/>
        </w:rPr>
      </w:r>
      <w:r>
        <w:rPr>
          <w:spacing w:val="-3"/>
        </w:rPr>
        <w:t>认为递延收益，在确认相关费用的期间计入当期损益；用于补偿公司已发生的相关费用或损</w:t>
      </w:r>
      <w:r>
        <w:rPr>
          <w:spacing w:val="-79"/>
        </w:rPr>
        <w:t> </w:t>
      </w:r>
      <w:r>
        <w:rPr>
          <w:spacing w:val="-79"/>
        </w:rPr>
      </w:r>
      <w:r>
        <w:rPr/>
        <w:t>失的，取得时直接计入当期损益。</w:t>
      </w:r>
    </w:p>
    <w:p>
      <w:pPr>
        <w:spacing w:line="240" w:lineRule="auto" w:before="11"/>
        <w:rPr>
          <w:rFonts w:ascii="宋体" w:hAnsi="宋体" w:cs="宋体" w:eastAsia="宋体" w:hint="default"/>
          <w:sz w:val="26"/>
          <w:szCs w:val="26"/>
        </w:rPr>
      </w:pPr>
    </w:p>
    <w:p>
      <w:pPr>
        <w:pStyle w:val="BodyText"/>
        <w:spacing w:line="240" w:lineRule="auto"/>
        <w:ind w:right="104"/>
        <w:jc w:val="left"/>
      </w:pPr>
      <w:r>
        <w:rPr>
          <w:rFonts w:ascii="Times New Roman" w:hAnsi="Times New Roman" w:cs="Times New Roman" w:eastAsia="Times New Roman" w:hint="default"/>
        </w:rPr>
        <w:t>19</w:t>
      </w:r>
      <w:r>
        <w:rPr/>
        <w:t>、</w:t>
      </w:r>
      <w:r>
        <w:rPr>
          <w:spacing w:val="-3"/>
        </w:rPr>
        <w:t> </w:t>
      </w:r>
      <w:r>
        <w:rPr/>
        <w:t>主要会计政策、会计估计的变更</w:t>
      </w:r>
    </w:p>
    <w:p>
      <w:pPr>
        <w:pStyle w:val="BodyText"/>
        <w:spacing w:line="283" w:lineRule="auto" w:before="83"/>
        <w:ind w:right="6879"/>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会计政策变更</w:t>
      </w:r>
      <w:r>
        <w:rPr>
          <w:w w:val="99"/>
        </w:rPr>
        <w:t> </w:t>
      </w:r>
      <w:r>
        <w:rPr/>
        <w:t>无</w:t>
      </w:r>
    </w:p>
    <w:p>
      <w:pPr>
        <w:spacing w:line="240" w:lineRule="auto" w:before="2"/>
        <w:rPr>
          <w:rFonts w:ascii="宋体" w:hAnsi="宋体" w:cs="宋体" w:eastAsia="宋体" w:hint="default"/>
          <w:sz w:val="26"/>
          <w:szCs w:val="26"/>
        </w:rPr>
      </w:pPr>
    </w:p>
    <w:p>
      <w:pPr>
        <w:pStyle w:val="BodyText"/>
        <w:spacing w:line="283" w:lineRule="auto"/>
        <w:ind w:right="687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会计估计变更</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ind w:right="104"/>
        <w:jc w:val="left"/>
      </w:pPr>
      <w:r>
        <w:rPr>
          <w:rFonts w:ascii="Times New Roman" w:hAnsi="Times New Roman" w:cs="Times New Roman" w:eastAsia="Times New Roman" w:hint="default"/>
        </w:rPr>
        <w:t>20</w:t>
      </w:r>
      <w:r>
        <w:rPr/>
        <w:t>、</w:t>
      </w:r>
      <w:r>
        <w:rPr>
          <w:spacing w:val="-3"/>
        </w:rPr>
        <w:t> </w:t>
      </w:r>
      <w:r>
        <w:rPr/>
        <w:t>前期会计差错更正</w:t>
      </w:r>
    </w:p>
    <w:p>
      <w:pPr>
        <w:pStyle w:val="BodyText"/>
        <w:spacing w:line="283" w:lineRule="auto" w:before="83"/>
        <w:ind w:right="708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追溯重述法</w:t>
      </w:r>
      <w:r>
        <w:rPr>
          <w:w w:val="99"/>
        </w:rPr>
        <w:t> </w:t>
      </w:r>
      <w:r>
        <w:rPr/>
        <w:t>无</w:t>
      </w:r>
    </w:p>
    <w:p>
      <w:pPr>
        <w:spacing w:line="240" w:lineRule="auto" w:before="2"/>
        <w:rPr>
          <w:rFonts w:ascii="宋体" w:hAnsi="宋体" w:cs="宋体" w:eastAsia="宋体" w:hint="default"/>
          <w:sz w:val="26"/>
          <w:szCs w:val="26"/>
        </w:rPr>
      </w:pPr>
    </w:p>
    <w:p>
      <w:pPr>
        <w:pStyle w:val="BodyText"/>
        <w:spacing w:line="283" w:lineRule="auto"/>
        <w:ind w:right="7087"/>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未来适用法</w:t>
      </w:r>
      <w:r>
        <w:rPr>
          <w:w w:val="99"/>
        </w:rPr>
        <w:t> </w:t>
      </w:r>
      <w:r>
        <w:rPr/>
        <w:t>无</w:t>
      </w:r>
    </w:p>
    <w:p>
      <w:pPr>
        <w:spacing w:line="240" w:lineRule="auto" w:before="2"/>
        <w:rPr>
          <w:rFonts w:ascii="宋体" w:hAnsi="宋体" w:cs="宋体" w:eastAsia="宋体" w:hint="default"/>
          <w:sz w:val="26"/>
          <w:szCs w:val="26"/>
        </w:rPr>
      </w:pPr>
    </w:p>
    <w:p>
      <w:pPr>
        <w:pStyle w:val="BodyText"/>
        <w:spacing w:line="240" w:lineRule="auto"/>
        <w:ind w:right="104"/>
        <w:jc w:val="left"/>
      </w:pPr>
      <w:r>
        <w:rPr>
          <w:rFonts w:ascii="Times New Roman" w:hAnsi="Times New Roman" w:cs="Times New Roman" w:eastAsia="Times New Roman" w:hint="default"/>
        </w:rPr>
        <w:t>(</w:t>
      </w:r>
      <w:r>
        <w:rPr/>
        <w:t>五</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税项：</w:t>
      </w:r>
    </w:p>
    <w:p>
      <w:pPr>
        <w:pStyle w:val="BodyText"/>
        <w:spacing w:line="240" w:lineRule="auto" w:before="83"/>
        <w:ind w:right="104"/>
        <w:jc w:val="left"/>
      </w:pPr>
      <w:r>
        <w:rPr>
          <w:rFonts w:ascii="Times New Roman" w:hAnsi="Times New Roman" w:cs="Times New Roman" w:eastAsia="Times New Roman" w:hint="default"/>
        </w:rPr>
        <w:t>1</w:t>
      </w:r>
      <w:r>
        <w:rPr/>
        <w:t>、</w:t>
      </w:r>
      <w:r>
        <w:rPr>
          <w:spacing w:val="-2"/>
        </w:rPr>
        <w:t> </w:t>
      </w:r>
      <w:r>
        <w:rPr/>
        <w:t>主要税种及税率</w:t>
      </w:r>
    </w:p>
    <w:p>
      <w:pPr>
        <w:spacing w:after="0" w:line="240" w:lineRule="auto"/>
        <w:jc w:val="left"/>
        <w:sectPr>
          <w:pgSz w:w="11910" w:h="16840"/>
          <w:pgMar w:header="877" w:footer="982" w:top="1100" w:bottom="1180" w:left="1660" w:right="160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13"/>
          <w:szCs w:val="1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税种</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计税依据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税率</w:t>
            </w:r>
          </w:p>
        </w:tc>
      </w:tr>
      <w:tr>
        <w:trPr>
          <w:trHeight w:val="31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分别按应纳增值税项目销售收</w:t>
            </w:r>
            <w:r>
              <w:rPr>
                <w:rFonts w:ascii="宋体" w:hAnsi="宋体" w:cs="宋体" w:eastAsia="宋体" w:hint="default"/>
                <w:sz w:val="21"/>
                <w:szCs w:val="21"/>
              </w:rPr>
            </w:r>
          </w:p>
        </w:tc>
        <w:tc>
          <w:tcPr>
            <w:tcW w:w="3100" w:type="dxa"/>
            <w:tcBorders>
              <w:top w:val="single" w:sz="6" w:space="0" w:color="000000"/>
              <w:left w:val="single" w:sz="6" w:space="0" w:color="000000"/>
              <w:bottom w:val="nil" w:sz="6" w:space="0" w:color="auto"/>
              <w:right w:val="single" w:sz="6" w:space="0" w:color="000000"/>
            </w:tcBorders>
          </w:tcPr>
          <w:p>
            <w:pPr/>
          </w:p>
        </w:tc>
      </w:tr>
      <w:tr>
        <w:trPr>
          <w:trHeight w:val="624"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入的</w:t>
            </w:r>
            <w:r>
              <w:rPr>
                <w:rFonts w:ascii="宋体" w:hAnsi="宋体" w:cs="宋体" w:eastAsia="宋体" w:hint="default"/>
                <w:spacing w:val="-48"/>
                <w:sz w:val="21"/>
                <w:szCs w:val="21"/>
              </w:rPr>
              <w:t> </w:t>
            </w: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和</w:t>
            </w:r>
            <w:r>
              <w:rPr>
                <w:rFonts w:ascii="宋体" w:hAnsi="宋体" w:cs="宋体" w:eastAsia="宋体" w:hint="default"/>
                <w:spacing w:val="-50"/>
                <w:sz w:val="21"/>
                <w:szCs w:val="21"/>
              </w:rPr>
              <w:t> </w:t>
            </w:r>
            <w:r>
              <w:rPr>
                <w:rFonts w:ascii="Times New Roman" w:hAnsi="Times New Roman" w:cs="Times New Roman" w:eastAsia="Times New Roman" w:hint="default"/>
                <w:sz w:val="21"/>
                <w:szCs w:val="21"/>
              </w:rPr>
              <w:t>6%</w:t>
            </w:r>
            <w:r>
              <w:rPr>
                <w:rFonts w:ascii="宋体" w:hAnsi="宋体" w:cs="宋体" w:eastAsia="宋体" w:hint="default"/>
                <w:sz w:val="21"/>
                <w:szCs w:val="21"/>
              </w:rPr>
              <w:t>计算销项</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pacing w:val="-5"/>
                <w:sz w:val="21"/>
                <w:szCs w:val="21"/>
              </w:rPr>
              <w:t>税额，扣除符合规定可以抵扣的</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auto" w:before="14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17</w:t>
            </w:r>
            <w:r>
              <w:rPr>
                <w:rFonts w:ascii="宋体" w:hAnsi="宋体" w:cs="宋体" w:eastAsia="宋体" w:hint="default"/>
                <w:sz w:val="21"/>
                <w:szCs w:val="21"/>
              </w:rPr>
              <w:t>％、</w:t>
            </w:r>
            <w:r>
              <w:rPr>
                <w:rFonts w:ascii="Times New Roman" w:hAnsi="Times New Roman" w:cs="Times New Roman" w:eastAsia="Times New Roman" w:hint="default"/>
                <w:sz w:val="21"/>
                <w:szCs w:val="21"/>
              </w:rPr>
              <w:t>13%</w:t>
            </w:r>
            <w:r>
              <w:rPr>
                <w:rFonts w:ascii="宋体" w:hAnsi="宋体" w:cs="宋体" w:eastAsia="宋体" w:hint="default"/>
                <w:sz w:val="21"/>
                <w:szCs w:val="21"/>
              </w:rPr>
              <w:t>和</w:t>
            </w:r>
            <w:r>
              <w:rPr>
                <w:rFonts w:ascii="宋体" w:hAnsi="宋体" w:cs="宋体" w:eastAsia="宋体" w:hint="default"/>
                <w:spacing w:val="-56"/>
                <w:sz w:val="21"/>
                <w:szCs w:val="21"/>
              </w:rPr>
              <w:t> </w:t>
            </w:r>
            <w:r>
              <w:rPr>
                <w:rFonts w:ascii="Times New Roman" w:hAnsi="Times New Roman" w:cs="Times New Roman" w:eastAsia="Times New Roman" w:hint="default"/>
                <w:sz w:val="21"/>
                <w:szCs w:val="21"/>
              </w:rPr>
              <w:t>6%</w:t>
            </w:r>
          </w:p>
        </w:tc>
      </w:tr>
      <w:tr>
        <w:trPr>
          <w:trHeight w:val="320"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进项税后计算应缴增值税。</w:t>
            </w:r>
          </w:p>
        </w:tc>
        <w:tc>
          <w:tcPr>
            <w:tcW w:w="3100" w:type="dxa"/>
            <w:tcBorders>
              <w:top w:val="nil" w:sz="6" w:space="0" w:color="auto"/>
              <w:left w:val="single" w:sz="6" w:space="0" w:color="000000"/>
              <w:bottom w:val="single" w:sz="6" w:space="0" w:color="000000"/>
              <w:right w:val="single" w:sz="6" w:space="0" w:color="000000"/>
            </w:tcBorders>
          </w:tcPr>
          <w:p>
            <w:pP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3%</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7%</w:t>
            </w:r>
          </w:p>
        </w:tc>
      </w:tr>
      <w:tr>
        <w:trPr>
          <w:trHeight w:val="319" w:hRule="exact"/>
        </w:trPr>
        <w:tc>
          <w:tcPr>
            <w:tcW w:w="3101" w:type="dxa"/>
            <w:tcBorders>
              <w:top w:val="single" w:sz="6" w:space="0" w:color="000000"/>
              <w:left w:val="single" w:sz="6" w:space="0" w:color="000000"/>
              <w:bottom w:val="nil" w:sz="6" w:space="0" w:color="auto"/>
              <w:right w:val="single" w:sz="6" w:space="0" w:color="000000"/>
            </w:tcBorders>
          </w:tcPr>
          <w:p>
            <w:pPr/>
          </w:p>
        </w:tc>
        <w:tc>
          <w:tcPr>
            <w:tcW w:w="310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公司按应纳税所得额和当期适</w:t>
            </w:r>
            <w:r>
              <w:rPr>
                <w:rFonts w:ascii="宋体" w:hAnsi="宋体" w:cs="宋体" w:eastAsia="宋体" w:hint="default"/>
                <w:sz w:val="21"/>
                <w:szCs w:val="21"/>
              </w:rPr>
            </w:r>
          </w:p>
        </w:tc>
        <w:tc>
          <w:tcPr>
            <w:tcW w:w="3100"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3101"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z w:val="21"/>
                <w:szCs w:val="21"/>
              </w:rPr>
              <w:t>用的税率计算本期应缴所得税，</w:t>
            </w:r>
          </w:p>
        </w:tc>
        <w:tc>
          <w:tcPr>
            <w:tcW w:w="3100"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25%</w:t>
            </w:r>
          </w:p>
        </w:tc>
      </w:tr>
      <w:tr>
        <w:trPr>
          <w:trHeight w:val="315" w:hRule="exact"/>
        </w:trPr>
        <w:tc>
          <w:tcPr>
            <w:tcW w:w="3101" w:type="dxa"/>
            <w:tcBorders>
              <w:top w:val="nil" w:sz="6" w:space="0" w:color="auto"/>
              <w:left w:val="single" w:sz="6" w:space="0" w:color="000000"/>
              <w:bottom w:val="single" w:sz="6" w:space="0" w:color="000000"/>
              <w:right w:val="single" w:sz="6" w:space="0" w:color="000000"/>
            </w:tcBorders>
          </w:tcPr>
          <w:p>
            <w:pPr/>
          </w:p>
        </w:tc>
        <w:tc>
          <w:tcPr>
            <w:tcW w:w="3100" w:type="dxa"/>
            <w:tcBorders>
              <w:top w:val="nil" w:sz="6" w:space="0" w:color="auto"/>
              <w:left w:val="single" w:sz="6" w:space="0" w:color="000000"/>
              <w:bottom w:val="single" w:sz="6" w:space="0" w:color="000000"/>
              <w:right w:val="single" w:sz="6" w:space="0" w:color="000000"/>
            </w:tcBorders>
          </w:tcPr>
          <w:p>
            <w:pPr>
              <w:pStyle w:val="TableParagraph"/>
              <w:spacing w:line="272" w:lineRule="exact"/>
              <w:ind w:left="100" w:right="0"/>
              <w:jc w:val="left"/>
              <w:rPr>
                <w:rFonts w:ascii="宋体" w:hAnsi="宋体" w:cs="宋体" w:eastAsia="宋体" w:hint="default"/>
                <w:sz w:val="21"/>
                <w:szCs w:val="21"/>
              </w:rPr>
            </w:pPr>
            <w:r>
              <w:rPr>
                <w:rFonts w:ascii="宋体" w:hAnsi="宋体" w:cs="宋体" w:eastAsia="宋体" w:hint="default"/>
                <w:sz w:val="21"/>
                <w:szCs w:val="21"/>
              </w:rPr>
              <w:t>本期所得税税率为</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宋体" w:hAnsi="宋体" w:cs="宋体" w:eastAsia="宋体" w:hint="default"/>
                <w:sz w:val="21"/>
                <w:szCs w:val="21"/>
              </w:rPr>
              <w:t>。</w:t>
            </w:r>
          </w:p>
        </w:tc>
        <w:tc>
          <w:tcPr>
            <w:tcW w:w="310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6"/>
        <w:jc w:val="left"/>
      </w:pPr>
      <w:r>
        <w:rPr>
          <w:rFonts w:ascii="Times New Roman" w:hAnsi="Times New Roman" w:cs="Times New Roman" w:eastAsia="Times New Roman" w:hint="default"/>
        </w:rPr>
        <w:t>(</w:t>
      </w:r>
      <w:r>
        <w:rPr/>
        <w:t>六</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企业合并及合并财务报表</w:t>
      </w:r>
    </w:p>
    <w:p>
      <w:pPr>
        <w:pStyle w:val="BodyText"/>
        <w:spacing w:line="240" w:lineRule="auto" w:before="83"/>
        <w:ind w:left="139" w:right="-16"/>
        <w:jc w:val="left"/>
      </w:pPr>
      <w:r>
        <w:rPr>
          <w:rFonts w:ascii="Times New Roman" w:hAnsi="Times New Roman" w:cs="Times New Roman" w:eastAsia="Times New Roman" w:hint="default"/>
        </w:rPr>
        <w:t>1</w:t>
      </w:r>
      <w:r>
        <w:rPr/>
        <w:t>、 子公司情况</w:t>
      </w:r>
    </w:p>
    <w:p>
      <w:pPr>
        <w:pStyle w:val="BodyText"/>
        <w:spacing w:line="240" w:lineRule="auto" w:before="83"/>
        <w:ind w:left="139"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通过设立或投资等方式取得的子公司</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0"/>
          <w:szCs w:val="20"/>
        </w:rPr>
      </w:pPr>
    </w:p>
    <w:p>
      <w:pPr>
        <w:pStyle w:val="BodyText"/>
        <w:spacing w:line="240" w:lineRule="auto"/>
        <w:ind w:left="139" w:right="0"/>
        <w:jc w:val="left"/>
      </w:pPr>
      <w:r>
        <w:rPr/>
        <w:t>单位</w:t>
      </w:r>
      <w:r>
        <w:rPr>
          <w:rFonts w:ascii="Times New Roman" w:hAnsi="Times New Roman" w:cs="Times New Roman" w:eastAsia="Times New Roman" w:hint="default"/>
        </w:rPr>
        <w:t>:</w:t>
      </w:r>
      <w:r>
        <w:rPr/>
        <w:t>万元</w:t>
      </w:r>
      <w:r>
        <w:rPr>
          <w:spacing w:val="-3"/>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3850" w:space="2345"/>
            <w:col w:w="3375"/>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666"/>
        <w:gridCol w:w="665"/>
        <w:gridCol w:w="665"/>
        <w:gridCol w:w="665"/>
        <w:gridCol w:w="664"/>
        <w:gridCol w:w="665"/>
        <w:gridCol w:w="664"/>
        <w:gridCol w:w="664"/>
        <w:gridCol w:w="665"/>
        <w:gridCol w:w="664"/>
        <w:gridCol w:w="664"/>
        <w:gridCol w:w="665"/>
        <w:gridCol w:w="664"/>
        <w:gridCol w:w="664"/>
      </w:tblGrid>
      <w:tr>
        <w:trPr>
          <w:trHeight w:val="320" w:hRule="exact"/>
        </w:trPr>
        <w:tc>
          <w:tcPr>
            <w:tcW w:w="666"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right="1"/>
              <w:jc w:val="center"/>
              <w:rPr>
                <w:rFonts w:ascii="宋体" w:hAnsi="宋体" w:cs="宋体" w:eastAsia="宋体" w:hint="default"/>
                <w:sz w:val="18"/>
                <w:szCs w:val="18"/>
              </w:rPr>
            </w:pPr>
            <w:r>
              <w:rPr>
                <w:rFonts w:ascii="宋体" w:hAnsi="宋体" w:cs="宋体" w:eastAsia="宋体" w:hint="default"/>
                <w:sz w:val="18"/>
                <w:szCs w:val="18"/>
              </w:rPr>
              <w:t>从母</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所有</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益冲</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减子</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公司</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少数</w:t>
            </w:r>
          </w:p>
        </w:tc>
      </w:tr>
      <w:tr>
        <w:trPr>
          <w:trHeight w:val="3431" w:hRule="exact"/>
        </w:trPr>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45" w:right="144"/>
              <w:jc w:val="both"/>
              <w:rPr>
                <w:rFonts w:ascii="宋体" w:hAnsi="宋体" w:cs="宋体" w:eastAsia="宋体" w:hint="default"/>
                <w:sz w:val="18"/>
                <w:szCs w:val="18"/>
              </w:rPr>
            </w:pPr>
            <w:r>
              <w:rPr>
                <w:rFonts w:ascii="宋体" w:hAnsi="宋体" w:cs="宋体" w:eastAsia="宋体" w:hint="default"/>
                <w:sz w:val="18"/>
                <w:szCs w:val="18"/>
              </w:rPr>
              <w:t>子公 司全 称</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45" w:right="143"/>
              <w:jc w:val="both"/>
              <w:rPr>
                <w:rFonts w:ascii="宋体" w:hAnsi="宋体" w:cs="宋体" w:eastAsia="宋体" w:hint="default"/>
                <w:sz w:val="18"/>
                <w:szCs w:val="18"/>
              </w:rPr>
            </w:pPr>
            <w:r>
              <w:rPr>
                <w:rFonts w:ascii="宋体" w:hAnsi="宋体" w:cs="宋体" w:eastAsia="宋体" w:hint="default"/>
                <w:sz w:val="18"/>
                <w:szCs w:val="18"/>
              </w:rPr>
              <w:t>子公 司类 型</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235" w:right="143" w:hanging="90"/>
              <w:jc w:val="left"/>
              <w:rPr>
                <w:rFonts w:ascii="宋体" w:hAnsi="宋体" w:cs="宋体" w:eastAsia="宋体" w:hint="default"/>
                <w:sz w:val="18"/>
                <w:szCs w:val="18"/>
              </w:rPr>
            </w:pPr>
            <w:r>
              <w:rPr>
                <w:rFonts w:ascii="宋体" w:hAnsi="宋体" w:cs="宋体" w:eastAsia="宋体" w:hint="default"/>
                <w:sz w:val="18"/>
                <w:szCs w:val="18"/>
              </w:rPr>
              <w:t>注册 地</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45" w:right="143"/>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43" w:right="143"/>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7"/>
                <w:szCs w:val="17"/>
              </w:rPr>
            </w:pPr>
          </w:p>
          <w:p>
            <w:pPr>
              <w:pStyle w:val="TableParagraph"/>
              <w:spacing w:line="316" w:lineRule="auto"/>
              <w:ind w:left="144" w:right="144"/>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2"/>
              <w:ind w:left="143" w:right="143"/>
              <w:jc w:val="both"/>
              <w:rPr>
                <w:rFonts w:ascii="宋体" w:hAnsi="宋体" w:cs="宋体" w:eastAsia="宋体" w:hint="default"/>
                <w:sz w:val="18"/>
                <w:szCs w:val="18"/>
              </w:rPr>
            </w:pPr>
            <w:r>
              <w:rPr>
                <w:rFonts w:ascii="宋体" w:hAnsi="宋体" w:cs="宋体" w:eastAsia="宋体" w:hint="default"/>
                <w:sz w:val="18"/>
                <w:szCs w:val="18"/>
              </w:rPr>
              <w:t>期末 实际 出资 额</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316" w:lineRule="auto" w:before="159"/>
              <w:ind w:left="143" w:right="143"/>
              <w:jc w:val="both"/>
              <w:rPr>
                <w:rFonts w:ascii="宋体" w:hAnsi="宋体" w:cs="宋体" w:eastAsia="宋体" w:hint="default"/>
                <w:sz w:val="18"/>
                <w:szCs w:val="18"/>
              </w:rPr>
            </w:pPr>
            <w:r>
              <w:rPr>
                <w:rFonts w:ascii="宋体" w:hAnsi="宋体" w:cs="宋体" w:eastAsia="宋体" w:hint="default"/>
                <w:sz w:val="18"/>
                <w:szCs w:val="18"/>
              </w:rPr>
              <w:t>实质 上构 成对 子公 司净 投资 的其 他项 目余 额</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43" w:right="0"/>
              <w:jc w:val="left"/>
              <w:rPr>
                <w:rFonts w:ascii="宋体" w:hAnsi="宋体" w:cs="宋体" w:eastAsia="宋体" w:hint="default"/>
                <w:sz w:val="18"/>
                <w:szCs w:val="18"/>
              </w:rPr>
            </w:pPr>
            <w:r>
              <w:rPr>
                <w:rFonts w:ascii="宋体" w:hAnsi="宋体" w:cs="宋体" w:eastAsia="宋体" w:hint="default"/>
                <w:sz w:val="18"/>
                <w:szCs w:val="18"/>
              </w:rPr>
              <w:t>持股</w:t>
            </w: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1"/>
              <w:ind w:left="189" w:right="144" w:hanging="46"/>
              <w:jc w:val="left"/>
              <w:rPr>
                <w:rFonts w:ascii="宋体" w:hAnsi="宋体" w:cs="宋体" w:eastAsia="宋体" w:hint="default"/>
                <w:sz w:val="18"/>
                <w:szCs w:val="18"/>
              </w:rPr>
            </w:pPr>
            <w:r>
              <w:rPr>
                <w:rFonts w:ascii="宋体" w:hAnsi="宋体" w:cs="宋体" w:eastAsia="宋体" w:hint="default"/>
                <w:sz w:val="18"/>
                <w:szCs w:val="18"/>
              </w:rPr>
              <w:t>比例 (%)</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53"/>
              <w:ind w:left="143" w:right="143"/>
              <w:jc w:val="both"/>
              <w:rPr>
                <w:rFonts w:ascii="宋体" w:hAnsi="宋体" w:cs="宋体" w:eastAsia="宋体" w:hint="default"/>
                <w:sz w:val="18"/>
                <w:szCs w:val="18"/>
              </w:rPr>
            </w:pPr>
            <w:r>
              <w:rPr>
                <w:rFonts w:ascii="宋体" w:hAnsi="宋体" w:cs="宋体" w:eastAsia="宋体" w:hint="default"/>
                <w:sz w:val="18"/>
                <w:szCs w:val="18"/>
              </w:rPr>
              <w:t>表决 权比 例</w:t>
            </w:r>
          </w:p>
          <w:p>
            <w:pPr>
              <w:pStyle w:val="TableParagraph"/>
              <w:spacing w:line="240" w:lineRule="auto" w:before="58"/>
              <w:ind w:left="189" w:right="0"/>
              <w:jc w:val="both"/>
              <w:rPr>
                <w:rFonts w:ascii="Times New Roman" w:hAnsi="Times New Roman" w:cs="Times New Roman" w:eastAsia="Times New Roman" w:hint="default"/>
                <w:sz w:val="18"/>
                <w:szCs w:val="18"/>
              </w:rPr>
            </w:pPr>
            <w:r>
              <w:rPr>
                <w:rFonts w:ascii="Times New Roman"/>
                <w:sz w:val="18"/>
              </w:rPr>
              <w:t>(%)</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43" w:right="143"/>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3"/>
                <w:szCs w:val="23"/>
              </w:rPr>
            </w:pPr>
          </w:p>
          <w:p>
            <w:pPr>
              <w:pStyle w:val="TableParagraph"/>
              <w:spacing w:line="316" w:lineRule="auto"/>
              <w:ind w:left="143" w:right="144"/>
              <w:jc w:val="both"/>
              <w:rPr>
                <w:rFonts w:ascii="宋体" w:hAnsi="宋体" w:cs="宋体" w:eastAsia="宋体" w:hint="default"/>
                <w:sz w:val="18"/>
                <w:szCs w:val="18"/>
              </w:rPr>
            </w:pPr>
            <w:r>
              <w:rPr>
                <w:rFonts w:ascii="宋体" w:hAnsi="宋体" w:cs="宋体" w:eastAsia="宋体" w:hint="default"/>
                <w:sz w:val="18"/>
                <w:szCs w:val="18"/>
              </w:rPr>
              <w:t>少数 股东 权益</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316" w:lineRule="auto" w:before="159"/>
              <w:ind w:left="143" w:right="143"/>
              <w:jc w:val="both"/>
              <w:rPr>
                <w:rFonts w:ascii="宋体" w:hAnsi="宋体" w:cs="宋体" w:eastAsia="宋体" w:hint="default"/>
                <w:sz w:val="18"/>
                <w:szCs w:val="18"/>
              </w:rPr>
            </w:pPr>
            <w:r>
              <w:rPr>
                <w:rFonts w:ascii="宋体" w:hAnsi="宋体" w:cs="宋体" w:eastAsia="宋体" w:hint="default"/>
                <w:sz w:val="18"/>
                <w:szCs w:val="18"/>
              </w:rPr>
              <w:t>少数 股东 权益 中用 于冲 减少 数股 东损 益的 金额</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44" w:right="143"/>
              <w:jc w:val="both"/>
              <w:rPr>
                <w:rFonts w:ascii="宋体" w:hAnsi="宋体" w:cs="宋体" w:eastAsia="宋体" w:hint="default"/>
                <w:sz w:val="18"/>
                <w:szCs w:val="18"/>
              </w:rPr>
            </w:pPr>
            <w:r>
              <w:rPr>
                <w:rFonts w:ascii="宋体" w:hAnsi="宋体" w:cs="宋体" w:eastAsia="宋体" w:hint="default"/>
                <w:sz w:val="18"/>
                <w:szCs w:val="18"/>
              </w:rPr>
              <w:t>股东 分担 的本 期亏 损超 过少 数股 东在 该子 公司 期初</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所有</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者权</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益中</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所享</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有份</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额后</w:t>
            </w: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的余</w:t>
            </w:r>
          </w:p>
        </w:tc>
      </w:tr>
      <w:tr>
        <w:trPr>
          <w:trHeight w:val="321" w:hRule="exact"/>
        </w:trPr>
        <w:tc>
          <w:tcPr>
            <w:tcW w:w="666"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right="1"/>
              <w:jc w:val="center"/>
              <w:rPr>
                <w:rFonts w:ascii="宋体" w:hAnsi="宋体" w:cs="宋体" w:eastAsia="宋体" w:hint="default"/>
                <w:sz w:val="18"/>
                <w:szCs w:val="18"/>
              </w:rPr>
            </w:pPr>
            <w:r>
              <w:rPr>
                <w:rFonts w:ascii="宋体" w:hAnsi="宋体" w:cs="宋体" w:eastAsia="宋体" w:hint="default"/>
                <w:sz w:val="18"/>
                <w:szCs w:val="18"/>
              </w:rPr>
              <w:t>额</w:t>
            </w:r>
          </w:p>
        </w:tc>
      </w:tr>
    </w:tbl>
    <w:p>
      <w:pPr>
        <w:spacing w:after="0" w:line="240" w:lineRule="auto"/>
        <w:jc w:val="center"/>
        <w:rPr>
          <w:rFonts w:ascii="宋体" w:hAnsi="宋体" w:cs="宋体" w:eastAsia="宋体" w:hint="default"/>
          <w:sz w:val="18"/>
          <w:szCs w:val="18"/>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666"/>
        <w:gridCol w:w="665"/>
        <w:gridCol w:w="665"/>
        <w:gridCol w:w="665"/>
        <w:gridCol w:w="664"/>
        <w:gridCol w:w="665"/>
        <w:gridCol w:w="664"/>
        <w:gridCol w:w="664"/>
        <w:gridCol w:w="665"/>
        <w:gridCol w:w="664"/>
        <w:gridCol w:w="664"/>
        <w:gridCol w:w="665"/>
        <w:gridCol w:w="664"/>
        <w:gridCol w:w="664"/>
      </w:tblGrid>
      <w:tr>
        <w:trPr>
          <w:trHeight w:val="320" w:hRule="exact"/>
        </w:trPr>
        <w:tc>
          <w:tcPr>
            <w:tcW w:w="666" w:type="dxa"/>
            <w:tcBorders>
              <w:top w:val="single" w:sz="6" w:space="0" w:color="000000"/>
              <w:left w:val="single" w:sz="6" w:space="0" w:color="000000"/>
              <w:bottom w:val="nil" w:sz="6" w:space="0" w:color="auto"/>
              <w:right w:val="single" w:sz="6" w:space="0" w:color="000000"/>
            </w:tcBorders>
          </w:tcPr>
          <w:p>
            <w:pPr>
              <w:pStyle w:val="TableParagraph"/>
              <w:spacing w:line="240" w:lineRule="auto" w:before="11"/>
              <w:ind w:left="100" w:right="0"/>
              <w:jc w:val="left"/>
              <w:rPr>
                <w:rFonts w:ascii="宋体" w:hAnsi="宋体" w:cs="宋体" w:eastAsia="宋体" w:hint="default"/>
                <w:sz w:val="18"/>
                <w:szCs w:val="18"/>
              </w:rPr>
            </w:pPr>
            <w:r>
              <w:rPr>
                <w:rFonts w:ascii="宋体" w:hAnsi="宋体" w:cs="宋体" w:eastAsia="宋体" w:hint="default"/>
                <w:spacing w:val="88"/>
                <w:sz w:val="18"/>
                <w:szCs w:val="18"/>
              </w:rPr>
              <w:t>黑</w:t>
            </w:r>
            <w:r>
              <w:rPr>
                <w:rFonts w:ascii="宋体" w:hAnsi="宋体" w:cs="宋体" w:eastAsia="宋体" w:hint="default"/>
                <w:sz w:val="18"/>
                <w:szCs w:val="18"/>
              </w:rPr>
              <w:t>龙</w:t>
            </w:r>
            <w:r>
              <w:rPr>
                <w:rFonts w:ascii="宋体" w:hAnsi="宋体" w:cs="宋体" w:eastAsia="宋体" w:hint="default"/>
                <w:spacing w:val="-2"/>
                <w:sz w:val="18"/>
                <w:szCs w:val="18"/>
              </w:rPr>
              <w:t> </w:t>
            </w:r>
            <w:r>
              <w:rPr>
                <w:rFonts w:ascii="宋体" w:hAnsi="宋体" w:cs="宋体" w:eastAsia="宋体" w:hint="default"/>
                <w:sz w:val="18"/>
                <w:szCs w:val="18"/>
              </w:rPr>
            </w:r>
          </w:p>
        </w:tc>
        <w:tc>
          <w:tcPr>
            <w:tcW w:w="665"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4" w:type="dxa"/>
            <w:vMerge w:val="restart"/>
            <w:tcBorders>
              <w:top w:val="single" w:sz="6" w:space="0" w:color="000000"/>
              <w:left w:val="single" w:sz="6" w:space="0" w:color="000000"/>
              <w:right w:val="single" w:sz="6" w:space="0" w:color="000000"/>
            </w:tcBorders>
          </w:tcPr>
          <w:p>
            <w:pPr/>
          </w:p>
        </w:tc>
        <w:tc>
          <w:tcPr>
            <w:tcW w:w="665"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5" w:type="dxa"/>
            <w:vMerge w:val="restart"/>
            <w:tcBorders>
              <w:top w:val="single" w:sz="6" w:space="0" w:color="000000"/>
              <w:left w:val="single" w:sz="6" w:space="0" w:color="000000"/>
              <w:right w:val="single" w:sz="6" w:space="0" w:color="000000"/>
            </w:tcBorders>
          </w:tcPr>
          <w:p>
            <w:pPr/>
          </w:p>
        </w:tc>
        <w:tc>
          <w:tcPr>
            <w:tcW w:w="664" w:type="dxa"/>
            <w:tcBorders>
              <w:top w:val="single" w:sz="6" w:space="0" w:color="000000"/>
              <w:left w:val="single" w:sz="6" w:space="0" w:color="000000"/>
              <w:bottom w:val="nil" w:sz="6" w:space="0" w:color="auto"/>
              <w:right w:val="single" w:sz="6" w:space="0" w:color="000000"/>
            </w:tcBorders>
          </w:tcPr>
          <w:p>
            <w:pPr/>
          </w:p>
        </w:tc>
        <w:tc>
          <w:tcPr>
            <w:tcW w:w="664" w:type="dxa"/>
            <w:vMerge w:val="restart"/>
            <w:tcBorders>
              <w:top w:val="single" w:sz="6" w:space="0" w:color="000000"/>
              <w:left w:val="single" w:sz="6" w:space="0" w:color="000000"/>
              <w:right w:val="single" w:sz="6" w:space="0" w:color="000000"/>
            </w:tcBorders>
          </w:tcPr>
          <w:p>
            <w:pPr/>
          </w:p>
        </w:tc>
      </w:tr>
      <w:tr>
        <w:trPr>
          <w:trHeight w:val="311" w:hRule="exact"/>
        </w:trPr>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8"/>
                <w:sz w:val="18"/>
                <w:szCs w:val="18"/>
              </w:rPr>
              <w:t>江</w:t>
            </w:r>
            <w:r>
              <w:rPr>
                <w:rFonts w:ascii="宋体" w:hAnsi="宋体" w:cs="宋体" w:eastAsia="宋体" w:hint="default"/>
                <w:sz w:val="18"/>
                <w:szCs w:val="18"/>
              </w:rPr>
              <w:t>黑</w:t>
            </w:r>
            <w:r>
              <w:rPr>
                <w:rFonts w:ascii="宋体" w:hAnsi="宋体" w:cs="宋体" w:eastAsia="宋体" w:hint="default"/>
                <w:spacing w:val="-2"/>
                <w:sz w:val="18"/>
                <w:szCs w:val="18"/>
              </w:rPr>
              <w:t> </w:t>
            </w:r>
            <w:r>
              <w:rPr>
                <w:rFonts w:ascii="宋体" w:hAnsi="宋体" w:cs="宋体" w:eastAsia="宋体" w:hint="default"/>
                <w:sz w:val="18"/>
                <w:szCs w:val="18"/>
              </w:rPr>
            </w: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vMerge/>
            <w:tcBorders>
              <w:left w:val="single" w:sz="6" w:space="0" w:color="000000"/>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1248" w:hRule="exact"/>
        </w:trPr>
        <w:tc>
          <w:tcPr>
            <w:tcW w:w="666" w:type="dxa"/>
            <w:tcBorders>
              <w:top w:val="nil" w:sz="6" w:space="0" w:color="auto"/>
              <w:left w:val="single" w:sz="6" w:space="0" w:color="000000"/>
              <w:bottom w:val="nil" w:sz="6" w:space="0" w:color="auto"/>
              <w:right w:val="single" w:sz="6" w:space="0" w:color="000000"/>
            </w:tcBorders>
          </w:tcPr>
          <w:p>
            <w:pPr>
              <w:pStyle w:val="TableParagraph"/>
              <w:spacing w:line="316" w:lineRule="auto" w:before="11"/>
              <w:ind w:left="100" w:right="11"/>
              <w:jc w:val="both"/>
              <w:rPr>
                <w:rFonts w:ascii="宋体" w:hAnsi="宋体" w:cs="宋体" w:eastAsia="宋体" w:hint="default"/>
                <w:sz w:val="18"/>
                <w:szCs w:val="18"/>
              </w:rPr>
            </w:pPr>
            <w:r>
              <w:rPr>
                <w:rFonts w:ascii="宋体" w:hAnsi="宋体" w:cs="宋体" w:eastAsia="宋体" w:hint="default"/>
                <w:spacing w:val="88"/>
                <w:sz w:val="18"/>
                <w:szCs w:val="18"/>
              </w:rPr>
              <w:t>化</w:t>
            </w:r>
            <w:r>
              <w:rPr>
                <w:rFonts w:ascii="宋体" w:hAnsi="宋体" w:cs="宋体" w:eastAsia="宋体" w:hint="default"/>
                <w:sz w:val="18"/>
                <w:szCs w:val="18"/>
              </w:rPr>
              <w:t>集</w:t>
            </w:r>
            <w:r>
              <w:rPr>
                <w:rFonts w:ascii="宋体" w:hAnsi="宋体" w:cs="宋体" w:eastAsia="宋体" w:hint="default"/>
                <w:spacing w:val="-2"/>
                <w:sz w:val="18"/>
                <w:szCs w:val="18"/>
              </w:rPr>
              <w:t> </w:t>
            </w:r>
            <w:r>
              <w:rPr>
                <w:rFonts w:ascii="宋体" w:hAnsi="宋体" w:cs="宋体" w:eastAsia="宋体" w:hint="default"/>
                <w:spacing w:val="88"/>
                <w:sz w:val="18"/>
                <w:szCs w:val="18"/>
              </w:rPr>
              <w:t>团</w:t>
            </w:r>
            <w:r>
              <w:rPr>
                <w:rFonts w:ascii="宋体" w:hAnsi="宋体" w:cs="宋体" w:eastAsia="宋体" w:hint="default"/>
                <w:sz w:val="18"/>
                <w:szCs w:val="18"/>
              </w:rPr>
              <w:t>中</w:t>
            </w:r>
            <w:r>
              <w:rPr>
                <w:rFonts w:ascii="宋体" w:hAnsi="宋体" w:cs="宋体" w:eastAsia="宋体" w:hint="default"/>
                <w:spacing w:val="-2"/>
                <w:sz w:val="18"/>
                <w:szCs w:val="18"/>
              </w:rPr>
              <w:t> </w:t>
            </w:r>
            <w:r>
              <w:rPr>
                <w:rFonts w:ascii="宋体" w:hAnsi="宋体" w:cs="宋体" w:eastAsia="宋体" w:hint="default"/>
                <w:spacing w:val="88"/>
                <w:sz w:val="18"/>
                <w:szCs w:val="18"/>
              </w:rPr>
              <w:t>美</w:t>
            </w:r>
            <w:r>
              <w:rPr>
                <w:rFonts w:ascii="宋体" w:hAnsi="宋体" w:cs="宋体" w:eastAsia="宋体" w:hint="default"/>
                <w:sz w:val="18"/>
                <w:szCs w:val="18"/>
              </w:rPr>
              <w:t>碧</w:t>
            </w:r>
            <w:r>
              <w:rPr>
                <w:rFonts w:ascii="宋体" w:hAnsi="宋体" w:cs="宋体" w:eastAsia="宋体" w:hint="default"/>
                <w:spacing w:val="-2"/>
                <w:sz w:val="18"/>
                <w:szCs w:val="18"/>
              </w:rPr>
              <w:t> </w:t>
            </w:r>
            <w:r>
              <w:rPr>
                <w:rFonts w:ascii="宋体" w:hAnsi="宋体" w:cs="宋体" w:eastAsia="宋体" w:hint="default"/>
                <w:spacing w:val="88"/>
                <w:sz w:val="18"/>
                <w:szCs w:val="18"/>
              </w:rPr>
              <w:t>碧</w:t>
            </w:r>
            <w:r>
              <w:rPr>
                <w:rFonts w:ascii="宋体" w:hAnsi="宋体" w:cs="宋体" w:eastAsia="宋体" w:hint="default"/>
                <w:sz w:val="18"/>
                <w:szCs w:val="18"/>
              </w:rPr>
              <w:t>肥</w:t>
            </w:r>
            <w:r>
              <w:rPr>
                <w:rFonts w:ascii="宋体" w:hAnsi="宋体" w:cs="宋体" w:eastAsia="宋体" w:hint="default"/>
                <w:spacing w:val="-2"/>
                <w:sz w:val="18"/>
                <w:szCs w:val="18"/>
              </w:rPr>
              <w:t> </w:t>
            </w:r>
            <w:r>
              <w:rPr>
                <w:rFonts w:ascii="宋体" w:hAnsi="宋体" w:cs="宋体" w:eastAsia="宋体" w:hint="default"/>
                <w:sz w:val="18"/>
                <w:szCs w:val="18"/>
              </w:rPr>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before="9"/>
              <w:ind w:right="0"/>
              <w:jc w:val="left"/>
              <w:rPr>
                <w:rFonts w:ascii="宋体" w:hAnsi="宋体" w:cs="宋体" w:eastAsia="宋体" w:hint="default"/>
                <w:sz w:val="12"/>
                <w:szCs w:val="12"/>
              </w:rPr>
            </w:pPr>
          </w:p>
          <w:p>
            <w:pPr>
              <w:pStyle w:val="TableParagraph"/>
              <w:spacing w:line="316" w:lineRule="auto"/>
              <w:ind w:left="100" w:right="10"/>
              <w:jc w:val="both"/>
              <w:rPr>
                <w:rFonts w:ascii="宋体" w:hAnsi="宋体" w:cs="宋体" w:eastAsia="宋体" w:hint="default"/>
                <w:sz w:val="18"/>
                <w:szCs w:val="18"/>
              </w:rPr>
            </w:pPr>
            <w:r>
              <w:rPr>
                <w:rFonts w:ascii="宋体" w:hAnsi="宋体" w:cs="宋体" w:eastAsia="宋体" w:hint="default"/>
                <w:spacing w:val="44"/>
                <w:sz w:val="18"/>
                <w:szCs w:val="18"/>
              </w:rPr>
              <w:t>控股</w:t>
            </w:r>
            <w:r>
              <w:rPr>
                <w:rFonts w:ascii="宋体" w:hAnsi="宋体" w:cs="宋体" w:eastAsia="宋体" w:hint="default"/>
                <w:spacing w:val="-2"/>
                <w:sz w:val="18"/>
                <w:szCs w:val="18"/>
              </w:rPr>
              <w:t> </w:t>
            </w:r>
            <w:r>
              <w:rPr>
                <w:rFonts w:ascii="宋体" w:hAnsi="宋体" w:cs="宋体" w:eastAsia="宋体" w:hint="default"/>
                <w:spacing w:val="44"/>
                <w:sz w:val="18"/>
                <w:szCs w:val="18"/>
              </w:rPr>
              <w:t>子公</w:t>
            </w:r>
            <w:r>
              <w:rPr>
                <w:rFonts w:ascii="宋体" w:hAnsi="宋体" w:cs="宋体" w:eastAsia="宋体" w:hint="default"/>
                <w:spacing w:val="-2"/>
                <w:sz w:val="18"/>
                <w:szCs w:val="18"/>
              </w:rPr>
              <w:t> </w:t>
            </w:r>
            <w:r>
              <w:rPr>
                <w:rFonts w:ascii="宋体" w:hAnsi="宋体" w:cs="宋体" w:eastAsia="宋体" w:hint="default"/>
                <w:sz w:val="18"/>
                <w:szCs w:val="18"/>
              </w:rPr>
              <w:t>司</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10"/>
              <w:jc w:val="left"/>
              <w:rPr>
                <w:rFonts w:ascii="宋体" w:hAnsi="宋体" w:cs="宋体" w:eastAsia="宋体" w:hint="default"/>
                <w:sz w:val="18"/>
                <w:szCs w:val="18"/>
              </w:rPr>
            </w:pPr>
            <w:r>
              <w:rPr>
                <w:rFonts w:ascii="宋体" w:hAnsi="宋体" w:cs="宋体" w:eastAsia="宋体" w:hint="default"/>
                <w:spacing w:val="44"/>
                <w:sz w:val="18"/>
                <w:szCs w:val="18"/>
              </w:rPr>
              <w:t>齐齐</w:t>
            </w:r>
            <w:r>
              <w:rPr>
                <w:rFonts w:ascii="宋体" w:hAnsi="宋体" w:cs="宋体" w:eastAsia="宋体" w:hint="default"/>
                <w:spacing w:val="-2"/>
                <w:sz w:val="18"/>
                <w:szCs w:val="18"/>
              </w:rPr>
              <w:t> </w:t>
            </w:r>
            <w:r>
              <w:rPr>
                <w:rFonts w:ascii="宋体" w:hAnsi="宋体" w:cs="宋体" w:eastAsia="宋体" w:hint="default"/>
                <w:sz w:val="18"/>
                <w:szCs w:val="18"/>
              </w:rPr>
              <w:t>哈尔</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before="8"/>
              <w:ind w:right="0"/>
              <w:jc w:val="left"/>
              <w:rPr>
                <w:rFonts w:ascii="宋体" w:hAnsi="宋体" w:cs="宋体" w:eastAsia="宋体" w:hint="default"/>
                <w:sz w:val="24"/>
                <w:szCs w:val="24"/>
              </w:rPr>
            </w:pPr>
          </w:p>
          <w:p>
            <w:pPr>
              <w:pStyle w:val="TableParagraph"/>
              <w:spacing w:line="316" w:lineRule="auto"/>
              <w:ind w:left="100" w:right="10"/>
              <w:jc w:val="left"/>
              <w:rPr>
                <w:rFonts w:ascii="宋体" w:hAnsi="宋体" w:cs="宋体" w:eastAsia="宋体" w:hint="default"/>
                <w:sz w:val="18"/>
                <w:szCs w:val="18"/>
              </w:rPr>
            </w:pPr>
            <w:r>
              <w:rPr>
                <w:rFonts w:ascii="宋体" w:hAnsi="宋体" w:cs="宋体" w:eastAsia="宋体" w:hint="default"/>
                <w:spacing w:val="44"/>
                <w:sz w:val="18"/>
                <w:szCs w:val="18"/>
              </w:rPr>
              <w:t>生产</w:t>
            </w:r>
            <w:r>
              <w:rPr>
                <w:rFonts w:ascii="宋体" w:hAnsi="宋体" w:cs="宋体" w:eastAsia="宋体" w:hint="default"/>
                <w:spacing w:val="-2"/>
                <w:sz w:val="18"/>
                <w:szCs w:val="18"/>
              </w:rPr>
              <w:t> </w:t>
            </w:r>
            <w:r>
              <w:rPr>
                <w:rFonts w:ascii="宋体" w:hAnsi="宋体" w:cs="宋体" w:eastAsia="宋体" w:hint="default"/>
                <w:sz w:val="18"/>
                <w:szCs w:val="18"/>
              </w:rPr>
              <w:t>企业</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2,943</w:t>
            </w: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316" w:lineRule="auto" w:before="10"/>
              <w:ind w:left="100" w:right="12"/>
              <w:jc w:val="both"/>
              <w:rPr>
                <w:rFonts w:ascii="宋体" w:hAnsi="宋体" w:cs="宋体" w:eastAsia="宋体" w:hint="default"/>
                <w:sz w:val="18"/>
                <w:szCs w:val="18"/>
              </w:rPr>
            </w:pPr>
            <w:r>
              <w:rPr>
                <w:rFonts w:ascii="宋体" w:hAnsi="宋体" w:cs="宋体" w:eastAsia="宋体" w:hint="default"/>
                <w:spacing w:val="43"/>
                <w:sz w:val="18"/>
                <w:szCs w:val="18"/>
              </w:rPr>
              <w:t>复合</w:t>
            </w:r>
            <w:r>
              <w:rPr>
                <w:rFonts w:ascii="宋体" w:hAnsi="宋体" w:cs="宋体" w:eastAsia="宋体" w:hint="default"/>
                <w:spacing w:val="-3"/>
                <w:sz w:val="18"/>
                <w:szCs w:val="18"/>
              </w:rPr>
              <w:t> </w:t>
            </w:r>
            <w:r>
              <w:rPr>
                <w:rFonts w:ascii="宋体" w:hAnsi="宋体" w:cs="宋体" w:eastAsia="宋体" w:hint="default"/>
                <w:spacing w:val="43"/>
                <w:sz w:val="18"/>
                <w:szCs w:val="18"/>
              </w:rPr>
              <w:t>肥生</w:t>
            </w:r>
            <w:r>
              <w:rPr>
                <w:rFonts w:ascii="宋体" w:hAnsi="宋体" w:cs="宋体" w:eastAsia="宋体" w:hint="default"/>
                <w:spacing w:val="-3"/>
                <w:sz w:val="18"/>
                <w:szCs w:val="18"/>
              </w:rPr>
              <w:t> </w:t>
            </w:r>
            <w:r>
              <w:rPr>
                <w:rFonts w:ascii="宋体" w:hAnsi="宋体" w:cs="宋体" w:eastAsia="宋体" w:hint="default"/>
                <w:spacing w:val="43"/>
                <w:sz w:val="18"/>
                <w:szCs w:val="18"/>
              </w:rPr>
              <w:t>产、</w:t>
            </w:r>
            <w:r>
              <w:rPr>
                <w:rFonts w:ascii="宋体" w:hAnsi="宋体" w:cs="宋体" w:eastAsia="宋体" w:hint="default"/>
                <w:spacing w:val="-3"/>
                <w:sz w:val="18"/>
                <w:szCs w:val="18"/>
              </w:rPr>
              <w:t> </w:t>
            </w:r>
            <w:r>
              <w:rPr>
                <w:rFonts w:ascii="宋体" w:hAnsi="宋体" w:cs="宋体" w:eastAsia="宋体" w:hint="default"/>
                <w:sz w:val="18"/>
                <w:szCs w:val="18"/>
              </w:rPr>
              <w:t>销售</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1,903</w:t>
            </w:r>
          </w:p>
        </w:tc>
        <w:tc>
          <w:tcPr>
            <w:tcW w:w="664" w:type="dxa"/>
            <w:vMerge/>
            <w:tcBorders>
              <w:left w:val="single" w:sz="6" w:space="0" w:color="000000"/>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64.66</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42" w:right="0"/>
              <w:jc w:val="left"/>
              <w:rPr>
                <w:rFonts w:ascii="Times New Roman" w:hAnsi="Times New Roman" w:cs="Times New Roman" w:eastAsia="Times New Roman" w:hint="default"/>
                <w:sz w:val="18"/>
                <w:szCs w:val="18"/>
              </w:rPr>
            </w:pPr>
            <w:r>
              <w:rPr>
                <w:rFonts w:ascii="Times New Roman"/>
                <w:sz w:val="18"/>
              </w:rPr>
              <w:t>64.66</w:t>
            </w: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8"/>
                <w:szCs w:val="18"/>
              </w:rPr>
            </w:pPr>
          </w:p>
          <w:p>
            <w:pPr>
              <w:pStyle w:val="TableParagraph"/>
              <w:spacing w:line="240" w:lineRule="auto"/>
              <w:ind w:left="100"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65" w:type="dxa"/>
            <w:vMerge/>
            <w:tcBorders>
              <w:left w:val="single" w:sz="6" w:space="0" w:color="000000"/>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78" w:right="0"/>
              <w:jc w:val="left"/>
              <w:rPr>
                <w:rFonts w:ascii="Times New Roman" w:hAnsi="Times New Roman" w:cs="Times New Roman" w:eastAsia="Times New Roman" w:hint="default"/>
                <w:sz w:val="18"/>
                <w:szCs w:val="18"/>
              </w:rPr>
            </w:pPr>
            <w:r>
              <w:rPr>
                <w:rFonts w:ascii="Times New Roman"/>
                <w:sz w:val="18"/>
              </w:rPr>
              <w:t>410</w:t>
            </w:r>
          </w:p>
        </w:tc>
        <w:tc>
          <w:tcPr>
            <w:tcW w:w="664" w:type="dxa"/>
            <w:vMerge/>
            <w:tcBorders>
              <w:left w:val="single" w:sz="6" w:space="0" w:color="000000"/>
              <w:right w:val="single" w:sz="6" w:space="0" w:color="000000"/>
            </w:tcBorders>
          </w:tcPr>
          <w:p>
            <w:pPr/>
          </w:p>
        </w:tc>
      </w:tr>
      <w:tr>
        <w:trPr>
          <w:trHeight w:val="312" w:hRule="exact"/>
        </w:trPr>
        <w:tc>
          <w:tcPr>
            <w:tcW w:w="666"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pacing w:val="88"/>
                <w:sz w:val="18"/>
                <w:szCs w:val="18"/>
              </w:rPr>
              <w:t>有</w:t>
            </w:r>
            <w:r>
              <w:rPr>
                <w:rFonts w:ascii="宋体" w:hAnsi="宋体" w:cs="宋体" w:eastAsia="宋体" w:hint="default"/>
                <w:sz w:val="18"/>
                <w:szCs w:val="18"/>
              </w:rPr>
              <w:t>限</w:t>
            </w:r>
            <w:r>
              <w:rPr>
                <w:rFonts w:ascii="宋体" w:hAnsi="宋体" w:cs="宋体" w:eastAsia="宋体" w:hint="default"/>
                <w:spacing w:val="-2"/>
                <w:sz w:val="18"/>
                <w:szCs w:val="18"/>
              </w:rPr>
              <w:t> </w:t>
            </w:r>
            <w:r>
              <w:rPr>
                <w:rFonts w:ascii="宋体" w:hAnsi="宋体" w:cs="宋体" w:eastAsia="宋体" w:hint="default"/>
                <w:sz w:val="18"/>
                <w:szCs w:val="18"/>
              </w:rPr>
            </w: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c>
          <w:tcPr>
            <w:tcW w:w="665"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5" w:type="dxa"/>
            <w:vMerge/>
            <w:tcBorders>
              <w:left w:val="single" w:sz="6" w:space="0" w:color="000000"/>
              <w:right w:val="single" w:sz="6" w:space="0" w:color="000000"/>
            </w:tcBorders>
          </w:tcPr>
          <w:p>
            <w:pPr/>
          </w:p>
        </w:tc>
        <w:tc>
          <w:tcPr>
            <w:tcW w:w="664" w:type="dxa"/>
            <w:tcBorders>
              <w:top w:val="nil" w:sz="6" w:space="0" w:color="auto"/>
              <w:left w:val="single" w:sz="6" w:space="0" w:color="000000"/>
              <w:bottom w:val="nil" w:sz="6" w:space="0" w:color="auto"/>
              <w:right w:val="single" w:sz="6" w:space="0" w:color="000000"/>
            </w:tcBorders>
          </w:tcPr>
          <w:p>
            <w:pPr/>
          </w:p>
        </w:tc>
        <w:tc>
          <w:tcPr>
            <w:tcW w:w="664" w:type="dxa"/>
            <w:vMerge/>
            <w:tcBorders>
              <w:left w:val="single" w:sz="6" w:space="0" w:color="000000"/>
              <w:right w:val="single" w:sz="6" w:space="0" w:color="000000"/>
            </w:tcBorders>
          </w:tcPr>
          <w:p>
            <w:pPr/>
          </w:p>
        </w:tc>
      </w:tr>
      <w:tr>
        <w:trPr>
          <w:trHeight w:val="319" w:hRule="exact"/>
        </w:trPr>
        <w:tc>
          <w:tcPr>
            <w:tcW w:w="666" w:type="dxa"/>
            <w:tcBorders>
              <w:top w:val="nil" w:sz="6" w:space="0" w:color="auto"/>
              <w:left w:val="single" w:sz="6" w:space="0" w:color="000000"/>
              <w:bottom w:val="single" w:sz="6" w:space="0" w:color="000000"/>
              <w:right w:val="single" w:sz="6" w:space="0" w:color="000000"/>
            </w:tcBorders>
          </w:tcPr>
          <w:p>
            <w:pPr>
              <w:pStyle w:val="TableParagraph"/>
              <w:spacing w:line="240" w:lineRule="auto" w:before="10"/>
              <w:ind w:left="100" w:right="0"/>
              <w:jc w:val="left"/>
              <w:rPr>
                <w:rFonts w:ascii="宋体" w:hAnsi="宋体" w:cs="宋体" w:eastAsia="宋体" w:hint="default"/>
                <w:sz w:val="18"/>
                <w:szCs w:val="18"/>
              </w:rPr>
            </w:pPr>
            <w:r>
              <w:rPr>
                <w:rFonts w:ascii="宋体" w:hAnsi="宋体" w:cs="宋体" w:eastAsia="宋体" w:hint="default"/>
                <w:sz w:val="18"/>
                <w:szCs w:val="18"/>
              </w:rPr>
              <w:t>公司</w:t>
            </w:r>
          </w:p>
        </w:tc>
        <w:tc>
          <w:tcPr>
            <w:tcW w:w="665"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c>
          <w:tcPr>
            <w:tcW w:w="665"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5" w:type="dxa"/>
            <w:vMerge/>
            <w:tcBorders>
              <w:left w:val="single" w:sz="6" w:space="0" w:color="000000"/>
              <w:bottom w:val="single" w:sz="6" w:space="0" w:color="000000"/>
              <w:right w:val="single" w:sz="6" w:space="0" w:color="000000"/>
            </w:tcBorders>
          </w:tcPr>
          <w:p>
            <w:pPr/>
          </w:p>
        </w:tc>
        <w:tc>
          <w:tcPr>
            <w:tcW w:w="664" w:type="dxa"/>
            <w:tcBorders>
              <w:top w:val="nil" w:sz="6" w:space="0" w:color="auto"/>
              <w:left w:val="single" w:sz="6" w:space="0" w:color="000000"/>
              <w:bottom w:val="single" w:sz="6" w:space="0" w:color="000000"/>
              <w:right w:val="single" w:sz="6" w:space="0" w:color="000000"/>
            </w:tcBorders>
          </w:tcPr>
          <w:p>
            <w:pPr/>
          </w:p>
        </w:tc>
        <w:tc>
          <w:tcPr>
            <w:tcW w:w="664" w:type="dxa"/>
            <w:vMerge/>
            <w:tcBorders>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w:t>
      </w:r>
      <w:r>
        <w:rPr/>
        <w:t>七</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合并财务报表项目注释</w:t>
      </w:r>
    </w:p>
    <w:p>
      <w:pPr>
        <w:pStyle w:val="BodyText"/>
        <w:spacing w:line="240" w:lineRule="auto" w:before="83"/>
        <w:ind w:left="139" w:right="-18"/>
        <w:jc w:val="left"/>
      </w:pPr>
      <w:r>
        <w:rPr>
          <w:rFonts w:ascii="Times New Roman" w:hAnsi="Times New Roman" w:cs="Times New Roman" w:eastAsia="Times New Roman" w:hint="default"/>
        </w:rPr>
        <w:t>1</w:t>
      </w:r>
      <w:r>
        <w:rPr/>
        <w:t>、 货币资金</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139" w:right="0"/>
        <w:jc w:val="left"/>
      </w:pPr>
      <w:r>
        <w:rPr/>
        <w:t>单位：元</w:t>
      </w:r>
    </w:p>
    <w:p>
      <w:pPr>
        <w:spacing w:after="0" w:line="240" w:lineRule="auto"/>
        <w:jc w:val="left"/>
        <w:sectPr>
          <w:type w:val="continuous"/>
          <w:pgSz w:w="11910" w:h="16840"/>
          <w:pgMar w:top="1600" w:bottom="280" w:left="1660" w:right="680"/>
          <w:cols w:num="2" w:equalWidth="0">
            <w:col w:w="2695" w:space="4771"/>
            <w:col w:w="2104"/>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438"/>
        <w:gridCol w:w="2831"/>
        <w:gridCol w:w="3031"/>
      </w:tblGrid>
      <w:tr>
        <w:trPr>
          <w:trHeight w:val="326" w:hRule="exact"/>
        </w:trPr>
        <w:tc>
          <w:tcPr>
            <w:tcW w:w="3438"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438" w:type="dxa"/>
            <w:vMerge/>
            <w:tcBorders>
              <w:left w:val="single" w:sz="6" w:space="0" w:color="000000"/>
              <w:bottom w:val="single" w:sz="6" w:space="0" w:color="000000"/>
              <w:right w:val="single" w:sz="6" w:space="0" w:color="000000"/>
            </w:tcBorders>
          </w:tcPr>
          <w:p>
            <w:pP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83" w:right="0"/>
              <w:jc w:val="left"/>
              <w:rPr>
                <w:rFonts w:ascii="宋体" w:hAnsi="宋体" w:cs="宋体" w:eastAsia="宋体" w:hint="default"/>
                <w:sz w:val="21"/>
                <w:szCs w:val="21"/>
              </w:rPr>
            </w:pPr>
            <w:r>
              <w:rPr>
                <w:rFonts w:ascii="宋体" w:hAnsi="宋体" w:cs="宋体" w:eastAsia="宋体" w:hint="default"/>
                <w:sz w:val="21"/>
                <w:szCs w:val="21"/>
              </w:rPr>
              <w:t>人民币金额</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4" w:right="0"/>
              <w:jc w:val="left"/>
              <w:rPr>
                <w:rFonts w:ascii="宋体" w:hAnsi="宋体" w:cs="宋体" w:eastAsia="宋体" w:hint="default"/>
                <w:sz w:val="21"/>
                <w:szCs w:val="21"/>
              </w:rPr>
            </w:pPr>
            <w:r>
              <w:rPr>
                <w:rFonts w:ascii="宋体" w:hAnsi="宋体" w:cs="宋体" w:eastAsia="宋体" w:hint="default"/>
                <w:sz w:val="21"/>
                <w:szCs w:val="21"/>
              </w:rPr>
              <w:t>人民币金额</w:t>
            </w:r>
          </w:p>
        </w:tc>
      </w:tr>
      <w:tr>
        <w:trPr>
          <w:trHeight w:val="326"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84,960.62</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13,255.50</w:t>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84,960.62</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13,255.50</w:t>
            </w:r>
          </w:p>
        </w:tc>
      </w:tr>
      <w:tr>
        <w:trPr>
          <w:trHeight w:val="326"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银行存款：</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91,483,186.07</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107,345,878.06</w:t>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91,483,186.07</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107,345,878.06</w:t>
            </w:r>
          </w:p>
        </w:tc>
      </w:tr>
      <w:tr>
        <w:trPr>
          <w:trHeight w:val="326"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其他货币资金：</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166,046,926.67</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132,061,407.46</w:t>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166,046,926.67</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132,061,407.46</w:t>
            </w:r>
          </w:p>
        </w:tc>
      </w:tr>
      <w:tr>
        <w:trPr>
          <w:trHeight w:val="328" w:hRule="exact"/>
        </w:trPr>
        <w:tc>
          <w:tcPr>
            <w:tcW w:w="343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8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257,615,073.36</w:t>
            </w:r>
          </w:p>
        </w:tc>
        <w:tc>
          <w:tcPr>
            <w:tcW w:w="303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239,420,541.02</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type w:val="continuous"/>
          <w:pgSz w:w="11910" w:h="16840"/>
          <w:pgMar w:top="1600" w:bottom="280" w:left="1660" w:right="680"/>
        </w:sectPr>
      </w:pPr>
    </w:p>
    <w:p>
      <w:pPr>
        <w:pStyle w:val="BodyText"/>
        <w:spacing w:line="240" w:lineRule="auto" w:before="35"/>
        <w:ind w:right="-17"/>
        <w:jc w:val="left"/>
      </w:pPr>
      <w:r>
        <w:rPr>
          <w:rFonts w:ascii="Times New Roman" w:hAnsi="Times New Roman" w:cs="Times New Roman" w:eastAsia="Times New Roman" w:hint="default"/>
        </w:rPr>
        <w:t>2</w:t>
      </w:r>
      <w:r>
        <w:rPr/>
        <w:t>、 应收票据：</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应收票据分类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750" w:space="435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38,001,125.00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6,427,320.00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38,001,125.00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6,427,320.00</w:t>
            </w:r>
          </w:p>
        </w:tc>
      </w:tr>
    </w:tbl>
    <w:p>
      <w:pPr>
        <w:spacing w:line="240" w:lineRule="auto" w:before="5"/>
        <w:rPr>
          <w:rFonts w:ascii="宋体" w:hAnsi="宋体" w:cs="宋体" w:eastAsia="宋体" w:hint="default"/>
          <w:sz w:val="22"/>
          <w:szCs w:val="22"/>
        </w:rPr>
      </w:pPr>
    </w:p>
    <w:p>
      <w:pPr>
        <w:pStyle w:val="BodyText"/>
        <w:spacing w:line="309" w:lineRule="auto" w:before="35"/>
        <w:ind w:right="1100"/>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27"/>
        </w:rPr>
        <w:t> </w:t>
      </w:r>
      <w:r>
        <w:rPr/>
        <w:t>因出票人无力履约而将票据转为应收账款的票据，以及期末公司已经背书给他方但尚未</w:t>
      </w:r>
      <w:r>
        <w:rPr>
          <w:w w:val="99"/>
        </w:rPr>
        <w:t> </w:t>
      </w:r>
      <w:r>
        <w:rPr/>
        <w:t>到期的票据情况</w:t>
      </w:r>
    </w:p>
    <w:p>
      <w:pPr>
        <w:pStyle w:val="BodyText"/>
        <w:spacing w:line="240" w:lineRule="auto" w:before="7"/>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出票单位</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出票日期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到期日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8" w:hRule="exact"/>
        </w:trPr>
        <w:tc>
          <w:tcPr>
            <w:tcW w:w="9300" w:type="dxa"/>
            <w:gridSpan w:val="5"/>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公司已经背书给其他方但尚未到期的票据</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吉林鑫达钢</w:t>
            </w:r>
            <w:r>
              <w:rPr>
                <w:rFonts w:ascii="宋体" w:hAnsi="宋体" w:cs="宋体" w:eastAsia="宋体" w:hint="default"/>
                <w:spacing w:val="-74"/>
                <w:sz w:val="21"/>
                <w:szCs w:val="21"/>
              </w:rPr>
              <w:t> </w:t>
            </w:r>
            <w:r>
              <w:rPr>
                <w:rFonts w:ascii="宋体" w:hAnsi="宋体" w:cs="宋体" w:eastAsia="宋体" w:hint="default"/>
                <w:spacing w:val="14"/>
                <w:sz w:val="21"/>
                <w:szCs w:val="21"/>
              </w:rPr>
              <w:t>铁有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26"/>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吉林鑫达钢</w:t>
            </w:r>
            <w:r>
              <w:rPr>
                <w:rFonts w:ascii="宋体" w:hAnsi="宋体" w:cs="宋体" w:eastAsia="宋体" w:hint="default"/>
                <w:spacing w:val="-74"/>
                <w:sz w:val="21"/>
                <w:szCs w:val="21"/>
              </w:rPr>
              <w:t> </w:t>
            </w:r>
            <w:r>
              <w:rPr>
                <w:rFonts w:ascii="宋体" w:hAnsi="宋体" w:cs="宋体" w:eastAsia="宋体" w:hint="default"/>
                <w:spacing w:val="14"/>
                <w:sz w:val="21"/>
                <w:szCs w:val="21"/>
              </w:rPr>
              <w:t>铁有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吉林鑫达钢</w:t>
            </w:r>
            <w:r>
              <w:rPr>
                <w:rFonts w:ascii="宋体" w:hAnsi="宋体" w:cs="宋体" w:eastAsia="宋体" w:hint="default"/>
                <w:spacing w:val="-74"/>
                <w:sz w:val="21"/>
                <w:szCs w:val="21"/>
              </w:rPr>
              <w:t> </w:t>
            </w:r>
            <w:r>
              <w:rPr>
                <w:rFonts w:ascii="宋体" w:hAnsi="宋体" w:cs="宋体" w:eastAsia="宋体" w:hint="default"/>
                <w:spacing w:val="14"/>
                <w:sz w:val="21"/>
                <w:szCs w:val="21"/>
              </w:rPr>
              <w:t>铁有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12  </w:t>
            </w:r>
            <w:r>
              <w:rPr>
                <w:rFonts w:ascii="宋体" w:hAnsi="宋体" w:cs="宋体" w:eastAsia="宋体" w:hint="default"/>
                <w:sz w:val="21"/>
                <w:szCs w:val="21"/>
              </w:rPr>
              <w:t>月</w:t>
            </w:r>
            <w:r>
              <w:rPr>
                <w:rFonts w:ascii="宋体" w:hAnsi="宋体" w:cs="宋体" w:eastAsia="宋体" w:hint="default"/>
                <w:spacing w:val="-41"/>
                <w:sz w:val="21"/>
                <w:szCs w:val="21"/>
              </w:rPr>
              <w:t> </w:t>
            </w:r>
            <w:r>
              <w:rPr>
                <w:rFonts w:ascii="Times New Roman" w:hAnsi="Times New Roman" w:cs="Times New Roman" w:eastAsia="Times New Roman" w:hint="default"/>
                <w:sz w:val="21"/>
                <w:szCs w:val="21"/>
              </w:rPr>
              <w:t>30</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21"/>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30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辽阳钢铁有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26"/>
              <w:jc w:val="center"/>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辽阳钢铁有</w:t>
            </w:r>
            <w:r>
              <w:rPr>
                <w:rFonts w:ascii="宋体" w:hAnsi="宋体" w:cs="宋体" w:eastAsia="宋体" w:hint="default"/>
                <w:spacing w:val="-74"/>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3"/>
              <w:jc w:val="center"/>
              <w:rPr>
                <w:rFonts w:ascii="宋体" w:hAnsi="宋体" w:cs="宋体" w:eastAsia="宋体" w:hint="default"/>
                <w:sz w:val="21"/>
                <w:szCs w:val="21"/>
              </w:rPr>
            </w:pPr>
            <w:r>
              <w:rPr>
                <w:rFonts w:ascii="Times New Roman" w:hAnsi="Times New Roman" w:cs="Times New Roman" w:eastAsia="Times New Roman" w:hint="default"/>
                <w:sz w:val="21"/>
                <w:szCs w:val="21"/>
              </w:rPr>
              <w:t>2010</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w:t>
            </w:r>
            <w:r>
              <w:rPr>
                <w:rFonts w:ascii="Times New Roman" w:hAnsi="Times New Roman" w:cs="Times New Roman" w:eastAsia="Times New Roman" w:hint="default"/>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6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 </w:t>
            </w:r>
            <w:r>
              <w:rPr>
                <w:rFonts w:ascii="宋体" w:hAnsi="宋体" w:cs="宋体" w:eastAsia="宋体" w:hint="default"/>
                <w:sz w:val="21"/>
                <w:szCs w:val="21"/>
              </w:rPr>
              <w:t>日</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10,000,000.00</w:t>
            </w:r>
          </w:p>
        </w:tc>
        <w:tc>
          <w:tcPr>
            <w:tcW w:w="186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6"/>
        <w:jc w:val="left"/>
        <w:rPr>
          <w:rFonts w:ascii="Times New Roman" w:hAnsi="Times New Roman" w:cs="Times New Roman" w:eastAsia="Times New Roman" w:hint="default"/>
        </w:rPr>
      </w:pPr>
      <w:r>
        <w:rPr>
          <w:rFonts w:ascii="Times New Roman" w:hAnsi="Times New Roman" w:cs="Times New Roman" w:eastAsia="Times New Roman" w:hint="default"/>
        </w:rPr>
        <w:t>3</w:t>
      </w:r>
      <w:r>
        <w:rPr/>
        <w:t>、 应收账款</w:t>
      </w:r>
      <w:r>
        <w:rPr>
          <w:rFonts w:ascii="Times New Roman" w:hAnsi="Times New Roman" w:cs="Times New Roman" w:eastAsia="Times New Roman" w:hint="default"/>
        </w:rPr>
        <w:t>:</w:t>
      </w:r>
    </w:p>
    <w:p>
      <w:pPr>
        <w:pStyle w:val="BodyText"/>
        <w:spacing w:line="240" w:lineRule="auto" w:before="83"/>
        <w:ind w:left="139"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590" w:space="351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28"/>
        <w:gridCol w:w="1529"/>
        <w:gridCol w:w="689"/>
        <w:gridCol w:w="1424"/>
        <w:gridCol w:w="794"/>
        <w:gridCol w:w="1529"/>
        <w:gridCol w:w="689"/>
        <w:gridCol w:w="1424"/>
        <w:gridCol w:w="793"/>
      </w:tblGrid>
      <w:tr>
        <w:trPr>
          <w:trHeight w:val="328" w:hRule="exact"/>
        </w:trPr>
        <w:tc>
          <w:tcPr>
            <w:tcW w:w="42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3" w:lineRule="auto"/>
              <w:ind w:left="102" w:right="101"/>
              <w:jc w:val="left"/>
              <w:rPr>
                <w:rFonts w:ascii="宋体" w:hAnsi="宋体" w:cs="宋体" w:eastAsia="宋体" w:hint="default"/>
                <w:sz w:val="21"/>
                <w:szCs w:val="21"/>
              </w:rPr>
            </w:pPr>
            <w:r>
              <w:rPr>
                <w:rFonts w:ascii="宋体" w:hAnsi="宋体" w:cs="宋体" w:eastAsia="宋体" w:hint="default"/>
                <w:sz w:val="21"/>
                <w:szCs w:val="21"/>
              </w:rPr>
              <w:t>种 类</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428"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40" w:hRule="exact"/>
        </w:trPr>
        <w:tc>
          <w:tcPr>
            <w:tcW w:w="428"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625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3" w:lineRule="auto" w:before="37"/>
              <w:ind w:left="100" w:right="101"/>
              <w:jc w:val="both"/>
              <w:rPr>
                <w:rFonts w:ascii="宋体" w:hAnsi="宋体" w:cs="宋体" w:eastAsia="宋体" w:hint="default"/>
                <w:sz w:val="21"/>
                <w:szCs w:val="21"/>
              </w:rPr>
            </w:pPr>
            <w:r>
              <w:rPr>
                <w:rFonts w:ascii="宋体" w:hAnsi="宋体" w:cs="宋体" w:eastAsia="宋体" w:hint="default"/>
                <w:sz w:val="21"/>
                <w:szCs w:val="21"/>
              </w:rPr>
              <w:t>项 金 额 重 大 并 单 项 计 提 坏 账 准 备 的 应 收 账 款</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39,271,519.83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39,271,519.83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45,288,532.18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17.98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45,288,532.18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9"/>
                <w:szCs w:val="29"/>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100.00</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57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账</w:t>
            </w:r>
          </w:p>
          <w:p>
            <w:pPr>
              <w:pStyle w:val="TableParagraph"/>
              <w:spacing w:line="273" w:lineRule="auto" w:before="37"/>
              <w:ind w:left="100" w:right="101"/>
              <w:jc w:val="both"/>
              <w:rPr>
                <w:rFonts w:ascii="宋体" w:hAnsi="宋体" w:cs="宋体" w:eastAsia="宋体" w:hint="default"/>
                <w:sz w:val="21"/>
                <w:szCs w:val="21"/>
              </w:rPr>
            </w:pPr>
            <w:r>
              <w:rPr>
                <w:rFonts w:ascii="宋体" w:hAnsi="宋体" w:cs="宋体" w:eastAsia="宋体" w:hint="default"/>
                <w:sz w:val="21"/>
                <w:szCs w:val="21"/>
              </w:rPr>
              <w:t>龄 分 析 法</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177,926,225.54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81.92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22,607,378.28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12.71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206,615,923.64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82.02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22,758,305.03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2"/>
                <w:sz w:val="21"/>
              </w:rPr>
              <w:t>11.01</w:t>
            </w:r>
          </w:p>
        </w:tc>
      </w:tr>
      <w:tr>
        <w:trPr>
          <w:trHeight w:val="126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73" w:lineRule="auto" w:before="37"/>
              <w:ind w:left="100" w:right="101"/>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177,926,225.54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81.92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22,607,378.28</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12.71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206,615,923.64</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82.02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22,758,305.03</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11.01</w:t>
            </w:r>
          </w:p>
        </w:tc>
      </w:tr>
      <w:tr>
        <w:trPr>
          <w:trHeight w:val="64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217,197,745.37</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9" w:right="0"/>
              <w:jc w:val="center"/>
              <w:rPr>
                <w:rFonts w:ascii="Times New Roman" w:hAnsi="Times New Roman" w:cs="Times New Roman" w:eastAsia="Times New Roman" w:hint="default"/>
                <w:sz w:val="21"/>
                <w:szCs w:val="21"/>
              </w:rPr>
            </w:pPr>
            <w:r>
              <w:rPr>
                <w:rFonts w:ascii="Times New Roman"/>
                <w:sz w:val="21"/>
              </w:rPr>
              <w:t>61,878,898.11</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251,904,455.82</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68,046,837.21</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bl>
    <w:p>
      <w:pPr>
        <w:spacing w:after="0" w:line="240" w:lineRule="auto"/>
        <w:jc w:val="center"/>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4"/>
          <w:szCs w:val="24"/>
        </w:rPr>
      </w:pPr>
    </w:p>
    <w:p>
      <w:pPr>
        <w:pStyle w:val="BodyText"/>
        <w:spacing w:line="240" w:lineRule="auto" w:before="35"/>
        <w:ind w:right="999"/>
        <w:jc w:val="left"/>
      </w:pPr>
      <w:r>
        <w:rPr/>
        <w:t>单项金额重大并单项计提坏帐准备的应收账款</w:t>
      </w:r>
    </w:p>
    <w:p>
      <w:pPr>
        <w:pStyle w:val="BodyText"/>
        <w:spacing w:line="240" w:lineRule="auto" w:before="37"/>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18,608,595.62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18,608,595.62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齐市重型机</w:t>
            </w:r>
            <w:r>
              <w:rPr>
                <w:rFonts w:ascii="宋体" w:hAnsi="宋体" w:cs="宋体" w:eastAsia="宋体" w:hint="default"/>
                <w:spacing w:val="-74"/>
                <w:sz w:val="21"/>
                <w:szCs w:val="21"/>
              </w:rPr>
              <w:t> </w:t>
            </w:r>
            <w:r>
              <w:rPr>
                <w:rFonts w:ascii="宋体" w:hAnsi="宋体" w:cs="宋体" w:eastAsia="宋体" w:hint="default"/>
                <w:spacing w:val="14"/>
                <w:sz w:val="21"/>
                <w:szCs w:val="21"/>
              </w:rPr>
              <w:t>械集</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1,045,309.11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1,045,309.11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黑龙江齐化</w:t>
            </w:r>
            <w:r>
              <w:rPr>
                <w:rFonts w:ascii="宋体" w:hAnsi="宋体" w:cs="宋体" w:eastAsia="宋体" w:hint="default"/>
                <w:spacing w:val="-74"/>
                <w:sz w:val="21"/>
                <w:szCs w:val="21"/>
              </w:rPr>
              <w:t> </w:t>
            </w:r>
            <w:r>
              <w:rPr>
                <w:rFonts w:ascii="宋体" w:hAnsi="宋体" w:cs="宋体" w:eastAsia="宋体" w:hint="default"/>
                <w:spacing w:val="14"/>
                <w:sz w:val="21"/>
                <w:szCs w:val="21"/>
              </w:rPr>
              <w:t>化工</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3,798,610.07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3,798,610.07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齐市福来得</w:t>
            </w:r>
            <w:r>
              <w:rPr>
                <w:rFonts w:ascii="宋体" w:hAnsi="宋体" w:cs="宋体" w:eastAsia="宋体" w:hint="default"/>
                <w:spacing w:val="-74"/>
                <w:sz w:val="21"/>
                <w:szCs w:val="21"/>
              </w:rPr>
              <w:t> </w:t>
            </w:r>
            <w:r>
              <w:rPr>
                <w:rFonts w:ascii="宋体" w:hAnsi="宋体" w:cs="宋体" w:eastAsia="宋体" w:hint="default"/>
                <w:spacing w:val="14"/>
                <w:sz w:val="21"/>
                <w:szCs w:val="21"/>
              </w:rPr>
              <w:t>电力</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机械公司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北京欣达利</w:t>
            </w:r>
            <w:r>
              <w:rPr>
                <w:rFonts w:ascii="宋体" w:hAnsi="宋体" w:cs="宋体" w:eastAsia="宋体" w:hint="default"/>
                <w:spacing w:val="-74"/>
                <w:sz w:val="21"/>
                <w:szCs w:val="21"/>
              </w:rPr>
              <w:t> </w:t>
            </w:r>
            <w:r>
              <w:rPr>
                <w:rFonts w:ascii="宋体" w:hAnsi="宋体" w:cs="宋体" w:eastAsia="宋体" w:hint="default"/>
                <w:spacing w:val="14"/>
                <w:sz w:val="21"/>
                <w:szCs w:val="21"/>
              </w:rPr>
              <w:t>工贸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阿城市小岭</w:t>
            </w:r>
            <w:r>
              <w:rPr>
                <w:rFonts w:ascii="宋体" w:hAnsi="宋体" w:cs="宋体" w:eastAsia="宋体" w:hint="default"/>
                <w:spacing w:val="-74"/>
                <w:sz w:val="21"/>
                <w:szCs w:val="21"/>
              </w:rPr>
              <w:t> </w:t>
            </w:r>
            <w:r>
              <w:rPr>
                <w:rFonts w:ascii="宋体" w:hAnsi="宋体" w:cs="宋体" w:eastAsia="宋体" w:hint="default"/>
                <w:spacing w:val="14"/>
                <w:sz w:val="21"/>
                <w:szCs w:val="21"/>
              </w:rPr>
              <w:t>钢铁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1,514,693.63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1,514,693.63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牡丹江化工一厂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辽原市恒汇</w:t>
            </w:r>
            <w:r>
              <w:rPr>
                <w:rFonts w:ascii="宋体" w:hAnsi="宋体" w:cs="宋体" w:eastAsia="宋体" w:hint="default"/>
                <w:spacing w:val="-74"/>
                <w:sz w:val="21"/>
                <w:szCs w:val="21"/>
              </w:rPr>
              <w:t> </w:t>
            </w:r>
            <w:r>
              <w:rPr>
                <w:rFonts w:ascii="宋体" w:hAnsi="宋体" w:cs="宋体" w:eastAsia="宋体" w:hint="default"/>
                <w:spacing w:val="14"/>
                <w:sz w:val="21"/>
                <w:szCs w:val="21"/>
              </w:rPr>
              <w:t>工贸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抚顺新钢铁</w:t>
            </w:r>
            <w:r>
              <w:rPr>
                <w:rFonts w:ascii="宋体" w:hAnsi="宋体" w:cs="宋体" w:eastAsia="宋体" w:hint="default"/>
                <w:spacing w:val="-74"/>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5,016,700.69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5,016,700.69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齐齐哈尔富</w:t>
            </w:r>
            <w:r>
              <w:rPr>
                <w:rFonts w:ascii="宋体" w:hAnsi="宋体" w:cs="宋体" w:eastAsia="宋体" w:hint="default"/>
                <w:spacing w:val="-74"/>
                <w:sz w:val="21"/>
                <w:szCs w:val="21"/>
              </w:rPr>
              <w:t> </w:t>
            </w:r>
            <w:r>
              <w:rPr>
                <w:rFonts w:ascii="宋体" w:hAnsi="宋体" w:cs="宋体" w:eastAsia="宋体" w:hint="default"/>
                <w:spacing w:val="14"/>
                <w:sz w:val="21"/>
                <w:szCs w:val="21"/>
              </w:rPr>
              <w:t>龙化</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1,021,943.32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1,021,943.32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39,271,520.03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39,271,520.03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999"/>
        <w:jc w:val="left"/>
      </w:pPr>
      <w:r>
        <w:rPr/>
        <w:t>组合中，按账龄分析法计提坏账准备的应收账款：</w:t>
      </w:r>
    </w:p>
    <w:p>
      <w:pPr>
        <w:pStyle w:val="BodyText"/>
        <w:spacing w:line="240" w:lineRule="auto" w:before="37"/>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58"/>
        <w:gridCol w:w="1530"/>
        <w:gridCol w:w="1250"/>
        <w:gridCol w:w="1424"/>
        <w:gridCol w:w="1529"/>
        <w:gridCol w:w="985"/>
        <w:gridCol w:w="1423"/>
      </w:tblGrid>
      <w:tr>
        <w:trPr>
          <w:trHeight w:val="328" w:hRule="exact"/>
        </w:trPr>
        <w:tc>
          <w:tcPr>
            <w:tcW w:w="115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61"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05"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3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1158" w:type="dxa"/>
            <w:vMerge/>
            <w:tcBorders>
              <w:left w:val="single" w:sz="6" w:space="0" w:color="000000"/>
              <w:right w:val="single" w:sz="6" w:space="0" w:color="000000"/>
            </w:tcBorders>
          </w:tcPr>
          <w:p>
            <w:pPr/>
          </w:p>
        </w:tc>
        <w:tc>
          <w:tcPr>
            <w:tcW w:w="278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1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9"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8" w:hRule="exact"/>
        </w:trPr>
        <w:tc>
          <w:tcPr>
            <w:tcW w:w="1158"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5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16"/>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3" w:type="dxa"/>
            <w:vMerge/>
            <w:tcBorders>
              <w:left w:val="single" w:sz="6" w:space="0" w:color="000000"/>
              <w:bottom w:val="single" w:sz="6" w:space="0" w:color="000000"/>
              <w:right w:val="single" w:sz="6" w:space="0" w:color="000000"/>
            </w:tcBorders>
          </w:tcPr>
          <w:p>
            <w:pPr/>
          </w:p>
        </w:tc>
      </w:tr>
      <w:tr>
        <w:trPr>
          <w:trHeight w:val="326"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30" w:type="dxa"/>
            <w:tcBorders>
              <w:top w:val="single" w:sz="6" w:space="0" w:color="000000"/>
              <w:left w:val="single" w:sz="6" w:space="0" w:color="000000"/>
              <w:bottom w:val="single" w:sz="6" w:space="0" w:color="000000"/>
              <w:right w:val="single" w:sz="6" w:space="0" w:color="000000"/>
            </w:tcBorders>
          </w:tcPr>
          <w:p>
            <w:pPr/>
          </w:p>
        </w:tc>
        <w:tc>
          <w:tcPr>
            <w:tcW w:w="1250"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985"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4"/>
                <w:sz w:val="21"/>
                <w:szCs w:val="21"/>
              </w:rPr>
              <w:t> </w:t>
            </w:r>
            <w:r>
              <w:rPr>
                <w:rFonts w:ascii="宋体" w:hAnsi="宋体" w:cs="宋体" w:eastAsia="宋体" w:hint="default"/>
                <w:spacing w:val="22"/>
                <w:sz w:val="21"/>
                <w:szCs w:val="21"/>
              </w:rPr>
              <w:t>年以内</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154,923,462.60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87.08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7,746,173.12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169,193,538.34</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81.89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8,459,676.94</w:t>
            </w:r>
          </w:p>
        </w:tc>
      </w:tr>
      <w:tr>
        <w:trPr>
          <w:trHeight w:val="640"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4"/>
                <w:sz w:val="21"/>
                <w:szCs w:val="21"/>
              </w:rPr>
              <w:t> </w:t>
            </w:r>
            <w:r>
              <w:rPr>
                <w:rFonts w:ascii="宋体" w:hAnsi="宋体" w:cs="宋体" w:eastAsia="宋体" w:hint="default"/>
                <w:spacing w:val="22"/>
                <w:sz w:val="21"/>
                <w:szCs w:val="21"/>
              </w:rPr>
              <w:t>年以内</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154,923,462.60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87.08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7,746,173.12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169,193,538.34</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81.89</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8,459,676.94</w:t>
            </w:r>
          </w:p>
        </w:tc>
      </w:tr>
      <w:tr>
        <w:trPr>
          <w:trHeight w:val="326"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1,765,836.32</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0.99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88,291.82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8,351,333.94</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4.04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417,566.68</w:t>
            </w:r>
            <w:r>
              <w:rPr>
                <w:rFonts w:ascii="Times New Roman"/>
                <w:sz w:val="21"/>
              </w:rPr>
            </w:r>
          </w:p>
        </w:tc>
      </w:tr>
      <w:tr>
        <w:trPr>
          <w:trHeight w:val="32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6,804,224.50</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340,211.22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7,029,950.64</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351,497.53</w:t>
            </w:r>
            <w:r>
              <w:rPr>
                <w:rFonts w:ascii="Times New Roman"/>
                <w:sz w:val="21"/>
              </w:rPr>
            </w:r>
          </w:p>
        </w:tc>
      </w:tr>
      <w:tr>
        <w:trPr>
          <w:trHeight w:val="326"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14,432,702.12</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w w:val="95"/>
                <w:sz w:val="21"/>
              </w:rPr>
              <w:t>8.11</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14,432,702.12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22,041,100.72</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10.67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13,529,563.88</w:t>
            </w:r>
          </w:p>
        </w:tc>
      </w:tr>
      <w:tr>
        <w:trPr>
          <w:trHeight w:val="328" w:hRule="exact"/>
        </w:trPr>
        <w:tc>
          <w:tcPr>
            <w:tcW w:w="11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6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177,926,225.54</w:t>
            </w:r>
          </w:p>
        </w:tc>
        <w:tc>
          <w:tcPr>
            <w:tcW w:w="12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22,607,378.28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206,615,923.64</w:t>
            </w:r>
          </w:p>
        </w:tc>
        <w:tc>
          <w:tcPr>
            <w:tcW w:w="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22,758,305.03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本期转回或收回情况</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95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62" w:right="136" w:hanging="525"/>
              <w:jc w:val="left"/>
              <w:rPr>
                <w:rFonts w:ascii="宋体" w:hAnsi="宋体" w:cs="宋体" w:eastAsia="宋体" w:hint="default"/>
                <w:sz w:val="21"/>
                <w:szCs w:val="21"/>
              </w:rPr>
            </w:pPr>
            <w:r>
              <w:rPr>
                <w:rFonts w:ascii="宋体" w:hAnsi="宋体" w:cs="宋体" w:eastAsia="宋体" w:hint="default"/>
                <w:sz w:val="21"/>
                <w:szCs w:val="21"/>
              </w:rPr>
              <w:t>转回或收回原 因</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47" w:right="134" w:hanging="210"/>
              <w:jc w:val="left"/>
              <w:rPr>
                <w:rFonts w:ascii="宋体" w:hAnsi="宋体" w:cs="宋体" w:eastAsia="宋体" w:hint="default"/>
                <w:sz w:val="21"/>
                <w:szCs w:val="21"/>
              </w:rPr>
            </w:pPr>
            <w:r>
              <w:rPr>
                <w:rFonts w:ascii="宋体" w:hAnsi="宋体" w:cs="宋体" w:eastAsia="宋体" w:hint="default"/>
                <w:sz w:val="21"/>
                <w:szCs w:val="21"/>
              </w:rPr>
              <w:t>确定原坏账准 备的依据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7" w:right="0"/>
              <w:jc w:val="left"/>
              <w:rPr>
                <w:rFonts w:ascii="宋体" w:hAnsi="宋体" w:cs="宋体" w:eastAsia="宋体" w:hint="default"/>
                <w:sz w:val="21"/>
                <w:szCs w:val="21"/>
              </w:rPr>
            </w:pPr>
            <w:r>
              <w:rPr>
                <w:rFonts w:ascii="宋体" w:hAnsi="宋体" w:cs="宋体" w:eastAsia="宋体" w:hint="default"/>
                <w:sz w:val="21"/>
                <w:szCs w:val="21"/>
              </w:rPr>
              <w:t>转回或收回前</w:t>
            </w:r>
          </w:p>
          <w:p>
            <w:pPr>
              <w:pStyle w:val="TableParagraph"/>
              <w:spacing w:line="273" w:lineRule="auto" w:before="37"/>
              <w:ind w:left="242" w:right="136" w:hanging="105"/>
              <w:jc w:val="left"/>
              <w:rPr>
                <w:rFonts w:ascii="宋体" w:hAnsi="宋体" w:cs="宋体" w:eastAsia="宋体" w:hint="default"/>
                <w:sz w:val="21"/>
                <w:szCs w:val="21"/>
              </w:rPr>
            </w:pPr>
            <w:r>
              <w:rPr>
                <w:rFonts w:ascii="宋体" w:hAnsi="宋体" w:cs="宋体" w:eastAsia="宋体" w:hint="default"/>
                <w:sz w:val="21"/>
                <w:szCs w:val="21"/>
              </w:rPr>
              <w:t>累计已计提坏 账准备金额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收回金额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57" w:right="134" w:hanging="420"/>
              <w:jc w:val="left"/>
              <w:rPr>
                <w:rFonts w:ascii="宋体" w:hAnsi="宋体" w:cs="宋体" w:eastAsia="宋体" w:hint="default"/>
                <w:sz w:val="21"/>
                <w:szCs w:val="21"/>
              </w:rPr>
            </w:pPr>
            <w:r>
              <w:rPr>
                <w:rFonts w:ascii="宋体" w:hAnsi="宋体" w:cs="宋体" w:eastAsia="宋体" w:hint="default"/>
                <w:sz w:val="21"/>
                <w:szCs w:val="21"/>
              </w:rPr>
              <w:t>转回坏账准备 金额</w:t>
            </w:r>
          </w:p>
        </w:tc>
      </w:tr>
      <w:tr>
        <w:trPr>
          <w:trHeight w:val="64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北满特殊钢股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债务人重新经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债务人停产多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12,055,656.16</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27" w:right="0"/>
              <w:jc w:val="left"/>
              <w:rPr>
                <w:rFonts w:ascii="Times New Roman" w:hAnsi="Times New Roman" w:cs="Times New Roman" w:eastAsia="Times New Roman" w:hint="default"/>
                <w:sz w:val="21"/>
                <w:szCs w:val="21"/>
              </w:rPr>
            </w:pPr>
            <w:r>
              <w:rPr>
                <w:rFonts w:ascii="Times New Roman"/>
                <w:sz w:val="21"/>
              </w:rPr>
              <w:t>12,055,656.16</w:t>
            </w:r>
          </w:p>
        </w:tc>
      </w:tr>
      <w:tr>
        <w:trPr>
          <w:trHeight w:val="32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12,055,656.16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(3) </w:t>
      </w:r>
      <w:r>
        <w:rPr/>
        <w:t>本报告期应收账款中持有公司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p>
    <w:p>
      <w:pPr>
        <w:pStyle w:val="BodyText"/>
        <w:spacing w:line="240" w:lineRule="auto" w:before="52"/>
        <w:ind w:left="6242"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254"/>
        <w:gridCol w:w="1691"/>
        <w:gridCol w:w="1879"/>
        <w:gridCol w:w="1691"/>
        <w:gridCol w:w="1786"/>
      </w:tblGrid>
      <w:tr>
        <w:trPr>
          <w:trHeight w:val="326" w:hRule="exact"/>
        </w:trPr>
        <w:tc>
          <w:tcPr>
            <w:tcW w:w="2254" w:type="dxa"/>
            <w:vMerge w:val="restart"/>
            <w:tcBorders>
              <w:top w:val="single" w:sz="6" w:space="0" w:color="000000"/>
              <w:left w:val="single" w:sz="6" w:space="0" w:color="000000"/>
              <w:right w:val="single" w:sz="6" w:space="0" w:color="000000"/>
            </w:tcBorders>
          </w:tcPr>
          <w:p>
            <w:pPr>
              <w:pStyle w:val="TableParagraph"/>
              <w:spacing w:line="240" w:lineRule="auto" w:before="141"/>
              <w:ind w:left="699"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47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2254" w:type="dxa"/>
            <w:vMerge/>
            <w:tcBorders>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02" w:right="0"/>
              <w:jc w:val="left"/>
              <w:rPr>
                <w:rFonts w:ascii="宋体" w:hAnsi="宋体" w:cs="宋体" w:eastAsia="宋体" w:hint="default"/>
                <w:sz w:val="21"/>
                <w:szCs w:val="21"/>
              </w:rPr>
            </w:pPr>
            <w:r>
              <w:rPr>
                <w:rFonts w:ascii="宋体" w:hAnsi="宋体" w:cs="宋体" w:eastAsia="宋体" w:hint="default"/>
                <w:sz w:val="21"/>
                <w:szCs w:val="21"/>
              </w:rPr>
              <w:t>计提坏账金额</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55" w:right="0"/>
              <w:jc w:val="left"/>
              <w:rPr>
                <w:rFonts w:ascii="宋体" w:hAnsi="宋体" w:cs="宋体" w:eastAsia="宋体" w:hint="default"/>
                <w:sz w:val="21"/>
                <w:szCs w:val="21"/>
              </w:rPr>
            </w:pPr>
            <w:r>
              <w:rPr>
                <w:rFonts w:ascii="宋体" w:hAnsi="宋体" w:cs="宋体" w:eastAsia="宋体" w:hint="default"/>
                <w:sz w:val="21"/>
                <w:szCs w:val="21"/>
              </w:rPr>
              <w:t>计提坏账金额</w:t>
            </w:r>
          </w:p>
        </w:tc>
      </w:tr>
      <w:tr>
        <w:trPr>
          <w:trHeight w:val="63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黑龙江黑化集团有限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15,645,413.62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782,270.68</w:t>
            </w:r>
            <w:r>
              <w:rPr>
                <w:rFonts w:ascii="Times New Roman"/>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71,086,223.44</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3,554,311.17</w:t>
            </w:r>
            <w:r>
              <w:rPr>
                <w:rFonts w:ascii="Times New Roman"/>
                <w:sz w:val="21"/>
              </w:rPr>
            </w:r>
          </w:p>
        </w:tc>
      </w:tr>
      <w:tr>
        <w:trPr>
          <w:trHeight w:val="328" w:hRule="exact"/>
        </w:trPr>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15,645,413.62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782,270.68</w:t>
            </w:r>
            <w:r>
              <w:rPr>
                <w:rFonts w:ascii="Times New Roman"/>
                <w:sz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71,086,223.44</w:t>
            </w:r>
          </w:p>
        </w:tc>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3,554,311.17</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应收账款金额前五名单位情况</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的比例（％）</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盘锦润丰农</w:t>
            </w:r>
            <w:r>
              <w:rPr>
                <w:rFonts w:ascii="宋体" w:hAnsi="宋体" w:cs="宋体" w:eastAsia="宋体" w:hint="default"/>
                <w:spacing w:val="-74"/>
                <w:sz w:val="21"/>
                <w:szCs w:val="21"/>
              </w:rPr>
              <w:t> </w:t>
            </w:r>
            <w:r>
              <w:rPr>
                <w:rFonts w:ascii="宋体" w:hAnsi="宋体" w:cs="宋体" w:eastAsia="宋体" w:hint="default"/>
                <w:spacing w:val="14"/>
                <w:sz w:val="21"/>
                <w:szCs w:val="21"/>
              </w:rPr>
              <w:t>资有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48,248,627.50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22.21</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齐齐哈尔德</w:t>
            </w:r>
            <w:r>
              <w:rPr>
                <w:rFonts w:ascii="宋体" w:hAnsi="宋体" w:cs="宋体" w:eastAsia="宋体" w:hint="default"/>
                <w:spacing w:val="-74"/>
                <w:sz w:val="21"/>
                <w:szCs w:val="21"/>
              </w:rPr>
              <w:t> </w:t>
            </w:r>
            <w:r>
              <w:rPr>
                <w:rFonts w:ascii="宋体" w:hAnsi="宋体" w:cs="宋体" w:eastAsia="宋体" w:hint="default"/>
                <w:spacing w:val="14"/>
                <w:sz w:val="21"/>
                <w:szCs w:val="21"/>
              </w:rPr>
              <w:t>科化</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工有限责任公司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38,490,336.29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17.72</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11,885,423.34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5.47</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黑龙江黑化</w:t>
            </w:r>
            <w:r>
              <w:rPr>
                <w:rFonts w:ascii="宋体" w:hAnsi="宋体" w:cs="宋体" w:eastAsia="宋体" w:hint="default"/>
                <w:spacing w:val="-74"/>
                <w:sz w:val="21"/>
                <w:szCs w:val="21"/>
              </w:rPr>
              <w:t> </w:t>
            </w:r>
            <w:r>
              <w:rPr>
                <w:rFonts w:ascii="宋体" w:hAnsi="宋体" w:cs="宋体" w:eastAsia="宋体" w:hint="default"/>
                <w:spacing w:val="14"/>
                <w:sz w:val="21"/>
                <w:szCs w:val="21"/>
              </w:rPr>
              <w:t>集团</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15,645,413.62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7.20</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齐齐哈尔江</w:t>
            </w:r>
            <w:r>
              <w:rPr>
                <w:rFonts w:ascii="宋体" w:hAnsi="宋体" w:cs="宋体" w:eastAsia="宋体" w:hint="default"/>
                <w:spacing w:val="-74"/>
                <w:sz w:val="21"/>
                <w:szCs w:val="21"/>
              </w:rPr>
              <w:t> </w:t>
            </w:r>
            <w:r>
              <w:rPr>
                <w:rFonts w:ascii="宋体" w:hAnsi="宋体" w:cs="宋体" w:eastAsia="宋体" w:hint="default"/>
                <w:spacing w:val="14"/>
                <w:sz w:val="21"/>
                <w:szCs w:val="21"/>
              </w:rPr>
              <w:t>源重</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型机械铸造</w:t>
            </w:r>
            <w:r>
              <w:rPr>
                <w:rFonts w:ascii="宋体" w:hAnsi="宋体" w:cs="宋体" w:eastAsia="宋体" w:hint="default"/>
                <w:spacing w:val="-75"/>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11,885,423.34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5.47</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126,155,224.09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58.07</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应收关联方账款情况</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24"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占应收账款总额的比例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15,645,413.62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7.20</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齐齐哈尔富龙化工有限</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1,021,943.32</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0.47</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16,667,356.94</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7.67</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4</w:t>
      </w:r>
      <w:r>
        <w:rPr/>
        <w:t>、</w:t>
      </w:r>
      <w:r>
        <w:rPr>
          <w:spacing w:val="-2"/>
        </w:rPr>
        <w:t> </w:t>
      </w:r>
      <w:r>
        <w:rPr/>
        <w:t>其他应收款：</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800" w:space="330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848"/>
        <w:gridCol w:w="1424"/>
        <w:gridCol w:w="793"/>
        <w:gridCol w:w="1320"/>
        <w:gridCol w:w="689"/>
        <w:gridCol w:w="1423"/>
        <w:gridCol w:w="794"/>
        <w:gridCol w:w="1319"/>
        <w:gridCol w:w="689"/>
      </w:tblGrid>
      <w:tr>
        <w:trPr>
          <w:trHeight w:val="326" w:hRule="exact"/>
        </w:trPr>
        <w:tc>
          <w:tcPr>
            <w:tcW w:w="848"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206"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22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22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848"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5"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00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7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848"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638"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账龄分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析法</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14,713,198.16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2,659,278.89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18.07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15,515,727.90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2,800,078.91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18.05</w:t>
            </w:r>
          </w:p>
        </w:tc>
      </w:tr>
      <w:tr>
        <w:trPr>
          <w:trHeight w:val="640"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14,713,198.16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100.00</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2,659,278.89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18.07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15,515,727.90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2,800,078.91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18.05</w:t>
            </w:r>
          </w:p>
        </w:tc>
      </w:tr>
      <w:tr>
        <w:trPr>
          <w:trHeight w:val="328" w:hRule="exact"/>
        </w:trPr>
        <w:tc>
          <w:tcPr>
            <w:tcW w:w="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14,713,198.16</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2,659,278.89</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15,515,727.90</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2,800,078.91</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999"/>
        <w:jc w:val="left"/>
      </w:pPr>
      <w:r>
        <w:rPr/>
        <w:t>组合中，按账龄分析法计提坏账准备的其他应收账款：</w:t>
      </w:r>
    </w:p>
    <w:p>
      <w:pPr>
        <w:pStyle w:val="BodyText"/>
        <w:spacing w:line="240" w:lineRule="auto" w:before="37"/>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78"/>
        <w:gridCol w:w="1424"/>
        <w:gridCol w:w="1272"/>
        <w:gridCol w:w="1364"/>
        <w:gridCol w:w="1424"/>
        <w:gridCol w:w="1178"/>
        <w:gridCol w:w="1458"/>
      </w:tblGrid>
      <w:tr>
        <w:trPr>
          <w:trHeight w:val="326" w:hRule="exact"/>
        </w:trPr>
        <w:tc>
          <w:tcPr>
            <w:tcW w:w="117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72"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0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6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78" w:type="dxa"/>
            <w:vMerge/>
            <w:tcBorders>
              <w:left w:val="single" w:sz="6" w:space="0" w:color="000000"/>
              <w:right w:val="single" w:sz="6" w:space="0" w:color="000000"/>
            </w:tcBorders>
          </w:tcPr>
          <w:p>
            <w:pPr/>
          </w:p>
        </w:tc>
        <w:tc>
          <w:tcPr>
            <w:tcW w:w="2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364" w:type="dxa"/>
            <w:vMerge w:val="restart"/>
            <w:tcBorders>
              <w:top w:val="single" w:sz="6" w:space="0" w:color="000000"/>
              <w:left w:val="single" w:sz="6" w:space="0" w:color="000000"/>
              <w:right w:val="single" w:sz="6" w:space="0" w:color="000000"/>
            </w:tcBorders>
          </w:tcPr>
          <w:p>
            <w:pPr>
              <w:pStyle w:val="TableParagraph"/>
              <w:spacing w:line="240" w:lineRule="auto" w:before="141"/>
              <w:ind w:left="25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60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58" w:type="dxa"/>
            <w:vMerge w:val="restart"/>
            <w:tcBorders>
              <w:top w:val="single" w:sz="6" w:space="0" w:color="000000"/>
              <w:left w:val="single" w:sz="6" w:space="0" w:color="000000"/>
              <w:right w:val="single" w:sz="6" w:space="0" w:color="000000"/>
            </w:tcBorders>
          </w:tcPr>
          <w:p>
            <w:pPr>
              <w:pStyle w:val="TableParagraph"/>
              <w:spacing w:line="240" w:lineRule="auto" w:before="141"/>
              <w:ind w:left="30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178"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1"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364"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1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58" w:type="dxa"/>
            <w:vMerge/>
            <w:tcBorders>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6"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4" w:type="dxa"/>
            <w:tcBorders>
              <w:top w:val="single" w:sz="6" w:space="0" w:color="000000"/>
              <w:left w:val="single" w:sz="6" w:space="0" w:color="000000"/>
              <w:bottom w:val="single" w:sz="6" w:space="0" w:color="000000"/>
              <w:right w:val="single" w:sz="6" w:space="0" w:color="000000"/>
            </w:tcBorders>
          </w:tcPr>
          <w:p>
            <w:pPr/>
          </w:p>
        </w:tc>
        <w:tc>
          <w:tcPr>
            <w:tcW w:w="1272" w:type="dxa"/>
            <w:tcBorders>
              <w:top w:val="single" w:sz="6" w:space="0" w:color="000000"/>
              <w:left w:val="single" w:sz="6" w:space="0" w:color="000000"/>
              <w:bottom w:val="single" w:sz="6" w:space="0" w:color="000000"/>
              <w:right w:val="single" w:sz="6" w:space="0" w:color="000000"/>
            </w:tcBorders>
          </w:tcPr>
          <w:p>
            <w:pPr/>
          </w:p>
        </w:tc>
        <w:tc>
          <w:tcPr>
            <w:tcW w:w="136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178" w:type="dxa"/>
            <w:tcBorders>
              <w:top w:val="single" w:sz="6" w:space="0" w:color="000000"/>
              <w:left w:val="single" w:sz="6" w:space="0" w:color="000000"/>
              <w:bottom w:val="single" w:sz="6" w:space="0" w:color="000000"/>
              <w:right w:val="single" w:sz="6" w:space="0" w:color="000000"/>
            </w:tcBorders>
          </w:tcPr>
          <w:p>
            <w:pPr/>
          </w:p>
        </w:tc>
        <w:tc>
          <w:tcPr>
            <w:tcW w:w="145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2"/>
                <w:sz w:val="21"/>
                <w:szCs w:val="21"/>
              </w:rPr>
              <w:t> </w:t>
            </w:r>
            <w:r>
              <w:rPr>
                <w:rFonts w:ascii="宋体" w:hAnsi="宋体" w:cs="宋体" w:eastAsia="宋体" w:hint="default"/>
                <w:spacing w:val="26"/>
                <w:sz w:val="21"/>
                <w:szCs w:val="21"/>
              </w:rPr>
              <w:t>年以内</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4,567,948.07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31.05</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228,397.40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13,362,045.67</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86.12</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668,102.28</w:t>
            </w:r>
            <w:r>
              <w:rPr>
                <w:rFonts w:ascii="Times New Roman"/>
                <w:sz w:val="21"/>
              </w:rPr>
            </w:r>
          </w:p>
        </w:tc>
      </w:tr>
      <w:tr>
        <w:trPr>
          <w:trHeight w:val="638"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42"/>
                <w:sz w:val="21"/>
                <w:szCs w:val="21"/>
              </w:rPr>
              <w:t> </w:t>
            </w:r>
            <w:r>
              <w:rPr>
                <w:rFonts w:ascii="宋体" w:hAnsi="宋体" w:cs="宋体" w:eastAsia="宋体" w:hint="default"/>
                <w:spacing w:val="26"/>
                <w:sz w:val="21"/>
                <w:szCs w:val="21"/>
              </w:rPr>
              <w:t>年以内</w:t>
            </w:r>
            <w:r>
              <w:rPr>
                <w:rFonts w:ascii="宋体" w:hAnsi="宋体" w:cs="宋体" w:eastAsia="宋体" w:hint="default"/>
                <w:spacing w:val="-65"/>
                <w:sz w:val="21"/>
                <w:szCs w:val="21"/>
              </w:rPr>
              <w:t> </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4,567,948.07</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31.05</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228,397.40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13,362,045.67</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86.12</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668,102.28</w:t>
            </w:r>
            <w:r>
              <w:rPr>
                <w:rFonts w:ascii="Times New Roman"/>
                <w:sz w:val="21"/>
              </w:rPr>
            </w:r>
          </w:p>
        </w:tc>
      </w:tr>
      <w:tr>
        <w:trPr>
          <w:trHeight w:val="328"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8,105,040.00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55.09</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405,252.00</w:t>
            </w:r>
            <w:r>
              <w:rPr>
                <w:rFonts w:ascii="Times New Roman"/>
                <w:sz w:val="21"/>
              </w:rPr>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15,348.00</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767.40</w:t>
            </w:r>
          </w:p>
        </w:tc>
      </w:tr>
      <w:tr>
        <w:trPr>
          <w:trHeight w:val="326"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15,348.00</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0.10</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767.40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7,500.00</w:t>
            </w:r>
            <w:r>
              <w:rPr>
                <w:rFonts w:ascii="Times New Roman"/>
                <w:sz w:val="21"/>
              </w:rPr>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0.05</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375.00</w:t>
            </w:r>
          </w:p>
        </w:tc>
      </w:tr>
      <w:tr>
        <w:trPr>
          <w:trHeight w:val="328"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2,024,862.09</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13.76</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2,024,862.09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2,130,834.23</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13.73</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2,130,834.23</w:t>
            </w:r>
          </w:p>
        </w:tc>
      </w:tr>
      <w:tr>
        <w:trPr>
          <w:trHeight w:val="328" w:hRule="exact"/>
        </w:trPr>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2"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14,713,198.16</w:t>
            </w:r>
          </w:p>
        </w:tc>
        <w:tc>
          <w:tcPr>
            <w:tcW w:w="12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c>
          <w:tcPr>
            <w:tcW w:w="136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2,659,278.89</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15,515,727.90</w:t>
            </w:r>
          </w:p>
        </w:tc>
        <w:tc>
          <w:tcPr>
            <w:tcW w:w="11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4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2,800,078.91</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83" w:lineRule="auto" w:before="35"/>
        <w:ind w:left="351" w:right="1467" w:hanging="212"/>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w w:val="99"/>
        </w:rPr>
        <w:t> </w:t>
      </w:r>
      <w:r>
        <w:rPr/>
        <w:t>本报告期其他应收账款中无持有公司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9"/>
        <w:rPr>
          <w:rFonts w:ascii="宋体" w:hAnsi="宋体" w:cs="宋体" w:eastAsia="宋体" w:hint="default"/>
          <w:sz w:val="24"/>
          <w:szCs w:val="24"/>
        </w:rPr>
      </w:pPr>
    </w:p>
    <w:p>
      <w:pPr>
        <w:pStyle w:val="BodyText"/>
        <w:spacing w:line="240" w:lineRule="auto"/>
        <w:ind w:right="99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金额较大的其他的其他应收款的性质或内容</w:t>
      </w:r>
    </w:p>
    <w:p>
      <w:pPr>
        <w:pStyle w:val="BodyText"/>
        <w:spacing w:line="240" w:lineRule="auto" w:before="101"/>
        <w:ind w:right="999"/>
        <w:jc w:val="left"/>
        <w:rPr>
          <w:rFonts w:ascii="Times New Roman" w:hAnsi="Times New Roman" w:cs="Times New Roman" w:eastAsia="Times New Roman" w:hint="default"/>
        </w:rPr>
      </w:pPr>
      <w:r>
        <w:rPr>
          <w:rFonts w:ascii="Times New Roman"/>
        </w:rPr>
        <w:t>&lt;DIV</w:t>
      </w:r>
      <w:r>
        <w:rPr>
          <w:rFonts w:ascii="Times New Roman"/>
          <w:spacing w:val="-9"/>
        </w:rPr>
        <w:t> </w:t>
      </w:r>
      <w:r>
        <w:rPr>
          <w:rFonts w:ascii="Times New Roman"/>
        </w:rPr>
        <w:t>align=center&gt;</w:t>
      </w:r>
    </w:p>
    <w:p>
      <w:pPr>
        <w:pStyle w:val="BodyText"/>
        <w:spacing w:line="540" w:lineRule="auto" w:before="21"/>
        <w:ind w:right="1853"/>
        <w:jc w:val="left"/>
      </w:pPr>
      <w:r>
        <w:rPr>
          <w:rFonts w:ascii="Times New Roman" w:hAnsi="Times New Roman" w:cs="Times New Roman" w:eastAsia="Times New Roman" w:hint="default"/>
        </w:rPr>
        <w:t>&lt;DIV</w:t>
      </w:r>
      <w:r>
        <w:rPr>
          <w:rFonts w:ascii="Times New Roman" w:hAnsi="Times New Roman" w:cs="Times New Roman" w:eastAsia="Times New Roman" w:hint="default"/>
          <w:spacing w:val="-7"/>
        </w:rPr>
        <w:t> </w:t>
      </w:r>
      <w:r>
        <w:rPr>
          <w:rFonts w:ascii="Times New Roman" w:hAnsi="Times New Roman" w:cs="Times New Roman" w:eastAsia="Times New Roman" w:hint="default"/>
        </w:rPr>
        <w:t>align=center&gt;</w:t>
      </w:r>
      <w:r>
        <w:rPr/>
        <w:t>中国外贸金融租赁有限公司保证金</w:t>
      </w:r>
      <w:r>
        <w:rPr>
          <w:spacing w:val="-57"/>
        </w:rPr>
        <w:t> </w:t>
      </w:r>
      <w:r>
        <w:rPr>
          <w:rFonts w:ascii="Times New Roman" w:hAnsi="Times New Roman" w:cs="Times New Roman" w:eastAsia="Times New Roman" w:hint="default"/>
        </w:rPr>
        <w:t>75000000</w:t>
      </w:r>
      <w:r>
        <w:rPr>
          <w:rFonts w:ascii="Times New Roman" w:hAnsi="Times New Roman" w:cs="Times New Roman" w:eastAsia="Times New Roman" w:hint="default"/>
          <w:spacing w:val="-3"/>
        </w:rPr>
        <w:t> </w:t>
      </w:r>
      <w:r>
        <w:rPr/>
        <w:t>元。</w:t>
      </w:r>
      <w:r>
        <w:rPr>
          <w:rFonts w:ascii="Times New Roman" w:hAnsi="Times New Roman" w:cs="Times New Roman" w:eastAsia="Times New Roman" w:hint="default"/>
        </w:rPr>
        <w:t>&lt;/DIV&gt;&lt;/DIV&gt;</w:t>
      </w:r>
      <w:r>
        <w:rPr>
          <w:rFonts w:ascii="Times New Roman" w:hAnsi="Times New Roman" w:cs="Times New Roman" w:eastAsia="Times New Roman" w:hint="default"/>
          <w:w w:val="99"/>
        </w:rPr>
        <w:t> </w:t>
      </w: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其他应收款金额前五名单位情况</w:t>
      </w:r>
    </w:p>
    <w:p>
      <w:pPr>
        <w:spacing w:after="0" w:line="540"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占其他应收款总</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额的比例</w:t>
            </w:r>
            <w:r>
              <w:rPr>
                <w:rFonts w:ascii="Times New Roman" w:hAnsi="Times New Roman" w:cs="Times New Roman" w:eastAsia="Times New Roman" w:hint="default"/>
                <w:sz w:val="21"/>
                <w:szCs w:val="21"/>
              </w:rPr>
              <w:t>(%)</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中国外贸金</w:t>
            </w:r>
            <w:r>
              <w:rPr>
                <w:rFonts w:ascii="宋体" w:hAnsi="宋体" w:cs="宋体" w:eastAsia="宋体" w:hint="default"/>
                <w:spacing w:val="-74"/>
                <w:sz w:val="21"/>
                <w:szCs w:val="21"/>
              </w:rPr>
              <w:t> </w:t>
            </w:r>
            <w:r>
              <w:rPr>
                <w:rFonts w:ascii="宋体" w:hAnsi="宋体" w:cs="宋体" w:eastAsia="宋体" w:hint="default"/>
                <w:spacing w:val="14"/>
                <w:sz w:val="21"/>
                <w:szCs w:val="21"/>
              </w:rPr>
              <w:t>融租</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50.97</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富拉尔基站</w:t>
            </w:r>
            <w:r>
              <w:rPr>
                <w:rFonts w:ascii="宋体" w:hAnsi="宋体" w:cs="宋体" w:eastAsia="宋体" w:hint="default"/>
                <w:spacing w:val="-74"/>
                <w:sz w:val="21"/>
                <w:szCs w:val="21"/>
              </w:rPr>
              <w:t> </w:t>
            </w:r>
            <w:r>
              <w:rPr>
                <w:rFonts w:ascii="宋体" w:hAnsi="宋体" w:cs="宋体" w:eastAsia="宋体" w:hint="default"/>
                <w:spacing w:val="14"/>
                <w:sz w:val="21"/>
                <w:szCs w:val="21"/>
              </w:rPr>
              <w:t>预收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3,627,418.73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24.65</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蓬布押金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355,000.00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2.41</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刘晓伟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217,819.03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1.48</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哈尔滨先锋</w:t>
            </w:r>
            <w:r>
              <w:rPr>
                <w:rFonts w:ascii="宋体" w:hAnsi="宋体" w:cs="宋体" w:eastAsia="宋体" w:hint="default"/>
                <w:spacing w:val="-74"/>
                <w:sz w:val="21"/>
                <w:szCs w:val="21"/>
              </w:rPr>
              <w:t> </w:t>
            </w:r>
            <w:r>
              <w:rPr>
                <w:rFonts w:ascii="宋体" w:hAnsi="宋体" w:cs="宋体" w:eastAsia="宋体" w:hint="default"/>
                <w:spacing w:val="14"/>
                <w:sz w:val="21"/>
                <w:szCs w:val="21"/>
              </w:rPr>
              <w:t>环保</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设备制造有</w:t>
            </w:r>
            <w:r>
              <w:rPr>
                <w:rFonts w:ascii="宋体" w:hAnsi="宋体" w:cs="宋体" w:eastAsia="宋体" w:hint="default"/>
                <w:spacing w:val="-75"/>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195,640.00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11,895,877.76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80.84</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5</w:t>
      </w:r>
      <w:r>
        <w:rPr/>
        <w:t>、 预付款项：</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预付款项按账龄列示</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380" w:space="372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97"/>
        <w:gridCol w:w="1878"/>
        <w:gridCol w:w="1879"/>
        <w:gridCol w:w="1973"/>
        <w:gridCol w:w="1973"/>
      </w:tblGrid>
      <w:tr>
        <w:trPr>
          <w:trHeight w:val="326" w:hRule="exact"/>
        </w:trPr>
        <w:tc>
          <w:tcPr>
            <w:tcW w:w="1597" w:type="dxa"/>
            <w:vMerge w:val="restart"/>
            <w:tcBorders>
              <w:top w:val="single" w:sz="6" w:space="0" w:color="000000"/>
              <w:left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9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597"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56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612"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r>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19,117,680.54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74.62</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14,911,276.46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74.33</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2,058,517.78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8.03</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891,159.57</w:t>
            </w:r>
            <w:r>
              <w:rPr>
                <w:rFonts w:ascii="Times New Roman"/>
                <w:sz w:val="21"/>
              </w:rPr>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4.44</w:t>
            </w:r>
          </w:p>
        </w:tc>
      </w:tr>
      <w:tr>
        <w:trPr>
          <w:trHeight w:val="326"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280,256.00</w:t>
            </w:r>
            <w:r>
              <w:rPr>
                <w:rFonts w:ascii="Times New Roman"/>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85,884.39</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0.43</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16.26</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1,660,725.45</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20.80</w:t>
            </w:r>
          </w:p>
        </w:tc>
      </w:tr>
      <w:tr>
        <w:trPr>
          <w:trHeight w:val="328" w:hRule="exact"/>
        </w:trPr>
        <w:tc>
          <w:tcPr>
            <w:tcW w:w="159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21,456,454.32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17,549,045.87</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100.00</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预付款项金额前五名单位情况</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时间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96" w:right="0"/>
              <w:jc w:val="left"/>
              <w:rPr>
                <w:rFonts w:ascii="宋体" w:hAnsi="宋体" w:cs="宋体" w:eastAsia="宋体" w:hint="default"/>
                <w:sz w:val="21"/>
                <w:szCs w:val="21"/>
              </w:rPr>
            </w:pPr>
            <w:r>
              <w:rPr>
                <w:rFonts w:ascii="宋体" w:hAnsi="宋体" w:cs="宋体" w:eastAsia="宋体" w:hint="default"/>
                <w:sz w:val="21"/>
                <w:szCs w:val="21"/>
              </w:rPr>
              <w:t>未结算原因</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齐齐哈尔电</w:t>
            </w:r>
            <w:r>
              <w:rPr>
                <w:rFonts w:ascii="宋体" w:hAnsi="宋体" w:cs="宋体" w:eastAsia="宋体" w:hint="default"/>
                <w:spacing w:val="-74"/>
                <w:sz w:val="21"/>
                <w:szCs w:val="21"/>
              </w:rPr>
              <w:t> </w:t>
            </w:r>
            <w:r>
              <w:rPr>
                <w:rFonts w:ascii="宋体" w:hAnsi="宋体" w:cs="宋体" w:eastAsia="宋体" w:hint="default"/>
                <w:spacing w:val="14"/>
                <w:sz w:val="21"/>
                <w:szCs w:val="21"/>
              </w:rPr>
              <w:t>业局</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大客户室</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5,088,417.11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业务未结束</w:t>
            </w:r>
          </w:p>
        </w:tc>
      </w:tr>
      <w:tr>
        <w:trPr>
          <w:trHeight w:val="95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内蒙古鲁能</w:t>
            </w:r>
            <w:r>
              <w:rPr>
                <w:rFonts w:ascii="宋体" w:hAnsi="宋体" w:cs="宋体" w:eastAsia="宋体" w:hint="default"/>
                <w:spacing w:val="-74"/>
                <w:sz w:val="21"/>
                <w:szCs w:val="21"/>
              </w:rPr>
              <w:t> </w:t>
            </w:r>
            <w:r>
              <w:rPr>
                <w:rFonts w:ascii="宋体" w:hAnsi="宋体" w:cs="宋体" w:eastAsia="宋体" w:hint="default"/>
                <w:spacing w:val="14"/>
                <w:sz w:val="21"/>
                <w:szCs w:val="21"/>
              </w:rPr>
              <w:t>大雁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能源集团有</w:t>
            </w:r>
            <w:r>
              <w:rPr>
                <w:rFonts w:ascii="宋体" w:hAnsi="宋体" w:cs="宋体" w:eastAsia="宋体" w:hint="default"/>
                <w:spacing w:val="-75"/>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2,260,574.60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业务未结束</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湖南常兴能</w:t>
            </w:r>
            <w:r>
              <w:rPr>
                <w:rFonts w:ascii="宋体" w:hAnsi="宋体" w:cs="宋体" w:eastAsia="宋体" w:hint="default"/>
                <w:spacing w:val="-74"/>
                <w:sz w:val="21"/>
                <w:szCs w:val="21"/>
              </w:rPr>
              <w:t> </w:t>
            </w:r>
            <w:r>
              <w:rPr>
                <w:rFonts w:ascii="宋体" w:hAnsi="宋体" w:cs="宋体" w:eastAsia="宋体" w:hint="default"/>
                <w:spacing w:val="14"/>
                <w:sz w:val="21"/>
                <w:szCs w:val="21"/>
              </w:rPr>
              <w:t>源环</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保工程科技</w:t>
            </w:r>
            <w:r>
              <w:rPr>
                <w:rFonts w:ascii="宋体" w:hAnsi="宋体" w:cs="宋体" w:eastAsia="宋体" w:hint="default"/>
                <w:spacing w:val="-75"/>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t>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2,227,400.00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业务未结束</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鸡西矿务局</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2,118,477.90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业务未结束</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龙江佳运运</w:t>
            </w:r>
            <w:r>
              <w:rPr>
                <w:rFonts w:ascii="宋体" w:hAnsi="宋体" w:cs="宋体" w:eastAsia="宋体" w:hint="default"/>
                <w:spacing w:val="-74"/>
                <w:sz w:val="21"/>
                <w:szCs w:val="21"/>
              </w:rPr>
              <w:t> </w:t>
            </w:r>
            <w:r>
              <w:rPr>
                <w:rFonts w:ascii="宋体" w:hAnsi="宋体" w:cs="宋体" w:eastAsia="宋体" w:hint="default"/>
                <w:spacing w:val="14"/>
                <w:sz w:val="21"/>
                <w:szCs w:val="21"/>
              </w:rPr>
              <w:t>输有</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1,450,000.00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业务未结束</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13,144,869.61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(3) </w:t>
      </w:r>
      <w:r>
        <w:rPr/>
        <w:t>本报告期预付款项中持有公司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p>
    <w:p>
      <w:pPr>
        <w:spacing w:after="0" w:line="240"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351" w:right="999"/>
        <w:jc w:val="left"/>
      </w:pPr>
      <w:r>
        <w:rPr/>
        <w:t>本报告期预付账款中无持有公司</w:t>
      </w:r>
      <w:r>
        <w:rPr>
          <w:spacing w:val="-57"/>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以上表决权股份的股东单位的欠款。</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before="35"/>
        <w:ind w:right="-16"/>
        <w:jc w:val="left"/>
      </w:pPr>
      <w:r>
        <w:rPr>
          <w:rFonts w:ascii="Times New Roman" w:hAnsi="Times New Roman" w:cs="Times New Roman" w:eastAsia="Times New Roman" w:hint="default"/>
        </w:rPr>
        <w:t>6</w:t>
      </w:r>
      <w:r>
        <w:rPr/>
        <w:t>、 存货：</w:t>
      </w:r>
    </w:p>
    <w:p>
      <w:pPr>
        <w:pStyle w:val="BodyText"/>
        <w:spacing w:line="240" w:lineRule="auto" w:before="83"/>
        <w:ind w:left="139"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50"/>
        </w:rPr>
        <w:t> </w:t>
      </w:r>
      <w:r>
        <w:rPr/>
        <w:t>存货分类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331" w:space="4771"/>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42"/>
        <w:gridCol w:w="1529"/>
        <w:gridCol w:w="1319"/>
        <w:gridCol w:w="1529"/>
        <w:gridCol w:w="1530"/>
        <w:gridCol w:w="1423"/>
        <w:gridCol w:w="1529"/>
      </w:tblGrid>
      <w:tr>
        <w:trPr>
          <w:trHeight w:val="326" w:hRule="exact"/>
        </w:trPr>
        <w:tc>
          <w:tcPr>
            <w:tcW w:w="442" w:type="dxa"/>
            <w:vMerge w:val="restart"/>
            <w:tcBorders>
              <w:top w:val="single" w:sz="6" w:space="0" w:color="000000"/>
              <w:left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目</w:t>
            </w:r>
          </w:p>
        </w:tc>
        <w:tc>
          <w:tcPr>
            <w:tcW w:w="4376"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82"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442"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跌价准备</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7" w:right="0"/>
              <w:jc w:val="left"/>
              <w:rPr>
                <w:rFonts w:ascii="宋体" w:hAnsi="宋体" w:cs="宋体" w:eastAsia="宋体" w:hint="default"/>
                <w:sz w:val="21"/>
                <w:szCs w:val="21"/>
              </w:rPr>
            </w:pPr>
            <w:r>
              <w:rPr>
                <w:rFonts w:ascii="宋体" w:hAnsi="宋体" w:cs="宋体" w:eastAsia="宋体" w:hint="default"/>
                <w:sz w:val="21"/>
                <w:szCs w:val="21"/>
              </w:rPr>
              <w:t>账面价值</w:t>
            </w:r>
          </w:p>
        </w:tc>
      </w:tr>
      <w:tr>
        <w:trPr>
          <w:trHeight w:val="95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原</w:t>
            </w:r>
          </w:p>
          <w:p>
            <w:pPr>
              <w:pStyle w:val="TableParagraph"/>
              <w:spacing w:line="273" w:lineRule="auto" w:before="37"/>
              <w:ind w:left="100" w:right="114"/>
              <w:jc w:val="left"/>
              <w:rPr>
                <w:rFonts w:ascii="宋体" w:hAnsi="宋体" w:cs="宋体" w:eastAsia="宋体" w:hint="default"/>
                <w:sz w:val="21"/>
                <w:szCs w:val="21"/>
              </w:rPr>
            </w:pPr>
            <w:r>
              <w:rPr>
                <w:rFonts w:ascii="宋体" w:hAnsi="宋体" w:cs="宋体" w:eastAsia="宋体" w:hint="default"/>
                <w:sz w:val="21"/>
                <w:szCs w:val="21"/>
              </w:rPr>
              <w:t>材 料</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98,720,382.41</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98,720,382.41</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46,953,747.58</w:t>
            </w: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46,953,747.58</w:t>
            </w:r>
          </w:p>
        </w:tc>
      </w:tr>
      <w:tr>
        <w:trPr>
          <w:trHeight w:val="952"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3" w:lineRule="auto" w:before="37"/>
              <w:ind w:left="100" w:right="114"/>
              <w:jc w:val="left"/>
              <w:rPr>
                <w:rFonts w:ascii="宋体" w:hAnsi="宋体" w:cs="宋体" w:eastAsia="宋体" w:hint="default"/>
                <w:sz w:val="21"/>
                <w:szCs w:val="21"/>
              </w:rPr>
            </w:pPr>
            <w:r>
              <w:rPr>
                <w:rFonts w:ascii="宋体" w:hAnsi="宋体" w:cs="宋体" w:eastAsia="宋体" w:hint="default"/>
                <w:sz w:val="21"/>
                <w:szCs w:val="21"/>
              </w:rPr>
              <w:t>产 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371,047.82</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371,047.82</w:t>
            </w:r>
            <w:r>
              <w:rPr>
                <w:rFonts w:ascii="Times New Roman"/>
                <w:sz w:val="21"/>
              </w:rPr>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910,002.39</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910,002.39</w:t>
            </w:r>
            <w:r>
              <w:rPr>
                <w:rFonts w:ascii="Times New Roman"/>
                <w:sz w:val="21"/>
              </w:rPr>
            </w:r>
          </w:p>
        </w:tc>
      </w:tr>
      <w:tr>
        <w:trPr>
          <w:trHeight w:val="1262"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库</w:t>
            </w:r>
          </w:p>
          <w:p>
            <w:pPr>
              <w:pStyle w:val="TableParagraph"/>
              <w:spacing w:line="273" w:lineRule="auto" w:before="37"/>
              <w:ind w:left="100" w:right="114"/>
              <w:jc w:val="both"/>
              <w:rPr>
                <w:rFonts w:ascii="宋体" w:hAnsi="宋体" w:cs="宋体" w:eastAsia="宋体" w:hint="default"/>
                <w:sz w:val="21"/>
                <w:szCs w:val="21"/>
              </w:rPr>
            </w:pPr>
            <w:r>
              <w:rPr>
                <w:rFonts w:ascii="宋体" w:hAnsi="宋体" w:cs="宋体" w:eastAsia="宋体" w:hint="default"/>
                <w:sz w:val="21"/>
                <w:szCs w:val="21"/>
              </w:rPr>
              <w:t>存 商 品</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62,555,751.18</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5,727,470.72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56,828,280.46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153,580,002.51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16,262,124.32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137,317,878.19</w:t>
            </w:r>
          </w:p>
        </w:tc>
      </w:tr>
      <w:tr>
        <w:trPr>
          <w:trHeight w:val="1264"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在</w:t>
            </w:r>
          </w:p>
          <w:p>
            <w:pPr>
              <w:pStyle w:val="TableParagraph"/>
              <w:spacing w:line="273" w:lineRule="auto" w:before="37"/>
              <w:ind w:left="100" w:right="114"/>
              <w:jc w:val="both"/>
              <w:rPr>
                <w:rFonts w:ascii="宋体" w:hAnsi="宋体" w:cs="宋体" w:eastAsia="宋体" w:hint="default"/>
                <w:sz w:val="21"/>
                <w:szCs w:val="21"/>
              </w:rPr>
            </w:pPr>
            <w:r>
              <w:rPr>
                <w:rFonts w:ascii="宋体" w:hAnsi="宋体" w:cs="宋体" w:eastAsia="宋体" w:hint="default"/>
                <w:sz w:val="21"/>
                <w:szCs w:val="21"/>
              </w:rPr>
              <w:t>途 物 资</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185,411.16</w:t>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185,411.16</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3"/>
                <w:sz w:val="21"/>
              </w:rPr>
              <w:t>111,261.26</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3"/>
                <w:sz w:val="21"/>
              </w:rPr>
              <w:t>111,261.26</w:t>
            </w:r>
            <w:r>
              <w:rPr>
                <w:rFonts w:ascii="Times New Roman"/>
                <w:sz w:val="21"/>
              </w:rPr>
            </w:r>
          </w:p>
        </w:tc>
      </w:tr>
      <w:tr>
        <w:trPr>
          <w:trHeight w:val="638"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他</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233,582.90</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233,582.90</w:t>
            </w:r>
            <w:r>
              <w:rPr>
                <w:rFonts w:ascii="Times New Roman"/>
                <w:sz w:val="21"/>
              </w:rPr>
            </w:r>
          </w:p>
        </w:tc>
        <w:tc>
          <w:tcPr>
            <w:tcW w:w="1530"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4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8"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08"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162,066,175.47</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5,727,470.72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156,338,704.75</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201,555,013.74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16,262,124.32</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185,292,889.42</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存货跌价准备</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343"/>
        <w:gridCol w:w="1724"/>
        <w:gridCol w:w="1535"/>
        <w:gridCol w:w="1344"/>
        <w:gridCol w:w="1628"/>
        <w:gridCol w:w="1726"/>
      </w:tblGrid>
      <w:tr>
        <w:trPr>
          <w:trHeight w:val="328" w:hRule="exact"/>
        </w:trPr>
        <w:tc>
          <w:tcPr>
            <w:tcW w:w="1343" w:type="dxa"/>
            <w:vMerge w:val="restart"/>
            <w:tcBorders>
              <w:top w:val="single" w:sz="6" w:space="0" w:color="000000"/>
              <w:left w:val="single" w:sz="6" w:space="0" w:color="000000"/>
              <w:right w:val="single" w:sz="6" w:space="0" w:color="000000"/>
            </w:tcBorders>
          </w:tcPr>
          <w:p>
            <w:pPr>
              <w:pStyle w:val="TableParagraph"/>
              <w:spacing w:line="240" w:lineRule="auto" w:before="141"/>
              <w:ind w:left="243" w:right="0"/>
              <w:jc w:val="left"/>
              <w:rPr>
                <w:rFonts w:ascii="宋体" w:hAnsi="宋体" w:cs="宋体" w:eastAsia="宋体" w:hint="default"/>
                <w:sz w:val="21"/>
                <w:szCs w:val="21"/>
              </w:rPr>
            </w:pPr>
            <w:r>
              <w:rPr>
                <w:rFonts w:ascii="宋体" w:hAnsi="宋体" w:cs="宋体" w:eastAsia="宋体" w:hint="default"/>
                <w:sz w:val="21"/>
                <w:szCs w:val="21"/>
              </w:rPr>
              <w:t>存货种类</w:t>
            </w:r>
          </w:p>
        </w:tc>
        <w:tc>
          <w:tcPr>
            <w:tcW w:w="1724" w:type="dxa"/>
            <w:vMerge w:val="restart"/>
            <w:tcBorders>
              <w:top w:val="single" w:sz="6" w:space="0" w:color="000000"/>
              <w:left w:val="single" w:sz="6" w:space="0" w:color="000000"/>
              <w:right w:val="single" w:sz="6" w:space="0" w:color="000000"/>
            </w:tcBorders>
          </w:tcPr>
          <w:p>
            <w:pPr>
              <w:pStyle w:val="TableParagraph"/>
              <w:spacing w:line="240" w:lineRule="auto" w:before="141"/>
              <w:ind w:left="22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535" w:type="dxa"/>
            <w:vMerge w:val="restart"/>
            <w:tcBorders>
              <w:top w:val="single" w:sz="6" w:space="0" w:color="000000"/>
              <w:left w:val="single" w:sz="6" w:space="0" w:color="000000"/>
              <w:right w:val="single" w:sz="6" w:space="0" w:color="000000"/>
            </w:tcBorders>
          </w:tcPr>
          <w:p>
            <w:pPr>
              <w:pStyle w:val="TableParagraph"/>
              <w:spacing w:line="240" w:lineRule="auto" w:before="141"/>
              <w:ind w:left="235" w:right="0"/>
              <w:jc w:val="left"/>
              <w:rPr>
                <w:rFonts w:ascii="宋体" w:hAnsi="宋体" w:cs="宋体" w:eastAsia="宋体" w:hint="default"/>
                <w:sz w:val="21"/>
                <w:szCs w:val="21"/>
              </w:rPr>
            </w:pPr>
            <w:r>
              <w:rPr>
                <w:rFonts w:ascii="宋体" w:hAnsi="宋体" w:cs="宋体" w:eastAsia="宋体" w:hint="default"/>
                <w:sz w:val="21"/>
                <w:szCs w:val="21"/>
              </w:rPr>
              <w:t>本期计提额</w:t>
            </w:r>
          </w:p>
        </w:tc>
        <w:tc>
          <w:tcPr>
            <w:tcW w:w="29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726" w:type="dxa"/>
            <w:vMerge w:val="restart"/>
            <w:tcBorders>
              <w:top w:val="single" w:sz="6" w:space="0" w:color="000000"/>
              <w:left w:val="single" w:sz="6" w:space="0" w:color="000000"/>
              <w:right w:val="single" w:sz="6" w:space="0" w:color="000000"/>
            </w:tcBorders>
          </w:tcPr>
          <w:p>
            <w:pPr>
              <w:pStyle w:val="TableParagraph"/>
              <w:spacing w:line="240" w:lineRule="auto" w:before="141"/>
              <w:ind w:left="22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6" w:hRule="exact"/>
        </w:trPr>
        <w:tc>
          <w:tcPr>
            <w:tcW w:w="1343" w:type="dxa"/>
            <w:vMerge/>
            <w:tcBorders>
              <w:left w:val="single" w:sz="6" w:space="0" w:color="000000"/>
              <w:bottom w:val="single" w:sz="6" w:space="0" w:color="000000"/>
              <w:right w:val="single" w:sz="6" w:space="0" w:color="000000"/>
            </w:tcBorders>
          </w:tcPr>
          <w:p>
            <w:pPr/>
          </w:p>
        </w:tc>
        <w:tc>
          <w:tcPr>
            <w:tcW w:w="1724" w:type="dxa"/>
            <w:vMerge/>
            <w:tcBorders>
              <w:left w:val="single" w:sz="6" w:space="0" w:color="000000"/>
              <w:bottom w:val="single" w:sz="6" w:space="0" w:color="000000"/>
              <w:right w:val="single" w:sz="6" w:space="0" w:color="000000"/>
            </w:tcBorders>
          </w:tcPr>
          <w:p>
            <w:pPr/>
          </w:p>
        </w:tc>
        <w:tc>
          <w:tcPr>
            <w:tcW w:w="1535" w:type="dxa"/>
            <w:vMerge/>
            <w:tcBorders>
              <w:left w:val="single" w:sz="6" w:space="0" w:color="000000"/>
              <w:bottom w:val="single" w:sz="6" w:space="0" w:color="000000"/>
              <w:right w:val="single" w:sz="6" w:space="0" w:color="000000"/>
            </w:tcBorders>
          </w:tcPr>
          <w:p>
            <w:pPr/>
          </w:p>
        </w:tc>
        <w:tc>
          <w:tcPr>
            <w:tcW w:w="13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转回</w:t>
            </w: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726" w:type="dxa"/>
            <w:vMerge/>
            <w:tcBorders>
              <w:left w:val="single" w:sz="6" w:space="0" w:color="000000"/>
              <w:bottom w:val="single" w:sz="6" w:space="0" w:color="000000"/>
              <w:right w:val="single" w:sz="6" w:space="0" w:color="000000"/>
            </w:tcBorders>
          </w:tcPr>
          <w:p>
            <w:pP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16,262,124.32</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5,727,470.72</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16,262,124.32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5,727,470.72</w:t>
            </w:r>
          </w:p>
        </w:tc>
      </w:tr>
      <w:tr>
        <w:trPr>
          <w:trHeight w:val="328" w:hRule="exact"/>
        </w:trPr>
        <w:tc>
          <w:tcPr>
            <w:tcW w:w="134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16,262,124.32</w:t>
            </w:r>
          </w:p>
        </w:tc>
        <w:tc>
          <w:tcPr>
            <w:tcW w:w="153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5,727,470.72</w:t>
            </w:r>
          </w:p>
        </w:tc>
        <w:tc>
          <w:tcPr>
            <w:tcW w:w="1344" w:type="dxa"/>
            <w:tcBorders>
              <w:top w:val="single" w:sz="6" w:space="0" w:color="000000"/>
              <w:left w:val="single" w:sz="6" w:space="0" w:color="000000"/>
              <w:bottom w:val="single" w:sz="6" w:space="0" w:color="000000"/>
              <w:right w:val="single" w:sz="6" w:space="0" w:color="000000"/>
            </w:tcBorders>
          </w:tcPr>
          <w:p>
            <w:pPr/>
          </w:p>
        </w:tc>
        <w:tc>
          <w:tcPr>
            <w:tcW w:w="16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16,262,124.32</w:t>
            </w:r>
          </w:p>
        </w:tc>
        <w:tc>
          <w:tcPr>
            <w:tcW w:w="17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5,727,470.72</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存货跌价准备情况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1708"/>
        <w:gridCol w:w="2182"/>
        <w:gridCol w:w="2563"/>
        <w:gridCol w:w="2848"/>
      </w:tblGrid>
      <w:tr>
        <w:trPr>
          <w:trHeight w:val="638"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计提存货跌价准备的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依据</w:t>
            </w:r>
          </w:p>
        </w:tc>
        <w:tc>
          <w:tcPr>
            <w:tcW w:w="25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本期转回存货跌价准备的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原因</w:t>
            </w:r>
          </w:p>
        </w:tc>
        <w:tc>
          <w:tcPr>
            <w:tcW w:w="28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本期转回金额占该项存货期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末余额的比例（％）</w:t>
            </w:r>
          </w:p>
        </w:tc>
      </w:tr>
      <w:tr>
        <w:trPr>
          <w:trHeight w:val="328" w:hRule="exact"/>
        </w:trPr>
        <w:tc>
          <w:tcPr>
            <w:tcW w:w="17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库存商品</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可变现净值低于成本</w:t>
            </w:r>
          </w:p>
        </w:tc>
        <w:tc>
          <w:tcPr>
            <w:tcW w:w="2563" w:type="dxa"/>
            <w:tcBorders>
              <w:top w:val="single" w:sz="6" w:space="0" w:color="000000"/>
              <w:left w:val="single" w:sz="6" w:space="0" w:color="000000"/>
              <w:bottom w:val="single" w:sz="6" w:space="0" w:color="000000"/>
              <w:right w:val="single" w:sz="6" w:space="0" w:color="000000"/>
            </w:tcBorders>
          </w:tcPr>
          <w:p>
            <w:pPr/>
          </w:p>
        </w:tc>
        <w:tc>
          <w:tcPr>
            <w:tcW w:w="284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309" w:lineRule="auto" w:before="35"/>
        <w:ind w:left="139" w:right="7813"/>
        <w:jc w:val="left"/>
      </w:pPr>
      <w:r>
        <w:rPr>
          <w:rFonts w:ascii="Times New Roman" w:hAnsi="Times New Roman" w:cs="Times New Roman" w:eastAsia="Times New Roman" w:hint="default"/>
        </w:rPr>
        <w:t>7</w:t>
      </w:r>
      <w:r>
        <w:rPr/>
        <w:t>、 固定资产</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rFonts w:ascii="Times New Roman" w:hAnsi="Times New Roman" w:cs="Times New Roman" w:eastAsia="Times New Roman" w:hint="default"/>
        </w:rPr>
        <w:t>(1)  </w:t>
      </w:r>
      <w:r>
        <w:rPr/>
        <w:t>固定资产情况</w:t>
      </w:r>
    </w:p>
    <w:p>
      <w:pPr>
        <w:spacing w:after="0" w:line="309"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12"/>
        <w:gridCol w:w="1686"/>
        <w:gridCol w:w="977"/>
        <w:gridCol w:w="1520"/>
        <w:gridCol w:w="1619"/>
        <w:gridCol w:w="1686"/>
      </w:tblGrid>
      <w:tr>
        <w:trPr>
          <w:trHeight w:val="326"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5"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1"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1"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5"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64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一、账面原值合</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1,673,914,292.19</w:t>
            </w: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80" w:right="0"/>
              <w:jc w:val="left"/>
              <w:rPr>
                <w:rFonts w:ascii="Times New Roman" w:hAnsi="Times New Roman" w:cs="Times New Roman" w:eastAsia="Times New Roman" w:hint="default"/>
                <w:sz w:val="21"/>
                <w:szCs w:val="21"/>
              </w:rPr>
            </w:pPr>
            <w:r>
              <w:rPr>
                <w:rFonts w:ascii="Times New Roman"/>
                <w:sz w:val="21"/>
              </w:rPr>
              <w:t>5,873,589.19</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1,904,971.79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1,677,882,909.59</w:t>
            </w:r>
          </w:p>
        </w:tc>
      </w:tr>
      <w:tr>
        <w:trPr>
          <w:trHeight w:val="63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6"/>
                <w:sz w:val="21"/>
                <w:szCs w:val="21"/>
              </w:rPr>
              <w:t>：</w:t>
            </w:r>
            <w:r>
              <w:rPr>
                <w:rFonts w:ascii="宋体" w:hAnsi="宋体" w:cs="宋体" w:eastAsia="宋体" w:hint="default"/>
                <w:sz w:val="21"/>
                <w:szCs w:val="21"/>
              </w:rPr>
              <w:t>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396,303,536.39</w:t>
            </w: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437" w:right="0"/>
              <w:jc w:val="left"/>
              <w:rPr>
                <w:rFonts w:ascii="Times New Roman" w:hAnsi="Times New Roman" w:cs="Times New Roman" w:eastAsia="Times New Roman" w:hint="default"/>
                <w:sz w:val="21"/>
                <w:szCs w:val="21"/>
              </w:rPr>
            </w:pPr>
            <w:r>
              <w:rPr>
                <w:rFonts w:ascii="Times New Roman"/>
                <w:sz w:val="21"/>
              </w:rPr>
              <w:t>166,747.12</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737,146.92</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395,733,136.59</w:t>
            </w:r>
          </w:p>
        </w:tc>
      </w:tr>
      <w:tr>
        <w:trPr>
          <w:trHeight w:val="39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1,268,779,654.25</w:t>
            </w: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280" w:right="0"/>
              <w:jc w:val="left"/>
              <w:rPr>
                <w:rFonts w:ascii="Times New Roman" w:hAnsi="Times New Roman" w:cs="Times New Roman" w:eastAsia="Times New Roman" w:hint="default"/>
                <w:sz w:val="21"/>
                <w:szCs w:val="21"/>
              </w:rPr>
            </w:pPr>
            <w:r>
              <w:rPr>
                <w:rFonts w:ascii="Times New Roman"/>
                <w:sz w:val="21"/>
              </w:rPr>
              <w:t>4,143,657.02</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570,753.50</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1,272,352,557.77</w:t>
            </w:r>
          </w:p>
        </w:tc>
      </w:tr>
      <w:tr>
        <w:trPr>
          <w:trHeight w:val="389"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8,831,101.55</w:t>
            </w: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left="1280" w:right="0"/>
              <w:jc w:val="left"/>
              <w:rPr>
                <w:rFonts w:ascii="Times New Roman" w:hAnsi="Times New Roman" w:cs="Times New Roman" w:eastAsia="Times New Roman" w:hint="default"/>
                <w:sz w:val="21"/>
                <w:szCs w:val="21"/>
              </w:rPr>
            </w:pPr>
            <w:r>
              <w:rPr>
                <w:rFonts w:ascii="Times New Roman"/>
                <w:sz w:val="21"/>
              </w:rPr>
              <w:t>1,563,185.05</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597,071.37</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9,797,215.23</w:t>
            </w:r>
          </w:p>
        </w:tc>
      </w:tr>
      <w:tr>
        <w:trPr>
          <w:trHeight w:val="640" w:hRule="exact"/>
        </w:trPr>
        <w:tc>
          <w:tcPr>
            <w:tcW w:w="1812"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本期新</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增</w:t>
            </w: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333" w:right="0"/>
              <w:jc w:val="left"/>
              <w:rPr>
                <w:rFonts w:ascii="宋体" w:hAnsi="宋体" w:cs="宋体" w:eastAsia="宋体" w:hint="default"/>
                <w:sz w:val="21"/>
                <w:szCs w:val="21"/>
              </w:rPr>
            </w:pPr>
            <w:r>
              <w:rPr>
                <w:rFonts w:ascii="宋体" w:hAnsi="宋体" w:cs="宋体" w:eastAsia="宋体" w:hint="default"/>
                <w:sz w:val="21"/>
                <w:szCs w:val="21"/>
              </w:rPr>
              <w:t>本期计提</w:t>
            </w:r>
          </w:p>
        </w:tc>
        <w:tc>
          <w:tcPr>
            <w:tcW w:w="1619" w:type="dxa"/>
            <w:tcBorders>
              <w:top w:val="single" w:sz="6" w:space="0" w:color="000000"/>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7"/>
                <w:sz w:val="21"/>
                <w:szCs w:val="21"/>
              </w:rPr>
              <w:t>二、累计折旧合</w:t>
            </w:r>
            <w:r>
              <w:rPr>
                <w:rFonts w:ascii="宋体" w:hAnsi="宋体" w:cs="宋体" w:eastAsia="宋体" w:hint="default"/>
                <w:spacing w:val="-85"/>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514,267,365.65</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110,376,495.13</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1,429,501.97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623,214,358.81</w:t>
            </w:r>
          </w:p>
        </w:tc>
      </w:tr>
      <w:tr>
        <w:trPr>
          <w:trHeight w:val="64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6"/>
                <w:sz w:val="21"/>
                <w:szCs w:val="21"/>
              </w:rPr>
              <w:t>：</w:t>
            </w:r>
            <w:r>
              <w:rPr>
                <w:rFonts w:ascii="宋体" w:hAnsi="宋体" w:cs="宋体" w:eastAsia="宋体" w:hint="default"/>
                <w:sz w:val="21"/>
                <w:szCs w:val="21"/>
              </w:rPr>
              <w:t>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132,748,675.74</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10,134,604.56</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440,342.38</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142,442,937.92</w:t>
            </w:r>
          </w:p>
        </w:tc>
      </w:tr>
      <w:tr>
        <w:trPr>
          <w:trHeight w:val="389"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378,520,785.50</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99,468,987.71</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420,319.47</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477,569,453.74</w:t>
            </w:r>
          </w:p>
        </w:tc>
      </w:tr>
      <w:tr>
        <w:trPr>
          <w:trHeight w:val="39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2,997,904.41</w:t>
            </w:r>
          </w:p>
        </w:tc>
        <w:tc>
          <w:tcPr>
            <w:tcW w:w="977" w:type="dxa"/>
            <w:tcBorders>
              <w:top w:val="single" w:sz="6" w:space="0" w:color="000000"/>
              <w:left w:val="single" w:sz="6" w:space="0" w:color="000000"/>
              <w:bottom w:val="single" w:sz="6" w:space="0" w:color="000000"/>
              <w:right w:val="single" w:sz="6" w:space="0" w:color="000000"/>
            </w:tcBorders>
          </w:tcPr>
          <w:p>
            <w:pPr/>
          </w:p>
        </w:tc>
        <w:tc>
          <w:tcPr>
            <w:tcW w:w="152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772,902.86</w:t>
            </w:r>
            <w:r>
              <w:rPr>
                <w:rFonts w:ascii="Times New Roman"/>
                <w:sz w:val="21"/>
              </w:rPr>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568,840.12</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3,201,967.15</w:t>
            </w:r>
          </w:p>
        </w:tc>
      </w:tr>
      <w:tr>
        <w:trPr>
          <w:trHeight w:val="63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w:t>
            </w:r>
            <w:r>
              <w:rPr>
                <w:rFonts w:ascii="宋体" w:hAnsi="宋体" w:cs="宋体" w:eastAsia="宋体" w:hint="default"/>
                <w:spacing w:val="-86"/>
                <w:sz w:val="21"/>
                <w:szCs w:val="21"/>
              </w:rPr>
              <w:t>、</w:t>
            </w:r>
            <w:r>
              <w:rPr>
                <w:rFonts w:ascii="宋体" w:hAnsi="宋体" w:cs="宋体" w:eastAsia="宋体" w:hint="default"/>
                <w:sz w:val="21"/>
                <w:szCs w:val="21"/>
              </w:rPr>
              <w:t>固定资产账面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净值合计</w:t>
            </w:r>
          </w:p>
        </w:tc>
        <w:tc>
          <w:tcPr>
            <w:tcW w:w="1686" w:type="dxa"/>
            <w:tcBorders>
              <w:top w:val="single" w:sz="6" w:space="0" w:color="000000"/>
              <w:left w:val="single" w:sz="6" w:space="0" w:color="000000"/>
              <w:bottom w:val="single" w:sz="6" w:space="0" w:color="000000"/>
              <w:right w:val="single" w:sz="6" w:space="0" w:color="000000"/>
            </w:tcBorders>
          </w:tcPr>
          <w:p>
            <w:pP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6"/>
                <w:sz w:val="21"/>
                <w:szCs w:val="21"/>
              </w:rPr>
              <w:t>：</w:t>
            </w:r>
            <w:r>
              <w:rPr>
                <w:rFonts w:ascii="宋体" w:hAnsi="宋体" w:cs="宋体" w:eastAsia="宋体" w:hint="default"/>
                <w:sz w:val="21"/>
                <w:szCs w:val="21"/>
              </w:rPr>
              <w:t>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w:t>
            </w:r>
            <w:r>
              <w:rPr>
                <w:rFonts w:ascii="宋体" w:hAnsi="宋体" w:cs="宋体" w:eastAsia="宋体" w:hint="default"/>
                <w:spacing w:val="-86"/>
                <w:sz w:val="21"/>
                <w:szCs w:val="21"/>
              </w:rPr>
              <w:t>、</w:t>
            </w:r>
            <w:r>
              <w:rPr>
                <w:rFonts w:ascii="宋体" w:hAnsi="宋体" w:cs="宋体" w:eastAsia="宋体" w:hint="default"/>
                <w:sz w:val="21"/>
                <w:szCs w:val="21"/>
              </w:rPr>
              <w:t>减值准备合计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417,861.97</w:t>
            </w:r>
            <w:r>
              <w:rPr>
                <w:rFonts w:ascii="Times New Roman"/>
                <w:sz w:val="21"/>
              </w:rPr>
            </w: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6"/>
                <w:sz w:val="21"/>
                <w:szCs w:val="21"/>
              </w:rPr>
              <w:t>：</w:t>
            </w:r>
            <w:r>
              <w:rPr>
                <w:rFonts w:ascii="宋体" w:hAnsi="宋体" w:cs="宋体" w:eastAsia="宋体" w:hint="default"/>
                <w:sz w:val="21"/>
                <w:szCs w:val="21"/>
              </w:rPr>
              <w:t>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417,861.97</w:t>
            </w:r>
            <w:r>
              <w:rPr>
                <w:rFonts w:ascii="Times New Roman"/>
                <w:sz w:val="21"/>
              </w:rPr>
            </w: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w:t>
            </w:r>
            <w:r>
              <w:rPr>
                <w:rFonts w:ascii="宋体" w:hAnsi="宋体" w:cs="宋体" w:eastAsia="宋体" w:hint="default"/>
                <w:spacing w:val="-86"/>
                <w:sz w:val="21"/>
                <w:szCs w:val="21"/>
              </w:rPr>
              <w:t>、</w:t>
            </w:r>
            <w:r>
              <w:rPr>
                <w:rFonts w:ascii="宋体" w:hAnsi="宋体" w:cs="宋体" w:eastAsia="宋体" w:hint="default"/>
                <w:sz w:val="21"/>
                <w:szCs w:val="21"/>
              </w:rPr>
              <w:t>固定资产账面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价值合计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1,159,229,064.57</w:t>
            </w: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1,054,668,550.78</w:t>
            </w:r>
          </w:p>
        </w:tc>
      </w:tr>
      <w:tr>
        <w:trPr>
          <w:trHeight w:val="64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宋体" w:hAnsi="宋体" w:cs="宋体" w:eastAsia="宋体" w:hint="default"/>
                <w:spacing w:val="-86"/>
                <w:sz w:val="21"/>
                <w:szCs w:val="21"/>
              </w:rPr>
              <w:t>：</w:t>
            </w:r>
            <w:r>
              <w:rPr>
                <w:rFonts w:ascii="宋体" w:hAnsi="宋体" w:cs="宋体" w:eastAsia="宋体" w:hint="default"/>
                <w:sz w:val="21"/>
                <w:szCs w:val="21"/>
              </w:rPr>
              <w:t>房屋及建筑</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物</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263,554,860.65</w:t>
            </w: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253,290,198.67</w:t>
            </w:r>
          </w:p>
        </w:tc>
      </w:tr>
      <w:tr>
        <w:trPr>
          <w:trHeight w:val="389"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890,258,868.75</w:t>
            </w: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794,783,104.03</w:t>
            </w:r>
          </w:p>
        </w:tc>
      </w:tr>
      <w:tr>
        <w:trPr>
          <w:trHeight w:val="390" w:hRule="exact"/>
        </w:trPr>
        <w:tc>
          <w:tcPr>
            <w:tcW w:w="181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730" w:right="0"/>
              <w:jc w:val="left"/>
              <w:rPr>
                <w:rFonts w:ascii="宋体" w:hAnsi="宋体" w:cs="宋体" w:eastAsia="宋体" w:hint="default"/>
                <w:sz w:val="21"/>
                <w:szCs w:val="21"/>
              </w:rPr>
            </w:pPr>
            <w:r>
              <w:rPr>
                <w:rFonts w:ascii="宋体" w:hAnsi="宋体" w:cs="宋体" w:eastAsia="宋体" w:hint="default"/>
                <w:sz w:val="21"/>
                <w:szCs w:val="21"/>
              </w:rPr>
              <w:t>运输工具</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5,415,335.17</w:t>
            </w:r>
          </w:p>
        </w:tc>
        <w:tc>
          <w:tcPr>
            <w:tcW w:w="2497" w:type="dxa"/>
            <w:gridSpan w:val="2"/>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0"/>
              <w:jc w:val="center"/>
              <w:rPr>
                <w:rFonts w:ascii="Times New Roman" w:hAnsi="Times New Roman" w:cs="Times New Roman" w:eastAsia="Times New Roman" w:hint="default"/>
                <w:sz w:val="21"/>
                <w:szCs w:val="21"/>
              </w:rPr>
            </w:pPr>
            <w:r>
              <w:rPr>
                <w:rFonts w:ascii="Times New Roman"/>
                <w:sz w:val="21"/>
              </w:rPr>
              <w:t>/</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6,595,248.08</w:t>
            </w:r>
          </w:p>
        </w:tc>
      </w:tr>
    </w:tbl>
    <w:p>
      <w:pPr>
        <w:pStyle w:val="BodyText"/>
        <w:spacing w:line="276" w:lineRule="exact"/>
        <w:ind w:right="999"/>
        <w:jc w:val="left"/>
      </w:pPr>
      <w:r>
        <w:rPr/>
        <w:t>本期折旧额：</w:t>
      </w:r>
      <w:r>
        <w:rPr>
          <w:rFonts w:ascii="Times New Roman" w:hAnsi="Times New Roman" w:cs="Times New Roman" w:eastAsia="Times New Roman" w:hint="default"/>
        </w:rPr>
        <w:t>110,376,495.13</w:t>
      </w:r>
      <w:r>
        <w:rPr>
          <w:rFonts w:ascii="Times New Roman" w:hAnsi="Times New Roman" w:cs="Times New Roman" w:eastAsia="Times New Roman" w:hint="default"/>
          <w:spacing w:val="-13"/>
        </w:rPr>
        <w:t> </w:t>
      </w:r>
      <w:r>
        <w:rPr/>
        <w:t>元。</w:t>
      </w:r>
    </w:p>
    <w:p>
      <w:pPr>
        <w:pStyle w:val="BodyText"/>
        <w:spacing w:line="240" w:lineRule="auto" w:before="21"/>
        <w:ind w:right="999"/>
        <w:jc w:val="left"/>
      </w:pPr>
      <w:r>
        <w:rPr/>
        <w:t>本期由在建工程转入固定资产原价为：</w:t>
      </w:r>
      <w:r>
        <w:rPr>
          <w:rFonts w:ascii="Times New Roman" w:hAnsi="Times New Roman" w:cs="Times New Roman" w:eastAsia="Times New Roman" w:hint="default"/>
        </w:rPr>
        <w:t>4,374,904.14</w:t>
      </w:r>
      <w:r>
        <w:rPr>
          <w:rFonts w:ascii="Times New Roman" w:hAnsi="Times New Roman" w:cs="Times New Roman" w:eastAsia="Times New Roman" w:hint="default"/>
          <w:spacing w:val="-6"/>
        </w:rPr>
        <w:t> </w:t>
      </w:r>
      <w:r>
        <w:rPr/>
        <w:t>元。</w:t>
      </w:r>
    </w:p>
    <w:p>
      <w:pPr>
        <w:spacing w:line="240" w:lineRule="auto" w:before="2"/>
        <w:rPr>
          <w:rFonts w:ascii="宋体" w:hAnsi="宋体" w:cs="宋体" w:eastAsia="宋体" w:hint="default"/>
          <w:sz w:val="25"/>
          <w:szCs w:val="25"/>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通过融资租赁租入的固定资产情况</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账面原值</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累计折旧</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账面净值</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机器设备</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96" w:right="0"/>
              <w:jc w:val="left"/>
              <w:rPr>
                <w:rFonts w:ascii="Times New Roman" w:hAnsi="Times New Roman" w:cs="Times New Roman" w:eastAsia="Times New Roman" w:hint="default"/>
                <w:sz w:val="21"/>
                <w:szCs w:val="21"/>
              </w:rPr>
            </w:pPr>
            <w:r>
              <w:rPr>
                <w:rFonts w:ascii="Times New Roman"/>
                <w:sz w:val="21"/>
              </w:rPr>
              <w:t>101,810,000.00</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1" w:right="0"/>
              <w:jc w:val="left"/>
              <w:rPr>
                <w:rFonts w:ascii="Times New Roman" w:hAnsi="Times New Roman" w:cs="Times New Roman" w:eastAsia="Times New Roman" w:hint="default"/>
                <w:sz w:val="21"/>
                <w:szCs w:val="21"/>
              </w:rPr>
            </w:pPr>
            <w:r>
              <w:rPr>
                <w:rFonts w:ascii="Times New Roman"/>
                <w:sz w:val="21"/>
              </w:rPr>
              <w:t>18,002,900.28</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2" w:right="0"/>
              <w:jc w:val="left"/>
              <w:rPr>
                <w:rFonts w:ascii="Times New Roman" w:hAnsi="Times New Roman" w:cs="Times New Roman" w:eastAsia="Times New Roman" w:hint="default"/>
                <w:sz w:val="21"/>
                <w:szCs w:val="21"/>
              </w:rPr>
            </w:pPr>
            <w:r>
              <w:rPr>
                <w:rFonts w:ascii="Times New Roman"/>
                <w:sz w:val="21"/>
              </w:rPr>
              <w:t>83,807,099.72</w:t>
            </w:r>
          </w:p>
        </w:tc>
      </w:tr>
    </w:tbl>
    <w:p>
      <w:pPr>
        <w:spacing w:after="0" w:line="240" w:lineRule="auto"/>
        <w:jc w:val="lef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8</w:t>
      </w:r>
      <w:r>
        <w:rPr/>
        <w:t>、 在建工程：</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在建工程情况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750" w:space="435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40"/>
        <w:gridCol w:w="1423"/>
        <w:gridCol w:w="1232"/>
        <w:gridCol w:w="1424"/>
        <w:gridCol w:w="1423"/>
        <w:gridCol w:w="1234"/>
        <w:gridCol w:w="1423"/>
      </w:tblGrid>
      <w:tr>
        <w:trPr>
          <w:trHeight w:val="326" w:hRule="exact"/>
        </w:trPr>
        <w:tc>
          <w:tcPr>
            <w:tcW w:w="1140" w:type="dxa"/>
            <w:vMerge w:val="restart"/>
            <w:tcBorders>
              <w:top w:val="single" w:sz="6" w:space="0" w:color="000000"/>
              <w:left w:val="single" w:sz="6" w:space="0" w:color="000000"/>
              <w:right w:val="single" w:sz="6" w:space="0" w:color="000000"/>
            </w:tcBorders>
          </w:tcPr>
          <w:p>
            <w:pPr>
              <w:pStyle w:val="TableParagraph"/>
              <w:spacing w:line="240" w:lineRule="auto" w:before="141"/>
              <w:ind w:left="351" w:right="0"/>
              <w:jc w:val="left"/>
              <w:rPr>
                <w:rFonts w:ascii="宋体" w:hAnsi="宋体" w:cs="宋体" w:eastAsia="宋体" w:hint="default"/>
                <w:sz w:val="21"/>
                <w:szCs w:val="21"/>
              </w:rPr>
            </w:pPr>
            <w:r>
              <w:rPr>
                <w:rFonts w:ascii="宋体" w:hAnsi="宋体" w:cs="宋体" w:eastAsia="宋体" w:hint="default"/>
                <w:sz w:val="21"/>
                <w:szCs w:val="21"/>
              </w:rPr>
              <w:t>项目</w:t>
            </w:r>
          </w:p>
        </w:tc>
        <w:tc>
          <w:tcPr>
            <w:tcW w:w="40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80"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40"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8"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2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9"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账面净值</w:t>
            </w:r>
          </w:p>
        </w:tc>
      </w:tr>
      <w:tr>
        <w:trPr>
          <w:trHeight w:val="328" w:hRule="exact"/>
        </w:trPr>
        <w:tc>
          <w:tcPr>
            <w:tcW w:w="11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在建工程</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61,603,854.23</w:t>
            </w:r>
          </w:p>
        </w:tc>
        <w:tc>
          <w:tcPr>
            <w:tcW w:w="123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61,603,854.23</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24,246,402.28</w:t>
            </w:r>
          </w:p>
        </w:tc>
        <w:tc>
          <w:tcPr>
            <w:tcW w:w="123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24,246,402.28</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重大在建工程项目变动情况：</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600"/>
        <w:gridCol w:w="1162"/>
        <w:gridCol w:w="1424"/>
        <w:gridCol w:w="1423"/>
        <w:gridCol w:w="1319"/>
        <w:gridCol w:w="846"/>
        <w:gridCol w:w="601"/>
        <w:gridCol w:w="502"/>
        <w:gridCol w:w="1423"/>
      </w:tblGrid>
      <w:tr>
        <w:trPr>
          <w:trHeight w:val="1262"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both"/>
              <w:rPr>
                <w:rFonts w:ascii="宋体" w:hAnsi="宋体" w:cs="宋体" w:eastAsia="宋体" w:hint="default"/>
                <w:sz w:val="21"/>
                <w:szCs w:val="21"/>
              </w:rPr>
            </w:pPr>
            <w:r>
              <w:rPr>
                <w:rFonts w:ascii="宋体" w:hAnsi="宋体" w:cs="宋体" w:eastAsia="宋体" w:hint="default"/>
                <w:sz w:val="21"/>
                <w:szCs w:val="21"/>
              </w:rPr>
              <w:t>项</w:t>
            </w:r>
          </w:p>
          <w:p>
            <w:pPr>
              <w:pStyle w:val="TableParagraph"/>
              <w:spacing w:line="273" w:lineRule="auto" w:before="37"/>
              <w:ind w:left="187" w:right="186"/>
              <w:jc w:val="both"/>
              <w:rPr>
                <w:rFonts w:ascii="宋体" w:hAnsi="宋体" w:cs="宋体" w:eastAsia="宋体" w:hint="default"/>
                <w:sz w:val="21"/>
                <w:szCs w:val="21"/>
              </w:rPr>
            </w:pPr>
            <w:r>
              <w:rPr>
                <w:rFonts w:ascii="宋体" w:hAnsi="宋体" w:cs="宋体" w:eastAsia="宋体" w:hint="default"/>
                <w:sz w:val="21"/>
                <w:szCs w:val="21"/>
              </w:rPr>
              <w:t>目 名 称</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预算数</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8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本期增加</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47" w:right="125" w:hanging="420"/>
              <w:jc w:val="left"/>
              <w:rPr>
                <w:rFonts w:ascii="宋体" w:hAnsi="宋体" w:cs="宋体" w:eastAsia="宋体" w:hint="default"/>
                <w:sz w:val="21"/>
                <w:szCs w:val="21"/>
              </w:rPr>
            </w:pPr>
            <w:r>
              <w:rPr>
                <w:rFonts w:ascii="宋体" w:hAnsi="宋体" w:cs="宋体" w:eastAsia="宋体" w:hint="default"/>
                <w:sz w:val="21"/>
                <w:szCs w:val="21"/>
              </w:rPr>
              <w:t>转入固定资 产</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工程投</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z w:val="21"/>
                <w:szCs w:val="21"/>
              </w:rPr>
              <w:t>入占预 算比例</w:t>
            </w:r>
          </w:p>
          <w:p>
            <w:pPr>
              <w:pStyle w:val="TableParagraph"/>
              <w:spacing w:line="240" w:lineRule="auto" w:before="8"/>
              <w:ind w:left="100" w:right="0"/>
              <w:jc w:val="left"/>
              <w:rPr>
                <w:rFonts w:ascii="宋体" w:hAnsi="宋体" w:cs="宋体" w:eastAsia="宋体" w:hint="default"/>
                <w:sz w:val="21"/>
                <w:szCs w:val="21"/>
              </w:rPr>
            </w:pPr>
            <w:r>
              <w:rPr>
                <w:rFonts w:ascii="宋体" w:hAnsi="宋体" w:cs="宋体" w:eastAsia="宋体" w:hint="default"/>
                <w:sz w:val="21"/>
                <w:szCs w:val="21"/>
              </w:rPr>
              <w:t>（％）</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8" w:right="0"/>
              <w:jc w:val="both"/>
              <w:rPr>
                <w:rFonts w:ascii="宋体" w:hAnsi="宋体" w:cs="宋体" w:eastAsia="宋体" w:hint="default"/>
                <w:sz w:val="21"/>
                <w:szCs w:val="21"/>
              </w:rPr>
            </w:pPr>
            <w:r>
              <w:rPr>
                <w:rFonts w:ascii="宋体" w:hAnsi="宋体" w:cs="宋体" w:eastAsia="宋体" w:hint="default"/>
                <w:sz w:val="21"/>
                <w:szCs w:val="21"/>
              </w:rPr>
              <w:t>工</w:t>
            </w:r>
          </w:p>
          <w:p>
            <w:pPr>
              <w:pStyle w:val="TableParagraph"/>
              <w:spacing w:line="273" w:lineRule="auto" w:before="37"/>
              <w:ind w:left="188" w:right="186"/>
              <w:jc w:val="both"/>
              <w:rPr>
                <w:rFonts w:ascii="宋体" w:hAnsi="宋体" w:cs="宋体" w:eastAsia="宋体" w:hint="default"/>
                <w:sz w:val="21"/>
                <w:szCs w:val="21"/>
              </w:rPr>
            </w:pPr>
            <w:r>
              <w:rPr>
                <w:rFonts w:ascii="宋体" w:hAnsi="宋体" w:cs="宋体" w:eastAsia="宋体" w:hint="default"/>
                <w:sz w:val="21"/>
                <w:szCs w:val="21"/>
              </w:rPr>
              <w:t>程 进 度</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37" w:right="0"/>
              <w:jc w:val="both"/>
              <w:rPr>
                <w:rFonts w:ascii="宋体" w:hAnsi="宋体" w:cs="宋体" w:eastAsia="宋体" w:hint="default"/>
                <w:sz w:val="21"/>
                <w:szCs w:val="21"/>
              </w:rPr>
            </w:pPr>
            <w:r>
              <w:rPr>
                <w:rFonts w:ascii="宋体" w:hAnsi="宋体" w:cs="宋体" w:eastAsia="宋体" w:hint="default"/>
                <w:sz w:val="21"/>
                <w:szCs w:val="21"/>
              </w:rPr>
              <w:t>资</w:t>
            </w:r>
          </w:p>
          <w:p>
            <w:pPr>
              <w:pStyle w:val="TableParagraph"/>
              <w:spacing w:line="273" w:lineRule="auto" w:before="37"/>
              <w:ind w:left="137" w:right="137"/>
              <w:jc w:val="both"/>
              <w:rPr>
                <w:rFonts w:ascii="宋体" w:hAnsi="宋体" w:cs="宋体" w:eastAsia="宋体" w:hint="default"/>
                <w:sz w:val="21"/>
                <w:szCs w:val="21"/>
              </w:rPr>
            </w:pPr>
            <w:r>
              <w:rPr>
                <w:rFonts w:ascii="宋体" w:hAnsi="宋体" w:cs="宋体" w:eastAsia="宋体" w:hint="default"/>
                <w:sz w:val="21"/>
                <w:szCs w:val="21"/>
              </w:rPr>
              <w:t>金 来 源</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390"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1888"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污</w:t>
            </w:r>
          </w:p>
          <w:p>
            <w:pPr>
              <w:pStyle w:val="TableParagraph"/>
              <w:spacing w:line="273" w:lineRule="auto" w:before="37"/>
              <w:ind w:left="100" w:right="272"/>
              <w:jc w:val="both"/>
              <w:rPr>
                <w:rFonts w:ascii="宋体" w:hAnsi="宋体" w:cs="宋体" w:eastAsia="宋体" w:hint="default"/>
                <w:sz w:val="21"/>
                <w:szCs w:val="21"/>
              </w:rPr>
            </w:pPr>
            <w:r>
              <w:rPr>
                <w:rFonts w:ascii="宋体" w:hAnsi="宋体" w:cs="宋体" w:eastAsia="宋体" w:hint="default"/>
                <w:sz w:val="21"/>
                <w:szCs w:val="21"/>
              </w:rPr>
              <w:t>水 处 理 项 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45,000,000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10,677,713.72</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31,455,648.81</w:t>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57</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90%</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1" w:right="174"/>
              <w:jc w:val="left"/>
              <w:rPr>
                <w:rFonts w:ascii="宋体" w:hAnsi="宋体" w:cs="宋体" w:eastAsia="宋体" w:hint="default"/>
                <w:sz w:val="21"/>
                <w:szCs w:val="21"/>
              </w:rPr>
            </w:pPr>
            <w:r>
              <w:rPr>
                <w:rFonts w:ascii="宋体" w:hAnsi="宋体" w:cs="宋体" w:eastAsia="宋体" w:hint="default"/>
                <w:sz w:val="21"/>
                <w:szCs w:val="21"/>
              </w:rPr>
              <w:t>自 筹</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42,133,362.53</w:t>
            </w:r>
          </w:p>
        </w:tc>
      </w:tr>
      <w:tr>
        <w:trPr>
          <w:trHeight w:val="1886"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培</w:t>
            </w:r>
          </w:p>
          <w:p>
            <w:pPr>
              <w:pStyle w:val="TableParagraph"/>
              <w:spacing w:line="273" w:lineRule="auto" w:before="37"/>
              <w:ind w:left="100" w:right="272"/>
              <w:jc w:val="both"/>
              <w:rPr>
                <w:rFonts w:ascii="宋体" w:hAnsi="宋体" w:cs="宋体" w:eastAsia="宋体" w:hint="default"/>
                <w:sz w:val="21"/>
                <w:szCs w:val="21"/>
              </w:rPr>
            </w:pPr>
            <w:r>
              <w:rPr>
                <w:rFonts w:ascii="宋体" w:hAnsi="宋体" w:cs="宋体" w:eastAsia="宋体" w:hint="default"/>
                <w:sz w:val="21"/>
                <w:szCs w:val="21"/>
              </w:rPr>
              <w:t>训 中 心 项 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3" w:right="0"/>
              <w:jc w:val="center"/>
              <w:rPr>
                <w:rFonts w:ascii="Times New Roman" w:hAnsi="Times New Roman" w:cs="Times New Roman" w:eastAsia="Times New Roman" w:hint="default"/>
                <w:sz w:val="21"/>
                <w:szCs w:val="21"/>
              </w:rPr>
            </w:pPr>
            <w:r>
              <w:rPr>
                <w:rFonts w:ascii="Times New Roman"/>
                <w:sz w:val="21"/>
              </w:rPr>
              <w:t>8,200,000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7,740,518.67</w:t>
            </w:r>
          </w:p>
        </w:tc>
        <w:tc>
          <w:tcPr>
            <w:tcW w:w="142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93</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90%</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0" w:right="174"/>
              <w:jc w:val="left"/>
              <w:rPr>
                <w:rFonts w:ascii="宋体" w:hAnsi="宋体" w:cs="宋体" w:eastAsia="宋体" w:hint="default"/>
                <w:sz w:val="21"/>
                <w:szCs w:val="21"/>
              </w:rPr>
            </w:pPr>
            <w:r>
              <w:rPr>
                <w:rFonts w:ascii="宋体" w:hAnsi="宋体" w:cs="宋体" w:eastAsia="宋体" w:hint="default"/>
                <w:sz w:val="21"/>
                <w:szCs w:val="21"/>
              </w:rPr>
              <w:t>自 筹</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3"/>
              <w:ind w:right="0"/>
              <w:jc w:val="left"/>
              <w:rPr>
                <w:rFonts w:ascii="宋体" w:hAnsi="宋体" w:cs="宋体" w:eastAsia="宋体" w:hint="default"/>
                <w:sz w:val="22"/>
                <w:szCs w:val="22"/>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7,740,518.67</w:t>
            </w:r>
          </w:p>
        </w:tc>
      </w:tr>
      <w:tr>
        <w:trPr>
          <w:trHeight w:val="2824"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生</w:t>
            </w:r>
          </w:p>
          <w:p>
            <w:pPr>
              <w:pStyle w:val="TableParagraph"/>
              <w:spacing w:line="273" w:lineRule="auto" w:before="37"/>
              <w:ind w:left="100" w:right="272"/>
              <w:jc w:val="both"/>
              <w:rPr>
                <w:rFonts w:ascii="宋体" w:hAnsi="宋体" w:cs="宋体" w:eastAsia="宋体" w:hint="default"/>
                <w:sz w:val="21"/>
                <w:szCs w:val="21"/>
              </w:rPr>
            </w:pPr>
            <w:r>
              <w:rPr>
                <w:rFonts w:ascii="宋体" w:hAnsi="宋体" w:cs="宋体" w:eastAsia="宋体" w:hint="default"/>
                <w:sz w:val="21"/>
                <w:szCs w:val="21"/>
              </w:rPr>
              <w:t>物 膜 法 脱 氨 氮 项 目</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12" w:right="0"/>
              <w:jc w:val="center"/>
              <w:rPr>
                <w:rFonts w:ascii="Times New Roman" w:hAnsi="Times New Roman" w:cs="Times New Roman" w:eastAsia="Times New Roman" w:hint="default"/>
                <w:sz w:val="21"/>
                <w:szCs w:val="21"/>
              </w:rPr>
            </w:pPr>
            <w:r>
              <w:rPr>
                <w:rFonts w:ascii="Times New Roman"/>
                <w:sz w:val="21"/>
              </w:rPr>
              <w:t>5,112,100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2,829,794.14</w:t>
            </w:r>
          </w:p>
        </w:tc>
        <w:tc>
          <w:tcPr>
            <w:tcW w:w="142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z w:val="21"/>
              </w:rPr>
              <w:t>55</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60%</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100" w:right="174"/>
              <w:jc w:val="left"/>
              <w:rPr>
                <w:rFonts w:ascii="宋体" w:hAnsi="宋体" w:cs="宋体" w:eastAsia="宋体" w:hint="default"/>
                <w:sz w:val="21"/>
                <w:szCs w:val="21"/>
              </w:rPr>
            </w:pPr>
            <w:r>
              <w:rPr>
                <w:rFonts w:ascii="宋体" w:hAnsi="宋体" w:cs="宋体" w:eastAsia="宋体" w:hint="default"/>
                <w:sz w:val="21"/>
                <w:szCs w:val="21"/>
              </w:rPr>
              <w:t>自 筹</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2,829,794.14</w:t>
            </w:r>
          </w:p>
        </w:tc>
      </w:tr>
      <w:tr>
        <w:trPr>
          <w:trHeight w:val="2824"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both"/>
              <w:rPr>
                <w:rFonts w:ascii="Times New Roman" w:hAnsi="Times New Roman" w:cs="Times New Roman" w:eastAsia="Times New Roman" w:hint="default"/>
                <w:sz w:val="21"/>
                <w:szCs w:val="21"/>
              </w:rPr>
            </w:pPr>
            <w:r>
              <w:rPr>
                <w:rFonts w:ascii="Times New Roman"/>
                <w:sz w:val="21"/>
              </w:rPr>
              <w:t>98</w:t>
            </w:r>
          </w:p>
          <w:p>
            <w:pPr>
              <w:pStyle w:val="TableParagraph"/>
              <w:spacing w:line="273" w:lineRule="auto" w:before="21"/>
              <w:ind w:left="100" w:right="272"/>
              <w:jc w:val="both"/>
              <w:rPr>
                <w:rFonts w:ascii="宋体" w:hAnsi="宋体" w:cs="宋体" w:eastAsia="宋体" w:hint="default"/>
                <w:sz w:val="21"/>
                <w:szCs w:val="21"/>
              </w:rPr>
            </w:pPr>
            <w:r>
              <w:rPr>
                <w:rFonts w:ascii="宋体" w:hAnsi="宋体" w:cs="宋体" w:eastAsia="宋体" w:hint="default"/>
                <w:sz w:val="21"/>
                <w:szCs w:val="21"/>
              </w:rPr>
              <w:t>万 吨 捣 固 焦 移 地 改</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1,050,000.00</w:t>
            </w:r>
          </w:p>
        </w:tc>
        <w:tc>
          <w:tcPr>
            <w:tcW w:w="142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100" w:right="174"/>
              <w:jc w:val="left"/>
              <w:rPr>
                <w:rFonts w:ascii="宋体" w:hAnsi="宋体" w:cs="宋体" w:eastAsia="宋体" w:hint="default"/>
                <w:sz w:val="21"/>
                <w:szCs w:val="21"/>
              </w:rPr>
            </w:pPr>
            <w:r>
              <w:rPr>
                <w:rFonts w:ascii="宋体" w:hAnsi="宋体" w:cs="宋体" w:eastAsia="宋体" w:hint="default"/>
                <w:sz w:val="21"/>
                <w:szCs w:val="21"/>
              </w:rPr>
              <w:t>自 筹</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0"/>
              <w:ind w:right="0"/>
              <w:jc w:val="left"/>
              <w:rPr>
                <w:rFonts w:ascii="宋体" w:hAnsi="宋体" w:cs="宋体" w:eastAsia="宋体" w:hint="default"/>
                <w:sz w:val="18"/>
                <w:szCs w:val="18"/>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1,050,000.00</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00"/>
        <w:gridCol w:w="1162"/>
        <w:gridCol w:w="1424"/>
        <w:gridCol w:w="1423"/>
        <w:gridCol w:w="1319"/>
        <w:gridCol w:w="846"/>
        <w:gridCol w:w="601"/>
        <w:gridCol w:w="502"/>
        <w:gridCol w:w="1423"/>
      </w:tblGrid>
      <w:tr>
        <w:trPr>
          <w:trHeight w:val="950"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造</w:t>
            </w:r>
          </w:p>
          <w:p>
            <w:pPr>
              <w:pStyle w:val="TableParagraph"/>
              <w:spacing w:line="273" w:lineRule="auto" w:before="37"/>
              <w:ind w:left="100" w:right="272"/>
              <w:jc w:val="left"/>
              <w:rPr>
                <w:rFonts w:ascii="宋体" w:hAnsi="宋体" w:cs="宋体" w:eastAsia="宋体" w:hint="default"/>
                <w:sz w:val="21"/>
                <w:szCs w:val="21"/>
              </w:rPr>
            </w:pPr>
            <w:r>
              <w:rPr>
                <w:rFonts w:ascii="宋体" w:hAnsi="宋体" w:cs="宋体" w:eastAsia="宋体" w:hint="default"/>
                <w:sz w:val="21"/>
                <w:szCs w:val="21"/>
              </w:rPr>
              <w:t>项 目</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512"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烟</w:t>
            </w:r>
          </w:p>
          <w:p>
            <w:pPr>
              <w:pStyle w:val="TableParagraph"/>
              <w:spacing w:line="273" w:lineRule="auto" w:before="37"/>
              <w:ind w:left="100" w:right="272"/>
              <w:jc w:val="both"/>
              <w:rPr>
                <w:rFonts w:ascii="宋体" w:hAnsi="宋体" w:cs="宋体" w:eastAsia="宋体" w:hint="default"/>
                <w:sz w:val="21"/>
                <w:szCs w:val="21"/>
              </w:rPr>
            </w:pPr>
            <w:r>
              <w:rPr>
                <w:rFonts w:ascii="宋体" w:hAnsi="宋体" w:cs="宋体" w:eastAsia="宋体" w:hint="default"/>
                <w:sz w:val="21"/>
                <w:szCs w:val="21"/>
              </w:rPr>
              <w:t>气 在 线 监 测 项 目</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836,068.38</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182,813.14</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2"/>
              <w:ind w:right="0"/>
              <w:jc w:val="left"/>
              <w:rPr>
                <w:rFonts w:ascii="Times New Roman" w:hAnsi="Times New Roman" w:cs="Times New Roman" w:eastAsia="Times New Roman" w:hint="default"/>
                <w:sz w:val="20"/>
                <w:szCs w:val="20"/>
              </w:rPr>
            </w:pPr>
          </w:p>
          <w:p>
            <w:pPr>
              <w:pStyle w:val="TableParagraph"/>
              <w:spacing w:line="273" w:lineRule="auto"/>
              <w:ind w:left="100" w:right="174"/>
              <w:jc w:val="left"/>
              <w:rPr>
                <w:rFonts w:ascii="宋体" w:hAnsi="宋体" w:cs="宋体" w:eastAsia="宋体" w:hint="default"/>
                <w:sz w:val="21"/>
                <w:szCs w:val="21"/>
              </w:rPr>
            </w:pPr>
            <w:r>
              <w:rPr>
                <w:rFonts w:ascii="宋体" w:hAnsi="宋体" w:cs="宋体" w:eastAsia="宋体" w:hint="default"/>
                <w:sz w:val="21"/>
                <w:szCs w:val="21"/>
              </w:rPr>
              <w:t>自 筹</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17"/>
                <w:szCs w:val="17"/>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1,018,881.52</w:t>
            </w:r>
          </w:p>
        </w:tc>
      </w:tr>
      <w:tr>
        <w:trPr>
          <w:trHeight w:val="4070"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全</w:t>
            </w:r>
          </w:p>
          <w:p>
            <w:pPr>
              <w:pStyle w:val="TableParagraph"/>
              <w:spacing w:line="273" w:lineRule="auto" w:before="37"/>
              <w:ind w:left="100" w:right="272"/>
              <w:jc w:val="both"/>
              <w:rPr>
                <w:rFonts w:ascii="宋体" w:hAnsi="宋体" w:cs="宋体" w:eastAsia="宋体" w:hint="default"/>
                <w:sz w:val="21"/>
                <w:szCs w:val="21"/>
              </w:rPr>
            </w:pPr>
            <w:r>
              <w:rPr>
                <w:rFonts w:ascii="宋体" w:hAnsi="宋体" w:cs="宋体" w:eastAsia="宋体" w:hint="default"/>
                <w:sz w:val="21"/>
                <w:szCs w:val="21"/>
              </w:rPr>
              <w:t>公 司 计 量 系 统 仪 表 完 善 项 目</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499,895.40</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515,522.77</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1,015,418.17</w:t>
            </w:r>
          </w:p>
        </w:tc>
        <w:tc>
          <w:tcPr>
            <w:tcW w:w="846"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
              <w:ind w:right="0"/>
              <w:jc w:val="left"/>
              <w:rPr>
                <w:rFonts w:ascii="Times New Roman" w:hAnsi="Times New Roman" w:cs="Times New Roman" w:eastAsia="Times New Roman" w:hint="default"/>
                <w:sz w:val="27"/>
                <w:szCs w:val="27"/>
              </w:rPr>
            </w:pPr>
          </w:p>
          <w:p>
            <w:pPr>
              <w:pStyle w:val="TableParagraph"/>
              <w:spacing w:line="273" w:lineRule="auto"/>
              <w:ind w:left="100" w:right="174"/>
              <w:jc w:val="left"/>
              <w:rPr>
                <w:rFonts w:ascii="宋体" w:hAnsi="宋体" w:cs="宋体" w:eastAsia="宋体" w:hint="default"/>
                <w:sz w:val="21"/>
                <w:szCs w:val="21"/>
              </w:rPr>
            </w:pPr>
            <w:r>
              <w:rPr>
                <w:rFonts w:ascii="宋体" w:hAnsi="宋体" w:cs="宋体" w:eastAsia="宋体" w:hint="default"/>
                <w:sz w:val="21"/>
                <w:szCs w:val="21"/>
              </w:rPr>
              <w:t>自 筹</w:t>
            </w: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5632"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燃</w:t>
            </w:r>
          </w:p>
          <w:p>
            <w:pPr>
              <w:pStyle w:val="TableParagraph"/>
              <w:spacing w:line="273" w:lineRule="auto" w:before="37"/>
              <w:ind w:left="100" w:right="272"/>
              <w:jc w:val="both"/>
              <w:rPr>
                <w:rFonts w:ascii="宋体" w:hAnsi="宋体" w:cs="宋体" w:eastAsia="宋体" w:hint="default"/>
                <w:sz w:val="21"/>
                <w:szCs w:val="21"/>
              </w:rPr>
            </w:pPr>
            <w:r>
              <w:rPr>
                <w:rFonts w:ascii="宋体" w:hAnsi="宋体" w:cs="宋体" w:eastAsia="宋体" w:hint="default"/>
                <w:sz w:val="21"/>
                <w:szCs w:val="21"/>
              </w:rPr>
              <w:t>料 车 间 皮 带 通 廊 电 气 设 备 安 装 防 爆 器 材</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447,644.89</w:t>
            </w:r>
            <w:r>
              <w:rPr>
                <w:rFonts w:ascii="Times New Roman"/>
                <w:sz w:val="21"/>
              </w:rPr>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15"/>
                <w:szCs w:val="15"/>
              </w:rPr>
            </w:pPr>
          </w:p>
          <w:p>
            <w:pPr>
              <w:pStyle w:val="TableParagraph"/>
              <w:spacing w:line="273" w:lineRule="auto"/>
              <w:ind w:left="100" w:right="174"/>
              <w:jc w:val="left"/>
              <w:rPr>
                <w:rFonts w:ascii="宋体" w:hAnsi="宋体" w:cs="宋体" w:eastAsia="宋体" w:hint="default"/>
                <w:sz w:val="21"/>
                <w:szCs w:val="21"/>
              </w:rPr>
            </w:pPr>
            <w:r>
              <w:rPr>
                <w:rFonts w:ascii="宋体" w:hAnsi="宋体" w:cs="宋体" w:eastAsia="宋体" w:hint="default"/>
                <w:sz w:val="21"/>
                <w:szCs w:val="21"/>
              </w:rPr>
              <w:t>自 筹</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57"/>
              <w:ind w:right="99"/>
              <w:jc w:val="right"/>
              <w:rPr>
                <w:rFonts w:ascii="Times New Roman" w:hAnsi="Times New Roman" w:cs="Times New Roman" w:eastAsia="Times New Roman" w:hint="default"/>
                <w:sz w:val="21"/>
                <w:szCs w:val="21"/>
              </w:rPr>
            </w:pPr>
            <w:r>
              <w:rPr>
                <w:rFonts w:ascii="Times New Roman"/>
                <w:spacing w:val="-1"/>
                <w:sz w:val="21"/>
              </w:rPr>
              <w:t>447,644.89</w:t>
            </w:r>
            <w:r>
              <w:rPr>
                <w:rFonts w:ascii="Times New Roman"/>
                <w:sz w:val="21"/>
              </w:rPr>
            </w:r>
          </w:p>
        </w:tc>
      </w:tr>
      <w:tr>
        <w:trPr>
          <w:trHeight w:val="640"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年</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3,098,919.96</w:t>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自</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筹</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3,098,919.96</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00"/>
        <w:gridCol w:w="1162"/>
        <w:gridCol w:w="1424"/>
        <w:gridCol w:w="1423"/>
        <w:gridCol w:w="1319"/>
        <w:gridCol w:w="846"/>
        <w:gridCol w:w="601"/>
        <w:gridCol w:w="502"/>
        <w:gridCol w:w="1423"/>
      </w:tblGrid>
      <w:tr>
        <w:trPr>
          <w:trHeight w:val="5318"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both"/>
              <w:rPr>
                <w:rFonts w:ascii="Times New Roman" w:hAnsi="Times New Roman" w:cs="Times New Roman" w:eastAsia="Times New Roman" w:hint="default"/>
                <w:sz w:val="21"/>
                <w:szCs w:val="21"/>
              </w:rPr>
            </w:pPr>
            <w:r>
              <w:rPr>
                <w:rFonts w:ascii="Times New Roman"/>
                <w:sz w:val="21"/>
              </w:rPr>
              <w:t>15</w:t>
            </w:r>
          </w:p>
          <w:p>
            <w:pPr>
              <w:pStyle w:val="TableParagraph"/>
              <w:spacing w:line="273" w:lineRule="auto" w:before="21"/>
              <w:ind w:left="100" w:right="272"/>
              <w:jc w:val="both"/>
              <w:rPr>
                <w:rFonts w:ascii="宋体" w:hAnsi="宋体" w:cs="宋体" w:eastAsia="宋体" w:hint="default"/>
                <w:sz w:val="21"/>
                <w:szCs w:val="21"/>
              </w:rPr>
            </w:pPr>
            <w:r>
              <w:rPr>
                <w:rFonts w:ascii="宋体" w:hAnsi="宋体" w:cs="宋体" w:eastAsia="宋体" w:hint="default"/>
                <w:sz w:val="21"/>
                <w:szCs w:val="21"/>
              </w:rPr>
              <w:t>万 吨 合 成 氨 水 万 吨 甲 醇 系 统 优 化 项 目</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1264"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罐</w:t>
            </w:r>
          </w:p>
          <w:p>
            <w:pPr>
              <w:pStyle w:val="TableParagraph"/>
              <w:spacing w:line="273" w:lineRule="auto" w:before="37"/>
              <w:ind w:left="100" w:right="272"/>
              <w:jc w:val="both"/>
              <w:rPr>
                <w:rFonts w:ascii="宋体" w:hAnsi="宋体" w:cs="宋体" w:eastAsia="宋体" w:hint="default"/>
                <w:sz w:val="21"/>
                <w:szCs w:val="21"/>
              </w:rPr>
            </w:pPr>
            <w:r>
              <w:rPr>
                <w:rFonts w:ascii="宋体" w:hAnsi="宋体" w:cs="宋体" w:eastAsia="宋体" w:hint="default"/>
                <w:sz w:val="21"/>
                <w:szCs w:val="21"/>
              </w:rPr>
              <w:t>车 改 造</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1,691,015.19</w:t>
            </w: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73" w:lineRule="auto"/>
              <w:ind w:left="100" w:right="174"/>
              <w:jc w:val="left"/>
              <w:rPr>
                <w:rFonts w:ascii="宋体" w:hAnsi="宋体" w:cs="宋体" w:eastAsia="宋体" w:hint="default"/>
                <w:sz w:val="21"/>
                <w:szCs w:val="21"/>
              </w:rPr>
            </w:pPr>
            <w:r>
              <w:rPr>
                <w:rFonts w:ascii="宋体" w:hAnsi="宋体" w:cs="宋体" w:eastAsia="宋体" w:hint="default"/>
                <w:sz w:val="21"/>
                <w:szCs w:val="21"/>
              </w:rPr>
              <w:t>自 筹</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8"/>
              <w:ind w:right="0"/>
              <w:jc w:val="left"/>
              <w:rPr>
                <w:rFonts w:ascii="Times New Roman" w:hAnsi="Times New Roman" w:cs="Times New Roman" w:eastAsia="Times New Roman" w:hint="default"/>
                <w:sz w:val="23"/>
                <w:szCs w:val="23"/>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1,691,015.19</w:t>
            </w:r>
          </w:p>
        </w:tc>
      </w:tr>
      <w:tr>
        <w:trPr>
          <w:trHeight w:val="1886"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节</w:t>
            </w:r>
          </w:p>
          <w:p>
            <w:pPr>
              <w:pStyle w:val="TableParagraph"/>
              <w:spacing w:line="273" w:lineRule="auto" w:before="37"/>
              <w:ind w:left="100" w:right="272"/>
              <w:jc w:val="both"/>
              <w:rPr>
                <w:rFonts w:ascii="宋体" w:hAnsi="宋体" w:cs="宋体" w:eastAsia="宋体" w:hint="default"/>
                <w:sz w:val="21"/>
                <w:szCs w:val="21"/>
              </w:rPr>
            </w:pPr>
            <w:r>
              <w:rPr>
                <w:rFonts w:ascii="宋体" w:hAnsi="宋体" w:cs="宋体" w:eastAsia="宋体" w:hint="default"/>
                <w:sz w:val="21"/>
                <w:szCs w:val="21"/>
              </w:rPr>
              <w:t>能 优 化 项 目</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100"/>
              <w:jc w:val="right"/>
              <w:rPr>
                <w:rFonts w:ascii="Times New Roman" w:hAnsi="Times New Roman" w:cs="Times New Roman" w:eastAsia="Times New Roman" w:hint="default"/>
                <w:sz w:val="21"/>
                <w:szCs w:val="21"/>
              </w:rPr>
            </w:pPr>
            <w:r>
              <w:rPr>
                <w:rFonts w:ascii="Times New Roman"/>
                <w:spacing w:val="-1"/>
                <w:sz w:val="21"/>
              </w:rPr>
              <w:t>232,100.00</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73" w:lineRule="auto" w:before="149"/>
              <w:ind w:left="100" w:right="174"/>
              <w:jc w:val="left"/>
              <w:rPr>
                <w:rFonts w:ascii="宋体" w:hAnsi="宋体" w:cs="宋体" w:eastAsia="宋体" w:hint="default"/>
                <w:sz w:val="21"/>
                <w:szCs w:val="21"/>
              </w:rPr>
            </w:pPr>
            <w:r>
              <w:rPr>
                <w:rFonts w:ascii="宋体" w:hAnsi="宋体" w:cs="宋体" w:eastAsia="宋体" w:hint="default"/>
                <w:sz w:val="21"/>
                <w:szCs w:val="21"/>
              </w:rPr>
              <w:t>自 筹</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24"/>
              <w:ind w:right="99"/>
              <w:jc w:val="right"/>
              <w:rPr>
                <w:rFonts w:ascii="Times New Roman" w:hAnsi="Times New Roman" w:cs="Times New Roman" w:eastAsia="Times New Roman" w:hint="default"/>
                <w:sz w:val="21"/>
                <w:szCs w:val="21"/>
              </w:rPr>
            </w:pPr>
            <w:r>
              <w:rPr>
                <w:rFonts w:ascii="Times New Roman"/>
                <w:spacing w:val="-1"/>
                <w:sz w:val="21"/>
              </w:rPr>
              <w:t>232,100.00</w:t>
            </w:r>
            <w:r>
              <w:rPr>
                <w:rFonts w:ascii="Times New Roman"/>
                <w:sz w:val="21"/>
              </w:rPr>
            </w:r>
          </w:p>
        </w:tc>
      </w:tr>
      <w:tr>
        <w:trPr>
          <w:trHeight w:val="2200"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焦</w:t>
            </w:r>
          </w:p>
          <w:p>
            <w:pPr>
              <w:pStyle w:val="TableParagraph"/>
              <w:spacing w:line="273" w:lineRule="auto" w:before="37"/>
              <w:ind w:left="100" w:right="272"/>
              <w:jc w:val="both"/>
              <w:rPr>
                <w:rFonts w:ascii="宋体" w:hAnsi="宋体" w:cs="宋体" w:eastAsia="宋体" w:hint="default"/>
                <w:sz w:val="21"/>
                <w:szCs w:val="21"/>
              </w:rPr>
            </w:pPr>
            <w:r>
              <w:rPr>
                <w:rFonts w:ascii="宋体" w:hAnsi="宋体" w:cs="宋体" w:eastAsia="宋体" w:hint="default"/>
                <w:sz w:val="21"/>
                <w:szCs w:val="21"/>
              </w:rPr>
              <w:t>炭 过 滤 器 改 造</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336,238.11</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336,238.11</w:t>
            </w:r>
          </w:p>
        </w:tc>
        <w:tc>
          <w:tcPr>
            <w:tcW w:w="846"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73" w:lineRule="auto"/>
              <w:ind w:left="100" w:right="174"/>
              <w:jc w:val="left"/>
              <w:rPr>
                <w:rFonts w:ascii="宋体" w:hAnsi="宋体" w:cs="宋体" w:eastAsia="宋体" w:hint="default"/>
                <w:sz w:val="21"/>
                <w:szCs w:val="21"/>
              </w:rPr>
            </w:pPr>
            <w:r>
              <w:rPr>
                <w:rFonts w:ascii="宋体" w:hAnsi="宋体" w:cs="宋体" w:eastAsia="宋体" w:hint="default"/>
                <w:sz w:val="21"/>
                <w:szCs w:val="21"/>
              </w:rPr>
              <w:t>自 筹</w:t>
            </w: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2198"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塑</w:t>
            </w:r>
          </w:p>
          <w:p>
            <w:pPr>
              <w:pStyle w:val="TableParagraph"/>
              <w:spacing w:line="273" w:lineRule="auto" w:before="37"/>
              <w:ind w:left="100" w:right="272"/>
              <w:jc w:val="both"/>
              <w:rPr>
                <w:rFonts w:ascii="宋体" w:hAnsi="宋体" w:cs="宋体" w:eastAsia="宋体" w:hint="default"/>
                <w:sz w:val="21"/>
                <w:szCs w:val="21"/>
              </w:rPr>
            </w:pPr>
            <w:r>
              <w:rPr>
                <w:rFonts w:ascii="宋体" w:hAnsi="宋体" w:cs="宋体" w:eastAsia="宋体" w:hint="default"/>
                <w:sz w:val="21"/>
                <w:szCs w:val="21"/>
              </w:rPr>
              <w:t>编 厂 机 器 设 备</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1,937,478.62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5"/>
              <w:ind w:right="0"/>
              <w:jc w:val="left"/>
              <w:rPr>
                <w:rFonts w:ascii="Times New Roman" w:hAnsi="Times New Roman" w:cs="Times New Roman" w:eastAsia="Times New Roman" w:hint="default"/>
                <w:sz w:val="24"/>
                <w:szCs w:val="2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1,937,478.62</w:t>
            </w:r>
          </w:p>
        </w:tc>
        <w:tc>
          <w:tcPr>
            <w:tcW w:w="846"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6"/>
              <w:ind w:right="0"/>
              <w:jc w:val="left"/>
              <w:rPr>
                <w:rFonts w:ascii="Times New Roman" w:hAnsi="Times New Roman" w:cs="Times New Roman" w:eastAsia="Times New Roman" w:hint="default"/>
                <w:sz w:val="26"/>
                <w:szCs w:val="26"/>
              </w:rPr>
            </w:pPr>
          </w:p>
          <w:p>
            <w:pPr>
              <w:pStyle w:val="TableParagraph"/>
              <w:spacing w:line="273" w:lineRule="auto"/>
              <w:ind w:left="100" w:right="174"/>
              <w:jc w:val="left"/>
              <w:rPr>
                <w:rFonts w:ascii="宋体" w:hAnsi="宋体" w:cs="宋体" w:eastAsia="宋体" w:hint="default"/>
                <w:sz w:val="21"/>
                <w:szCs w:val="21"/>
              </w:rPr>
            </w:pPr>
            <w:r>
              <w:rPr>
                <w:rFonts w:ascii="宋体" w:hAnsi="宋体" w:cs="宋体" w:eastAsia="宋体" w:hint="default"/>
                <w:sz w:val="21"/>
                <w:szCs w:val="21"/>
              </w:rPr>
              <w:t>自 筹</w:t>
            </w: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w:t>
            </w:r>
          </w:p>
          <w:p>
            <w:pPr>
              <w:pStyle w:val="TableParagraph"/>
              <w:spacing w:line="273" w:lineRule="auto" w:before="37"/>
              <w:ind w:left="100" w:right="272"/>
              <w:jc w:val="left"/>
              <w:rPr>
                <w:rFonts w:ascii="宋体" w:hAnsi="宋体" w:cs="宋体" w:eastAsia="宋体" w:hint="default"/>
                <w:sz w:val="21"/>
                <w:szCs w:val="21"/>
              </w:rPr>
            </w:pPr>
            <w:r>
              <w:rPr>
                <w:rFonts w:ascii="宋体" w:hAnsi="宋体" w:cs="宋体" w:eastAsia="宋体" w:hint="default"/>
                <w:sz w:val="21"/>
                <w:szCs w:val="21"/>
              </w:rPr>
              <w:t>他 项</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8"/>
              <w:jc w:val="right"/>
              <w:rPr>
                <w:rFonts w:ascii="Times New Roman" w:hAnsi="Times New Roman" w:cs="Times New Roman" w:eastAsia="Times New Roman" w:hint="default"/>
                <w:sz w:val="21"/>
                <w:szCs w:val="21"/>
              </w:rPr>
            </w:pPr>
            <w:r>
              <w:rPr>
                <w:rFonts w:ascii="Times New Roman"/>
                <w:spacing w:val="-2"/>
                <w:sz w:val="21"/>
              </w:rPr>
              <w:t>380,311.97</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2,067,074.60</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7"/>
              <w:jc w:val="right"/>
              <w:rPr>
                <w:rFonts w:ascii="Times New Roman" w:hAnsi="Times New Roman" w:cs="Times New Roman" w:eastAsia="Times New Roman" w:hint="default"/>
                <w:sz w:val="21"/>
                <w:szCs w:val="21"/>
              </w:rPr>
            </w:pPr>
            <w:r>
              <w:rPr>
                <w:rFonts w:ascii="Times New Roman"/>
                <w:spacing w:val="-1"/>
                <w:sz w:val="21"/>
              </w:rPr>
              <w:t>1,085,769.24</w:t>
            </w:r>
          </w:p>
        </w:tc>
        <w:tc>
          <w:tcPr>
            <w:tcW w:w="846"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74"/>
              <w:jc w:val="left"/>
              <w:rPr>
                <w:rFonts w:ascii="宋体" w:hAnsi="宋体" w:cs="宋体" w:eastAsia="宋体" w:hint="default"/>
                <w:sz w:val="21"/>
                <w:szCs w:val="21"/>
              </w:rPr>
            </w:pPr>
            <w:r>
              <w:rPr>
                <w:rFonts w:ascii="宋体" w:hAnsi="宋体" w:cs="宋体" w:eastAsia="宋体" w:hint="default"/>
                <w:sz w:val="21"/>
                <w:szCs w:val="21"/>
              </w:rPr>
              <w:t>自 筹</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16"/>
              <w:ind w:right="96"/>
              <w:jc w:val="right"/>
              <w:rPr>
                <w:rFonts w:ascii="Times New Roman" w:hAnsi="Times New Roman" w:cs="Times New Roman" w:eastAsia="Times New Roman" w:hint="default"/>
                <w:sz w:val="21"/>
                <w:szCs w:val="21"/>
              </w:rPr>
            </w:pPr>
            <w:r>
              <w:rPr>
                <w:rFonts w:ascii="Times New Roman"/>
                <w:spacing w:val="-1"/>
                <w:sz w:val="21"/>
              </w:rPr>
              <w:t>1,361,617.33</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10"/>
        <w:rPr>
          <w:rFonts w:ascii="Times New Roman" w:hAnsi="Times New Roman" w:cs="Times New Roman" w:eastAsia="Times New Roman" w:hint="default"/>
          <w:sz w:val="27"/>
          <w:szCs w:val="27"/>
        </w:rPr>
      </w:pPr>
    </w:p>
    <w:tbl>
      <w:tblPr>
        <w:tblW w:w="0" w:type="auto"/>
        <w:jc w:val="left"/>
        <w:tblInd w:w="124" w:type="dxa"/>
        <w:tblLayout w:type="fixed"/>
        <w:tblCellMar>
          <w:top w:w="0" w:type="dxa"/>
          <w:left w:w="0" w:type="dxa"/>
          <w:bottom w:w="0" w:type="dxa"/>
          <w:right w:w="0" w:type="dxa"/>
        </w:tblCellMar>
        <w:tblLook w:val="01E0"/>
      </w:tblPr>
      <w:tblGrid>
        <w:gridCol w:w="600"/>
        <w:gridCol w:w="1162"/>
        <w:gridCol w:w="1424"/>
        <w:gridCol w:w="1423"/>
        <w:gridCol w:w="1319"/>
        <w:gridCol w:w="846"/>
        <w:gridCol w:w="601"/>
        <w:gridCol w:w="502"/>
        <w:gridCol w:w="1423"/>
      </w:tblGrid>
      <w:tr>
        <w:trPr>
          <w:trHeight w:val="326"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目</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601" w:type="dxa"/>
            <w:tcBorders>
              <w:top w:val="single" w:sz="6" w:space="0" w:color="000000"/>
              <w:left w:val="single" w:sz="6" w:space="0" w:color="000000"/>
              <w:bottom w:val="single" w:sz="6" w:space="0" w:color="000000"/>
              <w:right w:val="single" w:sz="6" w:space="0" w:color="000000"/>
            </w:tcBorders>
          </w:tcPr>
          <w:p>
            <w:pPr/>
          </w:p>
        </w:tc>
        <w:tc>
          <w:tcPr>
            <w:tcW w:w="50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6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87"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162"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24,246,402.28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41,732,356.09</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4,374,904.14</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6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c>
          <w:tcPr>
            <w:tcW w:w="5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Times New Roman" w:hAnsi="Times New Roman" w:cs="Times New Roman" w:eastAsia="Times New Roman" w:hint="default"/>
                <w:sz w:val="16"/>
                <w:szCs w:val="16"/>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61,603,854.23</w:t>
            </w:r>
          </w:p>
        </w:tc>
      </w:tr>
    </w:tbl>
    <w:p>
      <w:pPr>
        <w:pStyle w:val="BodyText"/>
        <w:spacing w:line="276" w:lineRule="exact"/>
        <w:ind w:right="999"/>
        <w:jc w:val="left"/>
        <w:rPr>
          <w:rFonts w:ascii="Times New Roman" w:hAnsi="Times New Roman" w:cs="Times New Roman" w:eastAsia="Times New Roman" w:hint="default"/>
        </w:rPr>
      </w:pPr>
      <w:r>
        <w:rPr/>
        <w:t>期末金额较期初金额增加</w:t>
      </w:r>
      <w:r>
        <w:rPr>
          <w:spacing w:val="-57"/>
        </w:rPr>
        <w:t> </w:t>
      </w:r>
      <w:r>
        <w:rPr>
          <w:rFonts w:ascii="Times New Roman" w:hAnsi="Times New Roman" w:cs="Times New Roman" w:eastAsia="Times New Roman" w:hint="default"/>
        </w:rPr>
        <w:t>37,357,451.95</w:t>
      </w:r>
      <w:r>
        <w:rPr>
          <w:rFonts w:ascii="Times New Roman" w:hAnsi="Times New Roman" w:cs="Times New Roman" w:eastAsia="Times New Roman" w:hint="default"/>
          <w:spacing w:val="-4"/>
        </w:rPr>
        <w:t> </w:t>
      </w:r>
      <w:r>
        <w:rPr/>
        <w:t>元，主要是由于污水处理项目投入增加</w:t>
      </w:r>
      <w:r>
        <w:rPr>
          <w:rFonts w:ascii="Times New Roman" w:hAnsi="Times New Roman" w:cs="Times New Roman" w:eastAsia="Times New Roman" w:hint="default"/>
        </w:rPr>
        <w:t>.</w:t>
      </w:r>
    </w:p>
    <w:p>
      <w:pPr>
        <w:spacing w:line="240" w:lineRule="auto" w:before="7"/>
        <w:rPr>
          <w:rFonts w:ascii="Times New Roman" w:hAnsi="Times New Roman" w:cs="Times New Roman" w:eastAsia="Times New Roman" w:hint="default"/>
          <w:sz w:val="28"/>
          <w:szCs w:val="28"/>
        </w:rPr>
      </w:pPr>
    </w:p>
    <w:p>
      <w:pPr>
        <w:spacing w:after="0" w:line="240" w:lineRule="auto"/>
        <w:rPr>
          <w:rFonts w:ascii="Times New Roman" w:hAnsi="Times New Roman" w:cs="Times New Roman" w:eastAsia="Times New Roman" w:hint="default"/>
          <w:sz w:val="28"/>
          <w:szCs w:val="28"/>
        </w:rPr>
        <w:sectPr>
          <w:pgSz w:w="11910" w:h="16840"/>
          <w:pgMar w:header="877" w:footer="982" w:top="1100" w:bottom="1180" w:left="1660" w:right="680"/>
        </w:sectPr>
      </w:pPr>
    </w:p>
    <w:p>
      <w:pPr>
        <w:pStyle w:val="BodyText"/>
        <w:spacing w:line="240" w:lineRule="auto" w:before="35"/>
        <w:ind w:left="139" w:right="-20"/>
        <w:jc w:val="left"/>
      </w:pPr>
      <w:r>
        <w:rPr>
          <w:rFonts w:ascii="Times New Roman" w:hAnsi="Times New Roman" w:cs="Times New Roman" w:eastAsia="Times New Roman" w:hint="default"/>
        </w:rPr>
        <w:t>9</w:t>
      </w:r>
      <w:r>
        <w:rPr/>
        <w:t>、</w:t>
      </w:r>
      <w:r>
        <w:rPr>
          <w:spacing w:val="-2"/>
        </w:rPr>
        <w:t> </w:t>
      </w:r>
      <w:r>
        <w:rPr/>
        <w:t>递延所得税资产</w:t>
      </w:r>
      <w:r>
        <w:rPr>
          <w:rFonts w:ascii="Times New Roman" w:hAnsi="Times New Roman" w:cs="Times New Roman" w:eastAsia="Times New Roman" w:hint="default"/>
        </w:rPr>
        <w:t>/</w:t>
      </w:r>
      <w:r>
        <w:rPr/>
        <w:t>递延所得税负债：</w:t>
      </w:r>
    </w:p>
    <w:p>
      <w:pPr>
        <w:pStyle w:val="BodyText"/>
        <w:spacing w:line="240" w:lineRule="auto" w:before="52"/>
        <w:ind w:left="139" w:right="-20"/>
        <w:jc w:val="left"/>
      </w:pPr>
      <w:r>
        <w:rPr/>
        <w:t>（一）递延所得税资产和递延所得税负债不以抵销后的净额列示</w:t>
      </w:r>
    </w:p>
    <w:p>
      <w:pPr>
        <w:pStyle w:val="BodyText"/>
        <w:spacing w:line="240" w:lineRule="auto" w:before="68"/>
        <w:ind w:left="139" w:right="-20"/>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未确认递延所得税资产明细</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1"/>
          <w:szCs w:val="21"/>
        </w:rPr>
      </w:pPr>
    </w:p>
    <w:p>
      <w:pPr>
        <w:pStyle w:val="BodyText"/>
        <w:spacing w:line="240" w:lineRule="auto"/>
        <w:ind w:left="139"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6020" w:space="8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819"/>
        <w:gridCol w:w="3288"/>
        <w:gridCol w:w="3193"/>
      </w:tblGrid>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可抵扣暂时性差异</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88,051,175.16</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97,474,656.59</w:t>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可抵扣亏损</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192,825,145.67</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213,125,008.22</w:t>
            </w:r>
          </w:p>
        </w:tc>
      </w:tr>
      <w:tr>
        <w:trPr>
          <w:trHeight w:val="328" w:hRule="exact"/>
        </w:trPr>
        <w:tc>
          <w:tcPr>
            <w:tcW w:w="28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280,876,320.83</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310,599,664.81</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未确认递延所得税资产的可抵扣亏损将于以下年度到期</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087"/>
        <w:gridCol w:w="2467"/>
        <w:gridCol w:w="2374"/>
        <w:gridCol w:w="2372"/>
      </w:tblGrid>
      <w:tr>
        <w:trPr>
          <w:trHeight w:val="326"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824"/>
              <w:jc w:val="right"/>
              <w:rPr>
                <w:rFonts w:ascii="宋体" w:hAnsi="宋体" w:cs="宋体" w:eastAsia="宋体" w:hint="default"/>
                <w:sz w:val="21"/>
                <w:szCs w:val="21"/>
              </w:rPr>
            </w:pPr>
            <w:r>
              <w:rPr>
                <w:rFonts w:ascii="宋体" w:hAnsi="宋体" w:cs="宋体" w:eastAsia="宋体" w:hint="default"/>
                <w:sz w:val="21"/>
                <w:szCs w:val="21"/>
              </w:rPr>
              <w:t>年份</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期初数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备注</w:t>
            </w:r>
          </w:p>
        </w:tc>
      </w:tr>
      <w:tr>
        <w:trPr>
          <w:trHeight w:val="32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2013</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893,941.19</w:t>
            </w:r>
            <w:r>
              <w:rPr>
                <w:rFonts w:ascii="Times New Roman"/>
                <w:sz w:val="21"/>
              </w:rPr>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893,941.19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2014</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189,613,845.75</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212,231,067.03</w:t>
            </w: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2015</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2,317,358.73</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824"/>
              <w:jc w:val="right"/>
              <w:rPr>
                <w:rFonts w:ascii="宋体" w:hAnsi="宋体" w:cs="宋体" w:eastAsia="宋体" w:hint="default"/>
                <w:sz w:val="21"/>
                <w:szCs w:val="21"/>
              </w:rPr>
            </w:pPr>
            <w:r>
              <w:rPr>
                <w:rFonts w:ascii="宋体" w:hAnsi="宋体" w:cs="宋体" w:eastAsia="宋体" w:hint="default"/>
                <w:sz w:val="21"/>
                <w:szCs w:val="21"/>
              </w:rPr>
              <w:t>合计</w:t>
            </w:r>
          </w:p>
        </w:tc>
        <w:tc>
          <w:tcPr>
            <w:tcW w:w="24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192,825,145.67</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213,125,008.22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应纳税差异和可抵扣差异项目明细</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510"/>
        <w:gridCol w:w="4790"/>
      </w:tblGrid>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36"/>
              <w:jc w:val="right"/>
              <w:rPr>
                <w:rFonts w:ascii="宋体" w:hAnsi="宋体" w:cs="宋体" w:eastAsia="宋体" w:hint="default"/>
                <w:sz w:val="21"/>
                <w:szCs w:val="21"/>
              </w:rPr>
            </w:pPr>
            <w:r>
              <w:rPr>
                <w:rFonts w:ascii="宋体" w:hAnsi="宋体" w:cs="宋体" w:eastAsia="宋体" w:hint="default"/>
                <w:sz w:val="21"/>
                <w:szCs w:val="21"/>
              </w:rPr>
              <w:t>项目</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可抵扣差异项目：</w:t>
            </w:r>
          </w:p>
        </w:tc>
        <w:tc>
          <w:tcPr>
            <w:tcW w:w="4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应收款项坏账准备</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70,052,040.36</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存货跌价准备</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5,727,470.72</w:t>
            </w:r>
          </w:p>
        </w:tc>
      </w:tr>
      <w:tr>
        <w:trPr>
          <w:trHeight w:val="326"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安全生产费</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12,271,664.08</w:t>
            </w:r>
          </w:p>
        </w:tc>
      </w:tr>
      <w:tr>
        <w:trPr>
          <w:trHeight w:val="328" w:hRule="exact"/>
        </w:trPr>
        <w:tc>
          <w:tcPr>
            <w:tcW w:w="451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36"/>
              <w:jc w:val="right"/>
              <w:rPr>
                <w:rFonts w:ascii="宋体" w:hAnsi="宋体" w:cs="宋体" w:eastAsia="宋体" w:hint="default"/>
                <w:sz w:val="21"/>
                <w:szCs w:val="21"/>
              </w:rPr>
            </w:pPr>
            <w:r>
              <w:rPr>
                <w:rFonts w:ascii="宋体" w:hAnsi="宋体" w:cs="宋体" w:eastAsia="宋体" w:hint="default"/>
                <w:sz w:val="21"/>
                <w:szCs w:val="21"/>
              </w:rPr>
              <w:t>小计</w:t>
            </w:r>
          </w:p>
        </w:tc>
        <w:tc>
          <w:tcPr>
            <w:tcW w:w="4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88,051,175.16</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rPr>
          <w:rFonts w:ascii="Times New Roman" w:hAnsi="Times New Roman" w:cs="Times New Roman" w:eastAsia="Times New Roman" w:hint="default"/>
        </w:rPr>
      </w:pPr>
      <w:r>
        <w:rPr>
          <w:rFonts w:ascii="Times New Roman" w:hAnsi="Times New Roman" w:cs="Times New Roman" w:eastAsia="Times New Roman" w:hint="default"/>
        </w:rPr>
        <w:t>10</w:t>
      </w:r>
      <w:r>
        <w:rPr/>
        <w:t>、</w:t>
      </w:r>
      <w:r>
        <w:rPr>
          <w:spacing w:val="-3"/>
        </w:rPr>
        <w:t> </w:t>
      </w:r>
      <w:r>
        <w:rPr/>
        <w:t>资产减值准备明细</w:t>
      </w:r>
      <w:r>
        <w:rPr>
          <w:rFonts w:ascii="Times New Roman" w:hAnsi="Times New Roman" w:cs="Times New Roman" w:eastAsia="Times New Roman" w:hint="default"/>
        </w:rPr>
        <w:t>:</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663"/>
        <w:gridCol w:w="1663"/>
        <w:gridCol w:w="1663"/>
        <w:gridCol w:w="1319"/>
        <w:gridCol w:w="1424"/>
        <w:gridCol w:w="1567"/>
      </w:tblGrid>
      <w:tr>
        <w:trPr>
          <w:trHeight w:val="328" w:hRule="exact"/>
        </w:trPr>
        <w:tc>
          <w:tcPr>
            <w:tcW w:w="1663"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663" w:type="dxa"/>
            <w:vMerge w:val="restart"/>
            <w:tcBorders>
              <w:top w:val="single" w:sz="6" w:space="0" w:color="000000"/>
              <w:left w:val="single" w:sz="6" w:space="0" w:color="000000"/>
              <w:right w:val="single" w:sz="6" w:space="0" w:color="000000"/>
            </w:tcBorders>
          </w:tcPr>
          <w:p>
            <w:pPr>
              <w:pStyle w:val="TableParagraph"/>
              <w:spacing w:line="240" w:lineRule="auto" w:before="141"/>
              <w:ind w:left="194" w:right="0"/>
              <w:jc w:val="left"/>
              <w:rPr>
                <w:rFonts w:ascii="宋体" w:hAnsi="宋体" w:cs="宋体" w:eastAsia="宋体" w:hint="default"/>
                <w:sz w:val="21"/>
                <w:szCs w:val="21"/>
              </w:rPr>
            </w:pPr>
            <w:r>
              <w:rPr>
                <w:rFonts w:ascii="宋体" w:hAnsi="宋体" w:cs="宋体" w:eastAsia="宋体" w:hint="default"/>
                <w:sz w:val="21"/>
                <w:szCs w:val="21"/>
              </w:rPr>
              <w:t>期初账面余额</w:t>
            </w:r>
          </w:p>
        </w:tc>
        <w:tc>
          <w:tcPr>
            <w:tcW w:w="1663" w:type="dxa"/>
            <w:vMerge w:val="restart"/>
            <w:tcBorders>
              <w:top w:val="single" w:sz="6" w:space="0" w:color="000000"/>
              <w:left w:val="single" w:sz="6" w:space="0" w:color="000000"/>
              <w:right w:val="single" w:sz="6" w:space="0" w:color="000000"/>
            </w:tcBorders>
          </w:tcPr>
          <w:p>
            <w:pPr>
              <w:pStyle w:val="TableParagraph"/>
              <w:spacing w:line="240" w:lineRule="auto" w:before="141"/>
              <w:ind w:left="40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2743"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本期减少</w:t>
            </w:r>
          </w:p>
        </w:tc>
        <w:tc>
          <w:tcPr>
            <w:tcW w:w="1567" w:type="dxa"/>
            <w:vMerge w:val="restart"/>
            <w:tcBorders>
              <w:top w:val="single" w:sz="6" w:space="0" w:color="000000"/>
              <w:left w:val="single" w:sz="6" w:space="0" w:color="000000"/>
              <w:right w:val="single" w:sz="6" w:space="0" w:color="000000"/>
            </w:tcBorders>
          </w:tcPr>
          <w:p>
            <w:pPr>
              <w:pStyle w:val="TableParagraph"/>
              <w:spacing w:line="240" w:lineRule="auto" w:before="141"/>
              <w:ind w:left="146" w:right="0"/>
              <w:jc w:val="lef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6" w:hRule="exact"/>
        </w:trPr>
        <w:tc>
          <w:tcPr>
            <w:tcW w:w="1663" w:type="dxa"/>
            <w:vMerge/>
            <w:tcBorders>
              <w:left w:val="single" w:sz="6" w:space="0" w:color="000000"/>
              <w:bottom w:val="single" w:sz="6" w:space="0" w:color="000000"/>
              <w:right w:val="single" w:sz="6" w:space="0" w:color="000000"/>
            </w:tcBorders>
          </w:tcPr>
          <w:p>
            <w:pPr/>
          </w:p>
        </w:tc>
        <w:tc>
          <w:tcPr>
            <w:tcW w:w="1663" w:type="dxa"/>
            <w:vMerge/>
            <w:tcBorders>
              <w:left w:val="single" w:sz="6" w:space="0" w:color="000000"/>
              <w:bottom w:val="single" w:sz="6" w:space="0" w:color="000000"/>
              <w:right w:val="single" w:sz="6" w:space="0" w:color="000000"/>
            </w:tcBorders>
          </w:tcPr>
          <w:p>
            <w:pPr/>
          </w:p>
        </w:tc>
        <w:tc>
          <w:tcPr>
            <w:tcW w:w="1663" w:type="dxa"/>
            <w:vMerge/>
            <w:tcBorders>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转回</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转销</w:t>
            </w:r>
          </w:p>
        </w:tc>
        <w:tc>
          <w:tcPr>
            <w:tcW w:w="1567" w:type="dxa"/>
            <w:vMerge/>
            <w:tcBorders>
              <w:left w:val="single" w:sz="6" w:space="0" w:color="000000"/>
              <w:bottom w:val="single" w:sz="6" w:space="0" w:color="000000"/>
              <w:right w:val="single" w:sz="6" w:space="0" w:color="000000"/>
            </w:tcBorders>
          </w:tcPr>
          <w:p>
            <w:pPr/>
          </w:p>
        </w:tc>
      </w:tr>
      <w:tr>
        <w:trPr>
          <w:trHeight w:val="328"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一、坏账准备</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74,415,949.58</w:t>
            </w: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 w:right="0"/>
              <w:jc w:val="center"/>
              <w:rPr>
                <w:rFonts w:ascii="Times New Roman" w:hAnsi="Times New Roman" w:cs="Times New Roman" w:eastAsia="Times New Roman" w:hint="default"/>
                <w:sz w:val="21"/>
                <w:szCs w:val="21"/>
              </w:rPr>
            </w:pPr>
            <w:r>
              <w:rPr>
                <w:rFonts w:ascii="Times New Roman"/>
                <w:sz w:val="21"/>
              </w:rPr>
              <w:t>4,363,909.22</w:t>
            </w: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70,052,040.36</w:t>
            </w:r>
          </w:p>
        </w:tc>
      </w:tr>
      <w:tr>
        <w:trPr>
          <w:trHeight w:val="638"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二、存货跌价准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备</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16,262,124.32</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45" w:right="0"/>
              <w:jc w:val="left"/>
              <w:rPr>
                <w:rFonts w:ascii="Times New Roman" w:hAnsi="Times New Roman" w:cs="Times New Roman" w:eastAsia="Times New Roman" w:hint="default"/>
                <w:sz w:val="21"/>
                <w:szCs w:val="21"/>
              </w:rPr>
            </w:pPr>
            <w:r>
              <w:rPr>
                <w:rFonts w:ascii="Times New Roman"/>
                <w:sz w:val="21"/>
              </w:rPr>
              <w:t>5,727,470.72</w:t>
            </w: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16,262,124.32</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5,727,470.72</w:t>
            </w:r>
          </w:p>
        </w:tc>
      </w:tr>
      <w:tr>
        <w:trPr>
          <w:trHeight w:val="952"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三、可供出售金</w:t>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27"/>
                <w:sz w:val="21"/>
                <w:szCs w:val="21"/>
              </w:rPr>
              <w:t>融资产减</w:t>
            </w:r>
            <w:r>
              <w:rPr>
                <w:rFonts w:ascii="宋体" w:hAnsi="宋体" w:cs="宋体" w:eastAsia="宋体" w:hint="default"/>
                <w:spacing w:val="-66"/>
                <w:sz w:val="21"/>
                <w:szCs w:val="21"/>
              </w:rPr>
              <w:t> </w:t>
            </w:r>
            <w:r>
              <w:rPr>
                <w:rFonts w:ascii="宋体" w:hAnsi="宋体" w:cs="宋体" w:eastAsia="宋体" w:hint="default"/>
                <w:spacing w:val="18"/>
                <w:sz w:val="21"/>
                <w:szCs w:val="21"/>
              </w:rPr>
              <w:t>值准</w:t>
            </w:r>
            <w:r>
              <w:rPr>
                <w:rFonts w:ascii="宋体" w:hAnsi="宋体" w:cs="宋体" w:eastAsia="宋体" w:hint="default"/>
                <w:spacing w:val="-103"/>
                <w:sz w:val="21"/>
                <w:szCs w:val="21"/>
              </w:rPr>
              <w:t> </w:t>
            </w:r>
            <w:r>
              <w:rPr>
                <w:rFonts w:ascii="宋体" w:hAnsi="宋体" w:cs="宋体" w:eastAsia="宋体" w:hint="default"/>
                <w:sz w:val="21"/>
                <w:szCs w:val="21"/>
              </w:rPr>
              <w:t>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四、持有至到期</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663"/>
        <w:gridCol w:w="1663"/>
        <w:gridCol w:w="1663"/>
        <w:gridCol w:w="1319"/>
        <w:gridCol w:w="1424"/>
        <w:gridCol w:w="1567"/>
      </w:tblGrid>
      <w:tr>
        <w:trPr>
          <w:trHeight w:val="326"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投资减值准备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五、长期股权投</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资减值准备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六、投资性房地</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产减值准备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七、固定资产减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417,861.97</w:t>
            </w:r>
            <w:r>
              <w:rPr>
                <w:rFonts w:ascii="Times New Roman"/>
                <w:sz w:val="21"/>
              </w:rPr>
            </w: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417,861.97</w:t>
            </w:r>
            <w:r>
              <w:rPr>
                <w:rFonts w:ascii="Times New Roman"/>
                <w:sz w:val="21"/>
              </w:rPr>
            </w: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八、工程物资减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九、在建工程减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十、生产性生物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资产减值准备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952"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其中：成熟生产</w:t>
            </w:r>
          </w:p>
          <w:p>
            <w:pPr>
              <w:pStyle w:val="TableParagraph"/>
              <w:spacing w:line="273" w:lineRule="auto" w:before="37"/>
              <w:ind w:left="100" w:right="61"/>
              <w:jc w:val="left"/>
              <w:rPr>
                <w:rFonts w:ascii="宋体" w:hAnsi="宋体" w:cs="宋体" w:eastAsia="宋体" w:hint="default"/>
                <w:sz w:val="21"/>
                <w:szCs w:val="21"/>
              </w:rPr>
            </w:pPr>
            <w:r>
              <w:rPr>
                <w:rFonts w:ascii="宋体" w:hAnsi="宋体" w:cs="宋体" w:eastAsia="宋体" w:hint="default"/>
                <w:spacing w:val="27"/>
                <w:sz w:val="21"/>
                <w:szCs w:val="21"/>
              </w:rPr>
              <w:t>性生物资</w:t>
            </w:r>
            <w:r>
              <w:rPr>
                <w:rFonts w:ascii="宋体" w:hAnsi="宋体" w:cs="宋体" w:eastAsia="宋体" w:hint="default"/>
                <w:spacing w:val="-66"/>
                <w:sz w:val="21"/>
                <w:szCs w:val="21"/>
              </w:rPr>
              <w:t> </w:t>
            </w:r>
            <w:r>
              <w:rPr>
                <w:rFonts w:ascii="宋体" w:hAnsi="宋体" w:cs="宋体" w:eastAsia="宋体" w:hint="default"/>
                <w:spacing w:val="18"/>
                <w:sz w:val="21"/>
                <w:szCs w:val="21"/>
              </w:rPr>
              <w:t>产减</w:t>
            </w:r>
            <w:r>
              <w:rPr>
                <w:rFonts w:ascii="宋体" w:hAnsi="宋体" w:cs="宋体" w:eastAsia="宋体" w:hint="default"/>
                <w:spacing w:val="-103"/>
                <w:sz w:val="21"/>
                <w:szCs w:val="21"/>
              </w:rPr>
              <w:t> </w:t>
            </w:r>
            <w:r>
              <w:rPr>
                <w:rFonts w:ascii="宋体" w:hAnsi="宋体" w:cs="宋体" w:eastAsia="宋体" w:hint="default"/>
                <w:sz w:val="21"/>
                <w:szCs w:val="21"/>
              </w:rPr>
              <w:t>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十一、油气资产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十二、无形资产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减值准备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638"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十三、商誉减值</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准备</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1663" w:type="dxa"/>
            <w:tcBorders>
              <w:top w:val="single" w:sz="6" w:space="0" w:color="000000"/>
              <w:left w:val="single" w:sz="6" w:space="0" w:color="000000"/>
              <w:bottom w:val="single" w:sz="6" w:space="0" w:color="000000"/>
              <w:right w:val="single" w:sz="6" w:space="0" w:color="000000"/>
            </w:tcBorders>
          </w:tcPr>
          <w:p>
            <w:pPr/>
          </w:p>
        </w:tc>
        <w:tc>
          <w:tcPr>
            <w:tcW w:w="1663" w:type="dxa"/>
            <w:tcBorders>
              <w:top w:val="single" w:sz="6" w:space="0" w:color="000000"/>
              <w:left w:val="single" w:sz="6" w:space="0" w:color="000000"/>
              <w:bottom w:val="single" w:sz="6" w:space="0" w:color="000000"/>
              <w:right w:val="single" w:sz="6" w:space="0" w:color="000000"/>
            </w:tcBorders>
          </w:tcPr>
          <w:p>
            <w:pPr/>
          </w:p>
        </w:tc>
        <w:tc>
          <w:tcPr>
            <w:tcW w:w="131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67"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91,095,935.87</w:t>
            </w:r>
          </w:p>
        </w:tc>
        <w:tc>
          <w:tcPr>
            <w:tcW w:w="166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445" w:right="0"/>
              <w:jc w:val="left"/>
              <w:rPr>
                <w:rFonts w:ascii="Times New Roman" w:hAnsi="Times New Roman" w:cs="Times New Roman" w:eastAsia="Times New Roman" w:hint="default"/>
                <w:sz w:val="21"/>
                <w:szCs w:val="21"/>
              </w:rPr>
            </w:pPr>
            <w:r>
              <w:rPr>
                <w:rFonts w:ascii="Times New Roman"/>
                <w:sz w:val="21"/>
              </w:rPr>
              <w:t>5,727,470.72</w:t>
            </w:r>
          </w:p>
        </w:tc>
        <w:tc>
          <w:tcPr>
            <w:tcW w:w="13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4,363,909.22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16,679,986.29</w:t>
            </w:r>
          </w:p>
        </w:tc>
        <w:tc>
          <w:tcPr>
            <w:tcW w:w="156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53" w:right="0"/>
              <w:jc w:val="left"/>
              <w:rPr>
                <w:rFonts w:ascii="Times New Roman" w:hAnsi="Times New Roman" w:cs="Times New Roman" w:eastAsia="Times New Roman" w:hint="default"/>
                <w:sz w:val="21"/>
                <w:szCs w:val="21"/>
              </w:rPr>
            </w:pPr>
            <w:r>
              <w:rPr>
                <w:rFonts w:ascii="Times New Roman"/>
                <w:sz w:val="21"/>
              </w:rPr>
              <w:t>75,779,511.08</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11</w:t>
      </w:r>
      <w:r>
        <w:rPr/>
        <w:t>、</w:t>
      </w:r>
      <w:r>
        <w:rPr>
          <w:spacing w:val="-3"/>
        </w:rPr>
        <w:t> </w:t>
      </w:r>
      <w:r>
        <w:rPr/>
        <w:t>其他非流动资产：</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未实现售后租回损益</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9,929,753.24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11,915,703.92</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9,929,753.24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11,915,703.92</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12</w:t>
      </w:r>
      <w:r>
        <w:rPr/>
        <w:t>、</w:t>
      </w:r>
      <w:r>
        <w:rPr>
          <w:spacing w:val="-1"/>
        </w:rPr>
        <w:t> </w:t>
      </w:r>
      <w:r>
        <w:rPr/>
        <w:t>短期借款：</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短期借款分类：</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960" w:space="414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质押借款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50,000,000.00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66,270,000.00</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抵押借款</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保证借款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307,280,000.00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377,980,000.00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357,280,000.00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446,550,000.00</w:t>
            </w:r>
          </w:p>
        </w:tc>
      </w:tr>
    </w:tbl>
    <w:p>
      <w:pPr>
        <w:pStyle w:val="BodyText"/>
        <w:spacing w:line="276" w:lineRule="exact"/>
        <w:ind w:right="999"/>
        <w:jc w:val="left"/>
      </w:pPr>
      <w:r>
        <w:rPr/>
        <w:t>保证借款的担保方为中国化工集团公司，其中 </w:t>
      </w:r>
      <w:r>
        <w:rPr>
          <w:rFonts w:ascii="Times New Roman" w:hAnsi="Times New Roman" w:cs="Times New Roman" w:eastAsia="Times New Roman" w:hint="default"/>
        </w:rPr>
        <w:t>50,000,000.00</w:t>
      </w:r>
      <w:r>
        <w:rPr>
          <w:rFonts w:ascii="Times New Roman" w:hAnsi="Times New Roman" w:cs="Times New Roman" w:eastAsia="Times New Roman" w:hint="default"/>
          <w:spacing w:val="5"/>
        </w:rPr>
        <w:t> </w:t>
      </w:r>
      <w:r>
        <w:rPr/>
        <w:t>元的借款同时由黑龙江黑化集</w:t>
      </w:r>
    </w:p>
    <w:p>
      <w:pPr>
        <w:pStyle w:val="BodyText"/>
        <w:spacing w:line="256" w:lineRule="auto" w:before="21"/>
        <w:ind w:left="139" w:right="1112"/>
        <w:jc w:val="left"/>
      </w:pPr>
      <w:r>
        <w:rPr/>
        <w:t>团有限公司提供担保，并由本公司以账面原值</w:t>
      </w:r>
      <w:r>
        <w:rPr>
          <w:spacing w:val="-53"/>
        </w:rPr>
        <w:t> </w:t>
      </w:r>
      <w:r>
        <w:rPr>
          <w:rFonts w:ascii="Times New Roman" w:hAnsi="Times New Roman" w:cs="Times New Roman" w:eastAsia="Times New Roman" w:hint="default"/>
        </w:rPr>
        <w:t>28,353,228.10</w:t>
      </w:r>
      <w:r>
        <w:rPr>
          <w:rFonts w:ascii="Times New Roman" w:hAnsi="Times New Roman" w:cs="Times New Roman" w:eastAsia="Times New Roman" w:hint="default"/>
          <w:spacing w:val="-1"/>
        </w:rPr>
        <w:t> </w:t>
      </w:r>
      <w:r>
        <w:rPr/>
        <w:t>元，净值</w:t>
      </w:r>
      <w:r>
        <w:rPr>
          <w:spacing w:val="-53"/>
        </w:rPr>
        <w:t> </w:t>
      </w:r>
      <w:r>
        <w:rPr>
          <w:rFonts w:ascii="Times New Roman" w:hAnsi="Times New Roman" w:cs="Times New Roman" w:eastAsia="Times New Roman" w:hint="default"/>
        </w:rPr>
        <w:t>19,942,207.82 </w:t>
      </w:r>
      <w:r>
        <w:rPr/>
        <w:t>元的设 备提供抵押担保；质押借款系以应收账款为担保向银行办理的保理融资业务</w:t>
      </w:r>
    </w:p>
    <w:p>
      <w:pPr>
        <w:spacing w:after="0" w:line="256" w:lineRule="auto"/>
        <w:jc w:val="left"/>
        <w:sectPr>
          <w:type w:val="continuous"/>
          <w:pgSz w:w="11910" w:h="16840"/>
          <w:pgMar w:top="1600" w:bottom="280" w:left="1660" w:right="680"/>
        </w:sectPr>
      </w:pPr>
    </w:p>
    <w:p>
      <w:pPr>
        <w:spacing w:line="240" w:lineRule="auto" w:before="1"/>
        <w:rPr>
          <w:rFonts w:ascii="宋体" w:hAnsi="宋体" w:cs="宋体" w:eastAsia="宋体" w:hint="default"/>
          <w:sz w:val="23"/>
          <w:szCs w:val="23"/>
        </w:rPr>
      </w:pPr>
    </w:p>
    <w:p>
      <w:pPr>
        <w:pStyle w:val="BodyText"/>
        <w:spacing w:line="240" w:lineRule="auto" w:before="35"/>
        <w:ind w:right="999"/>
        <w:jc w:val="left"/>
      </w:pPr>
      <w:r>
        <w:rPr>
          <w:rFonts w:ascii="Times New Roman" w:hAnsi="Times New Roman" w:cs="Times New Roman" w:eastAsia="Times New Roman" w:hint="default"/>
        </w:rPr>
        <w:t>13</w:t>
      </w:r>
      <w:r>
        <w:rPr/>
        <w:t>、</w:t>
      </w:r>
      <w:r>
        <w:rPr>
          <w:spacing w:val="-1"/>
        </w:rPr>
        <w:t> </w:t>
      </w:r>
      <w:r>
        <w:rPr/>
        <w:t>应付票据：</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种类</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银行承兑汇票</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289,000,000.00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289,000,000.00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145,000,000.00</w:t>
            </w:r>
          </w:p>
        </w:tc>
      </w:tr>
    </w:tbl>
    <w:p>
      <w:pPr>
        <w:pStyle w:val="BodyText"/>
        <w:spacing w:line="276" w:lineRule="exact"/>
        <w:ind w:right="999"/>
        <w:jc w:val="left"/>
      </w:pPr>
      <w:r>
        <w:rPr/>
        <w:t>下一会计期间将到期的金额</w:t>
      </w:r>
      <w:r>
        <w:rPr>
          <w:spacing w:val="-56"/>
        </w:rPr>
        <w:t> </w:t>
      </w:r>
      <w:r>
        <w:rPr>
          <w:rFonts w:ascii="Times New Roman" w:hAnsi="Times New Roman" w:cs="Times New Roman" w:eastAsia="Times New Roman" w:hint="default"/>
        </w:rPr>
        <w:t>289,000,000.00</w:t>
      </w:r>
      <w:r>
        <w:rPr>
          <w:rFonts w:ascii="Times New Roman" w:hAnsi="Times New Roman" w:cs="Times New Roman" w:eastAsia="Times New Roman" w:hint="default"/>
          <w:spacing w:val="-3"/>
        </w:rPr>
        <w:t> </w:t>
      </w:r>
      <w:r>
        <w:rPr/>
        <w:t>元。</w:t>
      </w:r>
    </w:p>
    <w:p>
      <w:pPr>
        <w:pStyle w:val="BodyText"/>
        <w:spacing w:line="240" w:lineRule="auto" w:before="21"/>
        <w:ind w:left="139" w:right="999"/>
        <w:jc w:val="left"/>
      </w:pPr>
      <w:r>
        <w:rPr/>
        <w:t>期末金额较期初金额增加</w:t>
      </w:r>
      <w:r>
        <w:rPr>
          <w:spacing w:val="-57"/>
        </w:rPr>
        <w:t> </w:t>
      </w:r>
      <w:r>
        <w:rPr>
          <w:rFonts w:ascii="Times New Roman" w:hAnsi="Times New Roman" w:cs="Times New Roman" w:eastAsia="Times New Roman" w:hint="default"/>
        </w:rPr>
        <w:t>144,000,000.00</w:t>
      </w:r>
      <w:r>
        <w:rPr>
          <w:rFonts w:ascii="Times New Roman" w:hAnsi="Times New Roman" w:cs="Times New Roman" w:eastAsia="Times New Roman" w:hint="default"/>
          <w:spacing w:val="-4"/>
        </w:rPr>
        <w:t> </w:t>
      </w:r>
      <w:r>
        <w:rPr/>
        <w:t>元，是由于开出票据未到承兑期。</w:t>
      </w:r>
    </w:p>
    <w:p>
      <w:pPr>
        <w:spacing w:line="240" w:lineRule="auto" w:before="11"/>
        <w:rPr>
          <w:rFonts w:ascii="宋体" w:hAnsi="宋体" w:cs="宋体" w:eastAsia="宋体" w:hint="default"/>
          <w:sz w:val="27"/>
          <w:szCs w:val="27"/>
        </w:rPr>
      </w:pPr>
    </w:p>
    <w:p>
      <w:pPr>
        <w:pStyle w:val="BodyText"/>
        <w:spacing w:line="240" w:lineRule="auto"/>
        <w:ind w:left="139" w:right="999"/>
        <w:jc w:val="left"/>
      </w:pPr>
      <w:r>
        <w:rPr>
          <w:rFonts w:ascii="Times New Roman" w:hAnsi="Times New Roman" w:cs="Times New Roman" w:eastAsia="Times New Roman" w:hint="default"/>
        </w:rPr>
        <w:t>14</w:t>
      </w:r>
      <w:r>
        <w:rPr/>
        <w:t>、</w:t>
      </w:r>
      <w:r>
        <w:rPr>
          <w:spacing w:val="-1"/>
        </w:rPr>
        <w:t> </w:t>
      </w:r>
      <w:r>
        <w:rPr/>
        <w:t>应付账款：</w:t>
      </w:r>
    </w:p>
    <w:p>
      <w:pPr>
        <w:pStyle w:val="BodyText"/>
        <w:spacing w:line="309" w:lineRule="auto" w:before="83"/>
        <w:ind w:left="139" w:right="1122" w:hanging="1"/>
        <w:jc w:val="left"/>
      </w:pPr>
      <w:r>
        <w:rPr>
          <w:rFonts w:ascii="Times New Roman" w:hAnsi="Times New Roman" w:cs="Times New Roman" w:eastAsia="Times New Roman" w:hint="default"/>
        </w:rPr>
        <w:t>(1) </w:t>
      </w:r>
      <w:r>
        <w:rPr/>
        <w:t>本报告期应付账款中应付持有公司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以上表决权股份的股东单位或关联方的款</w:t>
      </w:r>
      <w:r>
        <w:rPr>
          <w:w w:val="99"/>
        </w:rPr>
        <w:t> </w:t>
      </w:r>
      <w:r>
        <w:rPr/>
        <w:t>项情况</w:t>
      </w:r>
    </w:p>
    <w:p>
      <w:pPr>
        <w:pStyle w:val="BodyText"/>
        <w:spacing w:line="256" w:lineRule="auto" w:before="7"/>
        <w:ind w:left="139" w:right="1114" w:firstLine="212"/>
        <w:jc w:val="left"/>
      </w:pPr>
      <w:r>
        <w:rPr/>
        <w:t>本报告期应付账款中无应付持有公司 </w:t>
      </w:r>
      <w:r>
        <w:rPr>
          <w:rFonts w:ascii="Times New Roman" w:hAnsi="Times New Roman" w:cs="Times New Roman" w:eastAsia="Times New Roman" w:hint="default"/>
        </w:rPr>
        <w:t>5%(</w:t>
      </w:r>
      <w:r>
        <w:rPr/>
        <w:t>含</w:t>
      </w:r>
      <w:r>
        <w:rPr>
          <w:spacing w:val="29"/>
        </w:rPr>
        <w:t> </w:t>
      </w:r>
      <w:r>
        <w:rPr>
          <w:rFonts w:ascii="Times New Roman" w:hAnsi="Times New Roman" w:cs="Times New Roman" w:eastAsia="Times New Roman" w:hint="default"/>
        </w:rPr>
        <w:t>5%)</w:t>
      </w:r>
      <w:r>
        <w:rPr/>
        <w:t>以上表决权股份的股东单位或关联方的 款项。</w:t>
      </w:r>
    </w:p>
    <w:p>
      <w:pPr>
        <w:spacing w:line="240" w:lineRule="auto" w:before="12"/>
        <w:rPr>
          <w:rFonts w:ascii="宋体" w:hAnsi="宋体" w:cs="宋体" w:eastAsia="宋体" w:hint="default"/>
          <w:sz w:val="27"/>
          <w:szCs w:val="27"/>
        </w:rPr>
      </w:pPr>
    </w:p>
    <w:p>
      <w:pPr>
        <w:pStyle w:val="BodyText"/>
        <w:spacing w:line="240" w:lineRule="auto"/>
        <w:ind w:left="139" w:right="999"/>
        <w:jc w:val="left"/>
      </w:pPr>
      <w:r>
        <w:rPr>
          <w:rFonts w:ascii="Times New Roman" w:hAnsi="Times New Roman" w:cs="Times New Roman" w:eastAsia="Times New Roman" w:hint="default"/>
        </w:rPr>
        <w:t>(2)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年的大额应付账款情况的说明</w:t>
      </w:r>
    </w:p>
    <w:p>
      <w:pPr>
        <w:pStyle w:val="BodyText"/>
        <w:spacing w:line="256" w:lineRule="auto" w:before="52"/>
        <w:ind w:left="139" w:right="1070"/>
        <w:jc w:val="left"/>
      </w:pPr>
      <w:r>
        <w:rPr/>
        <w:t>期末账龄超过</w:t>
      </w:r>
      <w:r>
        <w:rPr>
          <w:spacing w:val="-56"/>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年的大额应付账款金额</w:t>
      </w:r>
      <w:r>
        <w:rPr>
          <w:spacing w:val="-56"/>
        </w:rPr>
        <w:t> </w:t>
      </w:r>
      <w:r>
        <w:rPr>
          <w:rFonts w:ascii="Times New Roman" w:hAnsi="Times New Roman" w:cs="Times New Roman" w:eastAsia="Times New Roman" w:hint="default"/>
        </w:rPr>
        <w:t>7,005,512.41</w:t>
      </w:r>
      <w:r>
        <w:rPr>
          <w:rFonts w:ascii="Times New Roman" w:hAnsi="Times New Roman" w:cs="Times New Roman" w:eastAsia="Times New Roman" w:hint="default"/>
          <w:spacing w:val="-3"/>
        </w:rPr>
        <w:t> </w:t>
      </w:r>
      <w:r>
        <w:rPr/>
        <w:t>元，主要系原材料采购款，尚未结算。 资产负债表日后尚未偿还。</w:t>
      </w:r>
    </w:p>
    <w:p>
      <w:pPr>
        <w:spacing w:line="240" w:lineRule="auto" w:before="12"/>
        <w:rPr>
          <w:rFonts w:ascii="宋体" w:hAnsi="宋体" w:cs="宋体" w:eastAsia="宋体" w:hint="default"/>
          <w:sz w:val="27"/>
          <w:szCs w:val="27"/>
        </w:rPr>
      </w:pPr>
    </w:p>
    <w:p>
      <w:pPr>
        <w:pStyle w:val="BodyText"/>
        <w:spacing w:line="240" w:lineRule="auto"/>
        <w:ind w:left="139" w:right="999"/>
        <w:jc w:val="left"/>
      </w:pPr>
      <w:r>
        <w:rPr>
          <w:rFonts w:ascii="Times New Roman" w:hAnsi="Times New Roman" w:cs="Times New Roman" w:eastAsia="Times New Roman" w:hint="default"/>
        </w:rPr>
        <w:t>15</w:t>
      </w:r>
      <w:r>
        <w:rPr/>
        <w:t>、</w:t>
      </w:r>
      <w:r>
        <w:rPr>
          <w:spacing w:val="-1"/>
        </w:rPr>
        <w:t> </w:t>
      </w:r>
      <w:r>
        <w:rPr/>
        <w:t>预收账款：</w:t>
      </w:r>
    </w:p>
    <w:p>
      <w:pPr>
        <w:pStyle w:val="BodyText"/>
        <w:spacing w:line="309" w:lineRule="auto" w:before="83"/>
        <w:ind w:right="1331" w:hanging="1"/>
        <w:jc w:val="left"/>
      </w:pPr>
      <w:r>
        <w:rPr>
          <w:rFonts w:ascii="Times New Roman" w:hAnsi="Times New Roman" w:cs="Times New Roman" w:eastAsia="Times New Roman" w:hint="default"/>
        </w:rPr>
        <w:t>(1) </w:t>
      </w:r>
      <w:r>
        <w:rPr/>
        <w:t>本报告期预收款项中预收持有公司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56" w:lineRule="auto" w:before="7"/>
        <w:ind w:right="1113" w:firstLine="212"/>
        <w:jc w:val="left"/>
      </w:pPr>
      <w:r>
        <w:rPr/>
        <w:t>本报告期预收账款中无预收持有公司 </w:t>
      </w:r>
      <w:r>
        <w:rPr>
          <w:rFonts w:ascii="Times New Roman" w:hAnsi="Times New Roman" w:cs="Times New Roman" w:eastAsia="Times New Roman" w:hint="default"/>
        </w:rPr>
        <w:t>5%(</w:t>
      </w:r>
      <w:r>
        <w:rPr/>
        <w:t>含</w:t>
      </w:r>
      <w:r>
        <w:rPr>
          <w:spacing w:val="29"/>
        </w:rPr>
        <w:t> </w:t>
      </w:r>
      <w:r>
        <w:rPr>
          <w:rFonts w:ascii="Times New Roman" w:hAnsi="Times New Roman" w:cs="Times New Roman" w:eastAsia="Times New Roman" w:hint="default"/>
        </w:rPr>
        <w:t>5%)</w:t>
      </w:r>
      <w:r>
        <w:rPr/>
        <w:t>以上表决权股份的股东单位或关联方的 款项。</w:t>
      </w:r>
    </w:p>
    <w:p>
      <w:pPr>
        <w:spacing w:line="240" w:lineRule="auto" w:before="12"/>
        <w:rPr>
          <w:rFonts w:ascii="宋体" w:hAnsi="宋体" w:cs="宋体" w:eastAsia="宋体" w:hint="default"/>
          <w:sz w:val="27"/>
          <w:szCs w:val="27"/>
        </w:rPr>
      </w:pPr>
    </w:p>
    <w:p>
      <w:pPr>
        <w:pStyle w:val="BodyText"/>
        <w:spacing w:line="240" w:lineRule="auto"/>
        <w:ind w:right="999"/>
        <w:jc w:val="left"/>
      </w:pPr>
      <w:r>
        <w:rPr>
          <w:rFonts w:ascii="Times New Roman" w:hAnsi="Times New Roman" w:cs="Times New Roman" w:eastAsia="Times New Roman" w:hint="default"/>
        </w:rPr>
        <w:t>(2)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年的大额预收账款情况的说明</w:t>
      </w:r>
    </w:p>
    <w:p>
      <w:pPr>
        <w:pStyle w:val="BodyText"/>
        <w:spacing w:line="240" w:lineRule="auto" w:before="52"/>
        <w:ind w:right="999"/>
        <w:jc w:val="left"/>
      </w:pPr>
      <w:r>
        <w:rPr/>
        <w:t>期末无账龄超过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年的大额预收款项。</w:t>
      </w:r>
    </w:p>
    <w:p>
      <w:pPr>
        <w:spacing w:line="240" w:lineRule="auto" w:before="2"/>
        <w:rPr>
          <w:rFonts w:ascii="宋体" w:hAnsi="宋体" w:cs="宋体" w:eastAsia="宋体" w:hint="default"/>
          <w:sz w:val="25"/>
          <w:szCs w:val="25"/>
        </w:rPr>
      </w:pPr>
    </w:p>
    <w:p>
      <w:pPr>
        <w:pStyle w:val="BodyText"/>
        <w:spacing w:line="240" w:lineRule="auto" w:before="35"/>
        <w:ind w:right="999"/>
        <w:jc w:val="left"/>
      </w:pPr>
      <w:r>
        <w:rPr>
          <w:rFonts w:ascii="Times New Roman" w:hAnsi="Times New Roman" w:cs="Times New Roman" w:eastAsia="Times New Roman" w:hint="default"/>
        </w:rPr>
        <w:t>16</w:t>
      </w:r>
      <w:r>
        <w:rPr/>
        <w:t>、</w:t>
      </w:r>
      <w:r>
        <w:rPr>
          <w:spacing w:val="-3"/>
        </w:rPr>
        <w:t> </w:t>
      </w:r>
      <w:r>
        <w:rPr/>
        <w:t>应付职工薪酬</w:t>
      </w:r>
    </w:p>
    <w:p>
      <w:pPr>
        <w:pStyle w:val="BodyText"/>
        <w:spacing w:line="240" w:lineRule="auto" w:before="52"/>
        <w:ind w:left="6242"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5"/>
              <w:jc w:val="right"/>
              <w:rPr>
                <w:rFonts w:ascii="宋体" w:hAnsi="宋体" w:cs="宋体" w:eastAsia="宋体" w:hint="default"/>
                <w:sz w:val="21"/>
                <w:szCs w:val="21"/>
              </w:rPr>
            </w:pPr>
            <w:r>
              <w:rPr>
                <w:rFonts w:ascii="宋体" w:hAnsi="宋体" w:cs="宋体" w:eastAsia="宋体" w:hint="default"/>
                <w:sz w:val="21"/>
                <w:szCs w:val="21"/>
              </w:rPr>
              <w:t>期初账面余额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7"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4"/>
              <w:jc w:val="right"/>
              <w:rPr>
                <w:rFonts w:ascii="宋体" w:hAnsi="宋体" w:cs="宋体" w:eastAsia="宋体" w:hint="default"/>
                <w:sz w:val="21"/>
                <w:szCs w:val="21"/>
              </w:rPr>
            </w:pPr>
            <w:r>
              <w:rPr>
                <w:rFonts w:ascii="宋体" w:hAnsi="宋体" w:cs="宋体" w:eastAsia="宋体" w:hint="default"/>
                <w:sz w:val="21"/>
                <w:szCs w:val="21"/>
              </w:rPr>
              <w:t>期末账面余额</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一、工资、奖金、津贴和补贴</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82,180,044.06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82,180,044.06</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二、职工福利费</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5,368,606.24</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5,368,606.24</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三、社会保险费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235,056.16</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21,338,806.71</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21,338,806.71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235,056.16</w:t>
            </w:r>
            <w:r>
              <w:rPr>
                <w:rFonts w:ascii="Times New Roman"/>
                <w:sz w:val="21"/>
              </w:rPr>
            </w: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宋体" w:hAnsi="宋体" w:cs="宋体" w:eastAsia="宋体" w:hint="default"/>
                <w:sz w:val="21"/>
                <w:szCs w:val="21"/>
              </w:rPr>
              <w:t>其中：</w:t>
            </w:r>
            <w:r>
              <w:rPr>
                <w:rFonts w:ascii="Times New Roman" w:hAnsi="Times New Roman" w:cs="Times New Roman" w:eastAsia="Times New Roman" w:hint="default"/>
                <w:sz w:val="21"/>
                <w:szCs w:val="21"/>
              </w:rPr>
              <w:t>1</w:t>
            </w:r>
            <w:r>
              <w:rPr>
                <w:rFonts w:ascii="宋体" w:hAnsi="宋体" w:cs="宋体" w:eastAsia="宋体" w:hint="default"/>
                <w:sz w:val="21"/>
                <w:szCs w:val="21"/>
              </w:rPr>
              <w:t>．医疗保险费</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3,841,918.59</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3,841,918.59</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9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w:t>
            </w:r>
            <w:r>
              <w:rPr>
                <w:rFonts w:ascii="宋体" w:hAnsi="宋体" w:cs="宋体" w:eastAsia="宋体" w:hint="default"/>
                <w:sz w:val="21"/>
                <w:szCs w:val="21"/>
              </w:rPr>
              <w:t>．基本养老保险费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214,157.43</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15,947,911.38</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15,947,911.38</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9"/>
              <w:jc w:val="right"/>
              <w:rPr>
                <w:rFonts w:ascii="Times New Roman" w:hAnsi="Times New Roman" w:cs="Times New Roman" w:eastAsia="Times New Roman" w:hint="default"/>
                <w:sz w:val="21"/>
                <w:szCs w:val="21"/>
              </w:rPr>
            </w:pPr>
            <w:r>
              <w:rPr>
                <w:rFonts w:ascii="Times New Roman"/>
                <w:spacing w:val="-1"/>
                <w:sz w:val="21"/>
              </w:rPr>
              <w:t>214,157.43</w:t>
            </w:r>
            <w:r>
              <w:rPr>
                <w:rFonts w:ascii="Times New Roman"/>
                <w:sz w:val="21"/>
              </w:rPr>
            </w: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w:t>
            </w:r>
            <w:r>
              <w:rPr>
                <w:rFonts w:ascii="宋体" w:hAnsi="宋体" w:cs="宋体" w:eastAsia="宋体" w:hint="default"/>
                <w:sz w:val="21"/>
                <w:szCs w:val="21"/>
              </w:rPr>
              <w:t>．失业保险费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1"/>
                <w:sz w:val="21"/>
              </w:rPr>
              <w:t>20,898.73</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448,659.75</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448,659.75</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7"/>
              <w:jc w:val="right"/>
              <w:rPr>
                <w:rFonts w:ascii="Times New Roman" w:hAnsi="Times New Roman" w:cs="Times New Roman" w:eastAsia="Times New Roman" w:hint="default"/>
                <w:sz w:val="21"/>
                <w:szCs w:val="21"/>
              </w:rPr>
            </w:pPr>
            <w:r>
              <w:rPr>
                <w:rFonts w:ascii="Times New Roman"/>
                <w:spacing w:val="-1"/>
                <w:sz w:val="21"/>
              </w:rPr>
              <w:t>20,898.73</w:t>
            </w:r>
          </w:p>
        </w:tc>
      </w:tr>
      <w:tr>
        <w:trPr>
          <w:trHeight w:val="390"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w:t>
            </w:r>
            <w:r>
              <w:rPr>
                <w:rFonts w:ascii="宋体" w:hAnsi="宋体" w:cs="宋体" w:eastAsia="宋体" w:hint="default"/>
                <w:sz w:val="21"/>
                <w:szCs w:val="21"/>
              </w:rPr>
              <w:t>．工伤保险费</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908,204.84</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100"/>
              <w:jc w:val="right"/>
              <w:rPr>
                <w:rFonts w:ascii="Times New Roman" w:hAnsi="Times New Roman" w:cs="Times New Roman" w:eastAsia="Times New Roman" w:hint="default"/>
                <w:sz w:val="21"/>
                <w:szCs w:val="21"/>
              </w:rPr>
            </w:pPr>
            <w:r>
              <w:rPr>
                <w:rFonts w:ascii="Times New Roman"/>
                <w:spacing w:val="-1"/>
                <w:sz w:val="21"/>
              </w:rPr>
              <w:t>908,204.84</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89"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52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5</w:t>
            </w:r>
            <w:r>
              <w:rPr>
                <w:rFonts w:ascii="宋体" w:hAnsi="宋体" w:cs="宋体" w:eastAsia="宋体" w:hint="default"/>
                <w:sz w:val="21"/>
                <w:szCs w:val="21"/>
              </w:rPr>
              <w:t>．生育保险费</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192,112.15</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5"/>
              <w:ind w:right="98"/>
              <w:jc w:val="right"/>
              <w:rPr>
                <w:rFonts w:ascii="Times New Roman" w:hAnsi="Times New Roman" w:cs="Times New Roman" w:eastAsia="Times New Roman" w:hint="default"/>
                <w:sz w:val="21"/>
                <w:szCs w:val="21"/>
              </w:rPr>
            </w:pPr>
            <w:r>
              <w:rPr>
                <w:rFonts w:ascii="Times New Roman"/>
                <w:spacing w:val="-2"/>
                <w:sz w:val="21"/>
              </w:rPr>
              <w:t>192,112.15</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四、住房公积金</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3,650,574.00</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3,650,574.00</w:t>
            </w: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五、辞退福利</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102"/>
        <w:gridCol w:w="1550"/>
        <w:gridCol w:w="1550"/>
        <w:gridCol w:w="1549"/>
        <w:gridCol w:w="1548"/>
      </w:tblGrid>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六、其他</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
        </w:tc>
        <w:tc>
          <w:tcPr>
            <w:tcW w:w="154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工会经费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558,108.53</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964,407.40</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434,738.80</w:t>
            </w:r>
            <w:r>
              <w:rPr>
                <w:rFonts w:ascii="Times New Roman"/>
                <w:sz w:val="21"/>
              </w:rPr>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1,087,777.13</w:t>
            </w:r>
          </w:p>
        </w:tc>
      </w:tr>
      <w:tr>
        <w:trPr>
          <w:trHeight w:val="326"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职工教育经费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823,639.36</w:t>
            </w:r>
            <w:r>
              <w:rPr>
                <w:rFonts w:ascii="Times New Roman"/>
                <w:sz w:val="21"/>
              </w:rPr>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723,305.55</w:t>
            </w:r>
            <w:r>
              <w:rPr>
                <w:rFonts w:ascii="Times New Roman"/>
                <w:sz w:val="21"/>
              </w:rPr>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423,110.70</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1,123,834.21</w:t>
            </w:r>
          </w:p>
        </w:tc>
      </w:tr>
      <w:tr>
        <w:trPr>
          <w:trHeight w:val="328" w:hRule="exact"/>
        </w:trPr>
        <w:tc>
          <w:tcPr>
            <w:tcW w:w="31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1,616,804.05</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114,225,743.96</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113,395,880.51</w:t>
            </w:r>
          </w:p>
        </w:tc>
        <w:tc>
          <w:tcPr>
            <w:tcW w:w="15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2,446,667.50</w:t>
            </w:r>
          </w:p>
        </w:tc>
      </w:tr>
    </w:tbl>
    <w:p>
      <w:pPr>
        <w:pStyle w:val="BodyText"/>
        <w:spacing w:line="276" w:lineRule="exact"/>
        <w:ind w:right="999"/>
        <w:jc w:val="left"/>
      </w:pPr>
      <w:r>
        <w:rPr/>
        <w:t>工会经费和职工教育经费金额</w:t>
      </w:r>
      <w:r>
        <w:rPr>
          <w:spacing w:val="-63"/>
        </w:rPr>
        <w:t> </w:t>
      </w:r>
      <w:r>
        <w:rPr>
          <w:rFonts w:ascii="Times New Roman" w:hAnsi="Times New Roman" w:cs="Times New Roman" w:eastAsia="Times New Roman" w:hint="default"/>
        </w:rPr>
        <w:t>2,211,611.34</w:t>
      </w:r>
      <w:r>
        <w:rPr>
          <w:rFonts w:ascii="Times New Roman" w:hAnsi="Times New Roman" w:cs="Times New Roman" w:eastAsia="Times New Roman" w:hint="default"/>
          <w:spacing w:val="-11"/>
        </w:rPr>
        <w:t> </w:t>
      </w:r>
      <w:r>
        <w:rPr/>
        <w:t>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3"/>
          <w:szCs w:val="23"/>
        </w:rPr>
      </w:pPr>
    </w:p>
    <w:p>
      <w:pPr>
        <w:pStyle w:val="BodyText"/>
        <w:spacing w:line="240" w:lineRule="auto" w:before="35"/>
        <w:ind w:right="999"/>
        <w:jc w:val="left"/>
      </w:pPr>
      <w:r>
        <w:rPr>
          <w:rFonts w:ascii="Times New Roman" w:hAnsi="Times New Roman" w:cs="Times New Roman" w:eastAsia="Times New Roman" w:hint="default"/>
        </w:rPr>
        <w:t>17</w:t>
      </w:r>
      <w:r>
        <w:rPr/>
        <w:t>、</w:t>
      </w:r>
      <w:r>
        <w:rPr>
          <w:spacing w:val="-1"/>
        </w:rPr>
        <w:t> </w:t>
      </w:r>
      <w:r>
        <w:rPr/>
        <w:t>应交税费：</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增值税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-2,846,496.59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49,070,674.96</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企业所得税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19,031,873.25</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个人所得税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15,059.81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8,317.60</w:t>
            </w:r>
            <w:r>
              <w:rPr>
                <w:rFonts w:ascii="Times New Roman"/>
                <w:sz w:val="21"/>
              </w:rPr>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7,392,052.13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房产税</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2,003,888.97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3100" w:type="dxa"/>
            <w:tcBorders>
              <w:top w:val="single" w:sz="6" w:space="0" w:color="000000"/>
              <w:left w:val="single" w:sz="6" w:space="0" w:color="000000"/>
              <w:bottom w:val="single" w:sz="6" w:space="0" w:color="000000"/>
              <w:right w:val="single" w:sz="6" w:space="0" w:color="000000"/>
            </w:tcBorders>
          </w:tcPr>
          <w:p>
            <w:pP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6,904,311.04</w:t>
            </w:r>
            <w:r>
              <w:rPr>
                <w:rFonts w:ascii="Times New Roman"/>
                <w:sz w:val="21"/>
              </w:rPr>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车船税</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280.00</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其他税费</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574.57</w:t>
            </w:r>
          </w:p>
        </w:tc>
        <w:tc>
          <w:tcPr>
            <w:tcW w:w="310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-2,830,582.21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84,411,117.95</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18</w:t>
      </w:r>
      <w:r>
        <w:rPr/>
        <w:t>、</w:t>
      </w:r>
      <w:r>
        <w:rPr>
          <w:spacing w:val="-3"/>
        </w:rPr>
        <w:t> </w:t>
      </w:r>
      <w:r>
        <w:rPr/>
        <w:t>其他应付款：</w:t>
      </w:r>
    </w:p>
    <w:p>
      <w:pPr>
        <w:pStyle w:val="BodyText"/>
        <w:spacing w:line="309" w:lineRule="auto" w:before="83"/>
        <w:ind w:right="1119" w:hanging="1"/>
        <w:jc w:val="left"/>
      </w:pPr>
      <w:r>
        <w:rPr>
          <w:rFonts w:ascii="Times New Roman" w:hAnsi="Times New Roman" w:cs="Times New Roman" w:eastAsia="Times New Roman" w:hint="default"/>
        </w:rPr>
        <w:t>(1) </w:t>
      </w:r>
      <w:r>
        <w:rPr/>
        <w:t>本报告期其他应付款中应付持有公司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以上表决权股份的股东单位或关联方情</w:t>
      </w:r>
      <w:r>
        <w:rPr>
          <w:w w:val="99"/>
        </w:rPr>
        <w:t> </w:t>
      </w:r>
      <w:r>
        <w:rPr/>
        <w:t>况</w:t>
      </w:r>
    </w:p>
    <w:p>
      <w:pPr>
        <w:pStyle w:val="BodyText"/>
        <w:spacing w:line="256" w:lineRule="auto" w:before="7"/>
        <w:ind w:right="1115" w:firstLine="212"/>
        <w:jc w:val="left"/>
      </w:pPr>
      <w:r>
        <w:rPr/>
        <w:t>本报告期其他应付款中无应付持有公司 </w:t>
      </w:r>
      <w:r>
        <w:rPr>
          <w:rFonts w:ascii="Times New Roman" w:hAnsi="Times New Roman" w:cs="Times New Roman" w:eastAsia="Times New Roman" w:hint="default"/>
        </w:rPr>
        <w:t>5%(</w:t>
      </w:r>
      <w:r>
        <w:rPr/>
        <w:t>含</w:t>
      </w:r>
      <w:r>
        <w:rPr>
          <w:spacing w:val="27"/>
        </w:rPr>
        <w:t> </w:t>
      </w:r>
      <w:r>
        <w:rPr>
          <w:rFonts w:ascii="Times New Roman" w:hAnsi="Times New Roman" w:cs="Times New Roman" w:eastAsia="Times New Roman" w:hint="default"/>
        </w:rPr>
        <w:t>5%)</w:t>
      </w:r>
      <w:r>
        <w:rPr/>
        <w:t>以上表决权股份的股东单位或关联方 的款项。</w:t>
      </w:r>
    </w:p>
    <w:p>
      <w:pPr>
        <w:spacing w:line="240" w:lineRule="auto" w:before="12"/>
        <w:rPr>
          <w:rFonts w:ascii="宋体" w:hAnsi="宋体" w:cs="宋体" w:eastAsia="宋体" w:hint="default"/>
          <w:sz w:val="27"/>
          <w:szCs w:val="27"/>
        </w:rPr>
      </w:pPr>
    </w:p>
    <w:p>
      <w:pPr>
        <w:pStyle w:val="BodyText"/>
        <w:spacing w:line="240" w:lineRule="auto"/>
        <w:ind w:right="999"/>
        <w:jc w:val="left"/>
      </w:pPr>
      <w:r>
        <w:rPr>
          <w:rFonts w:ascii="Times New Roman" w:hAnsi="Times New Roman" w:cs="Times New Roman" w:eastAsia="Times New Roman" w:hint="default"/>
        </w:rPr>
        <w:t>(2) </w:t>
      </w:r>
      <w:r>
        <w:rPr/>
        <w:t>账龄超过 </w:t>
      </w:r>
      <w:r>
        <w:rPr>
          <w:rFonts w:ascii="Times New Roman" w:hAnsi="Times New Roman" w:cs="Times New Roman" w:eastAsia="Times New Roman" w:hint="default"/>
        </w:rPr>
        <w:t>1</w:t>
      </w:r>
      <w:r>
        <w:rPr>
          <w:rFonts w:ascii="Times New Roman" w:hAnsi="Times New Roman" w:cs="Times New Roman" w:eastAsia="Times New Roman" w:hint="default"/>
          <w:spacing w:val="-5"/>
        </w:rPr>
        <w:t> </w:t>
      </w:r>
      <w:r>
        <w:rPr/>
        <w:t>年的大额其他应付款情况的说明</w:t>
      </w:r>
    </w:p>
    <w:p>
      <w:pPr>
        <w:pStyle w:val="BodyText"/>
        <w:spacing w:line="240" w:lineRule="auto" w:before="52"/>
        <w:ind w:right="999"/>
        <w:jc w:val="left"/>
      </w:pPr>
      <w:r>
        <w:rPr/>
        <w:t>期末无账龄超过</w:t>
      </w:r>
      <w:r>
        <w:rPr>
          <w:spacing w:val="-54"/>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年的大额其他应付款项。</w:t>
      </w:r>
    </w:p>
    <w:p>
      <w:pPr>
        <w:spacing w:line="240" w:lineRule="auto" w:before="2"/>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982" w:top="1100" w:bottom="1180" w:left="1660" w:right="680"/>
        </w:sectPr>
      </w:pPr>
    </w:p>
    <w:p>
      <w:pPr>
        <w:pStyle w:val="BodyText"/>
        <w:spacing w:line="240" w:lineRule="auto" w:before="35"/>
        <w:ind w:right="-16"/>
        <w:jc w:val="left"/>
      </w:pPr>
      <w:r>
        <w:rPr>
          <w:rFonts w:ascii="Times New Roman" w:hAnsi="Times New Roman" w:cs="Times New Roman" w:eastAsia="Times New Roman" w:hint="default"/>
        </w:rPr>
        <w:t>19</w:t>
      </w:r>
      <w:r>
        <w:rPr/>
        <w:t>、 </w:t>
      </w:r>
      <w:r>
        <w:rPr>
          <w:rFonts w:ascii="Times New Roman" w:hAnsi="Times New Roman" w:cs="Times New Roman" w:eastAsia="Times New Roman" w:hint="default"/>
        </w:rPr>
        <w:t>1</w:t>
      </w:r>
      <w:r>
        <w:rPr>
          <w:rFonts w:ascii="Times New Roman" w:hAnsi="Times New Roman" w:cs="Times New Roman" w:eastAsia="Times New Roman" w:hint="default"/>
          <w:spacing w:val="-3"/>
        </w:rPr>
        <w:t> </w:t>
      </w:r>
      <w:r>
        <w:rPr/>
        <w:t>年内到期的非流动负债：</w:t>
      </w:r>
    </w:p>
    <w:p>
      <w:pPr>
        <w:pStyle w:val="BodyText"/>
        <w:spacing w:line="240" w:lineRule="auto" w:before="83"/>
        <w:ind w:right="-16"/>
        <w:jc w:val="left"/>
      </w:pPr>
      <w:r>
        <w:rPr>
          <w:rFonts w:ascii="Times New Roman" w:hAnsi="Times New Roman" w:cs="Times New Roman" w:eastAsia="Times New Roman" w:hint="default"/>
        </w:rPr>
        <w:t>(1)  1</w:t>
      </w:r>
      <w:r>
        <w:rPr>
          <w:rFonts w:ascii="Times New Roman" w:hAnsi="Times New Roman" w:cs="Times New Roman" w:eastAsia="Times New Roman" w:hint="default"/>
          <w:spacing w:val="-4"/>
        </w:rPr>
        <w:t> </w:t>
      </w:r>
      <w:r>
        <w:rPr/>
        <w:t>年内到期的非流动负债情况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3168" w:space="2934"/>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年内到期的长期应付款</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25,000,000.00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25,000,000.00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25,000,000.00</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  1</w:t>
      </w:r>
      <w:r>
        <w:rPr>
          <w:rFonts w:ascii="Times New Roman" w:hAnsi="Times New Roman" w:cs="Times New Roman" w:eastAsia="Times New Roman" w:hint="default"/>
          <w:spacing w:val="-4"/>
        </w:rPr>
        <w:t> </w:t>
      </w:r>
      <w:r>
        <w:rPr/>
        <w:t>年内到期的长期应付款：</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68"/>
        <w:gridCol w:w="2366"/>
        <w:gridCol w:w="2368"/>
        <w:gridCol w:w="2198"/>
      </w:tblGrid>
      <w:tr>
        <w:trPr>
          <w:trHeight w:val="326"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借款单位</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期限</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5"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1"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40" w:hRule="exact"/>
        </w:trPr>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中国外贸金融租赁有限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36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23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44" w:right="0"/>
              <w:jc w:val="left"/>
              <w:rPr>
                <w:rFonts w:ascii="Times New Roman" w:hAnsi="Times New Roman" w:cs="Times New Roman" w:eastAsia="Times New Roman" w:hint="default"/>
                <w:sz w:val="21"/>
                <w:szCs w:val="21"/>
              </w:rPr>
            </w:pPr>
            <w:r>
              <w:rPr>
                <w:rFonts w:ascii="Times New Roman"/>
                <w:sz w:val="21"/>
              </w:rPr>
              <w:t>25,000,000.00</w:t>
            </w:r>
          </w:p>
        </w:tc>
        <w:tc>
          <w:tcPr>
            <w:tcW w:w="219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75" w:right="0"/>
              <w:jc w:val="left"/>
              <w:rPr>
                <w:rFonts w:ascii="Times New Roman" w:hAnsi="Times New Roman" w:cs="Times New Roman" w:eastAsia="Times New Roman" w:hint="default"/>
                <w:sz w:val="21"/>
                <w:szCs w:val="21"/>
              </w:rPr>
            </w:pPr>
            <w:r>
              <w:rPr>
                <w:rFonts w:ascii="Times New Roman"/>
                <w:sz w:val="21"/>
              </w:rPr>
              <w:t>25,000,000.00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180" w:right="680"/>
        </w:sectPr>
      </w:pPr>
    </w:p>
    <w:p>
      <w:pPr>
        <w:pStyle w:val="BodyText"/>
        <w:spacing w:line="240" w:lineRule="auto" w:before="35"/>
        <w:ind w:left="620" w:right="-17"/>
        <w:jc w:val="left"/>
      </w:pPr>
      <w:r>
        <w:rPr>
          <w:rFonts w:ascii="Times New Roman" w:hAnsi="Times New Roman" w:cs="Times New Roman" w:eastAsia="Times New Roman" w:hint="default"/>
        </w:rPr>
        <w:t>20</w:t>
      </w:r>
      <w:r>
        <w:rPr/>
        <w:t>、</w:t>
      </w:r>
      <w:r>
        <w:rPr>
          <w:spacing w:val="-3"/>
        </w:rPr>
        <w:t> </w:t>
      </w:r>
      <w:r>
        <w:rPr/>
        <w:t>长期应付款：</w:t>
      </w:r>
    </w:p>
    <w:p>
      <w:pPr>
        <w:pStyle w:val="BodyText"/>
        <w:spacing w:line="240" w:lineRule="auto" w:before="83"/>
        <w:ind w:left="620"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金额前五名长期应付款情况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left="620" w:right="0"/>
        <w:jc w:val="left"/>
      </w:pPr>
      <w:r>
        <w:rPr/>
        <w:t>单位：元</w:t>
      </w:r>
      <w:r>
        <w:rPr>
          <w:spacing w:val="-2"/>
        </w:rPr>
        <w:t> </w:t>
      </w:r>
      <w:r>
        <w:rPr/>
        <w:t>币种：人民币</w:t>
      </w:r>
    </w:p>
    <w:p>
      <w:pPr>
        <w:spacing w:after="0" w:line="240" w:lineRule="auto"/>
        <w:jc w:val="left"/>
        <w:sectPr>
          <w:type w:val="continuous"/>
          <w:pgSz w:w="11910" w:h="16840"/>
          <w:pgMar w:top="1600" w:bottom="280" w:left="1180" w:right="680"/>
          <w:cols w:num="2" w:equalWidth="0">
            <w:col w:w="3490" w:space="2612"/>
            <w:col w:w="3948"/>
          </w:cols>
        </w:sectPr>
      </w:pPr>
    </w:p>
    <w:p>
      <w:pPr>
        <w:spacing w:line="240" w:lineRule="auto" w:before="13"/>
        <w:rPr>
          <w:rFonts w:ascii="宋体" w:hAnsi="宋体" w:cs="宋体" w:eastAsia="宋体" w:hint="default"/>
          <w:sz w:val="3"/>
          <w:szCs w:val="3"/>
        </w:rPr>
      </w:pPr>
    </w:p>
    <w:tbl>
      <w:tblPr>
        <w:tblW w:w="0" w:type="auto"/>
        <w:jc w:val="left"/>
        <w:tblInd w:w="604"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326"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期限</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7" w:right="0"/>
              <w:jc w:val="left"/>
              <w:rPr>
                <w:rFonts w:ascii="宋体" w:hAnsi="宋体" w:cs="宋体" w:eastAsia="宋体" w:hint="default"/>
                <w:sz w:val="21"/>
                <w:szCs w:val="21"/>
              </w:rPr>
            </w:pPr>
            <w:r>
              <w:rPr>
                <w:rFonts w:ascii="宋体" w:hAnsi="宋体" w:cs="宋体" w:eastAsia="宋体" w:hint="default"/>
                <w:sz w:val="21"/>
                <w:szCs w:val="21"/>
              </w:rPr>
              <w:t>初始金额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60" w:right="0"/>
              <w:jc w:val="left"/>
              <w:rPr>
                <w:rFonts w:ascii="宋体" w:hAnsi="宋体" w:cs="宋体" w:eastAsia="宋体" w:hint="default"/>
                <w:sz w:val="21"/>
                <w:szCs w:val="21"/>
              </w:rPr>
            </w:pPr>
            <w:r>
              <w:rPr>
                <w:rFonts w:ascii="宋体" w:hAnsi="宋体" w:cs="宋体" w:eastAsia="宋体" w:hint="default"/>
                <w:sz w:val="21"/>
                <w:szCs w:val="21"/>
              </w:rPr>
              <w:t>利率（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7" w:right="0"/>
              <w:jc w:val="left"/>
              <w:rPr>
                <w:rFonts w:ascii="宋体" w:hAnsi="宋体" w:cs="宋体" w:eastAsia="宋体" w:hint="default"/>
                <w:sz w:val="21"/>
                <w:szCs w:val="21"/>
              </w:rPr>
            </w:pPr>
            <w:r>
              <w:rPr>
                <w:rFonts w:ascii="宋体" w:hAnsi="宋体" w:cs="宋体" w:eastAsia="宋体" w:hint="default"/>
                <w:sz w:val="21"/>
                <w:szCs w:val="21"/>
              </w:rPr>
              <w:t>应计利息</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48" w:right="0"/>
              <w:jc w:val="left"/>
              <w:rPr>
                <w:rFonts w:ascii="宋体" w:hAnsi="宋体" w:cs="宋体" w:eastAsia="宋体" w:hint="default"/>
                <w:sz w:val="21"/>
                <w:szCs w:val="21"/>
              </w:rPr>
            </w:pPr>
            <w:r>
              <w:rPr>
                <w:rFonts w:ascii="宋体" w:hAnsi="宋体" w:cs="宋体" w:eastAsia="宋体" w:hint="default"/>
                <w:sz w:val="21"/>
                <w:szCs w:val="21"/>
              </w:rPr>
              <w:t>期末余额</w:t>
            </w:r>
          </w:p>
        </w:tc>
      </w:tr>
      <w:tr>
        <w:trPr>
          <w:trHeight w:val="64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中国外贸金融</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租赁有限公司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4 </w:t>
            </w:r>
            <w:r>
              <w:rPr>
                <w:rFonts w:ascii="宋体" w:hAnsi="宋体" w:cs="宋体" w:eastAsia="宋体" w:hint="default"/>
                <w:sz w:val="21"/>
                <w:szCs w:val="21"/>
              </w:rPr>
              <w:t>年</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75,010,000.00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50,010,000.00</w:t>
            </w:r>
          </w:p>
        </w:tc>
      </w:tr>
      <w:tr>
        <w:trPr>
          <w:trHeight w:val="952"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中国信达资产</w:t>
            </w:r>
          </w:p>
          <w:p>
            <w:pPr>
              <w:pStyle w:val="TableParagraph"/>
              <w:spacing w:line="273" w:lineRule="auto" w:before="37"/>
              <w:ind w:left="100" w:right="98"/>
              <w:jc w:val="left"/>
              <w:rPr>
                <w:rFonts w:ascii="宋体" w:hAnsi="宋体" w:cs="宋体" w:eastAsia="宋体" w:hint="default"/>
                <w:sz w:val="21"/>
                <w:szCs w:val="21"/>
              </w:rPr>
            </w:pPr>
            <w:r>
              <w:rPr>
                <w:rFonts w:ascii="宋体" w:hAnsi="宋体" w:cs="宋体" w:eastAsia="宋体" w:hint="default"/>
                <w:spacing w:val="12"/>
                <w:sz w:val="21"/>
                <w:szCs w:val="21"/>
              </w:rPr>
              <w:t>管理公司哈尔</w:t>
            </w:r>
            <w:r>
              <w:rPr>
                <w:rFonts w:ascii="宋体" w:hAnsi="宋体" w:cs="宋体" w:eastAsia="宋体" w:hint="default"/>
                <w:sz w:val="21"/>
                <w:szCs w:val="21"/>
              </w:rPr>
              <w:t> 滨办事处</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4,380,000.00</w:t>
            </w:r>
          </w:p>
        </w:tc>
        <w:tc>
          <w:tcPr>
            <w:tcW w:w="1550" w:type="dxa"/>
            <w:tcBorders>
              <w:top w:val="single" w:sz="6" w:space="0" w:color="000000"/>
              <w:left w:val="single" w:sz="6" w:space="0" w:color="000000"/>
              <w:bottom w:val="single" w:sz="6" w:space="0" w:color="000000"/>
              <w:right w:val="single" w:sz="6" w:space="0" w:color="000000"/>
            </w:tcBorders>
          </w:tcPr>
          <w:p>
            <w:pPr/>
          </w:p>
        </w:tc>
        <w:tc>
          <w:tcPr>
            <w:tcW w:w="1550" w:type="dxa"/>
            <w:tcBorders>
              <w:top w:val="single" w:sz="6" w:space="0" w:color="000000"/>
              <w:left w:val="single" w:sz="6" w:space="0" w:color="000000"/>
              <w:bottom w:val="single" w:sz="6" w:space="0" w:color="000000"/>
              <w:right w:val="single" w:sz="6" w:space="0" w:color="000000"/>
            </w:tcBorders>
          </w:tcPr>
          <w:p>
            <w:pP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4,380,000.00</w:t>
            </w:r>
          </w:p>
        </w:tc>
      </w:tr>
    </w:tbl>
    <w:p>
      <w:pPr>
        <w:spacing w:line="240" w:lineRule="auto" w:before="5"/>
        <w:rPr>
          <w:rFonts w:ascii="宋体" w:hAnsi="宋体" w:cs="宋体" w:eastAsia="宋体" w:hint="default"/>
          <w:sz w:val="22"/>
          <w:szCs w:val="22"/>
        </w:rPr>
      </w:pPr>
    </w:p>
    <w:p>
      <w:pPr>
        <w:pStyle w:val="BodyText"/>
        <w:spacing w:line="240" w:lineRule="auto" w:before="35"/>
        <w:ind w:left="620" w:right="53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长期应付款中的应付融资租赁款明细</w:t>
      </w:r>
    </w:p>
    <w:p>
      <w:pPr>
        <w:pStyle w:val="BodyText"/>
        <w:spacing w:line="240" w:lineRule="auto" w:before="52"/>
        <w:ind w:left="0" w:right="1116"/>
        <w:jc w:val="right"/>
      </w:pPr>
      <w:r>
        <w:rPr/>
        <w:t>单位：元</w:t>
      </w:r>
    </w:p>
    <w:p>
      <w:pPr>
        <w:spacing w:line="240" w:lineRule="auto" w:before="13"/>
        <w:rPr>
          <w:rFonts w:ascii="宋体" w:hAnsi="宋体" w:cs="宋体" w:eastAsia="宋体" w:hint="default"/>
          <w:sz w:val="3"/>
          <w:szCs w:val="3"/>
        </w:rPr>
      </w:pPr>
    </w:p>
    <w:tbl>
      <w:tblPr>
        <w:tblW w:w="0" w:type="auto"/>
        <w:jc w:val="left"/>
        <w:tblInd w:w="604"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326" w:hRule="exact"/>
        </w:trPr>
        <w:tc>
          <w:tcPr>
            <w:tcW w:w="1973" w:type="dxa"/>
            <w:vMerge w:val="restart"/>
            <w:tcBorders>
              <w:top w:val="single" w:sz="6" w:space="0" w:color="000000"/>
              <w:left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单位</w:t>
            </w:r>
          </w:p>
        </w:tc>
        <w:tc>
          <w:tcPr>
            <w:tcW w:w="357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973" w:type="dxa"/>
            <w:vMerge/>
            <w:tcBorders>
              <w:left w:val="single" w:sz="6" w:space="0" w:color="000000"/>
              <w:bottom w:val="single" w:sz="6" w:space="0" w:color="000000"/>
              <w:right w:val="single" w:sz="6" w:space="0" w:color="000000"/>
            </w:tcBorders>
          </w:tcPr>
          <w:p>
            <w:pP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外币</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6" w:right="0"/>
              <w:jc w:val="left"/>
              <w:rPr>
                <w:rFonts w:ascii="宋体" w:hAnsi="宋体" w:cs="宋体" w:eastAsia="宋体" w:hint="default"/>
                <w:sz w:val="21"/>
                <w:szCs w:val="21"/>
              </w:rPr>
            </w:pPr>
            <w:r>
              <w:rPr>
                <w:rFonts w:ascii="宋体" w:hAnsi="宋体" w:cs="宋体" w:eastAsia="宋体" w:hint="default"/>
                <w:sz w:val="21"/>
                <w:szCs w:val="21"/>
              </w:rPr>
              <w:t>人民币</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外币</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16" w:right="0"/>
              <w:jc w:val="left"/>
              <w:rPr>
                <w:rFonts w:ascii="宋体" w:hAnsi="宋体" w:cs="宋体" w:eastAsia="宋体" w:hint="default"/>
                <w:sz w:val="21"/>
                <w:szCs w:val="21"/>
              </w:rPr>
            </w:pPr>
            <w:r>
              <w:rPr>
                <w:rFonts w:ascii="宋体" w:hAnsi="宋体" w:cs="宋体" w:eastAsia="宋体" w:hint="default"/>
                <w:sz w:val="21"/>
                <w:szCs w:val="21"/>
              </w:rPr>
              <w:t>人民币</w:t>
            </w:r>
          </w:p>
        </w:tc>
      </w:tr>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中国外贸金融租赁</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556" w:right="0"/>
              <w:jc w:val="left"/>
              <w:rPr>
                <w:rFonts w:ascii="Times New Roman" w:hAnsi="Times New Roman" w:cs="Times New Roman" w:eastAsia="Times New Roman" w:hint="default"/>
                <w:sz w:val="21"/>
                <w:szCs w:val="21"/>
              </w:rPr>
            </w:pPr>
            <w:r>
              <w:rPr>
                <w:rFonts w:ascii="Times New Roman"/>
                <w:sz w:val="21"/>
              </w:rPr>
              <w:t>75,010,000.00</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51" w:right="0"/>
              <w:jc w:val="left"/>
              <w:rPr>
                <w:rFonts w:ascii="Times New Roman" w:hAnsi="Times New Roman" w:cs="Times New Roman" w:eastAsia="Times New Roman" w:hint="default"/>
                <w:sz w:val="21"/>
                <w:szCs w:val="21"/>
              </w:rPr>
            </w:pPr>
            <w:r>
              <w:rPr>
                <w:rFonts w:ascii="Times New Roman"/>
                <w:sz w:val="21"/>
              </w:rPr>
              <w:t>100,010,000.00</w:t>
            </w:r>
          </w:p>
        </w:tc>
      </w:tr>
    </w:tbl>
    <w:p>
      <w:pPr>
        <w:spacing w:line="240" w:lineRule="auto" w:before="5"/>
        <w:rPr>
          <w:rFonts w:ascii="宋体" w:hAnsi="宋体" w:cs="宋体" w:eastAsia="宋体" w:hint="default"/>
          <w:sz w:val="22"/>
          <w:szCs w:val="22"/>
        </w:rPr>
      </w:pPr>
    </w:p>
    <w:p>
      <w:pPr>
        <w:pStyle w:val="BodyText"/>
        <w:spacing w:line="240" w:lineRule="auto" w:before="35"/>
        <w:ind w:left="620" w:right="534"/>
        <w:jc w:val="left"/>
      </w:pPr>
      <w:r>
        <w:rPr>
          <w:rFonts w:ascii="Times New Roman" w:hAnsi="Times New Roman" w:cs="Times New Roman" w:eastAsia="Times New Roman" w:hint="default"/>
        </w:rPr>
        <w:t>21</w:t>
      </w:r>
      <w:r>
        <w:rPr/>
        <w:t>、</w:t>
      </w:r>
      <w:r>
        <w:rPr>
          <w:spacing w:val="-3"/>
        </w:rPr>
        <w:t> </w:t>
      </w:r>
      <w:r>
        <w:rPr/>
        <w:t>其他非流动负债：</w:t>
      </w:r>
    </w:p>
    <w:p>
      <w:pPr>
        <w:pStyle w:val="BodyText"/>
        <w:spacing w:line="240" w:lineRule="auto" w:before="52"/>
        <w:ind w:left="0" w:right="1116"/>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16" w:type="dxa"/>
        <w:tblLayout w:type="fixed"/>
        <w:tblCellMar>
          <w:top w:w="0" w:type="dxa"/>
          <w:left w:w="0" w:type="dxa"/>
          <w:bottom w:w="0" w:type="dxa"/>
          <w:right w:w="0" w:type="dxa"/>
        </w:tblCellMar>
        <w:tblLook w:val="01E0"/>
      </w:tblPr>
      <w:tblGrid>
        <w:gridCol w:w="3475"/>
        <w:gridCol w:w="2911"/>
        <w:gridCol w:w="2914"/>
      </w:tblGrid>
      <w:tr>
        <w:trPr>
          <w:trHeight w:val="326"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8" w:right="0"/>
              <w:jc w:val="left"/>
              <w:rPr>
                <w:rFonts w:ascii="宋体" w:hAnsi="宋体" w:cs="宋体" w:eastAsia="宋体" w:hint="default"/>
                <w:sz w:val="21"/>
                <w:szCs w:val="21"/>
              </w:rPr>
            </w:pPr>
            <w:r>
              <w:rPr>
                <w:rFonts w:ascii="宋体" w:hAnsi="宋体" w:cs="宋体" w:eastAsia="宋体" w:hint="default"/>
                <w:sz w:val="21"/>
                <w:szCs w:val="21"/>
              </w:rPr>
              <w:t>期末账面余额</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19" w:right="0"/>
              <w:jc w:val="left"/>
              <w:rPr>
                <w:rFonts w:ascii="宋体" w:hAnsi="宋体" w:cs="宋体" w:eastAsia="宋体" w:hint="default"/>
                <w:sz w:val="21"/>
                <w:szCs w:val="21"/>
              </w:rPr>
            </w:pPr>
            <w:r>
              <w:rPr>
                <w:rFonts w:ascii="宋体" w:hAnsi="宋体" w:cs="宋体" w:eastAsia="宋体" w:hint="default"/>
                <w:sz w:val="21"/>
                <w:szCs w:val="21"/>
              </w:rPr>
              <w:t>期初账面余额</w:t>
            </w:r>
          </w:p>
        </w:tc>
      </w:tr>
      <w:tr>
        <w:trPr>
          <w:trHeight w:val="32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污水处理项目补助</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9,000,000.00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9,000,000.00</w:t>
            </w:r>
          </w:p>
        </w:tc>
      </w:tr>
      <w:tr>
        <w:trPr>
          <w:trHeight w:val="326"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工艺系统能量优化项目补助</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11,760,000.00</w:t>
            </w:r>
          </w:p>
        </w:tc>
        <w:tc>
          <w:tcPr>
            <w:tcW w:w="291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4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91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20,760,000.00</w:t>
            </w:r>
          </w:p>
        </w:tc>
        <w:tc>
          <w:tcPr>
            <w:tcW w:w="291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9,000,000.00</w:t>
            </w:r>
          </w:p>
        </w:tc>
      </w:tr>
    </w:tbl>
    <w:p>
      <w:pPr>
        <w:pStyle w:val="BodyText"/>
        <w:spacing w:line="260" w:lineRule="exact"/>
        <w:ind w:left="620" w:right="534"/>
        <w:jc w:val="left"/>
      </w:pPr>
      <w:r>
        <w:rPr/>
        <w:t>污水处理项目补助为国家发展改革委为治理松花江流域水质拨款，用于污水处理项目投资，</w:t>
      </w:r>
    </w:p>
    <w:p>
      <w:pPr>
        <w:pStyle w:val="BodyText"/>
        <w:spacing w:line="273" w:lineRule="auto" w:before="37"/>
        <w:ind w:left="620" w:right="534"/>
        <w:jc w:val="left"/>
      </w:pPr>
      <w:r>
        <w:rPr/>
        <w:t>对本期损益未产生影响。 </w:t>
      </w:r>
      <w:r>
        <w:rPr>
          <w:spacing w:val="-3"/>
        </w:rPr>
        <w:t>工艺系统能量优化项目补助为本公司收到财政部节能技术改造财政资金，对本期损益未产生</w:t>
      </w:r>
      <w:r>
        <w:rPr>
          <w:spacing w:val="-79"/>
        </w:rPr>
        <w:t> </w:t>
      </w:r>
      <w:r>
        <w:rPr>
          <w:spacing w:val="-79"/>
        </w:rPr>
      </w:r>
      <w:r>
        <w:rPr/>
        <w:t>影响。</w:t>
      </w:r>
    </w:p>
    <w:p>
      <w:pPr>
        <w:spacing w:line="240" w:lineRule="auto" w:before="2"/>
        <w:rPr>
          <w:rFonts w:ascii="宋体" w:hAnsi="宋体" w:cs="宋体" w:eastAsia="宋体" w:hint="default"/>
          <w:sz w:val="24"/>
          <w:szCs w:val="24"/>
        </w:rPr>
      </w:pPr>
    </w:p>
    <w:p>
      <w:pPr>
        <w:pStyle w:val="BodyText"/>
        <w:spacing w:line="240" w:lineRule="auto" w:before="35"/>
        <w:ind w:left="620" w:right="534"/>
        <w:jc w:val="left"/>
      </w:pPr>
      <w:r>
        <w:rPr>
          <w:rFonts w:ascii="Times New Roman" w:hAnsi="Times New Roman" w:cs="Times New Roman" w:eastAsia="Times New Roman" w:hint="default"/>
        </w:rPr>
        <w:t>22</w:t>
      </w:r>
      <w:r>
        <w:rPr/>
        <w:t>、</w:t>
      </w:r>
      <w:r>
        <w:rPr>
          <w:spacing w:val="-1"/>
        </w:rPr>
        <w:t> </w:t>
      </w:r>
      <w:r>
        <w:rPr/>
        <w:t>股本：</w:t>
      </w:r>
    </w:p>
    <w:p>
      <w:pPr>
        <w:pStyle w:val="BodyText"/>
        <w:spacing w:line="240" w:lineRule="auto" w:before="52"/>
        <w:ind w:left="0" w:right="1116"/>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604" w:type="dxa"/>
        <w:tblLayout w:type="fixed"/>
        <w:tblCellMar>
          <w:top w:w="0" w:type="dxa"/>
          <w:left w:w="0" w:type="dxa"/>
          <w:bottom w:w="0" w:type="dxa"/>
          <w:right w:w="0" w:type="dxa"/>
        </w:tblCellMar>
        <w:tblLook w:val="01E0"/>
      </w:tblPr>
      <w:tblGrid>
        <w:gridCol w:w="913"/>
        <w:gridCol w:w="1529"/>
        <w:gridCol w:w="1008"/>
        <w:gridCol w:w="1009"/>
        <w:gridCol w:w="1009"/>
        <w:gridCol w:w="1009"/>
        <w:gridCol w:w="1294"/>
        <w:gridCol w:w="1529"/>
      </w:tblGrid>
      <w:tr>
        <w:trPr>
          <w:trHeight w:val="328" w:hRule="exact"/>
        </w:trPr>
        <w:tc>
          <w:tcPr>
            <w:tcW w:w="913" w:type="dxa"/>
            <w:vMerge w:val="restart"/>
            <w:tcBorders>
              <w:top w:val="single" w:sz="6" w:space="0" w:color="000000"/>
              <w:left w:val="single" w:sz="6" w:space="0" w:color="000000"/>
              <w:right w:val="single" w:sz="6" w:space="0" w:color="000000"/>
            </w:tcBorders>
          </w:tcPr>
          <w:p>
            <w:pP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5329" w:type="dxa"/>
            <w:gridSpan w:val="5"/>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617" w:right="0"/>
              <w:jc w:val="left"/>
              <w:rPr>
                <w:rFonts w:ascii="宋体" w:hAnsi="宋体" w:cs="宋体" w:eastAsia="宋体" w:hint="default"/>
                <w:sz w:val="21"/>
                <w:szCs w:val="21"/>
              </w:rPr>
            </w:pPr>
            <w:r>
              <w:rPr>
                <w:rFonts w:ascii="宋体" w:hAnsi="宋体" w:cs="宋体" w:eastAsia="宋体" w:hint="default"/>
                <w:sz w:val="21"/>
                <w:szCs w:val="21"/>
              </w:rPr>
              <w:t>本次变动增减（</w:t>
            </w:r>
            <w:r>
              <w:rPr>
                <w:rFonts w:ascii="Times New Roman" w:hAnsi="Times New Roman" w:cs="Times New Roman" w:eastAsia="Times New Roman" w:hint="default"/>
                <w:sz w:val="21"/>
                <w:szCs w:val="21"/>
              </w:rPr>
              <w:t>+</w:t>
            </w: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441"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638" w:hRule="exact"/>
        </w:trPr>
        <w:tc>
          <w:tcPr>
            <w:tcW w:w="913" w:type="dxa"/>
            <w:vMerge/>
            <w:tcBorders>
              <w:left w:val="single" w:sz="6" w:space="0" w:color="000000"/>
              <w:bottom w:val="single" w:sz="6" w:space="0" w:color="000000"/>
              <w:right w:val="single" w:sz="6" w:space="0" w:color="000000"/>
            </w:tcBorders>
          </w:tcPr>
          <w:p>
            <w:pPr/>
          </w:p>
        </w:tc>
        <w:tc>
          <w:tcPr>
            <w:tcW w:w="1529" w:type="dxa"/>
            <w:vMerge/>
            <w:tcBorders>
              <w:left w:val="single" w:sz="6" w:space="0" w:color="000000"/>
              <w:bottom w:val="single" w:sz="6" w:space="0" w:color="000000"/>
              <w:right w:val="single" w:sz="6" w:space="0" w:color="000000"/>
            </w:tcBorders>
          </w:tcPr>
          <w:p>
            <w:pPr/>
          </w:p>
        </w:tc>
        <w:tc>
          <w:tcPr>
            <w:tcW w:w="10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发行新</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6" w:right="0"/>
              <w:jc w:val="left"/>
              <w:rPr>
                <w:rFonts w:ascii="宋体" w:hAnsi="宋体" w:cs="宋体" w:eastAsia="宋体" w:hint="default"/>
                <w:sz w:val="21"/>
                <w:szCs w:val="21"/>
              </w:rPr>
            </w:pPr>
            <w:r>
              <w:rPr>
                <w:rFonts w:ascii="宋体" w:hAnsi="宋体" w:cs="宋体" w:eastAsia="宋体" w:hint="default"/>
                <w:sz w:val="21"/>
                <w:szCs w:val="21"/>
              </w:rPr>
              <w:t>送股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公积金</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转股</w:t>
            </w:r>
          </w:p>
        </w:tc>
        <w:tc>
          <w:tcPr>
            <w:tcW w:w="100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8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2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小计</w:t>
            </w:r>
          </w:p>
        </w:tc>
        <w:tc>
          <w:tcPr>
            <w:tcW w:w="1529" w:type="dxa"/>
            <w:vMerge/>
            <w:tcBorders>
              <w:left w:val="single" w:sz="6" w:space="0" w:color="000000"/>
              <w:bottom w:val="single" w:sz="6" w:space="0" w:color="000000"/>
              <w:right w:val="single" w:sz="6" w:space="0" w:color="000000"/>
            </w:tcBorders>
          </w:tcPr>
          <w:p>
            <w:pPr/>
          </w:p>
        </w:tc>
      </w:tr>
      <w:tr>
        <w:trPr>
          <w:trHeight w:val="640" w:hRule="exact"/>
        </w:trPr>
        <w:tc>
          <w:tcPr>
            <w:tcW w:w="9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股份总</w:t>
            </w:r>
            <w:r>
              <w:rPr>
                <w:rFonts w:ascii="宋体" w:hAnsi="宋体" w:cs="宋体" w:eastAsia="宋体" w:hint="default"/>
                <w:spacing w:val="-72"/>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数</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194,781,133.00</w:t>
            </w:r>
          </w:p>
        </w:tc>
        <w:tc>
          <w:tcPr>
            <w:tcW w:w="1008"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009" w:type="dxa"/>
            <w:tcBorders>
              <w:top w:val="single" w:sz="6" w:space="0" w:color="000000"/>
              <w:left w:val="single" w:sz="6" w:space="0" w:color="000000"/>
              <w:bottom w:val="single" w:sz="6" w:space="0" w:color="000000"/>
              <w:right w:val="single" w:sz="6" w:space="0" w:color="000000"/>
            </w:tcBorders>
          </w:tcPr>
          <w:p>
            <w:pPr/>
          </w:p>
        </w:tc>
        <w:tc>
          <w:tcPr>
            <w:tcW w:w="12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194,781,133.00</w:t>
            </w:r>
          </w:p>
        </w:tc>
      </w:tr>
    </w:tbl>
    <w:p>
      <w:pPr>
        <w:spacing w:line="240" w:lineRule="auto" w:before="5"/>
        <w:rPr>
          <w:rFonts w:ascii="宋体" w:hAnsi="宋体" w:cs="宋体" w:eastAsia="宋体" w:hint="default"/>
          <w:sz w:val="22"/>
          <w:szCs w:val="22"/>
        </w:rPr>
      </w:pPr>
    </w:p>
    <w:p>
      <w:pPr>
        <w:pStyle w:val="BodyText"/>
        <w:spacing w:line="240" w:lineRule="auto" w:before="35"/>
        <w:ind w:left="620" w:right="534"/>
        <w:jc w:val="left"/>
      </w:pPr>
      <w:r>
        <w:rPr>
          <w:rFonts w:ascii="Times New Roman" w:hAnsi="Times New Roman" w:cs="Times New Roman" w:eastAsia="Times New Roman" w:hint="default"/>
        </w:rPr>
        <w:t>23</w:t>
      </w:r>
      <w:r>
        <w:rPr/>
        <w:t>、</w:t>
      </w:r>
      <w:r>
        <w:rPr>
          <w:spacing w:val="-1"/>
        </w:rPr>
        <w:t> </w:t>
      </w:r>
      <w:r>
        <w:rPr/>
        <w:t>资本公积：</w:t>
      </w:r>
    </w:p>
    <w:p>
      <w:pPr>
        <w:pStyle w:val="BodyText"/>
        <w:spacing w:line="240" w:lineRule="auto" w:before="52"/>
        <w:ind w:left="0" w:right="1116"/>
        <w:jc w:val="righ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604" w:type="dxa"/>
        <w:tblLayout w:type="fixed"/>
        <w:tblCellMar>
          <w:top w:w="0" w:type="dxa"/>
          <w:left w:w="0" w:type="dxa"/>
          <w:bottom w:w="0" w:type="dxa"/>
          <w:right w:w="0" w:type="dxa"/>
        </w:tblCellMar>
        <w:tblLook w:val="01E0"/>
      </w:tblPr>
      <w:tblGrid>
        <w:gridCol w:w="2324"/>
        <w:gridCol w:w="1744"/>
        <w:gridCol w:w="1745"/>
        <w:gridCol w:w="1744"/>
        <w:gridCol w:w="1744"/>
      </w:tblGrid>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74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4"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49"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6"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资本溢价（股本溢价）</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297,766,293.68</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297,766,293.68</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其他资本公积</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27,871,045.88</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27,871,045.88</w:t>
            </w:r>
          </w:p>
        </w:tc>
      </w:tr>
      <w:tr>
        <w:trPr>
          <w:trHeight w:val="328" w:hRule="exact"/>
        </w:trPr>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325,637,339.56</w:t>
            </w:r>
          </w:p>
        </w:tc>
        <w:tc>
          <w:tcPr>
            <w:tcW w:w="1745"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
        </w:tc>
        <w:tc>
          <w:tcPr>
            <w:tcW w:w="174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325,637,339.56</w:t>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18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5"/>
        <w:ind w:right="999"/>
        <w:jc w:val="left"/>
      </w:pPr>
      <w:r>
        <w:rPr>
          <w:rFonts w:ascii="Times New Roman" w:hAnsi="Times New Roman" w:cs="Times New Roman" w:eastAsia="Times New Roman" w:hint="default"/>
        </w:rPr>
        <w:t>24</w:t>
      </w:r>
      <w:r>
        <w:rPr/>
        <w:t>、</w:t>
      </w:r>
      <w:r>
        <w:rPr>
          <w:spacing w:val="-1"/>
        </w:rPr>
        <w:t> </w:t>
      </w:r>
      <w:r>
        <w:rPr/>
        <w:t>盈余公积：</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7" w:right="0"/>
              <w:jc w:val="left"/>
              <w:rPr>
                <w:rFonts w:ascii="宋体" w:hAnsi="宋体" w:cs="宋体" w:eastAsia="宋体" w:hint="default"/>
                <w:sz w:val="21"/>
                <w:szCs w:val="21"/>
              </w:rPr>
            </w:pPr>
            <w:r>
              <w:rPr>
                <w:rFonts w:ascii="宋体" w:hAnsi="宋体" w:cs="宋体" w:eastAsia="宋体" w:hint="default"/>
                <w:sz w:val="21"/>
                <w:szCs w:val="21"/>
              </w:rPr>
              <w:t>期初数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本期增加</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本期减少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06" w:right="0"/>
              <w:jc w:val="left"/>
              <w:rPr>
                <w:rFonts w:ascii="宋体" w:hAnsi="宋体" w:cs="宋体" w:eastAsia="宋体" w:hint="default"/>
                <w:sz w:val="21"/>
                <w:szCs w:val="21"/>
              </w:rPr>
            </w:pPr>
            <w:r>
              <w:rPr>
                <w:rFonts w:ascii="宋体" w:hAnsi="宋体" w:cs="宋体" w:eastAsia="宋体" w:hint="default"/>
                <w:sz w:val="21"/>
                <w:szCs w:val="21"/>
              </w:rPr>
              <w:t>期末数</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法定盈余公积</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28,067,460.06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28,067,460.06</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28,067,460.06</w:t>
            </w: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28,067,460.06</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25</w:t>
      </w:r>
      <w:r>
        <w:rPr/>
        <w:t>、</w:t>
      </w:r>
      <w:r>
        <w:rPr>
          <w:spacing w:val="-3"/>
        </w:rPr>
        <w:t> </w:t>
      </w:r>
      <w:r>
        <w:rPr/>
        <w:t>未分配利润：</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提取或分配比例（％）</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调整前</w:t>
            </w:r>
            <w:r>
              <w:rPr>
                <w:rFonts w:ascii="宋体" w:hAnsi="宋体" w:cs="宋体" w:eastAsia="宋体" w:hint="default"/>
                <w:spacing w:val="-2"/>
                <w:sz w:val="21"/>
                <w:szCs w:val="21"/>
              </w:rPr>
              <w:t> </w:t>
            </w:r>
            <w:r>
              <w:rPr>
                <w:rFonts w:ascii="宋体" w:hAnsi="宋体" w:cs="宋体" w:eastAsia="宋体" w:hint="default"/>
                <w:sz w:val="21"/>
                <w:szCs w:val="21"/>
              </w:rPr>
              <w:t>上年末未分配利润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-130,519,494.41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调整后</w:t>
            </w:r>
            <w:r>
              <w:rPr>
                <w:rFonts w:ascii="宋体" w:hAnsi="宋体" w:cs="宋体" w:eastAsia="宋体" w:hint="default"/>
                <w:spacing w:val="-2"/>
                <w:sz w:val="21"/>
                <w:szCs w:val="21"/>
              </w:rPr>
              <w:t> </w:t>
            </w:r>
            <w:r>
              <w:rPr>
                <w:rFonts w:ascii="宋体" w:hAnsi="宋体" w:cs="宋体" w:eastAsia="宋体" w:hint="default"/>
                <w:sz w:val="21"/>
                <w:szCs w:val="21"/>
              </w:rPr>
              <w:t>年初未分配利润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-130,519,494.41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5"/>
                <w:sz w:val="21"/>
                <w:szCs w:val="21"/>
              </w:rPr>
              <w:t>加：本期归属于母公司所有者的</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16,736,905.50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期末未分配利润</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2"/>
                <w:sz w:val="21"/>
              </w:rPr>
              <w:t>-113,782,588.91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26</w:t>
      </w:r>
      <w:r>
        <w:rPr/>
        <w:t>、</w:t>
      </w:r>
      <w:r>
        <w:rPr>
          <w:spacing w:val="-3"/>
        </w:rPr>
        <w:t> </w:t>
      </w:r>
      <w:r>
        <w:rPr/>
        <w:t>营业收入和营业成本：</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765" w:space="3337"/>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1,477,059,812.99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1,320,020,156.96</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97,704,367.89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141,755,297.17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1,573,051,409.48</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1,577,029,559.18</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主营业务（分产品）</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8"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984,841,098.15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916,683,091.77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756,151,947.89</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799,301,403.83</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245,397,456.37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290,236,046.19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331,702,667.81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334,938,393.21</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31,223,951.31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32,652,177.75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26,480,066.40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28,040,860.01</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58,288,589.69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48,590,428.48</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52,848,273.41</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59,553,799.32</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130,494,035.31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121,134,831.64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89,821,177.65</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90,986,642.85</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17,065,150.97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31,681,481.81</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56,042,532.22</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108,821,474.97</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硫酸铵</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2,674,986.69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4,720,655.77</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3,448,536.26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5,790,078.40</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液氧</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136,731.61</w:t>
            </w:r>
            <w:r>
              <w:rPr>
                <w:rFonts w:ascii="Times New Roman"/>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118,358.95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429,000.02</w:t>
            </w:r>
            <w:r>
              <w:rPr>
                <w:rFonts w:ascii="Times New Roman"/>
                <w:sz w:val="21"/>
              </w:rPr>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429,000.02</w:t>
            </w:r>
            <w:r>
              <w:rPr>
                <w:rFonts w:ascii="Times New Roman"/>
                <w:sz w:val="21"/>
              </w:rPr>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硫磺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29,610.25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29,614.52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18,669.00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18,669.00</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合成氨</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3,716,110.14</w:t>
            </w:r>
            <w:r>
              <w:rPr>
                <w:rFonts w:ascii="Times New Roman"/>
                <w:sz w:val="21"/>
              </w:rPr>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5,714,236.36</w:t>
            </w: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3,192,092.50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3,258,040.05</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3,077,286.30</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2,996,379.56</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1,477,059,812.99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1,454,818,963.29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1,320,020,156.96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1,430,876,701.17</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主营业务（分地区）</w:t>
      </w:r>
    </w:p>
    <w:p>
      <w:pPr>
        <w:spacing w:after="0" w:line="240"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786"/>
        <w:gridCol w:w="1878"/>
        <w:gridCol w:w="1879"/>
        <w:gridCol w:w="1879"/>
        <w:gridCol w:w="1878"/>
      </w:tblGrid>
      <w:tr>
        <w:trPr>
          <w:trHeight w:val="326" w:hRule="exact"/>
        </w:trPr>
        <w:tc>
          <w:tcPr>
            <w:tcW w:w="1786" w:type="dxa"/>
            <w:vMerge w:val="restart"/>
            <w:tcBorders>
              <w:top w:val="single" w:sz="6" w:space="0" w:color="000000"/>
              <w:left w:val="single" w:sz="6" w:space="0" w:color="000000"/>
              <w:right w:val="single" w:sz="6" w:space="0" w:color="000000"/>
            </w:tcBorders>
          </w:tcPr>
          <w:p>
            <w:pPr>
              <w:pStyle w:val="TableParagraph"/>
              <w:spacing w:line="240" w:lineRule="auto" w:before="141"/>
              <w:ind w:left="464"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757"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1786" w:type="dxa"/>
            <w:vMerge/>
            <w:tcBorders>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2"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6"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东北及内蒙地区</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1,477,059,812.99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1,454,818,963.29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1,320,020,156.96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1,430,876,701.17</w:t>
            </w:r>
          </w:p>
        </w:tc>
      </w:tr>
      <w:tr>
        <w:trPr>
          <w:trHeight w:val="328" w:hRule="exact"/>
        </w:trPr>
        <w:tc>
          <w:tcPr>
            <w:tcW w:w="17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1,477,059,812.99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1,454,818,963.29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1,320,020,156.96</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1,430,876,701.17</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公司前五名客户的营业收入情况</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006"/>
        <w:gridCol w:w="3006"/>
        <w:gridCol w:w="3288"/>
      </w:tblGrid>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0"/>
              <w:jc w:val="right"/>
              <w:rPr>
                <w:rFonts w:ascii="宋体" w:hAnsi="宋体" w:cs="宋体" w:eastAsia="宋体" w:hint="default"/>
                <w:sz w:val="21"/>
                <w:szCs w:val="21"/>
              </w:rPr>
            </w:pPr>
            <w:r>
              <w:rPr>
                <w:rFonts w:ascii="宋体" w:hAnsi="宋体" w:cs="宋体" w:eastAsia="宋体" w:hint="default"/>
                <w:sz w:val="21"/>
                <w:szCs w:val="21"/>
              </w:rPr>
              <w:t>占公司全部营业收入的比例（％）</w:t>
            </w:r>
          </w:p>
        </w:tc>
      </w:tr>
      <w:tr>
        <w:trPr>
          <w:trHeight w:val="63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齐齐哈尔北兴特殊钢有限责任</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264,551,122.21</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16.80</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198,069,226.20</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12.58</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辽宁方大集团国贸有限公司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139,526,880.22</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8.86</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辽阳钢铁有限公司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128,893,843.75</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8.18</w:t>
            </w:r>
          </w:p>
        </w:tc>
      </w:tr>
      <w:tr>
        <w:trPr>
          <w:trHeight w:val="326"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吉林鑫达钢铁有限公司</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120,109,970.54</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7.63</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851,151,042.92</w:t>
            </w:r>
          </w:p>
        </w:tc>
        <w:tc>
          <w:tcPr>
            <w:tcW w:w="32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54.05</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27</w:t>
      </w:r>
      <w:r>
        <w:rPr/>
        <w:t>、</w:t>
      </w:r>
      <w:r>
        <w:rPr>
          <w:spacing w:val="-3"/>
        </w:rPr>
        <w:t> </w:t>
      </w:r>
      <w:r>
        <w:rPr/>
        <w:t>营业税金及附加：</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4" w:right="0"/>
              <w:jc w:val="left"/>
              <w:rPr>
                <w:rFonts w:ascii="宋体" w:hAnsi="宋体" w:cs="宋体" w:eastAsia="宋体" w:hint="default"/>
                <w:sz w:val="21"/>
                <w:szCs w:val="21"/>
              </w:rPr>
            </w:pPr>
            <w:r>
              <w:rPr>
                <w:rFonts w:ascii="宋体" w:hAnsi="宋体" w:cs="宋体" w:eastAsia="宋体" w:hint="default"/>
                <w:sz w:val="21"/>
                <w:szCs w:val="21"/>
              </w:rPr>
              <w:t>计缴标准</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城市维护建设税</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49,105.94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997,195.46</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7%</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教育费附加</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21,045.4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427,369.50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流转税的</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3%</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70,151.34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1,424,564.96</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pStyle w:val="BodyText"/>
        <w:spacing w:line="260" w:lineRule="exact"/>
        <w:ind w:right="999"/>
        <w:jc w:val="left"/>
      </w:pPr>
      <w:r>
        <w:rPr>
          <w:spacing w:val="2"/>
        </w:rPr>
        <w:t>营业税金及附加变动较大是由于本期应纳增值税减少导致城市维护建设税及教育费附加的</w:t>
      </w:r>
    </w:p>
    <w:p>
      <w:pPr>
        <w:pStyle w:val="BodyText"/>
        <w:spacing w:line="240" w:lineRule="auto" w:before="37"/>
        <w:ind w:right="999"/>
        <w:jc w:val="left"/>
      </w:pPr>
      <w:r>
        <w:rPr/>
        <w:t>计提基数降低。</w:t>
      </w:r>
    </w:p>
    <w:p>
      <w:pPr>
        <w:spacing w:line="240" w:lineRule="auto" w:before="5"/>
        <w:rPr>
          <w:rFonts w:ascii="宋体" w:hAnsi="宋体" w:cs="宋体" w:eastAsia="宋体" w:hint="default"/>
          <w:sz w:val="26"/>
          <w:szCs w:val="26"/>
        </w:rPr>
      </w:pPr>
    </w:p>
    <w:p>
      <w:pPr>
        <w:pStyle w:val="BodyText"/>
        <w:spacing w:line="240" w:lineRule="auto" w:before="35"/>
        <w:ind w:right="999"/>
        <w:jc w:val="left"/>
      </w:pPr>
      <w:r>
        <w:rPr>
          <w:rFonts w:ascii="Times New Roman" w:hAnsi="Times New Roman" w:cs="Times New Roman" w:eastAsia="Times New Roman" w:hint="default"/>
        </w:rPr>
        <w:t>28</w:t>
      </w:r>
      <w:r>
        <w:rPr/>
        <w:t>、</w:t>
      </w:r>
      <w:r>
        <w:rPr>
          <w:spacing w:val="-1"/>
        </w:rPr>
        <w:t> </w:t>
      </w:r>
      <w:r>
        <w:rPr/>
        <w:t>销售费用</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包装费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1,441,880.09</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916,765.88</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843,253.39</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3,046,319.23</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装卸费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812,557.90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85,590.00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仓储保管费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740,511.23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575,000.00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3,000.00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0.00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3,331,600.32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5,028,686.50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业务经费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224,963.98</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53,177.39</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169,558.45</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52,908.98</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83,069.65</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85,909.24</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401,141.45</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484,162.64</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909,312.80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984,758.20</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87,240.92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105,120.12</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车辆使用费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69,667.86</w:t>
            </w:r>
          </w:p>
        </w:tc>
        <w:tc>
          <w:tcPr>
            <w:tcW w:w="3036"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22,635.98</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31,600.00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9,140,394.02</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11,449,998.18</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29</w:t>
      </w:r>
      <w:r>
        <w:rPr/>
        <w:t>、</w:t>
      </w:r>
      <w:r>
        <w:rPr>
          <w:spacing w:val="-1"/>
        </w:rPr>
        <w:t> </w:t>
      </w:r>
      <w:r>
        <w:rPr/>
        <w:t>管理费用</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036"/>
        <w:gridCol w:w="3228"/>
        <w:gridCol w:w="3036"/>
      </w:tblGrid>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86"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职工薪酬</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41,760,885.04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36,047,589.27</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折旧费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31,882,911.50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1,344,211.76</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办公费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265,088.66</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633,846.17</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物业管理费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269,857.58</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837,104.14</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797,268.47</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1,562,577.30</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通讯费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139,846.65</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747,994.45</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车辆使用费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533,778.04</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747,243.45</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业务招待费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869,980.65</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2,467,394.03</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会议费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10,600.00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319,730.00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广告费</w:t>
            </w:r>
          </w:p>
        </w:tc>
        <w:tc>
          <w:tcPr>
            <w:tcW w:w="3228"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45,000.00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印刷费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84,056.03</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208,746.55</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租赁费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464,000.00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439,000.00</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财产保险费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160,671.29</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70,357.34</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劳动保护费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323.00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22,767.00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培训费</w:t>
            </w:r>
          </w:p>
        </w:tc>
        <w:tc>
          <w:tcPr>
            <w:tcW w:w="3228"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4,080.00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审计费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500,000.00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540,000.00</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评估费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18,000.00</w:t>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咨询费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150,000.00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修理费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2"/>
                <w:sz w:val="21"/>
              </w:rPr>
              <w:t>1,365,811.08</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761,874.47</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信息系统运行维护费</w:t>
            </w:r>
          </w:p>
        </w:tc>
        <w:tc>
          <w:tcPr>
            <w:tcW w:w="3228"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13,830.00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税金</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2,725,463.51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2,951,652.91</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排污费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900,000.00</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900,000.00</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物料消耗</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13,323,936.91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307,762.92</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运输费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12,834.00</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88,844.00</w:t>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安全生产费用</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6,424,807.81</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2"/>
                <w:sz w:val="21"/>
              </w:rPr>
              <w:t>5,522,935.11</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检测费</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103,788.61</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179,123.71</w:t>
            </w:r>
            <w:r>
              <w:rPr>
                <w:rFonts w:ascii="Times New Roman"/>
                <w:sz w:val="21"/>
              </w:rPr>
            </w:r>
          </w:p>
        </w:tc>
      </w:tr>
      <w:tr>
        <w:trPr>
          <w:trHeight w:val="326"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报刊费</w:t>
            </w:r>
          </w:p>
        </w:tc>
        <w:tc>
          <w:tcPr>
            <w:tcW w:w="3228" w:type="dxa"/>
            <w:tcBorders>
              <w:top w:val="single" w:sz="6" w:space="0" w:color="000000"/>
              <w:left w:val="single" w:sz="6" w:space="0" w:color="000000"/>
              <w:bottom w:val="single" w:sz="6" w:space="0" w:color="000000"/>
              <w:right w:val="single" w:sz="6" w:space="0" w:color="000000"/>
            </w:tcBorders>
          </w:tcPr>
          <w:p>
            <w:pP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556,893.50</w:t>
            </w:r>
            <w:r>
              <w:rPr>
                <w:rFonts w:ascii="Times New Roman"/>
                <w:sz w:val="21"/>
              </w:rPr>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397,918.21</w:t>
            </w:r>
            <w:r>
              <w:rPr>
                <w:rFonts w:ascii="Times New Roman"/>
                <w:sz w:val="21"/>
              </w:rPr>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2,016,105.02</w:t>
            </w:r>
          </w:p>
        </w:tc>
      </w:tr>
      <w:tr>
        <w:trPr>
          <w:trHeight w:val="328" w:hRule="exact"/>
        </w:trPr>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22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103,161,827.04</w:t>
            </w:r>
          </w:p>
        </w:tc>
        <w:tc>
          <w:tcPr>
            <w:tcW w:w="30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59,336,663.10</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30</w:t>
      </w:r>
      <w:r>
        <w:rPr/>
        <w:t>、</w:t>
      </w:r>
      <w:r>
        <w:rPr>
          <w:spacing w:val="-1"/>
        </w:rPr>
        <w:t> </w:t>
      </w:r>
      <w:r>
        <w:rPr/>
        <w:t>财务费用</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93"/>
        <w:gridCol w:w="3006"/>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项目</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70"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利息支出</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26,959,879.63</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19,103,626.93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3,638,280.98</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4,025,781.51</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332"/>
              <w:jc w:val="right"/>
              <w:rPr>
                <w:rFonts w:ascii="宋体" w:hAnsi="宋体" w:cs="宋体" w:eastAsia="宋体" w:hint="default"/>
                <w:sz w:val="21"/>
                <w:szCs w:val="21"/>
              </w:rPr>
            </w:pPr>
            <w:r>
              <w:rPr>
                <w:rFonts w:ascii="宋体" w:hAnsi="宋体" w:cs="宋体" w:eastAsia="宋体" w:hint="default"/>
                <w:sz w:val="21"/>
                <w:szCs w:val="21"/>
              </w:rPr>
              <w:t>合计</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30,598,160.61</w:t>
            </w:r>
          </w:p>
        </w:tc>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23,129,408.44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6"/>
          <w:szCs w:val="26"/>
        </w:rPr>
      </w:pPr>
    </w:p>
    <w:p>
      <w:pPr>
        <w:pStyle w:val="BodyText"/>
        <w:spacing w:line="240" w:lineRule="auto" w:before="35"/>
        <w:ind w:right="999"/>
        <w:jc w:val="left"/>
      </w:pPr>
      <w:r>
        <w:rPr>
          <w:rFonts w:ascii="Times New Roman" w:hAnsi="Times New Roman" w:cs="Times New Roman" w:eastAsia="Times New Roman" w:hint="default"/>
        </w:rPr>
        <w:t>31</w:t>
      </w:r>
      <w:r>
        <w:rPr/>
        <w:t>、</w:t>
      </w:r>
      <w:r>
        <w:rPr>
          <w:spacing w:val="-3"/>
        </w:rPr>
        <w:t> </w:t>
      </w:r>
      <w:r>
        <w:rPr/>
        <w:t>资产减值损失：</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720"/>
        <w:gridCol w:w="2790"/>
        <w:gridCol w:w="2790"/>
      </w:tblGrid>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62"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一、坏账损失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-4,363,909.22</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6,719,867.11</w:t>
            </w: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二、存货跌价损失</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5,727,470.72</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16,262,124.32</w:t>
            </w: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三、可供出售金融资产减值损失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四、持有至到期投资减值损失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五、长期股权投资减值损失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六、投资性房地产减值损失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七、固定资产减值损失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八、工程物资减值损失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九、在建工程减值损失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十、生产性生物资产减值损失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十一、油气资产减值损失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十二、无形资产减值损失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十三、商誉减值损失</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十四、其他</w:t>
            </w:r>
          </w:p>
        </w:tc>
        <w:tc>
          <w:tcPr>
            <w:tcW w:w="2790" w:type="dxa"/>
            <w:tcBorders>
              <w:top w:val="single" w:sz="6" w:space="0" w:color="000000"/>
              <w:left w:val="single" w:sz="6" w:space="0" w:color="000000"/>
              <w:bottom w:val="single" w:sz="6" w:space="0" w:color="000000"/>
              <w:right w:val="single" w:sz="6" w:space="0" w:color="000000"/>
            </w:tcBorders>
          </w:tcPr>
          <w:p>
            <w:pPr/>
          </w:p>
        </w:tc>
        <w:tc>
          <w:tcPr>
            <w:tcW w:w="2790"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37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1,363,561.50</w:t>
            </w:r>
          </w:p>
        </w:tc>
        <w:tc>
          <w:tcPr>
            <w:tcW w:w="279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22,981,991.43</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32</w:t>
      </w:r>
      <w:r>
        <w:rPr/>
        <w:t>、</w:t>
      </w:r>
      <w:r>
        <w:rPr>
          <w:spacing w:val="-3"/>
        </w:rPr>
        <w:t> </w:t>
      </w:r>
      <w:r>
        <w:rPr/>
        <w:t>营业外收入：</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营业外收入情况</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1960" w:space="414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非流动资产处置利得合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92,054.94</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92,054.94</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其中：固定资产处置利</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得</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92,054.94</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92,054.94</w:t>
            </w: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政府补助</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158,500,000.00</w:t>
            </w:r>
          </w:p>
        </w:tc>
        <w:tc>
          <w:tcPr>
            <w:tcW w:w="2326" w:type="dxa"/>
            <w:tcBorders>
              <w:top w:val="single" w:sz="6" w:space="0" w:color="000000"/>
              <w:left w:val="single" w:sz="6" w:space="0" w:color="000000"/>
              <w:bottom w:val="single" w:sz="6" w:space="0" w:color="000000"/>
              <w:right w:val="single" w:sz="6" w:space="0" w:color="000000"/>
            </w:tcBorders>
          </w:tcPr>
          <w:p>
            <w:pP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158,500,000.00</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73,266.94</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288,853.97</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73,266.94</w:t>
            </w: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158,665,321.88</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288,853.97</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158,665,321.88</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政府补助明细</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74"/>
        <w:gridCol w:w="2087"/>
        <w:gridCol w:w="2182"/>
        <w:gridCol w:w="2658"/>
      </w:tblGrid>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67"/>
              <w:jc w:val="right"/>
              <w:rPr>
                <w:rFonts w:ascii="宋体" w:hAnsi="宋体" w:cs="宋体" w:eastAsia="宋体" w:hint="default"/>
                <w:sz w:val="21"/>
                <w:szCs w:val="21"/>
              </w:rPr>
            </w:pPr>
            <w:r>
              <w:rPr>
                <w:rFonts w:ascii="宋体" w:hAnsi="宋体" w:cs="宋体" w:eastAsia="宋体" w:hint="default"/>
                <w:sz w:val="21"/>
                <w:szCs w:val="21"/>
              </w:rPr>
              <w:t>项目</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1"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18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57"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说明</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化肥补贴</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158,500,000.00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宋体" w:hAnsi="宋体" w:cs="宋体" w:eastAsia="宋体" w:hint="default"/>
                <w:sz w:val="21"/>
                <w:szCs w:val="21"/>
              </w:rPr>
              <w:t>齐财发（</w:t>
            </w:r>
            <w:r>
              <w:rPr>
                <w:rFonts w:ascii="Times New Roman" w:hAnsi="Times New Roman" w:cs="Times New Roman" w:eastAsia="Times New Roman" w:hint="default"/>
                <w:sz w:val="21"/>
                <w:szCs w:val="21"/>
              </w:rPr>
              <w:t>2010</w:t>
            </w:r>
            <w:r>
              <w:rPr>
                <w:rFonts w:ascii="宋体" w:hAnsi="宋体" w:cs="宋体" w:eastAsia="宋体" w:hint="default"/>
                <w:sz w:val="21"/>
                <w:szCs w:val="21"/>
              </w:rPr>
              <w:t>）</w:t>
            </w:r>
            <w:r>
              <w:rPr>
                <w:rFonts w:ascii="Times New Roman" w:hAnsi="Times New Roman" w:cs="Times New Roman" w:eastAsia="Times New Roman" w:hint="default"/>
                <w:sz w:val="21"/>
                <w:szCs w:val="21"/>
              </w:rPr>
              <w:t>76</w:t>
            </w:r>
            <w:r>
              <w:rPr>
                <w:rFonts w:ascii="Times New Roman" w:hAnsi="Times New Roman" w:cs="Times New Roman" w:eastAsia="Times New Roman" w:hint="default"/>
                <w:spacing w:val="-3"/>
                <w:sz w:val="21"/>
                <w:szCs w:val="21"/>
              </w:rPr>
              <w:t> </w:t>
            </w:r>
            <w:r>
              <w:rPr>
                <w:rFonts w:ascii="宋体" w:hAnsi="宋体" w:cs="宋体" w:eastAsia="宋体" w:hint="default"/>
                <w:sz w:val="21"/>
                <w:szCs w:val="21"/>
              </w:rPr>
              <w:t>号</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67"/>
              <w:jc w:val="right"/>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158,500,000.00</w:t>
            </w:r>
          </w:p>
        </w:tc>
        <w:tc>
          <w:tcPr>
            <w:tcW w:w="2182" w:type="dxa"/>
            <w:tcBorders>
              <w:top w:val="single" w:sz="6" w:space="0" w:color="000000"/>
              <w:left w:val="single" w:sz="6" w:space="0" w:color="000000"/>
              <w:bottom w:val="single" w:sz="6" w:space="0" w:color="000000"/>
              <w:right w:val="single" w:sz="6" w:space="0" w:color="000000"/>
            </w:tcBorders>
          </w:tcPr>
          <w:p>
            <w:pPr/>
          </w:p>
        </w:tc>
        <w:tc>
          <w:tcPr>
            <w:tcW w:w="26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56" w:lineRule="auto" w:before="35"/>
        <w:ind w:left="139" w:right="1116"/>
        <w:jc w:val="both"/>
      </w:pPr>
      <w:r>
        <w:rPr/>
        <w:t>营业外收入本期金额较上期金额增加</w:t>
      </w:r>
      <w:r>
        <w:rPr>
          <w:spacing w:val="-53"/>
        </w:rPr>
        <w:t> </w:t>
      </w:r>
      <w:r>
        <w:rPr>
          <w:rFonts w:ascii="Times New Roman" w:hAnsi="Times New Roman" w:cs="Times New Roman" w:eastAsia="Times New Roman" w:hint="default"/>
        </w:rPr>
        <w:t>158,376,467.91 </w:t>
      </w:r>
      <w:r>
        <w:rPr>
          <w:spacing w:val="-3"/>
        </w:rPr>
        <w:t>元，是由于齐齐哈尔市财政局在下发的</w:t>
      </w:r>
      <w:r>
        <w:rPr/>
        <w:t> 齐财发（</w:t>
      </w:r>
      <w:r>
        <w:rPr>
          <w:rFonts w:ascii="Times New Roman" w:hAnsi="Times New Roman" w:cs="Times New Roman" w:eastAsia="Times New Roman" w:hint="default"/>
        </w:rPr>
        <w:t>2010</w:t>
      </w:r>
      <w:r>
        <w:rPr/>
        <w:t>）</w:t>
      </w:r>
      <w:r>
        <w:rPr>
          <w:rFonts w:ascii="Times New Roman" w:hAnsi="Times New Roman" w:cs="Times New Roman" w:eastAsia="Times New Roman" w:hint="default"/>
        </w:rPr>
        <w:t>76</w:t>
      </w:r>
      <w:r>
        <w:rPr>
          <w:rFonts w:ascii="Times New Roman" w:hAnsi="Times New Roman" w:cs="Times New Roman" w:eastAsia="Times New Roman" w:hint="default"/>
          <w:spacing w:val="30"/>
        </w:rPr>
        <w:t> </w:t>
      </w:r>
      <w:r>
        <w:rPr/>
        <w:t>号文</w:t>
      </w:r>
      <w:r>
        <w:rPr>
          <w:rFonts w:ascii="Times New Roman" w:hAnsi="Times New Roman" w:cs="Times New Roman" w:eastAsia="Times New Roman" w:hint="default"/>
        </w:rPr>
        <w:t>"</w:t>
      </w:r>
      <w:r>
        <w:rPr/>
        <w:t>关于拨付黑龙江黑化股份有限公司化肥补贴的通知</w:t>
      </w:r>
      <w:r>
        <w:rPr>
          <w:rFonts w:ascii="Times New Roman" w:hAnsi="Times New Roman" w:cs="Times New Roman" w:eastAsia="Times New Roman" w:hint="default"/>
        </w:rPr>
        <w:t>"</w:t>
      </w:r>
      <w:r>
        <w:rPr/>
        <w:t>中称，由于原</w:t>
      </w:r>
      <w:r>
        <w:rPr>
          <w:spacing w:val="-100"/>
        </w:rPr>
        <w:t> </w:t>
      </w:r>
      <w:r>
        <w:rPr>
          <w:spacing w:val="-100"/>
        </w:rPr>
      </w:r>
      <w:r>
        <w:rPr>
          <w:spacing w:val="-3"/>
        </w:rPr>
        <w:t>料煤价格持续高位运行，水电汽价格上涨，造成产品成本与售价倒挂，齐齐哈尔市财政局向</w:t>
      </w:r>
    </w:p>
    <w:p>
      <w:pPr>
        <w:spacing w:after="0" w:line="256" w:lineRule="auto"/>
        <w:jc w:val="both"/>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right="999"/>
        <w:jc w:val="left"/>
      </w:pPr>
      <w:r>
        <w:rPr/>
        <w:t>黑化股份拨付化肥生产补贴</w:t>
      </w:r>
      <w:r>
        <w:rPr>
          <w:spacing w:val="-54"/>
        </w:rPr>
        <w:t> </w:t>
      </w:r>
      <w:r>
        <w:rPr>
          <w:rFonts w:ascii="Times New Roman" w:hAnsi="Times New Roman" w:cs="Times New Roman" w:eastAsia="Times New Roman" w:hint="default"/>
        </w:rPr>
        <w:t>15,850</w:t>
      </w:r>
      <w:r>
        <w:rPr>
          <w:rFonts w:ascii="Times New Roman" w:hAnsi="Times New Roman" w:cs="Times New Roman" w:eastAsia="Times New Roman" w:hint="default"/>
          <w:spacing w:val="-2"/>
        </w:rPr>
        <w:t> </w:t>
      </w:r>
      <w:r>
        <w:rPr/>
        <w:t>万元。</w:t>
      </w:r>
    </w:p>
    <w:p>
      <w:pPr>
        <w:spacing w:line="240" w:lineRule="auto" w:before="2"/>
        <w:rPr>
          <w:rFonts w:ascii="宋体" w:hAnsi="宋体" w:cs="宋体" w:eastAsia="宋体" w:hint="default"/>
          <w:sz w:val="25"/>
          <w:szCs w:val="25"/>
        </w:rPr>
      </w:pPr>
    </w:p>
    <w:p>
      <w:pPr>
        <w:pStyle w:val="BodyText"/>
        <w:spacing w:line="240" w:lineRule="auto" w:before="35"/>
        <w:ind w:left="139" w:right="999"/>
        <w:jc w:val="left"/>
      </w:pPr>
      <w:r>
        <w:rPr>
          <w:rFonts w:ascii="Times New Roman" w:hAnsi="Times New Roman" w:cs="Times New Roman" w:eastAsia="Times New Roman" w:hint="default"/>
        </w:rPr>
        <w:t>33</w:t>
      </w:r>
      <w:r>
        <w:rPr/>
        <w:t>、</w:t>
      </w:r>
      <w:r>
        <w:rPr>
          <w:spacing w:val="-3"/>
        </w:rPr>
        <w:t> </w:t>
      </w:r>
      <w:r>
        <w:rPr/>
        <w:t>营业外支出：</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26"/>
        <w:gridCol w:w="2324"/>
        <w:gridCol w:w="2326"/>
        <w:gridCol w:w="2324"/>
      </w:tblGrid>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944"/>
              <w:jc w:val="right"/>
              <w:rPr>
                <w:rFonts w:ascii="宋体" w:hAnsi="宋体" w:cs="宋体" w:eastAsia="宋体" w:hint="default"/>
                <w:sz w:val="21"/>
                <w:szCs w:val="21"/>
              </w:rPr>
            </w:pPr>
            <w:r>
              <w:rPr>
                <w:rFonts w:ascii="宋体" w:hAnsi="宋体" w:cs="宋体" w:eastAsia="宋体" w:hint="default"/>
                <w:sz w:val="21"/>
                <w:szCs w:val="21"/>
              </w:rPr>
              <w:t>项目</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629" w:right="0"/>
              <w:jc w:val="left"/>
              <w:rPr>
                <w:rFonts w:ascii="宋体" w:hAnsi="宋体" w:cs="宋体" w:eastAsia="宋体" w:hint="default"/>
                <w:sz w:val="21"/>
                <w:szCs w:val="21"/>
              </w:rPr>
            </w:pPr>
            <w:r>
              <w:rPr>
                <w:rFonts w:ascii="宋体" w:hAnsi="宋体" w:cs="宋体" w:eastAsia="宋体" w:hint="default"/>
                <w:sz w:val="21"/>
                <w:szCs w:val="21"/>
              </w:rPr>
              <w:t>上期发生额</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计入当期非经常性损益</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的金额</w:t>
            </w:r>
          </w:p>
        </w:tc>
      </w:tr>
      <w:tr>
        <w:trPr>
          <w:trHeight w:val="640"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非流动资产处置损失合</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149,662.79</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987,610.76</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149,662.79</w:t>
            </w:r>
            <w:r>
              <w:rPr>
                <w:rFonts w:ascii="Times New Roman"/>
                <w:sz w:val="21"/>
              </w:rPr>
            </w:r>
          </w:p>
        </w:tc>
      </w:tr>
      <w:tr>
        <w:trPr>
          <w:trHeight w:val="63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其中：固定资产处置损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失</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149,662.79</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987,610.76</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对外捐赠</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1"/>
              <w:jc w:val="right"/>
              <w:rPr>
                <w:rFonts w:ascii="Times New Roman" w:hAnsi="Times New Roman" w:cs="Times New Roman" w:eastAsia="Times New Roman" w:hint="default"/>
                <w:sz w:val="21"/>
                <w:szCs w:val="21"/>
              </w:rPr>
            </w:pPr>
            <w:r>
              <w:rPr>
                <w:rFonts w:ascii="Times New Roman"/>
                <w:spacing w:val="-1"/>
                <w:sz w:val="21"/>
              </w:rPr>
              <w:t>300,000.00</w:t>
            </w:r>
            <w:r>
              <w:rPr>
                <w:rFonts w:ascii="Times New Roman"/>
                <w:sz w:val="21"/>
              </w:rPr>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24" w:type="dxa"/>
            <w:tcBorders>
              <w:top w:val="single" w:sz="6" w:space="0" w:color="000000"/>
              <w:left w:val="single" w:sz="6" w:space="0" w:color="000000"/>
              <w:bottom w:val="single" w:sz="6" w:space="0" w:color="000000"/>
              <w:right w:val="single" w:sz="6" w:space="0" w:color="000000"/>
            </w:tcBorders>
          </w:tcPr>
          <w:p>
            <w:pP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129.37</w:t>
            </w:r>
          </w:p>
        </w:tc>
        <w:tc>
          <w:tcPr>
            <w:tcW w:w="2324"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944"/>
              <w:jc w:val="right"/>
              <w:rPr>
                <w:rFonts w:ascii="宋体" w:hAnsi="宋体" w:cs="宋体" w:eastAsia="宋体" w:hint="default"/>
                <w:sz w:val="21"/>
                <w:szCs w:val="21"/>
              </w:rPr>
            </w:pPr>
            <w:r>
              <w:rPr>
                <w:rFonts w:ascii="宋体" w:hAnsi="宋体" w:cs="宋体" w:eastAsia="宋体" w:hint="default"/>
                <w:sz w:val="21"/>
                <w:szCs w:val="21"/>
              </w:rPr>
              <w:t>合计</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149,662.79</w:t>
            </w:r>
            <w:r>
              <w:rPr>
                <w:rFonts w:ascii="Times New Roman"/>
                <w:sz w:val="21"/>
              </w:rPr>
            </w:r>
          </w:p>
        </w:tc>
        <w:tc>
          <w:tcPr>
            <w:tcW w:w="232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1,287,740.13</w:t>
            </w:r>
          </w:p>
        </w:tc>
        <w:tc>
          <w:tcPr>
            <w:tcW w:w="23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149,662.79</w:t>
            </w:r>
            <w:r>
              <w:rPr>
                <w:rFonts w:ascii="Times New Roman"/>
                <w:sz w:val="21"/>
              </w:rPr>
            </w:r>
          </w:p>
        </w:tc>
      </w:tr>
    </w:tbl>
    <w:p>
      <w:pPr>
        <w:pStyle w:val="BodyText"/>
        <w:spacing w:line="276" w:lineRule="exact"/>
        <w:ind w:right="999"/>
        <w:jc w:val="left"/>
      </w:pPr>
      <w:r>
        <w:rPr/>
        <w:t>营业外支出本期金额较上期金额减少</w:t>
      </w:r>
      <w:r>
        <w:rPr>
          <w:spacing w:val="-51"/>
        </w:rPr>
        <w:t> </w:t>
      </w:r>
      <w:r>
        <w:rPr>
          <w:rFonts w:ascii="Times New Roman" w:hAnsi="Times New Roman" w:cs="Times New Roman" w:eastAsia="Times New Roman" w:hint="default"/>
        </w:rPr>
        <w:t>1,138,077.34</w:t>
      </w:r>
      <w:r>
        <w:rPr>
          <w:rFonts w:ascii="Times New Roman" w:hAnsi="Times New Roman" w:cs="Times New Roman" w:eastAsia="Times New Roman" w:hint="default"/>
          <w:spacing w:val="3"/>
        </w:rPr>
        <w:t> </w:t>
      </w:r>
      <w:r>
        <w:rPr>
          <w:spacing w:val="-3"/>
        </w:rPr>
        <w:t>元，是由于本期固定资产报废损失金额较</w:t>
      </w:r>
    </w:p>
    <w:p>
      <w:pPr>
        <w:pStyle w:val="BodyText"/>
        <w:spacing w:line="240" w:lineRule="auto" w:before="21"/>
        <w:ind w:left="139" w:right="999"/>
        <w:jc w:val="left"/>
      </w:pPr>
      <w:r>
        <w:rPr/>
        <w:t>上期减少。</w:t>
      </w:r>
    </w:p>
    <w:p>
      <w:pPr>
        <w:spacing w:line="240" w:lineRule="auto" w:before="1"/>
        <w:rPr>
          <w:rFonts w:ascii="宋体" w:hAnsi="宋体" w:cs="宋体" w:eastAsia="宋体" w:hint="default"/>
          <w:sz w:val="29"/>
          <w:szCs w:val="29"/>
        </w:rPr>
      </w:pPr>
    </w:p>
    <w:p>
      <w:pPr>
        <w:pStyle w:val="BodyText"/>
        <w:spacing w:line="240" w:lineRule="auto"/>
        <w:ind w:left="139" w:right="999"/>
        <w:jc w:val="left"/>
      </w:pPr>
      <w:r>
        <w:rPr>
          <w:rFonts w:ascii="Times New Roman" w:hAnsi="Times New Roman" w:cs="Times New Roman" w:eastAsia="Times New Roman" w:hint="default"/>
        </w:rPr>
        <w:t>34</w:t>
      </w:r>
      <w:r>
        <w:rPr/>
        <w:t>、</w:t>
      </w:r>
      <w:r>
        <w:rPr>
          <w:spacing w:val="-3"/>
        </w:rPr>
        <w:t> </w:t>
      </w:r>
      <w:r>
        <w:rPr/>
        <w:t>基本每股收益和稀释每股收益的计算过程：</w:t>
      </w:r>
    </w:p>
    <w:p>
      <w:pPr>
        <w:spacing w:line="240" w:lineRule="auto" w:before="9"/>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3856"/>
        <w:gridCol w:w="794"/>
        <w:gridCol w:w="1095"/>
        <w:gridCol w:w="3555"/>
      </w:tblGrid>
      <w:tr>
        <w:trPr>
          <w:trHeight w:val="660"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73" w:lineRule="auto" w:before="17"/>
              <w:ind w:left="8" w:right="1116"/>
              <w:jc w:val="left"/>
              <w:rPr>
                <w:rFonts w:ascii="宋体" w:hAnsi="宋体" w:cs="宋体" w:eastAsia="宋体" w:hint="default"/>
                <w:sz w:val="21"/>
                <w:szCs w:val="21"/>
              </w:rPr>
            </w:pPr>
            <w:r>
              <w:rPr>
                <w:rFonts w:ascii="宋体" w:hAnsi="宋体" w:cs="宋体" w:eastAsia="宋体" w:hint="default"/>
                <w:sz w:val="21"/>
                <w:szCs w:val="21"/>
              </w:rPr>
              <w:t>项目 归属于上市公司股东的净利润</w:t>
            </w:r>
          </w:p>
        </w:tc>
        <w:tc>
          <w:tcPr>
            <w:tcW w:w="18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17"/>
              <w:ind w:left="138" w:right="0"/>
              <w:jc w:val="left"/>
              <w:rPr>
                <w:rFonts w:ascii="宋体" w:hAnsi="宋体" w:cs="宋体" w:eastAsia="宋体" w:hint="default"/>
                <w:sz w:val="21"/>
                <w:szCs w:val="21"/>
              </w:rPr>
            </w:pPr>
            <w:r>
              <w:rPr>
                <w:rFonts w:ascii="宋体" w:hAnsi="宋体" w:cs="宋体" w:eastAsia="宋体" w:hint="default"/>
                <w:sz w:val="21"/>
                <w:szCs w:val="21"/>
              </w:rPr>
              <w:t>本期金额</w:t>
            </w:r>
          </w:p>
          <w:p>
            <w:pPr>
              <w:pStyle w:val="TableParagraph"/>
              <w:spacing w:line="240" w:lineRule="auto" w:before="86"/>
              <w:ind w:left="138" w:right="0"/>
              <w:jc w:val="left"/>
              <w:rPr>
                <w:rFonts w:ascii="Times New Roman" w:hAnsi="Times New Roman" w:cs="Times New Roman" w:eastAsia="Times New Roman" w:hint="default"/>
                <w:sz w:val="21"/>
                <w:szCs w:val="21"/>
              </w:rPr>
            </w:pPr>
            <w:r>
              <w:rPr>
                <w:rFonts w:ascii="Times New Roman"/>
                <w:sz w:val="21"/>
              </w:rPr>
              <w:t>16,736,905.50</w:t>
            </w:r>
          </w:p>
        </w:tc>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before="17"/>
              <w:ind w:left="410" w:right="0"/>
              <w:jc w:val="left"/>
              <w:rPr>
                <w:rFonts w:ascii="宋体" w:hAnsi="宋体" w:cs="宋体" w:eastAsia="宋体" w:hint="default"/>
                <w:sz w:val="21"/>
                <w:szCs w:val="21"/>
              </w:rPr>
            </w:pPr>
            <w:r>
              <w:rPr>
                <w:rFonts w:ascii="宋体" w:hAnsi="宋体" w:cs="宋体" w:eastAsia="宋体" w:hint="default"/>
                <w:sz w:val="21"/>
                <w:szCs w:val="21"/>
              </w:rPr>
              <w:t>上期金额</w:t>
            </w:r>
          </w:p>
          <w:p>
            <w:pPr>
              <w:pStyle w:val="TableParagraph"/>
              <w:spacing w:line="240" w:lineRule="auto" w:before="86"/>
              <w:ind w:left="409" w:right="0"/>
              <w:jc w:val="left"/>
              <w:rPr>
                <w:rFonts w:ascii="Times New Roman" w:hAnsi="Times New Roman" w:cs="Times New Roman" w:eastAsia="Times New Roman" w:hint="default"/>
                <w:sz w:val="21"/>
                <w:szCs w:val="21"/>
              </w:rPr>
            </w:pPr>
            <w:r>
              <w:rPr>
                <w:rFonts w:ascii="Times New Roman"/>
                <w:sz w:val="21"/>
              </w:rPr>
              <w:t>-233,678,505.32</w:t>
            </w:r>
          </w:p>
        </w:tc>
      </w:tr>
      <w:tr>
        <w:trPr>
          <w:trHeight w:val="312"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55" w:lineRule="exact"/>
              <w:ind w:left="8" w:right="0"/>
              <w:jc w:val="left"/>
              <w:rPr>
                <w:rFonts w:ascii="宋体" w:hAnsi="宋体" w:cs="宋体" w:eastAsia="宋体" w:hint="default"/>
                <w:sz w:val="21"/>
                <w:szCs w:val="21"/>
              </w:rPr>
            </w:pPr>
            <w:r>
              <w:rPr>
                <w:rFonts w:ascii="宋体" w:hAnsi="宋体" w:cs="宋体" w:eastAsia="宋体" w:hint="default"/>
                <w:sz w:val="21"/>
                <w:szCs w:val="21"/>
              </w:rPr>
              <w:t>非经常性损益</w:t>
            </w:r>
          </w:p>
        </w:tc>
        <w:tc>
          <w:tcPr>
            <w:tcW w:w="18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38" w:right="0"/>
              <w:jc w:val="left"/>
              <w:rPr>
                <w:rFonts w:ascii="Times New Roman" w:hAnsi="Times New Roman" w:cs="Times New Roman" w:eastAsia="Times New Roman" w:hint="default"/>
                <w:sz w:val="21"/>
                <w:szCs w:val="21"/>
              </w:rPr>
            </w:pPr>
            <w:r>
              <w:rPr>
                <w:rFonts w:ascii="Times New Roman"/>
                <w:sz w:val="21"/>
              </w:rPr>
              <w:t>170,624,206.08</w:t>
            </w:r>
          </w:p>
        </w:tc>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09" w:right="0"/>
              <w:jc w:val="left"/>
              <w:rPr>
                <w:rFonts w:ascii="Times New Roman" w:hAnsi="Times New Roman" w:cs="Times New Roman" w:eastAsia="Times New Roman" w:hint="default"/>
                <w:sz w:val="21"/>
                <w:szCs w:val="21"/>
              </w:rPr>
            </w:pPr>
            <w:r>
              <w:rPr>
                <w:rFonts w:ascii="Times New Roman"/>
                <w:sz w:val="21"/>
              </w:rPr>
              <w:t>5,642,535.27</w:t>
            </w:r>
          </w:p>
        </w:tc>
      </w:tr>
      <w:tr>
        <w:trPr>
          <w:trHeight w:val="312"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55" w:lineRule="exact"/>
              <w:ind w:left="8" w:right="0"/>
              <w:jc w:val="left"/>
              <w:rPr>
                <w:rFonts w:ascii="宋体" w:hAnsi="宋体" w:cs="宋体" w:eastAsia="宋体" w:hint="default"/>
                <w:sz w:val="21"/>
                <w:szCs w:val="21"/>
              </w:rPr>
            </w:pPr>
            <w:r>
              <w:rPr>
                <w:rFonts w:ascii="宋体" w:hAnsi="宋体" w:cs="宋体" w:eastAsia="宋体" w:hint="default"/>
                <w:sz w:val="21"/>
                <w:szCs w:val="21"/>
              </w:rPr>
              <w:t>扣除非经常性损益后净利润</w:t>
            </w:r>
          </w:p>
        </w:tc>
        <w:tc>
          <w:tcPr>
            <w:tcW w:w="18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38" w:right="0"/>
              <w:jc w:val="left"/>
              <w:rPr>
                <w:rFonts w:ascii="Times New Roman" w:hAnsi="Times New Roman" w:cs="Times New Roman" w:eastAsia="Times New Roman" w:hint="default"/>
                <w:sz w:val="21"/>
                <w:szCs w:val="21"/>
              </w:rPr>
            </w:pPr>
            <w:r>
              <w:rPr>
                <w:rFonts w:ascii="Times New Roman"/>
                <w:sz w:val="21"/>
              </w:rPr>
              <w:t>-153,887,300.58</w:t>
            </w:r>
          </w:p>
        </w:tc>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10" w:right="0"/>
              <w:jc w:val="left"/>
              <w:rPr>
                <w:rFonts w:ascii="Times New Roman" w:hAnsi="Times New Roman" w:cs="Times New Roman" w:eastAsia="Times New Roman" w:hint="default"/>
                <w:sz w:val="21"/>
                <w:szCs w:val="21"/>
              </w:rPr>
            </w:pPr>
            <w:r>
              <w:rPr>
                <w:rFonts w:ascii="Times New Roman"/>
                <w:sz w:val="21"/>
              </w:rPr>
              <w:t>-239,321,040.59</w:t>
            </w:r>
          </w:p>
        </w:tc>
      </w:tr>
      <w:tr>
        <w:trPr>
          <w:trHeight w:val="312"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55" w:lineRule="exact"/>
              <w:ind w:left="8" w:right="0"/>
              <w:jc w:val="left"/>
              <w:rPr>
                <w:rFonts w:ascii="宋体" w:hAnsi="宋体" w:cs="宋体" w:eastAsia="宋体" w:hint="default"/>
                <w:sz w:val="21"/>
                <w:szCs w:val="21"/>
              </w:rPr>
            </w:pPr>
            <w:r>
              <w:rPr>
                <w:rFonts w:ascii="宋体" w:hAnsi="宋体" w:cs="宋体" w:eastAsia="宋体" w:hint="default"/>
                <w:sz w:val="21"/>
                <w:szCs w:val="21"/>
              </w:rPr>
              <w:t>期初净资产</w:t>
            </w:r>
          </w:p>
        </w:tc>
        <w:tc>
          <w:tcPr>
            <w:tcW w:w="18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38" w:right="0"/>
              <w:jc w:val="left"/>
              <w:rPr>
                <w:rFonts w:ascii="Times New Roman" w:hAnsi="Times New Roman" w:cs="Times New Roman" w:eastAsia="Times New Roman" w:hint="default"/>
                <w:sz w:val="21"/>
                <w:szCs w:val="21"/>
              </w:rPr>
            </w:pPr>
            <w:r>
              <w:rPr>
                <w:rFonts w:ascii="Times New Roman"/>
                <w:sz w:val="21"/>
              </w:rPr>
              <w:t>619,564,025.93</w:t>
            </w:r>
          </w:p>
        </w:tc>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10" w:right="0"/>
              <w:jc w:val="left"/>
              <w:rPr>
                <w:rFonts w:ascii="Times New Roman" w:hAnsi="Times New Roman" w:cs="Times New Roman" w:eastAsia="Times New Roman" w:hint="default"/>
                <w:sz w:val="21"/>
                <w:szCs w:val="21"/>
              </w:rPr>
            </w:pPr>
            <w:r>
              <w:rPr>
                <w:rFonts w:ascii="Times New Roman"/>
                <w:sz w:val="21"/>
              </w:rPr>
              <w:t>848,944,828.18</w:t>
            </w:r>
          </w:p>
        </w:tc>
      </w:tr>
      <w:tr>
        <w:trPr>
          <w:trHeight w:val="312"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55" w:lineRule="exact"/>
              <w:ind w:left="8" w:right="0"/>
              <w:jc w:val="left"/>
              <w:rPr>
                <w:rFonts w:ascii="宋体" w:hAnsi="宋体" w:cs="宋体" w:eastAsia="宋体" w:hint="default"/>
                <w:sz w:val="21"/>
                <w:szCs w:val="21"/>
              </w:rPr>
            </w:pPr>
            <w:r>
              <w:rPr>
                <w:rFonts w:ascii="宋体" w:hAnsi="宋体" w:cs="宋体" w:eastAsia="宋体" w:hint="default"/>
                <w:sz w:val="21"/>
                <w:szCs w:val="21"/>
              </w:rPr>
              <w:t>专项储备变动</w:t>
            </w:r>
          </w:p>
        </w:tc>
        <w:tc>
          <w:tcPr>
            <w:tcW w:w="18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38" w:right="0"/>
              <w:jc w:val="left"/>
              <w:rPr>
                <w:rFonts w:ascii="Times New Roman" w:hAnsi="Times New Roman" w:cs="Times New Roman" w:eastAsia="Times New Roman" w:hint="default"/>
                <w:sz w:val="21"/>
                <w:szCs w:val="21"/>
              </w:rPr>
            </w:pPr>
            <w:r>
              <w:rPr>
                <w:rFonts w:ascii="Times New Roman"/>
                <w:sz w:val="21"/>
              </w:rPr>
              <w:t>5,892,943.36</w:t>
            </w:r>
          </w:p>
        </w:tc>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10" w:right="0"/>
              <w:jc w:val="left"/>
              <w:rPr>
                <w:rFonts w:ascii="Times New Roman" w:hAnsi="Times New Roman" w:cs="Times New Roman" w:eastAsia="Times New Roman" w:hint="default"/>
                <w:sz w:val="21"/>
                <w:szCs w:val="21"/>
              </w:rPr>
            </w:pPr>
            <w:r>
              <w:rPr>
                <w:rFonts w:ascii="Times New Roman"/>
                <w:sz w:val="21"/>
              </w:rPr>
              <w:t>4,297,703.07</w:t>
            </w:r>
          </w:p>
        </w:tc>
      </w:tr>
      <w:tr>
        <w:trPr>
          <w:trHeight w:val="312"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55" w:lineRule="exact"/>
              <w:ind w:left="8" w:right="0"/>
              <w:jc w:val="left"/>
              <w:rPr>
                <w:rFonts w:ascii="宋体" w:hAnsi="宋体" w:cs="宋体" w:eastAsia="宋体" w:hint="default"/>
                <w:sz w:val="21"/>
                <w:szCs w:val="21"/>
              </w:rPr>
            </w:pPr>
            <w:r>
              <w:rPr>
                <w:rFonts w:ascii="宋体" w:hAnsi="宋体" w:cs="宋体" w:eastAsia="宋体" w:hint="default"/>
                <w:sz w:val="21"/>
                <w:szCs w:val="21"/>
              </w:rPr>
              <w:t>加权平均净资产</w:t>
            </w:r>
          </w:p>
        </w:tc>
        <w:tc>
          <w:tcPr>
            <w:tcW w:w="18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38" w:right="0"/>
              <w:jc w:val="left"/>
              <w:rPr>
                <w:rFonts w:ascii="Times New Roman" w:hAnsi="Times New Roman" w:cs="Times New Roman" w:eastAsia="Times New Roman" w:hint="default"/>
                <w:sz w:val="21"/>
                <w:szCs w:val="21"/>
              </w:rPr>
            </w:pPr>
            <w:r>
              <w:rPr>
                <w:rFonts w:ascii="Times New Roman"/>
                <w:sz w:val="21"/>
              </w:rPr>
              <w:t>630,878,950.36</w:t>
            </w:r>
          </w:p>
        </w:tc>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10" w:right="0"/>
              <w:jc w:val="left"/>
              <w:rPr>
                <w:rFonts w:ascii="Times New Roman" w:hAnsi="Times New Roman" w:cs="Times New Roman" w:eastAsia="Times New Roman" w:hint="default"/>
                <w:sz w:val="21"/>
                <w:szCs w:val="21"/>
              </w:rPr>
            </w:pPr>
            <w:r>
              <w:rPr>
                <w:rFonts w:ascii="Times New Roman"/>
                <w:sz w:val="21"/>
              </w:rPr>
              <w:t>734,254,427.06</w:t>
            </w:r>
          </w:p>
        </w:tc>
      </w:tr>
      <w:tr>
        <w:trPr>
          <w:trHeight w:val="312"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55" w:lineRule="exact"/>
              <w:ind w:left="8" w:right="0"/>
              <w:jc w:val="left"/>
              <w:rPr>
                <w:rFonts w:ascii="宋体" w:hAnsi="宋体" w:cs="宋体" w:eastAsia="宋体" w:hint="default"/>
                <w:sz w:val="21"/>
                <w:szCs w:val="21"/>
              </w:rPr>
            </w:pPr>
            <w:r>
              <w:rPr>
                <w:rFonts w:ascii="宋体" w:hAnsi="宋体" w:cs="宋体" w:eastAsia="宋体" w:hint="default"/>
                <w:sz w:val="21"/>
                <w:szCs w:val="21"/>
              </w:rPr>
              <w:t>股本</w:t>
            </w:r>
          </w:p>
        </w:tc>
        <w:tc>
          <w:tcPr>
            <w:tcW w:w="18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38" w:right="0"/>
              <w:jc w:val="left"/>
              <w:rPr>
                <w:rFonts w:ascii="Times New Roman" w:hAnsi="Times New Roman" w:cs="Times New Roman" w:eastAsia="Times New Roman" w:hint="default"/>
                <w:sz w:val="21"/>
                <w:szCs w:val="21"/>
              </w:rPr>
            </w:pPr>
            <w:r>
              <w:rPr>
                <w:rFonts w:ascii="Times New Roman"/>
                <w:sz w:val="21"/>
              </w:rPr>
              <w:t>390,000,000.00</w:t>
            </w:r>
          </w:p>
        </w:tc>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09" w:right="0"/>
              <w:jc w:val="left"/>
              <w:rPr>
                <w:rFonts w:ascii="Times New Roman" w:hAnsi="Times New Roman" w:cs="Times New Roman" w:eastAsia="Times New Roman" w:hint="default"/>
                <w:sz w:val="21"/>
                <w:szCs w:val="21"/>
              </w:rPr>
            </w:pPr>
            <w:r>
              <w:rPr>
                <w:rFonts w:ascii="Times New Roman"/>
                <w:sz w:val="21"/>
              </w:rPr>
              <w:t>390,000,000.00</w:t>
            </w:r>
          </w:p>
        </w:tc>
      </w:tr>
      <w:tr>
        <w:trPr>
          <w:trHeight w:val="312"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55" w:lineRule="exact"/>
              <w:ind w:left="8" w:right="0"/>
              <w:jc w:val="left"/>
              <w:rPr>
                <w:rFonts w:ascii="宋体" w:hAnsi="宋体" w:cs="宋体" w:eastAsia="宋体" w:hint="default"/>
                <w:sz w:val="21"/>
                <w:szCs w:val="21"/>
              </w:rPr>
            </w:pPr>
            <w:r>
              <w:rPr>
                <w:rFonts w:ascii="宋体" w:hAnsi="宋体" w:cs="宋体" w:eastAsia="宋体" w:hint="default"/>
                <w:sz w:val="21"/>
                <w:szCs w:val="21"/>
              </w:rPr>
              <w:t>净资产收益率</w:t>
            </w:r>
          </w:p>
        </w:tc>
        <w:tc>
          <w:tcPr>
            <w:tcW w:w="18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38" w:right="0"/>
              <w:jc w:val="left"/>
              <w:rPr>
                <w:rFonts w:ascii="Times New Roman" w:hAnsi="Times New Roman" w:cs="Times New Roman" w:eastAsia="Times New Roman" w:hint="default"/>
                <w:sz w:val="21"/>
                <w:szCs w:val="21"/>
              </w:rPr>
            </w:pPr>
            <w:r>
              <w:rPr>
                <w:rFonts w:ascii="Times New Roman"/>
                <w:sz w:val="21"/>
              </w:rPr>
              <w:t>2.65%</w:t>
            </w:r>
          </w:p>
        </w:tc>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09" w:right="0"/>
              <w:jc w:val="left"/>
              <w:rPr>
                <w:rFonts w:ascii="Times New Roman" w:hAnsi="Times New Roman" w:cs="Times New Roman" w:eastAsia="Times New Roman" w:hint="default"/>
                <w:sz w:val="21"/>
                <w:szCs w:val="21"/>
              </w:rPr>
            </w:pPr>
            <w:r>
              <w:rPr>
                <w:rFonts w:ascii="Times New Roman"/>
                <w:sz w:val="21"/>
              </w:rPr>
              <w:t>-31.83%</w:t>
            </w:r>
          </w:p>
        </w:tc>
      </w:tr>
      <w:tr>
        <w:trPr>
          <w:trHeight w:val="312"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55" w:lineRule="exact"/>
              <w:ind w:left="8" w:right="0"/>
              <w:jc w:val="left"/>
              <w:rPr>
                <w:rFonts w:ascii="宋体" w:hAnsi="宋体" w:cs="宋体" w:eastAsia="宋体" w:hint="default"/>
                <w:sz w:val="21"/>
                <w:szCs w:val="21"/>
              </w:rPr>
            </w:pPr>
            <w:r>
              <w:rPr>
                <w:rFonts w:ascii="宋体" w:hAnsi="宋体" w:cs="宋体" w:eastAsia="宋体" w:hint="default"/>
                <w:sz w:val="21"/>
                <w:szCs w:val="21"/>
              </w:rPr>
              <w:t>扣除非经常性损益后净资产收益率</w:t>
            </w:r>
          </w:p>
        </w:tc>
        <w:tc>
          <w:tcPr>
            <w:tcW w:w="18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38" w:right="0"/>
              <w:jc w:val="left"/>
              <w:rPr>
                <w:rFonts w:ascii="Times New Roman" w:hAnsi="Times New Roman" w:cs="Times New Roman" w:eastAsia="Times New Roman" w:hint="default"/>
                <w:sz w:val="21"/>
                <w:szCs w:val="21"/>
              </w:rPr>
            </w:pPr>
            <w:r>
              <w:rPr>
                <w:rFonts w:ascii="Times New Roman"/>
                <w:sz w:val="21"/>
              </w:rPr>
              <w:t>-24.39%</w:t>
            </w:r>
          </w:p>
        </w:tc>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10" w:right="0"/>
              <w:jc w:val="left"/>
              <w:rPr>
                <w:rFonts w:ascii="Times New Roman" w:hAnsi="Times New Roman" w:cs="Times New Roman" w:eastAsia="Times New Roman" w:hint="default"/>
                <w:sz w:val="21"/>
                <w:szCs w:val="21"/>
              </w:rPr>
            </w:pPr>
            <w:r>
              <w:rPr>
                <w:rFonts w:ascii="Times New Roman"/>
                <w:sz w:val="21"/>
              </w:rPr>
              <w:t>-32.59%</w:t>
            </w:r>
          </w:p>
        </w:tc>
      </w:tr>
      <w:tr>
        <w:trPr>
          <w:trHeight w:val="312"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55" w:lineRule="exact"/>
              <w:ind w:left="8"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18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38" w:right="0"/>
              <w:jc w:val="left"/>
              <w:rPr>
                <w:rFonts w:ascii="Times New Roman" w:hAnsi="Times New Roman" w:cs="Times New Roman" w:eastAsia="Times New Roman" w:hint="default"/>
                <w:sz w:val="21"/>
                <w:szCs w:val="21"/>
              </w:rPr>
            </w:pPr>
            <w:r>
              <w:rPr>
                <w:rFonts w:ascii="Times New Roman"/>
                <w:sz w:val="21"/>
              </w:rPr>
              <w:t>0.04</w:t>
            </w:r>
          </w:p>
        </w:tc>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10" w:right="0"/>
              <w:jc w:val="left"/>
              <w:rPr>
                <w:rFonts w:ascii="Times New Roman" w:hAnsi="Times New Roman" w:cs="Times New Roman" w:eastAsia="Times New Roman" w:hint="default"/>
                <w:sz w:val="21"/>
                <w:szCs w:val="21"/>
              </w:rPr>
            </w:pPr>
            <w:r>
              <w:rPr>
                <w:rFonts w:ascii="Times New Roman"/>
                <w:sz w:val="21"/>
              </w:rPr>
              <w:t>-0.60</w:t>
            </w:r>
          </w:p>
        </w:tc>
      </w:tr>
      <w:tr>
        <w:trPr>
          <w:trHeight w:val="484"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55" w:lineRule="exact"/>
              <w:ind w:left="8" w:right="0"/>
              <w:jc w:val="left"/>
              <w:rPr>
                <w:rFonts w:ascii="宋体" w:hAnsi="宋体" w:cs="宋体" w:eastAsia="宋体" w:hint="default"/>
                <w:sz w:val="21"/>
                <w:szCs w:val="21"/>
              </w:rPr>
            </w:pPr>
            <w:r>
              <w:rPr>
                <w:rFonts w:ascii="宋体" w:hAnsi="宋体" w:cs="宋体" w:eastAsia="宋体" w:hint="default"/>
                <w:sz w:val="21"/>
                <w:szCs w:val="21"/>
              </w:rPr>
              <w:t>扣除非经常性损益后基本每股收益</w:t>
            </w:r>
          </w:p>
        </w:tc>
        <w:tc>
          <w:tcPr>
            <w:tcW w:w="1888" w:type="dxa"/>
            <w:gridSpan w:val="2"/>
            <w:tcBorders>
              <w:top w:val="nil" w:sz="6" w:space="0" w:color="auto"/>
              <w:left w:val="nil" w:sz="6" w:space="0" w:color="auto"/>
              <w:bottom w:val="nil" w:sz="6" w:space="0" w:color="auto"/>
              <w:right w:val="nil" w:sz="6" w:space="0" w:color="auto"/>
            </w:tcBorders>
          </w:tcPr>
          <w:p>
            <w:pPr>
              <w:pStyle w:val="TableParagraph"/>
              <w:spacing w:line="240" w:lineRule="auto" w:before="29"/>
              <w:ind w:left="138" w:right="0"/>
              <w:jc w:val="left"/>
              <w:rPr>
                <w:rFonts w:ascii="Times New Roman" w:hAnsi="Times New Roman" w:cs="Times New Roman" w:eastAsia="Times New Roman" w:hint="default"/>
                <w:sz w:val="21"/>
                <w:szCs w:val="21"/>
              </w:rPr>
            </w:pPr>
            <w:r>
              <w:rPr>
                <w:rFonts w:ascii="Times New Roman"/>
                <w:sz w:val="21"/>
              </w:rPr>
              <w:t>-0.39</w:t>
            </w:r>
          </w:p>
        </w:tc>
        <w:tc>
          <w:tcPr>
            <w:tcW w:w="3555" w:type="dxa"/>
            <w:tcBorders>
              <w:top w:val="nil" w:sz="6" w:space="0" w:color="auto"/>
              <w:left w:val="nil" w:sz="6" w:space="0" w:color="auto"/>
              <w:bottom w:val="nil" w:sz="6" w:space="0" w:color="auto"/>
              <w:right w:val="nil" w:sz="6" w:space="0" w:color="auto"/>
            </w:tcBorders>
          </w:tcPr>
          <w:p>
            <w:pPr>
              <w:pStyle w:val="TableParagraph"/>
              <w:spacing w:line="240" w:lineRule="auto" w:before="29"/>
              <w:ind w:left="410" w:right="0"/>
              <w:jc w:val="left"/>
              <w:rPr>
                <w:rFonts w:ascii="Times New Roman" w:hAnsi="Times New Roman" w:cs="Times New Roman" w:eastAsia="Times New Roman" w:hint="default"/>
                <w:sz w:val="21"/>
                <w:szCs w:val="21"/>
              </w:rPr>
            </w:pPr>
            <w:r>
              <w:rPr>
                <w:rFonts w:ascii="Times New Roman"/>
                <w:sz w:val="21"/>
              </w:rPr>
              <w:t>-0.61</w:t>
            </w:r>
          </w:p>
        </w:tc>
      </w:tr>
      <w:tr>
        <w:trPr>
          <w:trHeight w:val="515"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152"/>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w:t>
            </w:r>
            <w:r>
              <w:rPr>
                <w:rFonts w:ascii="宋体" w:hAnsi="宋体" w:cs="宋体" w:eastAsia="宋体" w:hint="default"/>
                <w:spacing w:val="-3"/>
                <w:sz w:val="21"/>
                <w:szCs w:val="21"/>
              </w:rPr>
              <w:t> </w:t>
            </w:r>
            <w:r>
              <w:rPr>
                <w:rFonts w:ascii="宋体" w:hAnsi="宋体" w:cs="宋体" w:eastAsia="宋体" w:hint="default"/>
                <w:sz w:val="21"/>
                <w:szCs w:val="21"/>
              </w:rPr>
              <w:t>现金流量表项目注释：</w:t>
            </w:r>
          </w:p>
        </w:tc>
        <w:tc>
          <w:tcPr>
            <w:tcW w:w="1888" w:type="dxa"/>
            <w:gridSpan w:val="2"/>
            <w:tcBorders>
              <w:top w:val="nil" w:sz="6" w:space="0" w:color="auto"/>
              <w:left w:val="nil" w:sz="6" w:space="0" w:color="auto"/>
              <w:bottom w:val="nil" w:sz="6" w:space="0" w:color="auto"/>
              <w:right w:val="nil" w:sz="6" w:space="0" w:color="auto"/>
            </w:tcBorders>
          </w:tcPr>
          <w:p>
            <w:pPr/>
          </w:p>
        </w:tc>
        <w:tc>
          <w:tcPr>
            <w:tcW w:w="3555" w:type="dxa"/>
            <w:tcBorders>
              <w:top w:val="nil" w:sz="6" w:space="0" w:color="auto"/>
              <w:left w:val="nil" w:sz="6" w:space="0" w:color="auto"/>
              <w:bottom w:val="nil" w:sz="6" w:space="0" w:color="auto"/>
              <w:right w:val="nil" w:sz="6" w:space="0" w:color="auto"/>
            </w:tcBorders>
          </w:tcPr>
          <w:p>
            <w:pPr/>
          </w:p>
        </w:tc>
      </w:tr>
      <w:tr>
        <w:trPr>
          <w:trHeight w:val="359" w:hRule="exact"/>
        </w:trPr>
        <w:tc>
          <w:tcPr>
            <w:tcW w:w="3856" w:type="dxa"/>
            <w:tcBorders>
              <w:top w:val="nil" w:sz="6" w:space="0" w:color="auto"/>
              <w:left w:val="nil" w:sz="6" w:space="0" w:color="auto"/>
              <w:bottom w:val="nil" w:sz="6" w:space="0" w:color="auto"/>
              <w:right w:val="nil" w:sz="6" w:space="0" w:color="auto"/>
            </w:tcBorders>
          </w:tcPr>
          <w:p>
            <w:pPr>
              <w:pStyle w:val="TableParagraph"/>
              <w:spacing w:line="240" w:lineRule="auto" w:before="11"/>
              <w:ind w:left="9"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48"/>
                <w:sz w:val="21"/>
                <w:szCs w:val="21"/>
              </w:rPr>
              <w:t> </w:t>
            </w:r>
            <w:r>
              <w:rPr>
                <w:rFonts w:ascii="宋体" w:hAnsi="宋体" w:cs="宋体" w:eastAsia="宋体" w:hint="default"/>
                <w:sz w:val="21"/>
                <w:szCs w:val="21"/>
              </w:rPr>
              <w:t>收到的其他与经营活动有关的现金：</w:t>
            </w:r>
          </w:p>
        </w:tc>
        <w:tc>
          <w:tcPr>
            <w:tcW w:w="1888" w:type="dxa"/>
            <w:gridSpan w:val="2"/>
            <w:tcBorders>
              <w:top w:val="nil" w:sz="6" w:space="0" w:color="auto"/>
              <w:left w:val="nil" w:sz="6" w:space="0" w:color="auto"/>
              <w:bottom w:val="nil" w:sz="6" w:space="0" w:color="auto"/>
              <w:right w:val="nil" w:sz="6" w:space="0" w:color="auto"/>
            </w:tcBorders>
          </w:tcPr>
          <w:p>
            <w:pPr/>
          </w:p>
        </w:tc>
        <w:tc>
          <w:tcPr>
            <w:tcW w:w="3555" w:type="dxa"/>
            <w:tcBorders>
              <w:top w:val="nil" w:sz="6" w:space="0" w:color="auto"/>
              <w:left w:val="nil" w:sz="6" w:space="0" w:color="auto"/>
              <w:bottom w:val="nil" w:sz="6" w:space="0" w:color="auto"/>
              <w:right w:val="nil" w:sz="6" w:space="0" w:color="auto"/>
            </w:tcBorders>
          </w:tcPr>
          <w:p>
            <w:pPr/>
          </w:p>
        </w:tc>
      </w:tr>
      <w:tr>
        <w:trPr>
          <w:trHeight w:val="329" w:hRule="exact"/>
        </w:trPr>
        <w:tc>
          <w:tcPr>
            <w:tcW w:w="3856" w:type="dxa"/>
            <w:tcBorders>
              <w:top w:val="nil" w:sz="6" w:space="0" w:color="auto"/>
              <w:left w:val="nil" w:sz="6" w:space="0" w:color="auto"/>
              <w:bottom w:val="single" w:sz="6" w:space="0" w:color="000000"/>
              <w:right w:val="nil" w:sz="6" w:space="0" w:color="auto"/>
            </w:tcBorders>
          </w:tcPr>
          <w:p>
            <w:pPr/>
          </w:p>
        </w:tc>
        <w:tc>
          <w:tcPr>
            <w:tcW w:w="1888" w:type="dxa"/>
            <w:gridSpan w:val="2"/>
            <w:tcBorders>
              <w:top w:val="nil" w:sz="6" w:space="0" w:color="auto"/>
              <w:left w:val="nil" w:sz="6" w:space="0" w:color="auto"/>
              <w:bottom w:val="single" w:sz="6" w:space="0" w:color="000000"/>
              <w:right w:val="nil" w:sz="6" w:space="0" w:color="auto"/>
            </w:tcBorders>
          </w:tcPr>
          <w:p>
            <w:pPr/>
          </w:p>
        </w:tc>
        <w:tc>
          <w:tcPr>
            <w:tcW w:w="3555" w:type="dxa"/>
            <w:tcBorders>
              <w:top w:val="nil" w:sz="6" w:space="0" w:color="auto"/>
              <w:left w:val="nil" w:sz="6" w:space="0" w:color="auto"/>
              <w:bottom w:val="single" w:sz="6" w:space="0" w:color="000000"/>
              <w:right w:val="nil" w:sz="6" w:space="0" w:color="auto"/>
            </w:tcBorders>
          </w:tcPr>
          <w:p>
            <w:pPr>
              <w:pStyle w:val="TableParagraph"/>
              <w:spacing w:line="271" w:lineRule="exact"/>
              <w:ind w:left="366" w:right="0"/>
              <w:jc w:val="left"/>
              <w:rPr>
                <w:rFonts w:ascii="宋体" w:hAnsi="宋体" w:cs="宋体" w:eastAsia="宋体" w:hint="default"/>
                <w:sz w:val="21"/>
                <w:szCs w:val="21"/>
              </w:rPr>
            </w:pPr>
            <w:r>
              <w:rPr>
                <w:rFonts w:ascii="宋体" w:hAnsi="宋体" w:cs="宋体" w:eastAsia="宋体" w:hint="default"/>
                <w:sz w:val="21"/>
                <w:szCs w:val="21"/>
              </w:rPr>
              <w:t>单位：元</w:t>
            </w:r>
            <w:r>
              <w:rPr>
                <w:rFonts w:ascii="宋体" w:hAnsi="宋体" w:cs="宋体" w:eastAsia="宋体" w:hint="default"/>
                <w:spacing w:val="-2"/>
                <w:sz w:val="21"/>
                <w:szCs w:val="21"/>
              </w:rPr>
              <w:t> </w:t>
            </w:r>
            <w:r>
              <w:rPr>
                <w:rFonts w:ascii="宋体" w:hAnsi="宋体" w:cs="宋体" w:eastAsia="宋体" w:hint="default"/>
                <w:sz w:val="21"/>
                <w:szCs w:val="21"/>
              </w:rPr>
              <w:t>币种：人民币</w:t>
            </w:r>
          </w:p>
        </w:tc>
      </w:tr>
      <w:tr>
        <w:trPr>
          <w:trHeight w:val="328" w:hRule="exact"/>
        </w:trPr>
        <w:tc>
          <w:tcPr>
            <w:tcW w:w="3856" w:type="dxa"/>
            <w:tcBorders>
              <w:top w:val="single" w:sz="6" w:space="0" w:color="000000"/>
              <w:left w:val="single" w:sz="6" w:space="0" w:color="000000"/>
              <w:bottom w:val="single" w:sz="6" w:space="0" w:color="000000"/>
              <w:right w:val="nil" w:sz="6" w:space="0" w:color="auto"/>
            </w:tcBorders>
          </w:tcPr>
          <w:p>
            <w:pPr>
              <w:pStyle w:val="TableParagraph"/>
              <w:spacing w:line="262" w:lineRule="exact"/>
              <w:ind w:left="786"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794" w:type="dxa"/>
            <w:tcBorders>
              <w:top w:val="single" w:sz="6" w:space="0" w:color="000000"/>
              <w:left w:val="nil" w:sz="6" w:space="0" w:color="auto"/>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nil" w:sz="6" w:space="0" w:color="auto"/>
            </w:tcBorders>
          </w:tcPr>
          <w:p>
            <w:pPr/>
          </w:p>
        </w:tc>
        <w:tc>
          <w:tcPr>
            <w:tcW w:w="3555" w:type="dxa"/>
            <w:tcBorders>
              <w:top w:val="single" w:sz="6" w:space="0" w:color="000000"/>
              <w:left w:val="nil" w:sz="6" w:space="0" w:color="auto"/>
              <w:bottom w:val="single" w:sz="6" w:space="0" w:color="000000"/>
              <w:right w:val="single" w:sz="6" w:space="0" w:color="000000"/>
            </w:tcBorders>
          </w:tcPr>
          <w:p>
            <w:pPr>
              <w:pStyle w:val="TableParagraph"/>
              <w:spacing w:line="262" w:lineRule="exact"/>
              <w:ind w:left="1020" w:right="0"/>
              <w:jc w:val="left"/>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3856"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补贴款</w:t>
            </w:r>
          </w:p>
        </w:tc>
        <w:tc>
          <w:tcPr>
            <w:tcW w:w="794" w:type="dxa"/>
            <w:tcBorders>
              <w:top w:val="single" w:sz="6" w:space="0" w:color="000000"/>
              <w:left w:val="nil" w:sz="6" w:space="0" w:color="auto"/>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nil" w:sz="6" w:space="0" w:color="auto"/>
            </w:tcBorders>
          </w:tcPr>
          <w:p>
            <w:pPr/>
          </w:p>
        </w:tc>
        <w:tc>
          <w:tcPr>
            <w:tcW w:w="35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158,500,000.00</w:t>
            </w:r>
          </w:p>
        </w:tc>
      </w:tr>
      <w:tr>
        <w:trPr>
          <w:trHeight w:val="328" w:hRule="exact"/>
        </w:trPr>
        <w:tc>
          <w:tcPr>
            <w:tcW w:w="3856"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利息收入</w:t>
            </w:r>
          </w:p>
        </w:tc>
        <w:tc>
          <w:tcPr>
            <w:tcW w:w="794" w:type="dxa"/>
            <w:tcBorders>
              <w:top w:val="single" w:sz="6" w:space="0" w:color="000000"/>
              <w:left w:val="nil" w:sz="6" w:space="0" w:color="auto"/>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nil" w:sz="6" w:space="0" w:color="auto"/>
            </w:tcBorders>
          </w:tcPr>
          <w:p>
            <w:pPr/>
          </w:p>
        </w:tc>
        <w:tc>
          <w:tcPr>
            <w:tcW w:w="35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1,463,725.49</w:t>
            </w:r>
          </w:p>
        </w:tc>
      </w:tr>
      <w:tr>
        <w:trPr>
          <w:trHeight w:val="328" w:hRule="exact"/>
        </w:trPr>
        <w:tc>
          <w:tcPr>
            <w:tcW w:w="3856" w:type="dxa"/>
            <w:tcBorders>
              <w:top w:val="single" w:sz="6" w:space="0" w:color="000000"/>
              <w:left w:val="single" w:sz="6" w:space="0" w:color="000000"/>
              <w:bottom w:val="single" w:sz="6" w:space="0" w:color="000000"/>
              <w:right w:val="nil" w:sz="6" w:space="0" w:color="auto"/>
            </w:tcBorders>
          </w:tcPr>
          <w:p>
            <w:pPr>
              <w:pStyle w:val="TableParagraph"/>
              <w:spacing w:line="261" w:lineRule="exact"/>
              <w:ind w:left="78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794" w:type="dxa"/>
            <w:tcBorders>
              <w:top w:val="single" w:sz="6" w:space="0" w:color="000000"/>
              <w:left w:val="nil" w:sz="6" w:space="0" w:color="auto"/>
              <w:bottom w:val="single" w:sz="6" w:space="0" w:color="000000"/>
              <w:right w:val="single" w:sz="6" w:space="0" w:color="000000"/>
            </w:tcBorders>
          </w:tcPr>
          <w:p>
            <w:pPr/>
          </w:p>
        </w:tc>
        <w:tc>
          <w:tcPr>
            <w:tcW w:w="1095" w:type="dxa"/>
            <w:tcBorders>
              <w:top w:val="single" w:sz="6" w:space="0" w:color="000000"/>
              <w:left w:val="single" w:sz="6" w:space="0" w:color="000000"/>
              <w:bottom w:val="single" w:sz="6" w:space="0" w:color="000000"/>
              <w:right w:val="nil" w:sz="6" w:space="0" w:color="auto"/>
            </w:tcBorders>
          </w:tcPr>
          <w:p>
            <w:pPr/>
          </w:p>
        </w:tc>
        <w:tc>
          <w:tcPr>
            <w:tcW w:w="3555" w:type="dxa"/>
            <w:tcBorders>
              <w:top w:val="single" w:sz="6" w:space="0" w:color="000000"/>
              <w:left w:val="nil" w:sz="6" w:space="0" w:color="auto"/>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159,963,725.49</w:t>
            </w:r>
          </w:p>
        </w:tc>
      </w:tr>
    </w:tbl>
    <w:p>
      <w:pPr>
        <w:pStyle w:val="BodyText"/>
        <w:spacing w:line="253" w:lineRule="exact"/>
        <w:ind w:right="999"/>
        <w:jc w:val="left"/>
      </w:pPr>
      <w:r>
        <w:rPr/>
        <w:t>补贴款为收到齐齐哈尔市财政局拨付的化肥补贴款。</w:t>
      </w:r>
    </w:p>
    <w:p>
      <w:pPr>
        <w:spacing w:line="240" w:lineRule="auto" w:before="5"/>
        <w:rPr>
          <w:rFonts w:ascii="宋体" w:hAnsi="宋体" w:cs="宋体" w:eastAsia="宋体" w:hint="default"/>
          <w:sz w:val="26"/>
          <w:szCs w:val="26"/>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支付的其他与经营活动有关的现金：</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运输费、包装费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3,827,507.31</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差旅费</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1,135,932.42</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其他日常管理费用</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8,212,178.44</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13,175,618.17</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收到的其他与投资活动有关的现金：</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节能项目补助款</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11,760,000.00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11,760,000.00</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支付的其他与筹资活动有关的现金：</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650"/>
        <w:gridCol w:w="4650"/>
      </w:tblGrid>
      <w:tr>
        <w:trPr>
          <w:trHeight w:val="326"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项目</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融资租赁利息支出</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4,998,161.00</w:t>
            </w:r>
          </w:p>
        </w:tc>
      </w:tr>
      <w:tr>
        <w:trPr>
          <w:trHeight w:val="328" w:hRule="exact"/>
        </w:trPr>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2106"/>
              <w:jc w:val="right"/>
              <w:rPr>
                <w:rFonts w:ascii="宋体" w:hAnsi="宋体" w:cs="宋体" w:eastAsia="宋体" w:hint="default"/>
                <w:sz w:val="21"/>
                <w:szCs w:val="21"/>
              </w:rPr>
            </w:pPr>
            <w:r>
              <w:rPr>
                <w:rFonts w:ascii="宋体" w:hAnsi="宋体" w:cs="宋体" w:eastAsia="宋体" w:hint="default"/>
                <w:sz w:val="21"/>
                <w:szCs w:val="21"/>
              </w:rPr>
              <w:t>合计</w:t>
            </w:r>
          </w:p>
        </w:tc>
        <w:tc>
          <w:tcPr>
            <w:tcW w:w="46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4,998,161.00</w:t>
            </w:r>
          </w:p>
        </w:tc>
      </w:tr>
    </w:tbl>
    <w:p>
      <w:pPr>
        <w:pStyle w:val="BodyText"/>
        <w:spacing w:line="260" w:lineRule="exact"/>
        <w:ind w:right="999"/>
        <w:jc w:val="left"/>
      </w:pPr>
      <w:r>
        <w:rPr/>
        <w:t>支付的其他与筹资活动有关的现金为根据融资租赁合同支付的利息支出。</w:t>
      </w:r>
    </w:p>
    <w:p>
      <w:pPr>
        <w:spacing w:line="240" w:lineRule="auto" w:before="5"/>
        <w:rPr>
          <w:rFonts w:ascii="宋体" w:hAnsi="宋体" w:cs="宋体" w:eastAsia="宋体" w:hint="default"/>
          <w:sz w:val="26"/>
          <w:szCs w:val="26"/>
        </w:rPr>
      </w:pPr>
    </w:p>
    <w:p>
      <w:pPr>
        <w:spacing w:after="0" w:line="240" w:lineRule="auto"/>
        <w:rPr>
          <w:rFonts w:ascii="宋体" w:hAnsi="宋体" w:cs="宋体" w:eastAsia="宋体" w:hint="default"/>
          <w:sz w:val="26"/>
          <w:szCs w:val="26"/>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36</w:t>
      </w:r>
      <w:r>
        <w:rPr/>
        <w:t>、</w:t>
      </w:r>
      <w:r>
        <w:rPr>
          <w:spacing w:val="-3"/>
        </w:rPr>
        <w:t> </w:t>
      </w:r>
      <w:r>
        <w:rPr/>
        <w:t>现金流量表补充资料：</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现金流量表补充资料：</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765" w:space="3337"/>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15,894,335.98</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-234,575,617.32</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-14,898,562.82</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20,667,877.40</w:t>
            </w: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112,362,445.81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111,185,650.46</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55,142.60</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57,607.85</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932,468.16</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28,423,605.12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23,779,266.46</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39,488,838.27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44,026,620.31</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3,996,720.46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98,954,289.20</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12,010,828.99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-98,909,378.11</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197,335,819.66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-33,883,680.84</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170,614,673.36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142,420,541.02</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142,420,541.02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23,965,025.49</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28,194,132.34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118,455,515.53</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现金和现金等价物的构成</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459"/>
        <w:gridCol w:w="2468"/>
        <w:gridCol w:w="2372"/>
      </w:tblGrid>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170,614,673.36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142,420,541.02</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其中：库存现金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84,960.62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13,255.50</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可随时用于支付的银行存款</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91,483,186.07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107,345,878.06</w:t>
            </w: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可随时用于支付的其他货币资金</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79,046,526.67</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35,061,407.46</w:t>
            </w: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771"/>
              <w:jc w:val="right"/>
              <w:rPr>
                <w:rFonts w:ascii="宋体" w:hAnsi="宋体" w:cs="宋体" w:eastAsia="宋体" w:hint="default"/>
                <w:sz w:val="21"/>
                <w:szCs w:val="21"/>
              </w:rPr>
            </w:pPr>
            <w:r>
              <w:rPr>
                <w:rFonts w:ascii="宋体" w:hAnsi="宋体" w:cs="宋体" w:eastAsia="宋体" w:hint="default"/>
                <w:spacing w:val="-1"/>
                <w:sz w:val="21"/>
                <w:szCs w:val="21"/>
              </w:rPr>
              <w:t>可用于支付的存放中央银行款项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存放同业款项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31" w:right="0"/>
              <w:jc w:val="left"/>
              <w:rPr>
                <w:rFonts w:ascii="宋体" w:hAnsi="宋体" w:cs="宋体" w:eastAsia="宋体" w:hint="default"/>
                <w:sz w:val="21"/>
                <w:szCs w:val="21"/>
              </w:rPr>
            </w:pPr>
            <w:r>
              <w:rPr>
                <w:rFonts w:ascii="宋体" w:hAnsi="宋体" w:cs="宋体" w:eastAsia="宋体" w:hint="default"/>
                <w:sz w:val="21"/>
                <w:szCs w:val="21"/>
              </w:rPr>
              <w:t>拆放同业款项</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二、现金等价物</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其中：三个月内到期的债券投资</w:t>
            </w:r>
          </w:p>
        </w:tc>
        <w:tc>
          <w:tcPr>
            <w:tcW w:w="2468"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45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三、期末现金及现金等价物余额</w:t>
            </w:r>
          </w:p>
        </w:tc>
        <w:tc>
          <w:tcPr>
            <w:tcW w:w="246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170,614,673.36</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142,420,541.02</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w:t>
      </w:r>
      <w:r>
        <w:rPr/>
        <w:t>八</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关联方及关联交易</w:t>
      </w:r>
    </w:p>
    <w:p>
      <w:pPr>
        <w:pStyle w:val="BodyText"/>
        <w:spacing w:line="240" w:lineRule="auto" w:before="83"/>
        <w:ind w:left="139" w:right="-18"/>
        <w:jc w:val="left"/>
      </w:pPr>
      <w:r>
        <w:rPr>
          <w:rFonts w:ascii="Times New Roman" w:hAnsi="Times New Roman" w:cs="Times New Roman" w:eastAsia="Times New Roman" w:hint="default"/>
        </w:rPr>
        <w:t>1</w:t>
      </w:r>
      <w:r>
        <w:rPr/>
        <w:t>、</w:t>
      </w:r>
      <w:r>
        <w:rPr>
          <w:spacing w:val="-2"/>
        </w:rPr>
        <w:t> </w:t>
      </w:r>
      <w:r>
        <w:rPr/>
        <w:t>本企业的母公司情况</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0"/>
        <w:rPr>
          <w:rFonts w:ascii="宋体" w:hAnsi="宋体" w:cs="宋体" w:eastAsia="宋体" w:hint="default"/>
          <w:sz w:val="22"/>
          <w:szCs w:val="22"/>
        </w:rPr>
      </w:pPr>
    </w:p>
    <w:p>
      <w:pPr>
        <w:pStyle w:val="BodyText"/>
        <w:spacing w:line="240" w:lineRule="auto" w:before="177"/>
        <w:ind w:left="139" w:right="0"/>
        <w:jc w:val="lef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after="0" w:line="240" w:lineRule="auto"/>
        <w:jc w:val="left"/>
        <w:sectPr>
          <w:type w:val="continuous"/>
          <w:pgSz w:w="11910" w:h="16840"/>
          <w:pgMar w:top="1600" w:bottom="280" w:left="1660" w:right="680"/>
          <w:cols w:num="2" w:equalWidth="0">
            <w:col w:w="2450" w:space="3954"/>
            <w:col w:w="3166"/>
          </w:cols>
        </w:sectPr>
      </w:pP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733"/>
        <w:gridCol w:w="734"/>
        <w:gridCol w:w="637"/>
        <w:gridCol w:w="733"/>
        <w:gridCol w:w="734"/>
        <w:gridCol w:w="1529"/>
        <w:gridCol w:w="1117"/>
        <w:gridCol w:w="1117"/>
        <w:gridCol w:w="734"/>
        <w:gridCol w:w="1230"/>
      </w:tblGrid>
      <w:tr>
        <w:trPr>
          <w:trHeight w:val="1262" w:hRule="exact"/>
        </w:trPr>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48" w:right="148"/>
              <w:jc w:val="both"/>
              <w:rPr>
                <w:rFonts w:ascii="宋体" w:hAnsi="宋体" w:cs="宋体" w:eastAsia="宋体" w:hint="default"/>
                <w:sz w:val="21"/>
                <w:szCs w:val="21"/>
              </w:rPr>
            </w:pPr>
            <w:r>
              <w:rPr>
                <w:rFonts w:ascii="宋体" w:hAnsi="宋体" w:cs="宋体" w:eastAsia="宋体" w:hint="default"/>
                <w:sz w:val="21"/>
                <w:szCs w:val="21"/>
              </w:rPr>
              <w:t>母公 司名 称</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9" w:right="148"/>
              <w:jc w:val="left"/>
              <w:rPr>
                <w:rFonts w:ascii="宋体" w:hAnsi="宋体" w:cs="宋体" w:eastAsia="宋体" w:hint="default"/>
                <w:sz w:val="21"/>
                <w:szCs w:val="21"/>
              </w:rPr>
            </w:pPr>
            <w:r>
              <w:rPr>
                <w:rFonts w:ascii="宋体" w:hAnsi="宋体" w:cs="宋体" w:eastAsia="宋体" w:hint="default"/>
                <w:sz w:val="21"/>
                <w:szCs w:val="21"/>
              </w:rPr>
              <w:t>企业 类型</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206" w:right="100" w:hanging="106"/>
              <w:jc w:val="left"/>
              <w:rPr>
                <w:rFonts w:ascii="宋体" w:hAnsi="宋体" w:cs="宋体" w:eastAsia="宋体" w:hint="default"/>
                <w:sz w:val="21"/>
                <w:szCs w:val="21"/>
              </w:rPr>
            </w:pPr>
            <w:r>
              <w:rPr>
                <w:rFonts w:ascii="宋体" w:hAnsi="宋体" w:cs="宋体" w:eastAsia="宋体" w:hint="default"/>
                <w:sz w:val="21"/>
                <w:szCs w:val="21"/>
              </w:rPr>
              <w:t>注册 地</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9" w:right="146"/>
              <w:jc w:val="left"/>
              <w:rPr>
                <w:rFonts w:ascii="宋体" w:hAnsi="宋体" w:cs="宋体" w:eastAsia="宋体" w:hint="default"/>
                <w:sz w:val="21"/>
                <w:szCs w:val="21"/>
              </w:rPr>
            </w:pPr>
            <w:r>
              <w:rPr>
                <w:rFonts w:ascii="宋体" w:hAnsi="宋体" w:cs="宋体" w:eastAsia="宋体" w:hint="default"/>
                <w:sz w:val="21"/>
                <w:szCs w:val="21"/>
              </w:rPr>
              <w:t>法人 代表</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49" w:right="148"/>
              <w:jc w:val="left"/>
              <w:rPr>
                <w:rFonts w:ascii="宋体" w:hAnsi="宋体" w:cs="宋体" w:eastAsia="宋体" w:hint="default"/>
                <w:sz w:val="21"/>
                <w:szCs w:val="21"/>
              </w:rPr>
            </w:pPr>
            <w:r>
              <w:rPr>
                <w:rFonts w:ascii="宋体" w:hAnsi="宋体" w:cs="宋体" w:eastAsia="宋体" w:hint="default"/>
                <w:sz w:val="21"/>
                <w:szCs w:val="21"/>
              </w:rPr>
              <w:t>业务 性质</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95" w:lineRule="auto" w:before="37"/>
              <w:ind w:left="130" w:right="130"/>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持股比例 </w:t>
            </w:r>
            <w:r>
              <w:rPr>
                <w:rFonts w:ascii="Times New Roman" w:hAnsi="Times New Roman" w:cs="Times New Roman" w:eastAsia="Times New Roman" w:hint="default"/>
                <w:sz w:val="21"/>
                <w:szCs w:val="21"/>
              </w:rPr>
              <w:t>(%)</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母公司对</w:t>
            </w:r>
          </w:p>
          <w:p>
            <w:pPr>
              <w:pStyle w:val="TableParagraph"/>
              <w:spacing w:line="273" w:lineRule="auto" w:before="37"/>
              <w:ind w:left="130" w:right="130"/>
              <w:jc w:val="center"/>
              <w:rPr>
                <w:rFonts w:ascii="Times New Roman" w:hAnsi="Times New Roman" w:cs="Times New Roman" w:eastAsia="Times New Roman" w:hint="default"/>
                <w:sz w:val="21"/>
                <w:szCs w:val="21"/>
              </w:rPr>
            </w:pPr>
            <w:r>
              <w:rPr>
                <w:rFonts w:ascii="宋体" w:hAnsi="宋体" w:cs="宋体" w:eastAsia="宋体" w:hint="default"/>
                <w:sz w:val="21"/>
                <w:szCs w:val="21"/>
              </w:rPr>
              <w:t>本企业的 表决权比 例</w:t>
            </w:r>
            <w:r>
              <w:rPr>
                <w:rFonts w:ascii="Times New Roman" w:hAnsi="Times New Roman" w:cs="Times New Roman" w:eastAsia="Times New Roman" w:hint="default"/>
                <w:sz w:val="21"/>
                <w:szCs w:val="21"/>
              </w:rPr>
              <w:t>(%)</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49" w:right="0"/>
              <w:jc w:val="both"/>
              <w:rPr>
                <w:rFonts w:ascii="宋体" w:hAnsi="宋体" w:cs="宋体" w:eastAsia="宋体" w:hint="default"/>
                <w:sz w:val="21"/>
                <w:szCs w:val="21"/>
              </w:rPr>
            </w:pPr>
            <w:r>
              <w:rPr>
                <w:rFonts w:ascii="宋体" w:hAnsi="宋体" w:cs="宋体" w:eastAsia="宋体" w:hint="default"/>
                <w:sz w:val="21"/>
                <w:szCs w:val="21"/>
              </w:rPr>
              <w:t>本企</w:t>
            </w:r>
          </w:p>
          <w:p>
            <w:pPr>
              <w:pStyle w:val="TableParagraph"/>
              <w:spacing w:line="273" w:lineRule="auto" w:before="37"/>
              <w:ind w:left="149" w:right="148"/>
              <w:jc w:val="both"/>
              <w:rPr>
                <w:rFonts w:ascii="宋体" w:hAnsi="宋体" w:cs="宋体" w:eastAsia="宋体" w:hint="default"/>
                <w:sz w:val="21"/>
                <w:szCs w:val="21"/>
              </w:rPr>
            </w:pPr>
            <w:r>
              <w:rPr>
                <w:rFonts w:ascii="宋体" w:hAnsi="宋体" w:cs="宋体" w:eastAsia="宋体" w:hint="default"/>
                <w:sz w:val="21"/>
                <w:szCs w:val="21"/>
              </w:rPr>
              <w:t>业最 终控 制方</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397" w:right="185" w:hanging="210"/>
              <w:jc w:val="left"/>
              <w:rPr>
                <w:rFonts w:ascii="宋体" w:hAnsi="宋体" w:cs="宋体" w:eastAsia="宋体" w:hint="default"/>
                <w:sz w:val="21"/>
                <w:szCs w:val="21"/>
              </w:rPr>
            </w:pPr>
            <w:r>
              <w:rPr>
                <w:rFonts w:ascii="宋体" w:hAnsi="宋体" w:cs="宋体" w:eastAsia="宋体" w:hint="default"/>
                <w:sz w:val="21"/>
                <w:szCs w:val="21"/>
              </w:rPr>
              <w:t>组织机构 代码</w:t>
            </w:r>
          </w:p>
        </w:tc>
      </w:tr>
      <w:tr>
        <w:trPr>
          <w:trHeight w:val="3136" w:hRule="exact"/>
        </w:trPr>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73" w:lineRule="auto"/>
              <w:ind w:left="100" w:right="1"/>
              <w:jc w:val="both"/>
              <w:rPr>
                <w:rFonts w:ascii="宋体" w:hAnsi="宋体" w:cs="宋体" w:eastAsia="宋体" w:hint="default"/>
                <w:sz w:val="21"/>
                <w:szCs w:val="21"/>
              </w:rPr>
            </w:pPr>
            <w:r>
              <w:rPr>
                <w:rFonts w:ascii="宋体" w:hAnsi="宋体" w:cs="宋体" w:eastAsia="宋体" w:hint="default"/>
                <w:spacing w:val="48"/>
                <w:sz w:val="21"/>
                <w:szCs w:val="21"/>
              </w:rPr>
              <w:t>黑龙</w:t>
            </w:r>
            <w:r>
              <w:rPr>
                <w:rFonts w:ascii="宋体" w:hAnsi="宋体" w:cs="宋体" w:eastAsia="宋体" w:hint="default"/>
                <w:spacing w:val="-8"/>
                <w:sz w:val="21"/>
                <w:szCs w:val="21"/>
              </w:rPr>
              <w:t> </w:t>
            </w:r>
            <w:r>
              <w:rPr>
                <w:rFonts w:ascii="宋体" w:hAnsi="宋体" w:cs="宋体" w:eastAsia="宋体" w:hint="default"/>
                <w:spacing w:val="48"/>
                <w:sz w:val="21"/>
                <w:szCs w:val="21"/>
              </w:rPr>
              <w:t>江黑</w:t>
            </w:r>
            <w:r>
              <w:rPr>
                <w:rFonts w:ascii="宋体" w:hAnsi="宋体" w:cs="宋体" w:eastAsia="宋体" w:hint="default"/>
                <w:spacing w:val="-8"/>
                <w:sz w:val="21"/>
                <w:szCs w:val="21"/>
              </w:rPr>
              <w:t> </w:t>
            </w:r>
            <w:r>
              <w:rPr>
                <w:rFonts w:ascii="宋体" w:hAnsi="宋体" w:cs="宋体" w:eastAsia="宋体" w:hint="default"/>
                <w:spacing w:val="48"/>
                <w:sz w:val="21"/>
                <w:szCs w:val="21"/>
              </w:rPr>
              <w:t>化集</w:t>
            </w:r>
            <w:r>
              <w:rPr>
                <w:rFonts w:ascii="宋体" w:hAnsi="宋体" w:cs="宋体" w:eastAsia="宋体" w:hint="default"/>
                <w:spacing w:val="-8"/>
                <w:sz w:val="21"/>
                <w:szCs w:val="21"/>
              </w:rPr>
              <w:t> </w:t>
            </w:r>
            <w:r>
              <w:rPr>
                <w:rFonts w:ascii="宋体" w:hAnsi="宋体" w:cs="宋体" w:eastAsia="宋体" w:hint="default"/>
                <w:spacing w:val="48"/>
                <w:sz w:val="21"/>
                <w:szCs w:val="21"/>
              </w:rPr>
              <w:t>团有</w:t>
            </w:r>
            <w:r>
              <w:rPr>
                <w:rFonts w:ascii="宋体" w:hAnsi="宋体" w:cs="宋体" w:eastAsia="宋体" w:hint="default"/>
                <w:spacing w:val="-8"/>
                <w:sz w:val="21"/>
                <w:szCs w:val="21"/>
              </w:rPr>
              <w:t> </w:t>
            </w:r>
            <w:r>
              <w:rPr>
                <w:rFonts w:ascii="宋体" w:hAnsi="宋体" w:cs="宋体" w:eastAsia="宋体" w:hint="default"/>
                <w:spacing w:val="48"/>
                <w:sz w:val="21"/>
                <w:szCs w:val="21"/>
              </w:rPr>
              <w:t>限公</w:t>
            </w:r>
            <w:r>
              <w:rPr>
                <w:rFonts w:ascii="宋体" w:hAnsi="宋体" w:cs="宋体" w:eastAsia="宋体" w:hint="default"/>
                <w:spacing w:val="-8"/>
                <w:sz w:val="21"/>
                <w:szCs w:val="21"/>
              </w:rPr>
              <w:t> </w:t>
            </w:r>
            <w:r>
              <w:rPr>
                <w:rFonts w:ascii="宋体" w:hAnsi="宋体" w:cs="宋体" w:eastAsia="宋体" w:hint="default"/>
                <w:sz w:val="21"/>
                <w:szCs w:val="21"/>
              </w:rPr>
              <w:t>司</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22"/>
                <w:szCs w:val="22"/>
              </w:rPr>
            </w:pPr>
          </w:p>
          <w:p>
            <w:pPr>
              <w:pStyle w:val="TableParagraph"/>
              <w:spacing w:line="273" w:lineRule="auto"/>
              <w:ind w:left="100" w:right="0"/>
              <w:jc w:val="both"/>
              <w:rPr>
                <w:rFonts w:ascii="宋体" w:hAnsi="宋体" w:cs="宋体" w:eastAsia="宋体" w:hint="default"/>
                <w:sz w:val="21"/>
                <w:szCs w:val="21"/>
              </w:rPr>
            </w:pPr>
            <w:r>
              <w:rPr>
                <w:rFonts w:ascii="宋体" w:hAnsi="宋体" w:cs="宋体" w:eastAsia="宋体" w:hint="default"/>
                <w:spacing w:val="49"/>
                <w:sz w:val="21"/>
                <w:szCs w:val="21"/>
              </w:rPr>
              <w:t>国有</w:t>
            </w:r>
            <w:r>
              <w:rPr>
                <w:rFonts w:ascii="宋体" w:hAnsi="宋体" w:cs="宋体" w:eastAsia="宋体" w:hint="default"/>
                <w:spacing w:val="-7"/>
                <w:sz w:val="21"/>
                <w:szCs w:val="21"/>
              </w:rPr>
              <w:t> </w:t>
            </w:r>
            <w:r>
              <w:rPr>
                <w:rFonts w:ascii="宋体" w:hAnsi="宋体" w:cs="宋体" w:eastAsia="宋体" w:hint="default"/>
                <w:spacing w:val="49"/>
                <w:sz w:val="21"/>
                <w:szCs w:val="21"/>
              </w:rPr>
              <w:t>独资</w:t>
            </w:r>
            <w:r>
              <w:rPr>
                <w:rFonts w:ascii="宋体" w:hAnsi="宋体" w:cs="宋体" w:eastAsia="宋体" w:hint="default"/>
                <w:spacing w:val="-7"/>
                <w:sz w:val="21"/>
                <w:szCs w:val="21"/>
              </w:rPr>
              <w:t> </w:t>
            </w:r>
            <w:r>
              <w:rPr>
                <w:rFonts w:ascii="宋体" w:hAnsi="宋体" w:cs="宋体" w:eastAsia="宋体" w:hint="default"/>
                <w:sz w:val="21"/>
                <w:szCs w:val="21"/>
              </w:rPr>
              <w:t>公司</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黑龙</w:t>
            </w:r>
          </w:p>
          <w:p>
            <w:pPr>
              <w:pStyle w:val="TableParagraph"/>
              <w:spacing w:line="273" w:lineRule="auto" w:before="37"/>
              <w:ind w:left="100" w:right="97"/>
              <w:jc w:val="both"/>
              <w:rPr>
                <w:rFonts w:ascii="宋体" w:hAnsi="宋体" w:cs="宋体" w:eastAsia="宋体" w:hint="default"/>
                <w:sz w:val="21"/>
                <w:szCs w:val="21"/>
              </w:rPr>
            </w:pPr>
            <w:r>
              <w:rPr>
                <w:rFonts w:ascii="宋体" w:hAnsi="宋体" w:cs="宋体" w:eastAsia="宋体" w:hint="default"/>
                <w:sz w:val="21"/>
                <w:szCs w:val="21"/>
              </w:rPr>
              <w:t>江省</w:t>
            </w:r>
            <w:r>
              <w:rPr>
                <w:rFonts w:ascii="宋体" w:hAnsi="宋体" w:cs="宋体" w:eastAsia="宋体" w:hint="default"/>
                <w:spacing w:val="1"/>
                <w:sz w:val="21"/>
                <w:szCs w:val="21"/>
              </w:rPr>
              <w:t> </w:t>
            </w:r>
            <w:r>
              <w:rPr>
                <w:rFonts w:ascii="宋体" w:hAnsi="宋体" w:cs="宋体" w:eastAsia="宋体" w:hint="default"/>
                <w:sz w:val="21"/>
                <w:szCs w:val="21"/>
              </w:rPr>
              <w:t>齐齐</w:t>
            </w:r>
            <w:r>
              <w:rPr>
                <w:rFonts w:ascii="宋体" w:hAnsi="宋体" w:cs="宋体" w:eastAsia="宋体" w:hint="default"/>
                <w:spacing w:val="1"/>
                <w:sz w:val="21"/>
                <w:szCs w:val="21"/>
              </w:rPr>
              <w:t> </w:t>
            </w:r>
            <w:r>
              <w:rPr>
                <w:rFonts w:ascii="宋体" w:hAnsi="宋体" w:cs="宋体" w:eastAsia="宋体" w:hint="default"/>
                <w:sz w:val="21"/>
                <w:szCs w:val="21"/>
              </w:rPr>
              <w:t>哈尔</w:t>
            </w:r>
            <w:r>
              <w:rPr>
                <w:rFonts w:ascii="宋体" w:hAnsi="宋体" w:cs="宋体" w:eastAsia="宋体" w:hint="default"/>
                <w:spacing w:val="1"/>
                <w:sz w:val="21"/>
                <w:szCs w:val="21"/>
              </w:rPr>
              <w:t> </w:t>
            </w:r>
            <w:r>
              <w:rPr>
                <w:rFonts w:ascii="宋体" w:hAnsi="宋体" w:cs="宋体" w:eastAsia="宋体" w:hint="default"/>
                <w:sz w:val="21"/>
                <w:szCs w:val="21"/>
              </w:rPr>
              <w:t>市富</w:t>
            </w:r>
            <w:r>
              <w:rPr>
                <w:rFonts w:ascii="宋体" w:hAnsi="宋体" w:cs="宋体" w:eastAsia="宋体" w:hint="default"/>
                <w:spacing w:val="1"/>
                <w:sz w:val="21"/>
                <w:szCs w:val="21"/>
              </w:rPr>
              <w:t> </w:t>
            </w:r>
            <w:r>
              <w:rPr>
                <w:rFonts w:ascii="宋体" w:hAnsi="宋体" w:cs="宋体" w:eastAsia="宋体" w:hint="default"/>
                <w:sz w:val="21"/>
                <w:szCs w:val="21"/>
              </w:rPr>
              <w:t>拉尔</w:t>
            </w:r>
            <w:r>
              <w:rPr>
                <w:rFonts w:ascii="宋体" w:hAnsi="宋体" w:cs="宋体" w:eastAsia="宋体" w:hint="default"/>
                <w:spacing w:val="1"/>
                <w:sz w:val="21"/>
                <w:szCs w:val="21"/>
              </w:rPr>
              <w:t> </w:t>
            </w:r>
            <w:r>
              <w:rPr>
                <w:rFonts w:ascii="宋体" w:hAnsi="宋体" w:cs="宋体" w:eastAsia="宋体" w:hint="default"/>
                <w:sz w:val="21"/>
                <w:szCs w:val="21"/>
              </w:rPr>
              <w:t>基区</w:t>
            </w:r>
            <w:r>
              <w:rPr>
                <w:rFonts w:ascii="宋体" w:hAnsi="宋体" w:cs="宋体" w:eastAsia="宋体" w:hint="default"/>
                <w:spacing w:val="1"/>
                <w:sz w:val="21"/>
                <w:szCs w:val="21"/>
              </w:rPr>
              <w:t> </w:t>
            </w:r>
            <w:r>
              <w:rPr>
                <w:rFonts w:ascii="宋体" w:hAnsi="宋体" w:cs="宋体" w:eastAsia="宋体" w:hint="default"/>
                <w:sz w:val="21"/>
                <w:szCs w:val="21"/>
              </w:rPr>
              <w:t>向阳</w:t>
            </w:r>
            <w:r>
              <w:rPr>
                <w:rFonts w:ascii="宋体" w:hAnsi="宋体" w:cs="宋体" w:eastAsia="宋体" w:hint="default"/>
                <w:spacing w:val="1"/>
                <w:sz w:val="21"/>
                <w:szCs w:val="21"/>
              </w:rPr>
              <w:t> </w:t>
            </w:r>
            <w:r>
              <w:rPr>
                <w:rFonts w:ascii="宋体" w:hAnsi="宋体" w:cs="宋体" w:eastAsia="宋体" w:hint="default"/>
                <w:sz w:val="21"/>
                <w:szCs w:val="21"/>
              </w:rPr>
              <w:t>大街</w:t>
            </w:r>
            <w:r>
              <w:rPr>
                <w:rFonts w:ascii="宋体" w:hAnsi="宋体" w:cs="宋体" w:eastAsia="宋体" w:hint="default"/>
                <w:spacing w:val="1"/>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4"/>
                <w:szCs w:val="14"/>
              </w:rPr>
            </w:pPr>
          </w:p>
          <w:p>
            <w:pPr>
              <w:pStyle w:val="TableParagraph"/>
              <w:spacing w:line="273" w:lineRule="auto"/>
              <w:ind w:left="100" w:right="1"/>
              <w:jc w:val="left"/>
              <w:rPr>
                <w:rFonts w:ascii="宋体" w:hAnsi="宋体" w:cs="宋体" w:eastAsia="宋体" w:hint="default"/>
                <w:sz w:val="21"/>
                <w:szCs w:val="21"/>
              </w:rPr>
            </w:pPr>
            <w:r>
              <w:rPr>
                <w:rFonts w:ascii="宋体" w:hAnsi="宋体" w:cs="宋体" w:eastAsia="宋体" w:hint="default"/>
                <w:spacing w:val="49"/>
                <w:sz w:val="21"/>
                <w:szCs w:val="21"/>
              </w:rPr>
              <w:t>王宏</w:t>
            </w:r>
            <w:r>
              <w:rPr>
                <w:rFonts w:ascii="宋体" w:hAnsi="宋体" w:cs="宋体" w:eastAsia="宋体" w:hint="default"/>
                <w:spacing w:val="-7"/>
                <w:sz w:val="21"/>
                <w:szCs w:val="21"/>
              </w:rPr>
              <w:t> </w:t>
            </w:r>
            <w:r>
              <w:rPr>
                <w:rFonts w:ascii="宋体" w:hAnsi="宋体" w:cs="宋体" w:eastAsia="宋体" w:hint="default"/>
                <w:sz w:val="21"/>
                <w:szCs w:val="21"/>
              </w:rPr>
              <w:t>伟</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2"/>
              <w:ind w:left="100" w:right="0"/>
              <w:jc w:val="both"/>
              <w:rPr>
                <w:rFonts w:ascii="宋体" w:hAnsi="宋体" w:cs="宋体" w:eastAsia="宋体" w:hint="default"/>
                <w:sz w:val="21"/>
                <w:szCs w:val="21"/>
              </w:rPr>
            </w:pPr>
            <w:r>
              <w:rPr>
                <w:rFonts w:ascii="宋体" w:hAnsi="宋体" w:cs="宋体" w:eastAsia="宋体" w:hint="default"/>
                <w:spacing w:val="49"/>
                <w:sz w:val="21"/>
                <w:szCs w:val="21"/>
              </w:rPr>
              <w:t>硝酸</w:t>
            </w:r>
            <w:r>
              <w:rPr>
                <w:rFonts w:ascii="宋体" w:hAnsi="宋体" w:cs="宋体" w:eastAsia="宋体" w:hint="default"/>
                <w:spacing w:val="-7"/>
                <w:sz w:val="21"/>
                <w:szCs w:val="21"/>
              </w:rPr>
              <w:t> </w:t>
            </w:r>
            <w:r>
              <w:rPr>
                <w:rFonts w:ascii="宋体" w:hAnsi="宋体" w:cs="宋体" w:eastAsia="宋体" w:hint="default"/>
                <w:spacing w:val="49"/>
                <w:sz w:val="21"/>
                <w:szCs w:val="21"/>
              </w:rPr>
              <w:t>铵、</w:t>
            </w:r>
            <w:r>
              <w:rPr>
                <w:rFonts w:ascii="宋体" w:hAnsi="宋体" w:cs="宋体" w:eastAsia="宋体" w:hint="default"/>
                <w:spacing w:val="-7"/>
                <w:sz w:val="21"/>
                <w:szCs w:val="21"/>
              </w:rPr>
              <w:t> </w:t>
            </w:r>
            <w:r>
              <w:rPr>
                <w:rFonts w:ascii="宋体" w:hAnsi="宋体" w:cs="宋体" w:eastAsia="宋体" w:hint="default"/>
                <w:spacing w:val="49"/>
                <w:sz w:val="21"/>
                <w:szCs w:val="21"/>
              </w:rPr>
              <w:t>双氧</w:t>
            </w:r>
            <w:r>
              <w:rPr>
                <w:rFonts w:ascii="宋体" w:hAnsi="宋体" w:cs="宋体" w:eastAsia="宋体" w:hint="default"/>
                <w:spacing w:val="-7"/>
                <w:sz w:val="21"/>
                <w:szCs w:val="21"/>
              </w:rPr>
              <w:t> </w:t>
            </w:r>
            <w:r>
              <w:rPr>
                <w:rFonts w:ascii="宋体" w:hAnsi="宋体" w:cs="宋体" w:eastAsia="宋体" w:hint="default"/>
                <w:spacing w:val="49"/>
                <w:sz w:val="21"/>
                <w:szCs w:val="21"/>
              </w:rPr>
              <w:t>水等</w:t>
            </w:r>
            <w:r>
              <w:rPr>
                <w:rFonts w:ascii="宋体" w:hAnsi="宋体" w:cs="宋体" w:eastAsia="宋体" w:hint="default"/>
                <w:spacing w:val="-7"/>
                <w:sz w:val="21"/>
                <w:szCs w:val="21"/>
              </w:rPr>
              <w:t> </w:t>
            </w:r>
            <w:r>
              <w:rPr>
                <w:rFonts w:ascii="宋体" w:hAnsi="宋体" w:cs="宋体" w:eastAsia="宋体" w:hint="default"/>
                <w:spacing w:val="49"/>
                <w:sz w:val="21"/>
                <w:szCs w:val="21"/>
              </w:rPr>
              <w:t>化工</w:t>
            </w:r>
            <w:r>
              <w:rPr>
                <w:rFonts w:ascii="宋体" w:hAnsi="宋体" w:cs="宋体" w:eastAsia="宋体" w:hint="default"/>
                <w:spacing w:val="-7"/>
                <w:sz w:val="21"/>
                <w:szCs w:val="21"/>
              </w:rPr>
              <w:t> </w:t>
            </w:r>
            <w:r>
              <w:rPr>
                <w:rFonts w:ascii="宋体" w:hAnsi="宋体" w:cs="宋体" w:eastAsia="宋体" w:hint="default"/>
                <w:spacing w:val="49"/>
                <w:sz w:val="21"/>
                <w:szCs w:val="21"/>
              </w:rPr>
              <w:t>产品</w:t>
            </w:r>
            <w:r>
              <w:rPr>
                <w:rFonts w:ascii="宋体" w:hAnsi="宋体" w:cs="宋体" w:eastAsia="宋体" w:hint="default"/>
                <w:spacing w:val="-7"/>
                <w:sz w:val="21"/>
                <w:szCs w:val="21"/>
              </w:rPr>
              <w:t> </w:t>
            </w:r>
            <w:r>
              <w:rPr>
                <w:rFonts w:ascii="宋体" w:hAnsi="宋体" w:cs="宋体" w:eastAsia="宋体" w:hint="default"/>
                <w:spacing w:val="49"/>
                <w:sz w:val="21"/>
                <w:szCs w:val="21"/>
              </w:rPr>
              <w:t>的生</w:t>
            </w:r>
            <w:r>
              <w:rPr>
                <w:rFonts w:ascii="宋体" w:hAnsi="宋体" w:cs="宋体" w:eastAsia="宋体" w:hint="default"/>
                <w:spacing w:val="-7"/>
                <w:sz w:val="21"/>
                <w:szCs w:val="21"/>
              </w:rPr>
              <w:t> </w:t>
            </w:r>
            <w:r>
              <w:rPr>
                <w:rFonts w:ascii="宋体" w:hAnsi="宋体" w:cs="宋体" w:eastAsia="宋体" w:hint="default"/>
                <w:spacing w:val="49"/>
                <w:sz w:val="21"/>
                <w:szCs w:val="21"/>
              </w:rPr>
              <w:t>产销</w:t>
            </w:r>
            <w:r>
              <w:rPr>
                <w:rFonts w:ascii="宋体" w:hAnsi="宋体" w:cs="宋体" w:eastAsia="宋体" w:hint="default"/>
                <w:spacing w:val="-7"/>
                <w:sz w:val="21"/>
                <w:szCs w:val="21"/>
              </w:rPr>
              <w:t> </w:t>
            </w:r>
            <w:r>
              <w:rPr>
                <w:rFonts w:ascii="宋体" w:hAnsi="宋体" w:cs="宋体" w:eastAsia="宋体" w:hint="default"/>
                <w:sz w:val="21"/>
                <w:szCs w:val="21"/>
              </w:rPr>
              <w:t>售</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right="1"/>
              <w:jc w:val="center"/>
              <w:rPr>
                <w:rFonts w:ascii="Times New Roman" w:hAnsi="Times New Roman" w:cs="Times New Roman" w:eastAsia="Times New Roman" w:hint="default"/>
                <w:sz w:val="21"/>
                <w:szCs w:val="21"/>
              </w:rPr>
            </w:pPr>
            <w:r>
              <w:rPr>
                <w:rFonts w:ascii="Times New Roman"/>
                <w:sz w:val="21"/>
              </w:rPr>
              <w:t>360,000,000.00</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527" w:right="0"/>
              <w:jc w:val="left"/>
              <w:rPr>
                <w:rFonts w:ascii="Times New Roman" w:hAnsi="Times New Roman" w:cs="Times New Roman" w:eastAsia="Times New Roman" w:hint="default"/>
                <w:sz w:val="21"/>
                <w:szCs w:val="21"/>
              </w:rPr>
            </w:pPr>
            <w:r>
              <w:rPr>
                <w:rFonts w:ascii="Times New Roman"/>
                <w:sz w:val="21"/>
              </w:rPr>
              <w:t>49.94</w:t>
            </w:r>
          </w:p>
        </w:tc>
        <w:tc>
          <w:tcPr>
            <w:tcW w:w="11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527" w:right="0"/>
              <w:jc w:val="left"/>
              <w:rPr>
                <w:rFonts w:ascii="Times New Roman" w:hAnsi="Times New Roman" w:cs="Times New Roman" w:eastAsia="Times New Roman" w:hint="default"/>
                <w:sz w:val="21"/>
                <w:szCs w:val="21"/>
              </w:rPr>
            </w:pPr>
            <w:r>
              <w:rPr>
                <w:rFonts w:ascii="Times New Roman"/>
                <w:sz w:val="21"/>
              </w:rPr>
              <w:t>49.94</w:t>
            </w:r>
          </w:p>
        </w:tc>
        <w:tc>
          <w:tcPr>
            <w:tcW w:w="7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73" w:lineRule="auto" w:before="137"/>
              <w:ind w:left="100" w:right="0"/>
              <w:jc w:val="both"/>
              <w:rPr>
                <w:rFonts w:ascii="宋体" w:hAnsi="宋体" w:cs="宋体" w:eastAsia="宋体" w:hint="default"/>
                <w:sz w:val="21"/>
                <w:szCs w:val="21"/>
              </w:rPr>
            </w:pPr>
            <w:r>
              <w:rPr>
                <w:rFonts w:ascii="宋体" w:hAnsi="宋体" w:cs="宋体" w:eastAsia="宋体" w:hint="default"/>
                <w:spacing w:val="49"/>
                <w:sz w:val="21"/>
                <w:szCs w:val="21"/>
              </w:rPr>
              <w:t>中国</w:t>
            </w:r>
            <w:r>
              <w:rPr>
                <w:rFonts w:ascii="宋体" w:hAnsi="宋体" w:cs="宋体" w:eastAsia="宋体" w:hint="default"/>
                <w:spacing w:val="-7"/>
                <w:sz w:val="21"/>
                <w:szCs w:val="21"/>
              </w:rPr>
              <w:t> </w:t>
            </w:r>
            <w:r>
              <w:rPr>
                <w:rFonts w:ascii="宋体" w:hAnsi="宋体" w:cs="宋体" w:eastAsia="宋体" w:hint="default"/>
                <w:spacing w:val="49"/>
                <w:sz w:val="21"/>
                <w:szCs w:val="21"/>
              </w:rPr>
              <w:t>化工</w:t>
            </w:r>
            <w:r>
              <w:rPr>
                <w:rFonts w:ascii="宋体" w:hAnsi="宋体" w:cs="宋体" w:eastAsia="宋体" w:hint="default"/>
                <w:spacing w:val="-7"/>
                <w:sz w:val="21"/>
                <w:szCs w:val="21"/>
              </w:rPr>
              <w:t> </w:t>
            </w:r>
            <w:r>
              <w:rPr>
                <w:rFonts w:ascii="宋体" w:hAnsi="宋体" w:cs="宋体" w:eastAsia="宋体" w:hint="default"/>
                <w:spacing w:val="49"/>
                <w:sz w:val="21"/>
                <w:szCs w:val="21"/>
              </w:rPr>
              <w:t>集团</w:t>
            </w:r>
            <w:r>
              <w:rPr>
                <w:rFonts w:ascii="宋体" w:hAnsi="宋体" w:cs="宋体" w:eastAsia="宋体" w:hint="default"/>
                <w:spacing w:val="-7"/>
                <w:sz w:val="21"/>
                <w:szCs w:val="21"/>
              </w:rPr>
              <w:t> </w:t>
            </w:r>
            <w:r>
              <w:rPr>
                <w:rFonts w:ascii="宋体" w:hAnsi="宋体" w:cs="宋体" w:eastAsia="宋体" w:hint="default"/>
                <w:sz w:val="21"/>
                <w:szCs w:val="21"/>
              </w:rPr>
              <w:t>公司</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1"/>
              <w:ind w:left="100" w:right="0"/>
              <w:jc w:val="left"/>
              <w:rPr>
                <w:rFonts w:ascii="Times New Roman" w:hAnsi="Times New Roman" w:cs="Times New Roman" w:eastAsia="Times New Roman" w:hint="default"/>
                <w:sz w:val="21"/>
                <w:szCs w:val="21"/>
              </w:rPr>
            </w:pPr>
            <w:r>
              <w:rPr>
                <w:rFonts w:ascii="Times New Roman"/>
                <w:sz w:val="21"/>
              </w:rPr>
              <w:t>24561023-7</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
        <w:rPr>
          <w:rFonts w:ascii="宋体" w:hAnsi="宋体" w:cs="宋体" w:eastAsia="宋体" w:hint="default"/>
          <w:sz w:val="23"/>
          <w:szCs w:val="23"/>
        </w:rPr>
      </w:pPr>
    </w:p>
    <w:p>
      <w:pPr>
        <w:pStyle w:val="BodyText"/>
        <w:spacing w:line="240" w:lineRule="auto" w:before="35"/>
        <w:ind w:right="999"/>
        <w:jc w:val="left"/>
      </w:pPr>
      <w:r>
        <w:rPr>
          <w:rFonts w:ascii="Times New Roman" w:hAnsi="Times New Roman" w:cs="Times New Roman" w:eastAsia="Times New Roman" w:hint="default"/>
        </w:rPr>
        <w:t>2</w:t>
      </w:r>
      <w:r>
        <w:rPr/>
        <w:t>、</w:t>
      </w:r>
      <w:r>
        <w:rPr>
          <w:spacing w:val="-2"/>
        </w:rPr>
        <w:t> </w:t>
      </w:r>
      <w:r>
        <w:rPr/>
        <w:t>本企业的子公司情况</w:t>
      </w:r>
    </w:p>
    <w:p>
      <w:pPr>
        <w:pStyle w:val="BodyText"/>
        <w:spacing w:line="240" w:lineRule="auto" w:before="52"/>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978"/>
        <w:gridCol w:w="977"/>
        <w:gridCol w:w="880"/>
        <w:gridCol w:w="977"/>
        <w:gridCol w:w="977"/>
        <w:gridCol w:w="1424"/>
        <w:gridCol w:w="880"/>
        <w:gridCol w:w="978"/>
        <w:gridCol w:w="1230"/>
      </w:tblGrid>
      <w:tr>
        <w:trPr>
          <w:trHeight w:val="638" w:hRule="exact"/>
        </w:trPr>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子公司</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全称</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企业类</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型</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17" w:right="0"/>
              <w:jc w:val="left"/>
              <w:rPr>
                <w:rFonts w:ascii="宋体" w:hAnsi="宋体" w:cs="宋体" w:eastAsia="宋体" w:hint="default"/>
                <w:sz w:val="21"/>
                <w:szCs w:val="21"/>
              </w:rPr>
            </w:pPr>
            <w:r>
              <w:rPr>
                <w:rFonts w:ascii="宋体" w:hAnsi="宋体" w:cs="宋体" w:eastAsia="宋体" w:hint="default"/>
                <w:sz w:val="21"/>
                <w:szCs w:val="21"/>
              </w:rPr>
              <w:t>注册地</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法人代</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表</w:t>
            </w:r>
          </w:p>
        </w:tc>
        <w:tc>
          <w:tcPr>
            <w:tcW w:w="97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业务性</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注册资本</w:t>
            </w:r>
          </w:p>
        </w:tc>
        <w:tc>
          <w:tcPr>
            <w:tcW w:w="8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0" w:right="0" w:hanging="53"/>
              <w:jc w:val="left"/>
              <w:rPr>
                <w:rFonts w:ascii="宋体" w:hAnsi="宋体" w:cs="宋体" w:eastAsia="宋体" w:hint="default"/>
                <w:sz w:val="21"/>
                <w:szCs w:val="21"/>
              </w:rPr>
            </w:pPr>
            <w:r>
              <w:rPr>
                <w:rFonts w:ascii="宋体" w:hAnsi="宋体" w:cs="宋体" w:eastAsia="宋体" w:hint="default"/>
                <w:sz w:val="21"/>
                <w:szCs w:val="21"/>
              </w:rPr>
              <w:t>持股比</w:t>
            </w:r>
          </w:p>
          <w:p>
            <w:pPr>
              <w:pStyle w:val="TableParagraph"/>
              <w:spacing w:line="240" w:lineRule="auto" w:before="37"/>
              <w:ind w:left="170"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例</w:t>
            </w:r>
            <w:r>
              <w:rPr>
                <w:rFonts w:ascii="Times New Roman" w:hAnsi="Times New Roman" w:cs="Times New Roman" w:eastAsia="Times New Roman" w:hint="default"/>
                <w:sz w:val="21"/>
                <w:szCs w:val="21"/>
              </w:rPr>
              <w:t>(%)</w:t>
            </w:r>
          </w:p>
        </w:tc>
        <w:tc>
          <w:tcPr>
            <w:tcW w:w="9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13" w:right="0" w:firstLine="51"/>
              <w:jc w:val="left"/>
              <w:rPr>
                <w:rFonts w:ascii="宋体" w:hAnsi="宋体" w:cs="宋体" w:eastAsia="宋体" w:hint="default"/>
                <w:sz w:val="21"/>
                <w:szCs w:val="21"/>
              </w:rPr>
            </w:pPr>
            <w:r>
              <w:rPr>
                <w:rFonts w:ascii="宋体" w:hAnsi="宋体" w:cs="宋体" w:eastAsia="宋体" w:hint="default"/>
                <w:sz w:val="21"/>
                <w:szCs w:val="21"/>
              </w:rPr>
              <w:t>表决权</w:t>
            </w:r>
          </w:p>
          <w:p>
            <w:pPr>
              <w:pStyle w:val="TableParagraph"/>
              <w:spacing w:line="240" w:lineRule="auto" w:before="37"/>
              <w:ind w:left="113"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组织机构</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代码</w:t>
            </w:r>
          </w:p>
        </w:tc>
      </w:tr>
      <w:tr>
        <w:trPr>
          <w:trHeight w:val="319" w:hRule="exact"/>
        </w:trPr>
        <w:tc>
          <w:tcPr>
            <w:tcW w:w="978"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4"/>
                <w:sz w:val="21"/>
                <w:szCs w:val="21"/>
              </w:rPr>
              <w:t>黑龙江</w:t>
            </w:r>
            <w:r>
              <w:rPr>
                <w:rFonts w:ascii="宋体" w:hAnsi="宋体" w:cs="宋体" w:eastAsia="宋体" w:hint="default"/>
                <w:spacing w:val="-39"/>
                <w:sz w:val="21"/>
                <w:szCs w:val="21"/>
              </w:rPr>
              <w:t> </w:t>
            </w:r>
            <w:r>
              <w:rPr>
                <w:rFonts w:ascii="宋体" w:hAnsi="宋体" w:cs="宋体" w:eastAsia="宋体" w:hint="default"/>
                <w:sz w:val="21"/>
                <w:szCs w:val="21"/>
              </w:rPr>
            </w:r>
          </w:p>
        </w:tc>
        <w:tc>
          <w:tcPr>
            <w:tcW w:w="977" w:type="dxa"/>
            <w:tcBorders>
              <w:top w:val="single" w:sz="6" w:space="0" w:color="000000"/>
              <w:left w:val="single" w:sz="6" w:space="0" w:color="000000"/>
              <w:bottom w:val="nil" w:sz="6" w:space="0" w:color="auto"/>
              <w:right w:val="single" w:sz="6" w:space="0" w:color="000000"/>
            </w:tcBorders>
          </w:tcPr>
          <w:p>
            <w:pPr/>
          </w:p>
        </w:tc>
        <w:tc>
          <w:tcPr>
            <w:tcW w:w="880"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c>
          <w:tcPr>
            <w:tcW w:w="977"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880" w:type="dxa"/>
            <w:tcBorders>
              <w:top w:val="single" w:sz="6" w:space="0" w:color="000000"/>
              <w:left w:val="single" w:sz="6" w:space="0" w:color="000000"/>
              <w:bottom w:val="nil" w:sz="6" w:space="0" w:color="auto"/>
              <w:right w:val="single" w:sz="6" w:space="0" w:color="000000"/>
            </w:tcBorders>
          </w:tcPr>
          <w:p>
            <w:pPr/>
          </w:p>
        </w:tc>
        <w:tc>
          <w:tcPr>
            <w:tcW w:w="978" w:type="dxa"/>
            <w:tcBorders>
              <w:top w:val="single" w:sz="6" w:space="0" w:color="000000"/>
              <w:left w:val="single" w:sz="6" w:space="0" w:color="000000"/>
              <w:bottom w:val="nil" w:sz="6" w:space="0" w:color="auto"/>
              <w:right w:val="single" w:sz="6" w:space="0" w:color="000000"/>
            </w:tcBorders>
          </w:tcPr>
          <w:p>
            <w:pPr/>
          </w:p>
        </w:tc>
        <w:tc>
          <w:tcPr>
            <w:tcW w:w="1230" w:type="dxa"/>
            <w:tcBorders>
              <w:top w:val="single" w:sz="6" w:space="0" w:color="000000"/>
              <w:left w:val="single" w:sz="6" w:space="0" w:color="000000"/>
              <w:bottom w:val="nil" w:sz="6" w:space="0" w:color="auto"/>
              <w:right w:val="single" w:sz="6" w:space="0" w:color="000000"/>
            </w:tcBorders>
          </w:tcPr>
          <w:p>
            <w:pPr/>
          </w:p>
        </w:tc>
      </w:tr>
      <w:tr>
        <w:trPr>
          <w:trHeight w:val="1254" w:hRule="exact"/>
        </w:trPr>
        <w:tc>
          <w:tcPr>
            <w:tcW w:w="978"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44"/>
                <w:sz w:val="21"/>
                <w:szCs w:val="21"/>
              </w:rPr>
              <w:t>黑化集</w:t>
            </w:r>
            <w:r>
              <w:rPr>
                <w:rFonts w:ascii="宋体" w:hAnsi="宋体" w:cs="宋体" w:eastAsia="宋体" w:hint="default"/>
                <w:spacing w:val="-39"/>
                <w:sz w:val="21"/>
                <w:szCs w:val="21"/>
              </w:rPr>
              <w:t> </w:t>
            </w:r>
            <w:r>
              <w:rPr>
                <w:rFonts w:ascii="宋体" w:hAnsi="宋体" w:cs="宋体" w:eastAsia="宋体" w:hint="default"/>
                <w:sz w:val="21"/>
                <w:szCs w:val="21"/>
              </w:rPr>
            </w:r>
          </w:p>
          <w:p>
            <w:pPr>
              <w:pStyle w:val="TableParagraph"/>
              <w:spacing w:line="273" w:lineRule="auto" w:before="37"/>
              <w:ind w:left="100" w:right="32"/>
              <w:jc w:val="both"/>
              <w:rPr>
                <w:rFonts w:ascii="宋体" w:hAnsi="宋体" w:cs="宋体" w:eastAsia="宋体" w:hint="default"/>
                <w:sz w:val="21"/>
                <w:szCs w:val="21"/>
              </w:rPr>
            </w:pPr>
            <w:r>
              <w:rPr>
                <w:rFonts w:ascii="宋体" w:hAnsi="宋体" w:cs="宋体" w:eastAsia="宋体" w:hint="default"/>
                <w:spacing w:val="44"/>
                <w:sz w:val="21"/>
                <w:szCs w:val="21"/>
              </w:rPr>
              <w:t>团中美</w:t>
            </w:r>
            <w:r>
              <w:rPr>
                <w:rFonts w:ascii="宋体" w:hAnsi="宋体" w:cs="宋体" w:eastAsia="宋体" w:hint="default"/>
                <w:spacing w:val="-39"/>
                <w:sz w:val="21"/>
                <w:szCs w:val="21"/>
              </w:rPr>
              <w:t> </w:t>
            </w:r>
            <w:r>
              <w:rPr>
                <w:rFonts w:ascii="宋体" w:hAnsi="宋体" w:cs="宋体" w:eastAsia="宋体" w:hint="default"/>
                <w:spacing w:val="44"/>
                <w:sz w:val="21"/>
                <w:szCs w:val="21"/>
              </w:rPr>
              <w:t>碧碧肥</w:t>
            </w:r>
            <w:r>
              <w:rPr>
                <w:rFonts w:ascii="宋体" w:hAnsi="宋体" w:cs="宋体" w:eastAsia="宋体" w:hint="default"/>
                <w:spacing w:val="-39"/>
                <w:sz w:val="21"/>
                <w:szCs w:val="21"/>
              </w:rPr>
              <w:t> </w:t>
            </w:r>
            <w:r>
              <w:rPr>
                <w:rFonts w:ascii="宋体" w:hAnsi="宋体" w:cs="宋体" w:eastAsia="宋体" w:hint="default"/>
                <w:spacing w:val="44"/>
                <w:sz w:val="21"/>
                <w:szCs w:val="21"/>
              </w:rPr>
              <w:t>有限责</w:t>
            </w:r>
            <w:r>
              <w:rPr>
                <w:rFonts w:ascii="宋体" w:hAnsi="宋体" w:cs="宋体" w:eastAsia="宋体" w:hint="default"/>
                <w:spacing w:val="-39"/>
                <w:sz w:val="21"/>
                <w:szCs w:val="21"/>
              </w:rPr>
              <w:t> </w:t>
            </w:r>
            <w:r>
              <w:rPr>
                <w:rFonts w:ascii="宋体" w:hAnsi="宋体" w:cs="宋体" w:eastAsia="宋体" w:hint="default"/>
                <w:sz w:val="21"/>
                <w:szCs w:val="21"/>
              </w:rPr>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73" w:lineRule="auto"/>
              <w:ind w:left="100" w:right="31"/>
              <w:jc w:val="left"/>
              <w:rPr>
                <w:rFonts w:ascii="宋体" w:hAnsi="宋体" w:cs="宋体" w:eastAsia="宋体" w:hint="default"/>
                <w:sz w:val="21"/>
                <w:szCs w:val="21"/>
              </w:rPr>
            </w:pPr>
            <w:r>
              <w:rPr>
                <w:rFonts w:ascii="宋体" w:hAnsi="宋体" w:cs="宋体" w:eastAsia="宋体" w:hint="default"/>
                <w:spacing w:val="44"/>
                <w:sz w:val="21"/>
                <w:szCs w:val="21"/>
              </w:rPr>
              <w:t>有限责</w:t>
            </w:r>
            <w:r>
              <w:rPr>
                <w:rFonts w:ascii="宋体" w:hAnsi="宋体" w:cs="宋体" w:eastAsia="宋体" w:hint="default"/>
                <w:spacing w:val="-39"/>
                <w:sz w:val="21"/>
                <w:szCs w:val="21"/>
              </w:rPr>
              <w:t> </w:t>
            </w:r>
            <w:r>
              <w:rPr>
                <w:rFonts w:ascii="宋体" w:hAnsi="宋体" w:cs="宋体" w:eastAsia="宋体" w:hint="default"/>
                <w:sz w:val="21"/>
                <w:szCs w:val="21"/>
              </w:rPr>
              <w:t>任公司</w:t>
            </w:r>
          </w:p>
        </w:tc>
        <w:tc>
          <w:tcPr>
            <w:tcW w:w="88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pacing w:val="16"/>
                <w:sz w:val="21"/>
                <w:szCs w:val="21"/>
              </w:rPr>
              <w:t>齐齐哈</w:t>
            </w:r>
            <w:r>
              <w:rPr>
                <w:rFonts w:ascii="宋体" w:hAnsi="宋体" w:cs="宋体" w:eastAsia="宋体" w:hint="default"/>
                <w:sz w:val="21"/>
                <w:szCs w:val="21"/>
              </w:rPr>
            </w:r>
          </w:p>
          <w:p>
            <w:pPr>
              <w:pStyle w:val="TableParagraph"/>
              <w:spacing w:line="273" w:lineRule="auto" w:before="37"/>
              <w:ind w:left="100" w:right="82"/>
              <w:jc w:val="both"/>
              <w:rPr>
                <w:rFonts w:ascii="宋体" w:hAnsi="宋体" w:cs="宋体" w:eastAsia="宋体" w:hint="default"/>
                <w:sz w:val="21"/>
                <w:szCs w:val="21"/>
              </w:rPr>
            </w:pPr>
            <w:r>
              <w:rPr>
                <w:rFonts w:ascii="宋体" w:hAnsi="宋体" w:cs="宋体" w:eastAsia="宋体" w:hint="default"/>
                <w:spacing w:val="16"/>
                <w:sz w:val="21"/>
                <w:szCs w:val="21"/>
              </w:rPr>
              <w:t>尔市富 区黎明 </w:t>
            </w:r>
            <w:r>
              <w:rPr>
                <w:rFonts w:ascii="宋体" w:hAnsi="宋体" w:cs="宋体" w:eastAsia="宋体" w:hint="default"/>
                <w:sz w:val="21"/>
                <w:szCs w:val="21"/>
              </w:rPr>
              <w:t>路</w:t>
            </w:r>
            <w:r>
              <w:rPr>
                <w:rFonts w:ascii="宋体" w:hAnsi="宋体" w:cs="宋体" w:eastAsia="宋体" w:hint="default"/>
                <w:spacing w:val="-53"/>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号</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刘兆力</w:t>
            </w:r>
          </w:p>
        </w:tc>
        <w:tc>
          <w:tcPr>
            <w:tcW w:w="977" w:type="dxa"/>
            <w:tcBorders>
              <w:top w:val="nil" w:sz="6" w:space="0" w:color="auto"/>
              <w:left w:val="single" w:sz="6" w:space="0" w:color="000000"/>
              <w:bottom w:val="nil" w:sz="6" w:space="0" w:color="auto"/>
              <w:right w:val="single" w:sz="6" w:space="0" w:color="000000"/>
            </w:tcBorders>
          </w:tcPr>
          <w:p>
            <w:pPr>
              <w:pStyle w:val="TableParagraph"/>
              <w:spacing w:line="273" w:lineRule="auto" w:before="142"/>
              <w:ind w:left="100" w:right="31"/>
              <w:jc w:val="both"/>
              <w:rPr>
                <w:rFonts w:ascii="宋体" w:hAnsi="宋体" w:cs="宋体" w:eastAsia="宋体" w:hint="default"/>
                <w:sz w:val="21"/>
                <w:szCs w:val="21"/>
              </w:rPr>
            </w:pPr>
            <w:r>
              <w:rPr>
                <w:rFonts w:ascii="宋体" w:hAnsi="宋体" w:cs="宋体" w:eastAsia="宋体" w:hint="default"/>
                <w:spacing w:val="44"/>
                <w:sz w:val="21"/>
                <w:szCs w:val="21"/>
              </w:rPr>
              <w:t>复合肥</w:t>
            </w:r>
            <w:r>
              <w:rPr>
                <w:rFonts w:ascii="宋体" w:hAnsi="宋体" w:cs="宋体" w:eastAsia="宋体" w:hint="default"/>
                <w:spacing w:val="-39"/>
                <w:sz w:val="21"/>
                <w:szCs w:val="21"/>
              </w:rPr>
              <w:t> </w:t>
            </w:r>
            <w:r>
              <w:rPr>
                <w:rFonts w:ascii="宋体" w:hAnsi="宋体" w:cs="宋体" w:eastAsia="宋体" w:hint="default"/>
                <w:spacing w:val="44"/>
                <w:sz w:val="21"/>
                <w:szCs w:val="21"/>
              </w:rPr>
              <w:t>的生产</w:t>
            </w:r>
            <w:r>
              <w:rPr>
                <w:rFonts w:ascii="宋体" w:hAnsi="宋体" w:cs="宋体" w:eastAsia="宋体" w:hint="default"/>
                <w:spacing w:val="-39"/>
                <w:sz w:val="21"/>
                <w:szCs w:val="21"/>
              </w:rPr>
              <w:t> </w:t>
            </w:r>
            <w:r>
              <w:rPr>
                <w:rFonts w:ascii="宋体" w:hAnsi="宋体" w:cs="宋体" w:eastAsia="宋体" w:hint="default"/>
                <w:sz w:val="21"/>
                <w:szCs w:val="21"/>
              </w:rPr>
              <w:t>销售</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29,430,000.00</w:t>
            </w:r>
          </w:p>
        </w:tc>
        <w:tc>
          <w:tcPr>
            <w:tcW w:w="88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290" w:right="0"/>
              <w:jc w:val="left"/>
              <w:rPr>
                <w:rFonts w:ascii="Times New Roman" w:hAnsi="Times New Roman" w:cs="Times New Roman" w:eastAsia="Times New Roman" w:hint="default"/>
                <w:sz w:val="21"/>
                <w:szCs w:val="21"/>
              </w:rPr>
            </w:pPr>
            <w:r>
              <w:rPr>
                <w:rFonts w:ascii="Times New Roman"/>
                <w:sz w:val="21"/>
              </w:rPr>
              <w:t>64.66</w:t>
            </w:r>
          </w:p>
        </w:tc>
        <w:tc>
          <w:tcPr>
            <w:tcW w:w="978"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387" w:right="0"/>
              <w:jc w:val="left"/>
              <w:rPr>
                <w:rFonts w:ascii="Times New Roman" w:hAnsi="Times New Roman" w:cs="Times New Roman" w:eastAsia="Times New Roman" w:hint="default"/>
                <w:sz w:val="21"/>
                <w:szCs w:val="21"/>
              </w:rPr>
            </w:pPr>
            <w:r>
              <w:rPr>
                <w:rFonts w:ascii="Times New Roman"/>
                <w:sz w:val="21"/>
              </w:rPr>
              <w:t>64.66</w:t>
            </w:r>
          </w:p>
        </w:tc>
        <w:tc>
          <w:tcPr>
            <w:tcW w:w="1230" w:type="dxa"/>
            <w:tcBorders>
              <w:top w:val="nil" w:sz="6" w:space="0" w:color="auto"/>
              <w:left w:val="single" w:sz="6" w:space="0" w:color="000000"/>
              <w:bottom w:val="nil" w:sz="6" w:space="0" w:color="auto"/>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6"/>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71662240-3</w:t>
            </w:r>
          </w:p>
        </w:tc>
      </w:tr>
      <w:tr>
        <w:trPr>
          <w:trHeight w:val="315" w:hRule="exact"/>
        </w:trPr>
        <w:tc>
          <w:tcPr>
            <w:tcW w:w="978"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977" w:type="dxa"/>
            <w:tcBorders>
              <w:top w:val="nil" w:sz="6" w:space="0" w:color="auto"/>
              <w:left w:val="single" w:sz="6" w:space="0" w:color="000000"/>
              <w:bottom w:val="single" w:sz="6" w:space="0" w:color="000000"/>
              <w:right w:val="single" w:sz="6" w:space="0" w:color="000000"/>
            </w:tcBorders>
          </w:tcPr>
          <w:p>
            <w:pPr/>
          </w:p>
        </w:tc>
        <w:tc>
          <w:tcPr>
            <w:tcW w:w="880"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c>
          <w:tcPr>
            <w:tcW w:w="977"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880" w:type="dxa"/>
            <w:tcBorders>
              <w:top w:val="nil" w:sz="6" w:space="0" w:color="auto"/>
              <w:left w:val="single" w:sz="6" w:space="0" w:color="000000"/>
              <w:bottom w:val="single" w:sz="6" w:space="0" w:color="000000"/>
              <w:right w:val="single" w:sz="6" w:space="0" w:color="000000"/>
            </w:tcBorders>
          </w:tcPr>
          <w:p>
            <w:pPr/>
          </w:p>
        </w:tc>
        <w:tc>
          <w:tcPr>
            <w:tcW w:w="978" w:type="dxa"/>
            <w:tcBorders>
              <w:top w:val="nil" w:sz="6" w:space="0" w:color="auto"/>
              <w:left w:val="single" w:sz="6" w:space="0" w:color="000000"/>
              <w:bottom w:val="single" w:sz="6" w:space="0" w:color="000000"/>
              <w:right w:val="single" w:sz="6" w:space="0" w:color="000000"/>
            </w:tcBorders>
          </w:tcPr>
          <w:p>
            <w:pPr/>
          </w:p>
        </w:tc>
        <w:tc>
          <w:tcPr>
            <w:tcW w:w="1230" w:type="dxa"/>
            <w:tcBorders>
              <w:top w:val="nil" w:sz="6" w:space="0" w:color="auto"/>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3</w:t>
      </w:r>
      <w:r>
        <w:rPr/>
        <w:t>、</w:t>
      </w:r>
      <w:r>
        <w:rPr>
          <w:spacing w:val="-2"/>
        </w:rPr>
        <w:t> </w:t>
      </w:r>
      <w:r>
        <w:rPr/>
        <w:t>本企业的其他关联方情况</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3006"/>
        <w:gridCol w:w="3193"/>
        <w:gridCol w:w="3101"/>
      </w:tblGrid>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其他关联方名称</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34" w:right="0"/>
              <w:jc w:val="left"/>
              <w:rPr>
                <w:rFonts w:ascii="宋体" w:hAnsi="宋体" w:cs="宋体" w:eastAsia="宋体" w:hint="default"/>
                <w:sz w:val="21"/>
                <w:szCs w:val="21"/>
              </w:rPr>
            </w:pPr>
            <w:r>
              <w:rPr>
                <w:rFonts w:ascii="宋体" w:hAnsi="宋体" w:cs="宋体" w:eastAsia="宋体" w:hint="default"/>
                <w:sz w:val="21"/>
                <w:szCs w:val="21"/>
              </w:rPr>
              <w:t>其他关联方与本公司关系</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913" w:right="0"/>
              <w:jc w:val="left"/>
              <w:rPr>
                <w:rFonts w:ascii="宋体" w:hAnsi="宋体" w:cs="宋体" w:eastAsia="宋体" w:hint="default"/>
                <w:sz w:val="21"/>
                <w:szCs w:val="21"/>
              </w:rPr>
            </w:pPr>
            <w:r>
              <w:rPr>
                <w:rFonts w:ascii="宋体" w:hAnsi="宋体" w:cs="宋体" w:eastAsia="宋体" w:hint="default"/>
                <w:sz w:val="21"/>
                <w:szCs w:val="21"/>
              </w:rPr>
              <w:t>组织机构代码</w:t>
            </w:r>
          </w:p>
        </w:tc>
      </w:tr>
      <w:tr>
        <w:trPr>
          <w:trHeight w:val="63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黑龙江黑化集团进出口有限责</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任公司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70284888-2</w:t>
            </w:r>
          </w:p>
        </w:tc>
      </w:tr>
      <w:tr>
        <w:trPr>
          <w:trHeight w:val="640"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黑龙江黑化集团威尔瑞斯气体</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71108885-4</w:t>
            </w:r>
          </w:p>
        </w:tc>
      </w:tr>
      <w:tr>
        <w:trPr>
          <w:trHeight w:val="328" w:hRule="exact"/>
        </w:trPr>
        <w:tc>
          <w:tcPr>
            <w:tcW w:w="30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齐齐哈尔富龙化工有限公司</w:t>
            </w:r>
          </w:p>
        </w:tc>
        <w:tc>
          <w:tcPr>
            <w:tcW w:w="31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母公司的全资子公司</w:t>
            </w:r>
          </w:p>
        </w:tc>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0" w:right="0"/>
              <w:jc w:val="left"/>
              <w:rPr>
                <w:rFonts w:ascii="Times New Roman" w:hAnsi="Times New Roman" w:cs="Times New Roman" w:eastAsia="Times New Roman" w:hint="default"/>
                <w:sz w:val="21"/>
                <w:szCs w:val="21"/>
              </w:rPr>
            </w:pPr>
            <w:r>
              <w:rPr>
                <w:rFonts w:ascii="Times New Roman"/>
                <w:sz w:val="21"/>
              </w:rPr>
              <w:t>12853518-6</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6"/>
        <w:jc w:val="left"/>
      </w:pPr>
      <w:r>
        <w:rPr>
          <w:rFonts w:ascii="Times New Roman" w:hAnsi="Times New Roman" w:cs="Times New Roman" w:eastAsia="Times New Roman" w:hint="default"/>
        </w:rPr>
        <w:t>4</w:t>
      </w:r>
      <w:r>
        <w:rPr/>
        <w:t>、</w:t>
      </w:r>
      <w:r>
        <w:rPr>
          <w:spacing w:val="-2"/>
        </w:rPr>
        <w:t> </w:t>
      </w:r>
      <w:r>
        <w:rPr/>
        <w:t>关联交易情况</w:t>
      </w:r>
    </w:p>
    <w:p>
      <w:pPr>
        <w:pStyle w:val="BodyText"/>
        <w:spacing w:line="240" w:lineRule="auto" w:before="83"/>
        <w:ind w:right="-16"/>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采购商品</w:t>
      </w:r>
      <w:r>
        <w:rPr>
          <w:rFonts w:ascii="Times New Roman" w:hAnsi="Times New Roman" w:cs="Times New Roman" w:eastAsia="Times New Roman" w:hint="default"/>
        </w:rPr>
        <w:t>/</w:t>
      </w:r>
      <w:r>
        <w:rPr/>
        <w:t>接受劳务情况表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859" w:space="3243"/>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290"/>
        <w:gridCol w:w="1290"/>
        <w:gridCol w:w="1290"/>
        <w:gridCol w:w="1424"/>
        <w:gridCol w:w="1386"/>
        <w:gridCol w:w="1424"/>
        <w:gridCol w:w="1195"/>
      </w:tblGrid>
      <w:tr>
        <w:trPr>
          <w:trHeight w:val="326" w:hRule="exact"/>
        </w:trPr>
        <w:tc>
          <w:tcPr>
            <w:tcW w:w="129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322"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90" w:type="dxa"/>
            <w:vMerge w:val="restart"/>
            <w:tcBorders>
              <w:top w:val="single" w:sz="6" w:space="0" w:color="000000"/>
              <w:left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532" w:right="110" w:hanging="420"/>
              <w:jc w:val="left"/>
              <w:rPr>
                <w:rFonts w:ascii="宋体" w:hAnsi="宋体" w:cs="宋体" w:eastAsia="宋体" w:hint="default"/>
                <w:sz w:val="21"/>
                <w:szCs w:val="21"/>
              </w:rPr>
            </w:pPr>
            <w:r>
              <w:rPr>
                <w:rFonts w:ascii="宋体" w:hAnsi="宋体" w:cs="宋体" w:eastAsia="宋体" w:hint="default"/>
                <w:sz w:val="21"/>
                <w:szCs w:val="21"/>
              </w:rPr>
              <w:t>关联交易内 容</w:t>
            </w:r>
          </w:p>
        </w:tc>
        <w:tc>
          <w:tcPr>
            <w:tcW w:w="1290" w:type="dxa"/>
            <w:vMerge w:val="restart"/>
            <w:tcBorders>
              <w:top w:val="single" w:sz="6" w:space="0" w:color="000000"/>
              <w:left w:val="single" w:sz="6" w:space="0" w:color="000000"/>
              <w:right w:val="single" w:sz="6" w:space="0" w:color="000000"/>
            </w:tcBorders>
          </w:tcPr>
          <w:p>
            <w:pPr>
              <w:pStyle w:val="TableParagraph"/>
              <w:spacing w:line="273" w:lineRule="auto" w:before="141"/>
              <w:ind w:left="112" w:right="110"/>
              <w:jc w:val="center"/>
              <w:rPr>
                <w:rFonts w:ascii="宋体" w:hAnsi="宋体" w:cs="宋体" w:eastAsia="宋体" w:hint="default"/>
                <w:sz w:val="21"/>
                <w:szCs w:val="21"/>
              </w:rPr>
            </w:pPr>
            <w:r>
              <w:rPr>
                <w:rFonts w:ascii="宋体" w:hAnsi="宋体" w:cs="宋体" w:eastAsia="宋体" w:hint="default"/>
                <w:sz w:val="21"/>
                <w:szCs w:val="21"/>
              </w:rPr>
              <w:t>关联交易定 价方式及决 策程序</w:t>
            </w:r>
          </w:p>
        </w:tc>
        <w:tc>
          <w:tcPr>
            <w:tcW w:w="281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72"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620"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7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2" w:hRule="exact"/>
        </w:trPr>
        <w:tc>
          <w:tcPr>
            <w:tcW w:w="1290" w:type="dxa"/>
            <w:vMerge/>
            <w:tcBorders>
              <w:left w:val="single" w:sz="6" w:space="0" w:color="000000"/>
              <w:bottom w:val="single" w:sz="6" w:space="0" w:color="000000"/>
              <w:right w:val="single" w:sz="6" w:space="0" w:color="000000"/>
            </w:tcBorders>
          </w:tcPr>
          <w:p>
            <w:pPr/>
          </w:p>
        </w:tc>
        <w:tc>
          <w:tcPr>
            <w:tcW w:w="1290" w:type="dxa"/>
            <w:vMerge/>
            <w:tcBorders>
              <w:left w:val="single" w:sz="6" w:space="0" w:color="000000"/>
              <w:bottom w:val="single" w:sz="6" w:space="0" w:color="000000"/>
              <w:right w:val="single" w:sz="6" w:space="0" w:color="000000"/>
            </w:tcBorders>
          </w:tcPr>
          <w:p>
            <w:pPr/>
          </w:p>
        </w:tc>
        <w:tc>
          <w:tcPr>
            <w:tcW w:w="1290" w:type="dxa"/>
            <w:vMerge/>
            <w:tcBorders>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3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19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0"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0" w:right="62" w:firstLine="69"/>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319" w:hRule="exact"/>
        </w:trPr>
        <w:tc>
          <w:tcPr>
            <w:tcW w:w="12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黑龙江黑化</w:t>
            </w:r>
            <w:r>
              <w:rPr>
                <w:rFonts w:ascii="宋体" w:hAnsi="宋体" w:cs="宋体" w:eastAsia="宋体" w:hint="default"/>
                <w:sz w:val="21"/>
                <w:szCs w:val="21"/>
              </w:rPr>
            </w:r>
          </w:p>
        </w:tc>
        <w:tc>
          <w:tcPr>
            <w:tcW w:w="1290" w:type="dxa"/>
            <w:tcBorders>
              <w:top w:val="single" w:sz="6" w:space="0" w:color="000000"/>
              <w:left w:val="single" w:sz="6" w:space="0" w:color="000000"/>
              <w:bottom w:val="nil" w:sz="6" w:space="0" w:color="auto"/>
              <w:right w:val="single" w:sz="6" w:space="0" w:color="000000"/>
            </w:tcBorders>
          </w:tcPr>
          <w:p>
            <w:pPr/>
          </w:p>
        </w:tc>
        <w:tc>
          <w:tcPr>
            <w:tcW w:w="1290"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市场价并经</w:t>
            </w:r>
            <w:r>
              <w:rPr>
                <w:rFonts w:ascii="宋体" w:hAnsi="宋体" w:cs="宋体" w:eastAsia="宋体" w:hint="default"/>
                <w:sz w:val="21"/>
                <w:szCs w:val="21"/>
              </w:rPr>
            </w:r>
          </w:p>
        </w:tc>
        <w:tc>
          <w:tcPr>
            <w:tcW w:w="1424" w:type="dxa"/>
            <w:tcBorders>
              <w:top w:val="single" w:sz="6" w:space="0" w:color="000000"/>
              <w:left w:val="single" w:sz="6" w:space="0" w:color="000000"/>
              <w:bottom w:val="nil" w:sz="6" w:space="0" w:color="auto"/>
              <w:right w:val="single" w:sz="6" w:space="0" w:color="000000"/>
            </w:tcBorders>
          </w:tcPr>
          <w:p>
            <w:pPr/>
          </w:p>
        </w:tc>
        <w:tc>
          <w:tcPr>
            <w:tcW w:w="1386"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195" w:type="dxa"/>
            <w:tcBorders>
              <w:top w:val="single" w:sz="6" w:space="0" w:color="000000"/>
              <w:left w:val="single" w:sz="6" w:space="0" w:color="000000"/>
              <w:bottom w:val="nil" w:sz="6" w:space="0" w:color="auto"/>
              <w:right w:val="single" w:sz="6" w:space="0" w:color="000000"/>
            </w:tcBorders>
          </w:tcPr>
          <w:p>
            <w:pPr/>
          </w:p>
        </w:tc>
      </w:tr>
      <w:tr>
        <w:trPr>
          <w:trHeight w:val="318" w:hRule="exact"/>
        </w:trPr>
        <w:tc>
          <w:tcPr>
            <w:tcW w:w="1290" w:type="dxa"/>
            <w:tcBorders>
              <w:top w:val="nil" w:sz="6" w:space="0" w:color="auto"/>
              <w:left w:val="single" w:sz="6" w:space="0" w:color="000000"/>
              <w:bottom w:val="nil" w:sz="6" w:space="0" w:color="auto"/>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集团有限公</w:t>
            </w:r>
            <w:r>
              <w:rPr>
                <w:rFonts w:ascii="宋体" w:hAnsi="宋体" w:cs="宋体" w:eastAsia="宋体" w:hint="default"/>
                <w:sz w:val="21"/>
                <w:szCs w:val="21"/>
              </w:rPr>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60" w:lineRule="exact"/>
              <w:ind w:left="100" w:right="0"/>
              <w:jc w:val="left"/>
              <w:rPr>
                <w:rFonts w:ascii="宋体" w:hAnsi="宋体" w:cs="宋体" w:eastAsia="宋体" w:hint="default"/>
                <w:sz w:val="21"/>
                <w:szCs w:val="21"/>
              </w:rPr>
            </w:pPr>
            <w:r>
              <w:rPr>
                <w:rFonts w:ascii="宋体" w:hAnsi="宋体" w:cs="宋体" w:eastAsia="宋体" w:hint="default"/>
                <w:sz w:val="21"/>
                <w:szCs w:val="21"/>
              </w:rPr>
              <w:t>材料</w:t>
            </w:r>
          </w:p>
        </w:tc>
        <w:tc>
          <w:tcPr>
            <w:tcW w:w="1290" w:type="dxa"/>
            <w:tcBorders>
              <w:top w:val="nil" w:sz="6" w:space="0" w:color="auto"/>
              <w:left w:val="single" w:sz="6" w:space="0" w:color="000000"/>
              <w:bottom w:val="nil" w:sz="6" w:space="0" w:color="auto"/>
              <w:right w:val="single" w:sz="6" w:space="0" w:color="000000"/>
            </w:tcBorders>
          </w:tcPr>
          <w:p>
            <w:pPr>
              <w:pStyle w:val="TableParagraph"/>
              <w:spacing w:line="262"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股东大会批</w:t>
            </w:r>
            <w:r>
              <w:rPr>
                <w:rFonts w:ascii="宋体" w:hAnsi="宋体" w:cs="宋体" w:eastAsia="宋体" w:hint="default"/>
                <w:sz w:val="21"/>
                <w:szCs w:val="21"/>
              </w:rPr>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16,530,329.10</w:t>
            </w:r>
          </w:p>
        </w:tc>
        <w:tc>
          <w:tcPr>
            <w:tcW w:w="1386"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902" w:right="0"/>
              <w:jc w:val="left"/>
              <w:rPr>
                <w:rFonts w:ascii="Times New Roman" w:hAnsi="Times New Roman" w:cs="Times New Roman" w:eastAsia="Times New Roman" w:hint="default"/>
                <w:sz w:val="21"/>
                <w:szCs w:val="21"/>
              </w:rPr>
            </w:pPr>
            <w:r>
              <w:rPr>
                <w:rFonts w:ascii="Times New Roman"/>
                <w:sz w:val="21"/>
              </w:rPr>
              <w:t>1.24</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17,435,984.41</w:t>
            </w:r>
          </w:p>
        </w:tc>
        <w:tc>
          <w:tcPr>
            <w:tcW w:w="1195" w:type="dxa"/>
            <w:tcBorders>
              <w:top w:val="nil" w:sz="6" w:space="0" w:color="auto"/>
              <w:left w:val="single" w:sz="6" w:space="0" w:color="000000"/>
              <w:bottom w:val="nil" w:sz="6" w:space="0" w:color="auto"/>
              <w:right w:val="single" w:sz="6" w:space="0" w:color="000000"/>
            </w:tcBorders>
          </w:tcPr>
          <w:p>
            <w:pPr>
              <w:pStyle w:val="TableParagraph"/>
              <w:spacing w:line="240" w:lineRule="auto" w:before="35"/>
              <w:ind w:left="713" w:right="0"/>
              <w:jc w:val="left"/>
              <w:rPr>
                <w:rFonts w:ascii="Times New Roman" w:hAnsi="Times New Roman" w:cs="Times New Roman" w:eastAsia="Times New Roman" w:hint="default"/>
                <w:sz w:val="21"/>
                <w:szCs w:val="21"/>
              </w:rPr>
            </w:pPr>
            <w:r>
              <w:rPr>
                <w:rFonts w:ascii="Times New Roman"/>
                <w:sz w:val="21"/>
              </w:rPr>
              <w:t>1.51</w:t>
            </w:r>
          </w:p>
        </w:tc>
      </w:tr>
      <w:tr>
        <w:trPr>
          <w:trHeight w:val="315" w:hRule="exact"/>
        </w:trPr>
        <w:tc>
          <w:tcPr>
            <w:tcW w:w="129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1290" w:type="dxa"/>
            <w:tcBorders>
              <w:top w:val="nil" w:sz="6" w:space="0" w:color="auto"/>
              <w:left w:val="single" w:sz="6" w:space="0" w:color="000000"/>
              <w:bottom w:val="single" w:sz="6" w:space="0" w:color="000000"/>
              <w:right w:val="single" w:sz="6" w:space="0" w:color="000000"/>
            </w:tcBorders>
          </w:tcPr>
          <w:p>
            <w:pPr/>
          </w:p>
        </w:tc>
        <w:tc>
          <w:tcPr>
            <w:tcW w:w="1290"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left="100" w:right="0"/>
              <w:jc w:val="left"/>
              <w:rPr>
                <w:rFonts w:ascii="宋体" w:hAnsi="宋体" w:cs="宋体" w:eastAsia="宋体" w:hint="default"/>
                <w:sz w:val="21"/>
                <w:szCs w:val="21"/>
              </w:rPr>
            </w:pPr>
            <w:r>
              <w:rPr>
                <w:rFonts w:ascii="宋体" w:hAnsi="宋体" w:cs="宋体" w:eastAsia="宋体" w:hint="default"/>
                <w:sz w:val="21"/>
                <w:szCs w:val="21"/>
              </w:rPr>
              <w:t>准</w:t>
            </w:r>
          </w:p>
        </w:tc>
        <w:tc>
          <w:tcPr>
            <w:tcW w:w="1424" w:type="dxa"/>
            <w:tcBorders>
              <w:top w:val="nil" w:sz="6" w:space="0" w:color="auto"/>
              <w:left w:val="single" w:sz="6" w:space="0" w:color="000000"/>
              <w:bottom w:val="single" w:sz="6" w:space="0" w:color="000000"/>
              <w:right w:val="single" w:sz="6" w:space="0" w:color="000000"/>
            </w:tcBorders>
          </w:tcPr>
          <w:p>
            <w:pPr/>
          </w:p>
        </w:tc>
        <w:tc>
          <w:tcPr>
            <w:tcW w:w="1386"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195" w:type="dxa"/>
            <w:tcBorders>
              <w:top w:val="nil" w:sz="6" w:space="0" w:color="auto"/>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pStyle w:val="BodyText"/>
        <w:spacing w:line="240" w:lineRule="auto" w:before="35"/>
        <w:ind w:right="999"/>
        <w:jc w:val="left"/>
      </w:pPr>
      <w:r>
        <w:rPr/>
        <w:t>出售商品</w:t>
      </w:r>
      <w:r>
        <w:rPr>
          <w:rFonts w:ascii="Times New Roman" w:hAnsi="Times New Roman" w:cs="Times New Roman" w:eastAsia="Times New Roman" w:hint="default"/>
        </w:rPr>
        <w:t>/</w:t>
      </w:r>
      <w:r>
        <w:rPr/>
        <w:t>提供劳务情况表</w:t>
      </w:r>
    </w:p>
    <w:p>
      <w:pPr>
        <w:pStyle w:val="BodyText"/>
        <w:spacing w:line="240" w:lineRule="auto" w:before="21"/>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230"/>
        <w:gridCol w:w="1229"/>
        <w:gridCol w:w="1229"/>
        <w:gridCol w:w="1529"/>
        <w:gridCol w:w="1325"/>
        <w:gridCol w:w="1529"/>
        <w:gridCol w:w="1230"/>
      </w:tblGrid>
      <w:tr>
        <w:trPr>
          <w:trHeight w:val="326" w:hRule="exact"/>
        </w:trPr>
        <w:tc>
          <w:tcPr>
            <w:tcW w:w="1230"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left="291"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1229" w:type="dxa"/>
            <w:vMerge w:val="restart"/>
            <w:tcBorders>
              <w:top w:val="single" w:sz="6" w:space="0" w:color="000000"/>
              <w:left w:val="single" w:sz="6" w:space="0" w:color="000000"/>
              <w:right w:val="single" w:sz="6" w:space="0" w:color="000000"/>
            </w:tcBorders>
          </w:tcPr>
          <w:p>
            <w:pPr>
              <w:pStyle w:val="TableParagraph"/>
              <w:spacing w:line="240" w:lineRule="auto" w:before="158"/>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40" w:lineRule="auto" w:before="4"/>
              <w:ind w:right="0"/>
              <w:jc w:val="left"/>
              <w:rPr>
                <w:rFonts w:ascii="宋体" w:hAnsi="宋体" w:cs="宋体" w:eastAsia="宋体" w:hint="default"/>
                <w:sz w:val="24"/>
                <w:szCs w:val="24"/>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内容</w:t>
            </w:r>
          </w:p>
        </w:tc>
        <w:tc>
          <w:tcPr>
            <w:tcW w:w="1229" w:type="dxa"/>
            <w:vMerge w:val="restart"/>
            <w:tcBorders>
              <w:top w:val="single" w:sz="6" w:space="0" w:color="000000"/>
              <w:left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关联交易</w:t>
            </w:r>
          </w:p>
          <w:p>
            <w:pPr>
              <w:pStyle w:val="TableParagraph"/>
              <w:spacing w:line="273" w:lineRule="auto" w:before="37"/>
              <w:ind w:left="187" w:right="185"/>
              <w:jc w:val="center"/>
              <w:rPr>
                <w:rFonts w:ascii="宋体" w:hAnsi="宋体" w:cs="宋体" w:eastAsia="宋体" w:hint="default"/>
                <w:sz w:val="21"/>
                <w:szCs w:val="21"/>
              </w:rPr>
            </w:pPr>
            <w:r>
              <w:rPr>
                <w:rFonts w:ascii="宋体" w:hAnsi="宋体" w:cs="宋体" w:eastAsia="宋体" w:hint="default"/>
                <w:sz w:val="21"/>
                <w:szCs w:val="21"/>
              </w:rPr>
              <w:t>定价方式 及决策程 序</w:t>
            </w:r>
          </w:p>
        </w:tc>
        <w:tc>
          <w:tcPr>
            <w:tcW w:w="2854"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93"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275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4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952" w:hRule="exact"/>
        </w:trPr>
        <w:tc>
          <w:tcPr>
            <w:tcW w:w="1230" w:type="dxa"/>
            <w:vMerge/>
            <w:tcBorders>
              <w:left w:val="single" w:sz="6" w:space="0" w:color="000000"/>
              <w:bottom w:val="single" w:sz="6" w:space="0" w:color="000000"/>
              <w:right w:val="single" w:sz="6" w:space="0" w:color="000000"/>
            </w:tcBorders>
          </w:tcPr>
          <w:p>
            <w:pPr/>
          </w:p>
        </w:tc>
        <w:tc>
          <w:tcPr>
            <w:tcW w:w="1229" w:type="dxa"/>
            <w:vMerge/>
            <w:tcBorders>
              <w:left w:val="single" w:sz="6" w:space="0" w:color="000000"/>
              <w:bottom w:val="single" w:sz="6" w:space="0" w:color="000000"/>
              <w:right w:val="single" w:sz="6" w:space="0" w:color="000000"/>
            </w:tcBorders>
          </w:tcPr>
          <w:p>
            <w:pPr/>
          </w:p>
        </w:tc>
        <w:tc>
          <w:tcPr>
            <w:tcW w:w="1229"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占同类交易</w:t>
            </w:r>
          </w:p>
          <w:p>
            <w:pPr>
              <w:pStyle w:val="TableParagraph"/>
              <w:spacing w:line="240" w:lineRule="auto" w:before="37"/>
              <w:ind w:right="1"/>
              <w:jc w:val="center"/>
              <w:rPr>
                <w:rFonts w:ascii="宋体" w:hAnsi="宋体" w:cs="宋体" w:eastAsia="宋体" w:hint="default"/>
                <w:sz w:val="21"/>
                <w:szCs w:val="21"/>
              </w:rPr>
            </w:pPr>
            <w:r>
              <w:rPr>
                <w:rFonts w:ascii="宋体" w:hAnsi="宋体" w:cs="宋体" w:eastAsia="宋体" w:hint="default"/>
                <w:sz w:val="21"/>
                <w:szCs w:val="21"/>
              </w:rPr>
              <w:t>金额的比例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87" w:right="0"/>
              <w:jc w:val="left"/>
              <w:rPr>
                <w:rFonts w:ascii="宋体" w:hAnsi="宋体" w:cs="宋体" w:eastAsia="宋体" w:hint="default"/>
                <w:sz w:val="21"/>
                <w:szCs w:val="21"/>
              </w:rPr>
            </w:pPr>
            <w:r>
              <w:rPr>
                <w:rFonts w:ascii="宋体" w:hAnsi="宋体" w:cs="宋体" w:eastAsia="宋体" w:hint="default"/>
                <w:sz w:val="21"/>
                <w:szCs w:val="21"/>
              </w:rPr>
              <w:t>占同类交</w:t>
            </w:r>
          </w:p>
          <w:p>
            <w:pPr>
              <w:pStyle w:val="TableParagraph"/>
              <w:spacing w:line="273" w:lineRule="auto" w:before="37"/>
              <w:ind w:left="100" w:right="97" w:firstLine="86"/>
              <w:jc w:val="left"/>
              <w:rPr>
                <w:rFonts w:ascii="宋体" w:hAnsi="宋体" w:cs="宋体" w:eastAsia="宋体" w:hint="default"/>
                <w:sz w:val="21"/>
                <w:szCs w:val="21"/>
              </w:rPr>
            </w:pPr>
            <w:r>
              <w:rPr>
                <w:rFonts w:ascii="宋体" w:hAnsi="宋体" w:cs="宋体" w:eastAsia="宋体" w:hint="default"/>
                <w:sz w:val="21"/>
                <w:szCs w:val="21"/>
              </w:rPr>
              <w:t>易金额的 比例（</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r>
      <w:tr>
        <w:trPr>
          <w:trHeight w:val="952" w:hRule="exact"/>
        </w:trPr>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黑龙江黑</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auto" w:before="37"/>
              <w:ind w:left="100" w:right="42"/>
              <w:jc w:val="left"/>
              <w:rPr>
                <w:rFonts w:ascii="宋体" w:hAnsi="宋体" w:cs="宋体" w:eastAsia="宋体" w:hint="default"/>
                <w:sz w:val="21"/>
                <w:szCs w:val="21"/>
              </w:rPr>
            </w:pPr>
            <w:r>
              <w:rPr>
                <w:rFonts w:ascii="宋体" w:hAnsi="宋体" w:cs="宋体" w:eastAsia="宋体" w:hint="default"/>
                <w:spacing w:val="42"/>
                <w:sz w:val="21"/>
                <w:szCs w:val="21"/>
              </w:rPr>
              <w:t>化集团有</w:t>
            </w:r>
            <w:r>
              <w:rPr>
                <w:rFonts w:ascii="宋体" w:hAnsi="宋体" w:cs="宋体" w:eastAsia="宋体" w:hint="default"/>
                <w:spacing w:val="-103"/>
                <w:sz w:val="21"/>
                <w:szCs w:val="21"/>
              </w:rPr>
              <w:t> </w:t>
            </w:r>
            <w:r>
              <w:rPr>
                <w:rFonts w:ascii="宋体" w:hAnsi="宋体" w:cs="宋体" w:eastAsia="宋体" w:hint="default"/>
                <w:sz w:val="21"/>
                <w:szCs w:val="21"/>
              </w:rPr>
              <w:t>限公司</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98"/>
              <w:jc w:val="left"/>
              <w:rPr>
                <w:rFonts w:ascii="宋体" w:hAnsi="宋体" w:cs="宋体" w:eastAsia="宋体" w:hint="default"/>
                <w:sz w:val="21"/>
                <w:szCs w:val="21"/>
              </w:rPr>
            </w:pPr>
            <w:r>
              <w:rPr>
                <w:rFonts w:ascii="宋体" w:hAnsi="宋体" w:cs="宋体" w:eastAsia="宋体" w:hint="default"/>
                <w:spacing w:val="-8"/>
                <w:sz w:val="21"/>
                <w:szCs w:val="21"/>
              </w:rPr>
              <w:t>焦炉气、材</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料</w:t>
            </w:r>
          </w:p>
        </w:tc>
        <w:tc>
          <w:tcPr>
            <w:tcW w:w="12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2"/>
                <w:sz w:val="21"/>
                <w:szCs w:val="21"/>
              </w:rPr>
              <w:t>协议价并</w:t>
            </w:r>
            <w:r>
              <w:rPr>
                <w:rFonts w:ascii="宋体" w:hAnsi="宋体" w:cs="宋体" w:eastAsia="宋体" w:hint="default"/>
                <w:spacing w:val="-48"/>
                <w:sz w:val="21"/>
                <w:szCs w:val="21"/>
              </w:rPr>
              <w:t> </w:t>
            </w:r>
            <w:r>
              <w:rPr>
                <w:rFonts w:ascii="宋体" w:hAnsi="宋体" w:cs="宋体" w:eastAsia="宋体" w:hint="default"/>
                <w:sz w:val="21"/>
                <w:szCs w:val="21"/>
              </w:rPr>
            </w:r>
          </w:p>
          <w:p>
            <w:pPr>
              <w:pStyle w:val="TableParagraph"/>
              <w:spacing w:line="273" w:lineRule="auto" w:before="37"/>
              <w:ind w:left="100" w:right="41"/>
              <w:jc w:val="left"/>
              <w:rPr>
                <w:rFonts w:ascii="宋体" w:hAnsi="宋体" w:cs="宋体" w:eastAsia="宋体" w:hint="default"/>
                <w:sz w:val="21"/>
                <w:szCs w:val="21"/>
              </w:rPr>
            </w:pPr>
            <w:r>
              <w:rPr>
                <w:rFonts w:ascii="宋体" w:hAnsi="宋体" w:cs="宋体" w:eastAsia="宋体" w:hint="default"/>
                <w:spacing w:val="42"/>
                <w:sz w:val="21"/>
                <w:szCs w:val="21"/>
              </w:rPr>
              <w:t>经股东大</w:t>
            </w:r>
            <w:r>
              <w:rPr>
                <w:rFonts w:ascii="宋体" w:hAnsi="宋体" w:cs="宋体" w:eastAsia="宋体" w:hint="default"/>
                <w:spacing w:val="-103"/>
                <w:sz w:val="21"/>
                <w:szCs w:val="21"/>
              </w:rPr>
              <w:t> </w:t>
            </w:r>
            <w:r>
              <w:rPr>
                <w:rFonts w:ascii="宋体" w:hAnsi="宋体" w:cs="宋体" w:eastAsia="宋体" w:hint="default"/>
                <w:sz w:val="21"/>
                <w:szCs w:val="21"/>
              </w:rPr>
              <w:t>会批准</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198,069,226.20</w:t>
            </w:r>
          </w:p>
        </w:tc>
        <w:tc>
          <w:tcPr>
            <w:tcW w:w="132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735" w:right="0"/>
              <w:jc w:val="left"/>
              <w:rPr>
                <w:rFonts w:ascii="Times New Roman" w:hAnsi="Times New Roman" w:cs="Times New Roman" w:eastAsia="Times New Roman" w:hint="default"/>
                <w:sz w:val="21"/>
                <w:szCs w:val="21"/>
              </w:rPr>
            </w:pPr>
            <w:r>
              <w:rPr>
                <w:rFonts w:ascii="Times New Roman"/>
                <w:sz w:val="21"/>
              </w:rPr>
              <w:t>12.58</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151,567,994.30</w:t>
            </w:r>
          </w:p>
        </w:tc>
        <w:tc>
          <w:tcPr>
            <w:tcW w:w="12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left="640" w:right="0"/>
              <w:jc w:val="left"/>
              <w:rPr>
                <w:rFonts w:ascii="Times New Roman" w:hAnsi="Times New Roman" w:cs="Times New Roman" w:eastAsia="Times New Roman" w:hint="default"/>
                <w:sz w:val="21"/>
                <w:szCs w:val="21"/>
              </w:rPr>
            </w:pPr>
            <w:r>
              <w:rPr>
                <w:rFonts w:ascii="Times New Roman"/>
                <w:sz w:val="21"/>
              </w:rPr>
              <w:t>10.37</w:t>
            </w:r>
          </w:p>
        </w:tc>
      </w:tr>
    </w:tbl>
    <w:p>
      <w:pPr>
        <w:spacing w:line="240" w:lineRule="auto" w:before="5"/>
        <w:rPr>
          <w:rFonts w:ascii="宋体" w:hAnsi="宋体" w:cs="宋体" w:eastAsia="宋体" w:hint="default"/>
          <w:sz w:val="22"/>
          <w:szCs w:val="22"/>
        </w:rPr>
      </w:pPr>
    </w:p>
    <w:p>
      <w:pPr>
        <w:pStyle w:val="BodyText"/>
        <w:spacing w:line="283" w:lineRule="auto" w:before="35"/>
        <w:ind w:right="772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50"/>
        </w:rPr>
        <w:t> </w:t>
      </w:r>
      <w:r>
        <w:rPr/>
        <w:t>关联租赁情况</w:t>
      </w:r>
      <w:r>
        <w:rPr>
          <w:w w:val="99"/>
        </w:rPr>
        <w:t> </w:t>
      </w:r>
      <w:r>
        <w:rPr/>
        <w:t>公司承租情况表：</w:t>
      </w:r>
    </w:p>
    <w:p>
      <w:pPr>
        <w:spacing w:after="0" w:line="283"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63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出租方名称</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承租方名称</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38" w:right="0"/>
              <w:jc w:val="left"/>
              <w:rPr>
                <w:rFonts w:ascii="宋体" w:hAnsi="宋体" w:cs="宋体" w:eastAsia="宋体" w:hint="default"/>
                <w:sz w:val="21"/>
                <w:szCs w:val="21"/>
              </w:rPr>
            </w:pPr>
            <w:r>
              <w:rPr>
                <w:rFonts w:ascii="宋体" w:hAnsi="宋体" w:cs="宋体" w:eastAsia="宋体" w:hint="default"/>
                <w:sz w:val="21"/>
                <w:szCs w:val="21"/>
              </w:rPr>
              <w:t>租赁资产种类</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租赁起始日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42" w:right="0"/>
              <w:jc w:val="left"/>
              <w:rPr>
                <w:rFonts w:ascii="宋体" w:hAnsi="宋体" w:cs="宋体" w:eastAsia="宋体" w:hint="default"/>
                <w:sz w:val="21"/>
                <w:szCs w:val="21"/>
              </w:rPr>
            </w:pPr>
            <w:r>
              <w:rPr>
                <w:rFonts w:ascii="宋体" w:hAnsi="宋体" w:cs="宋体" w:eastAsia="宋体" w:hint="default"/>
                <w:sz w:val="21"/>
                <w:szCs w:val="21"/>
              </w:rPr>
              <w:t>租赁终止日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年度确认的租</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赁费</w:t>
            </w:r>
          </w:p>
        </w:tc>
      </w:tr>
      <w:tr>
        <w:trPr>
          <w:trHeight w:val="64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黑龙江黑化集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黑龙江黑化股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土地使用权</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 </w:t>
            </w:r>
            <w:r>
              <w:rPr>
                <w:rFonts w:ascii="宋体" w:hAnsi="宋体" w:cs="宋体" w:eastAsia="宋体" w:hint="default"/>
                <w:sz w:val="21"/>
                <w:szCs w:val="21"/>
              </w:rPr>
              <w:t>月</w:t>
            </w:r>
            <w:r>
              <w:rPr>
                <w:rFonts w:ascii="宋体" w:hAnsi="宋体" w:cs="宋体" w:eastAsia="宋体" w:hint="default"/>
                <w:spacing w:val="-36"/>
                <w:sz w:val="21"/>
                <w:szCs w:val="21"/>
              </w:rPr>
              <w:t> </w:t>
            </w:r>
            <w:r>
              <w:rPr>
                <w:rFonts w:ascii="Times New Roman" w:hAnsi="Times New Roman" w:cs="Times New Roman" w:eastAsia="Times New Roman" w:hint="default"/>
                <w:sz w:val="21"/>
                <w:szCs w:val="21"/>
              </w:rPr>
              <w:t>1</w:t>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日</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2010  </w:t>
            </w:r>
            <w:r>
              <w:rPr>
                <w:rFonts w:ascii="宋体" w:hAnsi="宋体" w:cs="宋体" w:eastAsia="宋体" w:hint="default"/>
                <w:sz w:val="21"/>
                <w:szCs w:val="21"/>
              </w:rPr>
              <w:t>年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18"/>
                <w:sz w:val="21"/>
                <w:szCs w:val="21"/>
              </w:rPr>
              <w:t> </w:t>
            </w:r>
            <w:r>
              <w:rPr>
                <w:rFonts w:ascii="宋体" w:hAnsi="宋体" w:cs="宋体" w:eastAsia="宋体" w:hint="default"/>
                <w:sz w:val="21"/>
                <w:szCs w:val="21"/>
              </w:rPr>
              <w:t>月</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31 </w:t>
            </w:r>
            <w:r>
              <w:rPr>
                <w:rFonts w:ascii="宋体" w:hAnsi="宋体" w:cs="宋体" w:eastAsia="宋体" w:hint="default"/>
                <w:sz w:val="21"/>
                <w:szCs w:val="21"/>
              </w:rPr>
              <w:t>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489" w:right="0"/>
              <w:jc w:val="left"/>
              <w:rPr>
                <w:rFonts w:ascii="Times New Roman" w:hAnsi="Times New Roman" w:cs="Times New Roman" w:eastAsia="Times New Roman" w:hint="default"/>
                <w:sz w:val="21"/>
                <w:szCs w:val="21"/>
              </w:rPr>
            </w:pPr>
            <w:r>
              <w:rPr>
                <w:rFonts w:ascii="Times New Roman"/>
                <w:sz w:val="21"/>
              </w:rPr>
              <w:t>439,000.00</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关联担保情况</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36"/>
        <w:gridCol w:w="1820"/>
        <w:gridCol w:w="1630"/>
        <w:gridCol w:w="2206"/>
        <w:gridCol w:w="2108"/>
      </w:tblGrid>
      <w:tr>
        <w:trPr>
          <w:trHeight w:val="32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5" w:right="0"/>
              <w:jc w:val="left"/>
              <w:rPr>
                <w:rFonts w:ascii="宋体" w:hAnsi="宋体" w:cs="宋体" w:eastAsia="宋体" w:hint="default"/>
                <w:sz w:val="21"/>
                <w:szCs w:val="21"/>
              </w:rPr>
            </w:pPr>
            <w:r>
              <w:rPr>
                <w:rFonts w:ascii="宋体" w:hAnsi="宋体" w:cs="宋体" w:eastAsia="宋体" w:hint="default"/>
                <w:sz w:val="21"/>
                <w:szCs w:val="21"/>
              </w:rPr>
              <w:t>担保方</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3" w:right="0"/>
              <w:jc w:val="left"/>
              <w:rPr>
                <w:rFonts w:ascii="宋体" w:hAnsi="宋体" w:cs="宋体" w:eastAsia="宋体" w:hint="default"/>
                <w:sz w:val="21"/>
                <w:szCs w:val="21"/>
              </w:rPr>
            </w:pPr>
            <w:r>
              <w:rPr>
                <w:rFonts w:ascii="宋体" w:hAnsi="宋体" w:cs="宋体" w:eastAsia="宋体" w:hint="default"/>
                <w:sz w:val="21"/>
                <w:szCs w:val="21"/>
              </w:rPr>
              <w:t>被担保方</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6" w:right="0"/>
              <w:jc w:val="left"/>
              <w:rPr>
                <w:rFonts w:ascii="宋体" w:hAnsi="宋体" w:cs="宋体" w:eastAsia="宋体" w:hint="default"/>
                <w:sz w:val="21"/>
                <w:szCs w:val="21"/>
              </w:rPr>
            </w:pPr>
            <w:r>
              <w:rPr>
                <w:rFonts w:ascii="宋体" w:hAnsi="宋体" w:cs="宋体" w:eastAsia="宋体" w:hint="default"/>
                <w:sz w:val="21"/>
                <w:szCs w:val="21"/>
              </w:rPr>
              <w:t>担保金额</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75" w:right="0"/>
              <w:jc w:val="left"/>
              <w:rPr>
                <w:rFonts w:ascii="宋体" w:hAnsi="宋体" w:cs="宋体" w:eastAsia="宋体" w:hint="default"/>
                <w:sz w:val="21"/>
                <w:szCs w:val="21"/>
              </w:rPr>
            </w:pPr>
            <w:r>
              <w:rPr>
                <w:rFonts w:ascii="宋体" w:hAnsi="宋体" w:cs="宋体" w:eastAsia="宋体" w:hint="default"/>
                <w:sz w:val="21"/>
                <w:szCs w:val="21"/>
              </w:rPr>
              <w:t>担保期限</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6" w:right="0"/>
              <w:jc w:val="left"/>
              <w:rPr>
                <w:rFonts w:ascii="宋体" w:hAnsi="宋体" w:cs="宋体" w:eastAsia="宋体" w:hint="default"/>
                <w:sz w:val="21"/>
                <w:szCs w:val="21"/>
              </w:rPr>
            </w:pPr>
            <w:r>
              <w:rPr>
                <w:rFonts w:ascii="宋体" w:hAnsi="宋体" w:cs="宋体" w:eastAsia="宋体" w:hint="default"/>
                <w:sz w:val="21"/>
                <w:szCs w:val="21"/>
              </w:rPr>
              <w:t>是否履行完毕</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22,500,000.00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20,300,000.00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12,050,000.00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21,800,000.00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23,350,000.00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30,000,000.00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28</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100,000,000.00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3 </w:t>
            </w:r>
            <w:r>
              <w:rPr>
                <w:rFonts w:ascii="宋体" w:hAnsi="宋体" w:cs="宋体" w:eastAsia="宋体" w:hint="default"/>
                <w:sz w:val="21"/>
                <w:szCs w:val="21"/>
              </w:rPr>
              <w:t>月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38"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13,280,000.00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64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中国化工集团</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14,000,000.00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pacing w:val="-3"/>
                <w:sz w:val="21"/>
                <w:szCs w:val="21"/>
              </w:rPr>
              <w:t>2011  </w:t>
            </w:r>
            <w:r>
              <w:rPr>
                <w:rFonts w:ascii="宋体" w:hAnsi="宋体" w:cs="宋体" w:eastAsia="宋体" w:hint="default"/>
                <w:sz w:val="21"/>
                <w:szCs w:val="21"/>
              </w:rPr>
              <w:t>年 </w:t>
            </w:r>
            <w:r>
              <w:rPr>
                <w:rFonts w:ascii="Times New Roman" w:hAnsi="Times New Roman" w:cs="Times New Roman" w:eastAsia="Times New Roman" w:hint="default"/>
                <w:sz w:val="21"/>
                <w:szCs w:val="21"/>
              </w:rPr>
              <w:t>8  </w:t>
            </w:r>
            <w:r>
              <w:rPr>
                <w:rFonts w:ascii="宋体" w:hAnsi="宋体" w:cs="宋体" w:eastAsia="宋体" w:hint="default"/>
                <w:sz w:val="21"/>
                <w:szCs w:val="21"/>
              </w:rPr>
              <w:t>月 </w:t>
            </w:r>
            <w:r>
              <w:rPr>
                <w:rFonts w:ascii="Times New Roman" w:hAnsi="Times New Roman" w:cs="Times New Roman" w:eastAsia="Times New Roman" w:hint="default"/>
                <w:sz w:val="21"/>
                <w:szCs w:val="21"/>
              </w:rPr>
              <w:t>4 </w:t>
            </w:r>
            <w:r>
              <w:rPr>
                <w:rFonts w:ascii="Times New Roman" w:hAnsi="Times New Roman" w:cs="Times New Roman" w:eastAsia="Times New Roman" w:hint="default"/>
                <w:spacing w:val="11"/>
                <w:sz w:val="21"/>
                <w:szCs w:val="21"/>
              </w:rPr>
              <w:t> </w:t>
            </w:r>
            <w:r>
              <w:rPr>
                <w:rFonts w:ascii="宋体" w:hAnsi="宋体" w:cs="宋体" w:eastAsia="宋体" w:hint="default"/>
                <w:sz w:val="21"/>
                <w:szCs w:val="21"/>
              </w:rPr>
              <w:t>日～</w:t>
            </w:r>
          </w:p>
          <w:p>
            <w:pPr>
              <w:pStyle w:val="TableParagraph"/>
              <w:spacing w:line="240" w:lineRule="auto" w:before="21"/>
              <w:ind w:left="101"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8</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4</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0"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100"/>
              <w:jc w:val="left"/>
              <w:rPr>
                <w:rFonts w:ascii="宋体" w:hAnsi="宋体" w:cs="宋体" w:eastAsia="宋体" w:hint="default"/>
                <w:sz w:val="21"/>
                <w:szCs w:val="21"/>
              </w:rPr>
            </w:pPr>
            <w:r>
              <w:rPr>
                <w:rFonts w:ascii="宋体" w:hAnsi="宋体" w:cs="宋体" w:eastAsia="宋体" w:hint="default"/>
                <w:spacing w:val="9"/>
                <w:sz w:val="21"/>
                <w:szCs w:val="21"/>
              </w:rPr>
              <w:t>黑龙江黑化股</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份有限公司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8"/>
                <w:sz w:val="21"/>
                <w:szCs w:val="21"/>
              </w:rPr>
              <w:t>黑龙江黑化集团</w:t>
            </w:r>
            <w:r>
              <w:rPr>
                <w:rFonts w:ascii="宋体" w:hAnsi="宋体" w:cs="宋体" w:eastAsia="宋体" w:hint="default"/>
                <w:spacing w:val="-83"/>
                <w:sz w:val="21"/>
                <w:szCs w:val="21"/>
              </w:rPr>
              <w:t> </w:t>
            </w:r>
            <w:r>
              <w:rPr>
                <w:rFonts w:ascii="宋体" w:hAnsi="宋体" w:cs="宋体" w:eastAsia="宋体" w:hint="default"/>
                <w:sz w:val="21"/>
                <w:szCs w:val="21"/>
              </w:rPr>
            </w:r>
          </w:p>
          <w:p>
            <w:pPr>
              <w:pStyle w:val="TableParagraph"/>
              <w:spacing w:line="273" w:lineRule="auto" w:before="37"/>
              <w:ind w:left="100" w:right="74"/>
              <w:jc w:val="left"/>
              <w:rPr>
                <w:rFonts w:ascii="宋体" w:hAnsi="宋体" w:cs="宋体" w:eastAsia="宋体" w:hint="default"/>
                <w:sz w:val="21"/>
                <w:szCs w:val="21"/>
              </w:rPr>
            </w:pPr>
            <w:r>
              <w:rPr>
                <w:rFonts w:ascii="宋体" w:hAnsi="宋体" w:cs="宋体" w:eastAsia="宋体" w:hint="default"/>
                <w:spacing w:val="18"/>
                <w:sz w:val="21"/>
                <w:szCs w:val="21"/>
              </w:rPr>
              <w:t>中美碧碧肥有限</w:t>
            </w:r>
            <w:r>
              <w:rPr>
                <w:rFonts w:ascii="宋体" w:hAnsi="宋体" w:cs="宋体" w:eastAsia="宋体" w:hint="default"/>
                <w:spacing w:val="-101"/>
                <w:sz w:val="21"/>
                <w:szCs w:val="21"/>
              </w:rPr>
              <w:t> </w:t>
            </w:r>
            <w:r>
              <w:rPr>
                <w:rFonts w:ascii="宋体" w:hAnsi="宋体" w:cs="宋体" w:eastAsia="宋体" w:hint="default"/>
                <w:sz w:val="21"/>
                <w:szCs w:val="21"/>
              </w:rPr>
              <w:t>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4,380,000.00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2003 </w:t>
            </w:r>
            <w:r>
              <w:rPr>
                <w:rFonts w:ascii="宋体" w:hAnsi="宋体" w:cs="宋体" w:eastAsia="宋体" w:hint="default"/>
                <w:sz w:val="21"/>
                <w:szCs w:val="21"/>
              </w:rPr>
              <w:t>年 </w:t>
            </w:r>
            <w:r>
              <w:rPr>
                <w:rFonts w:ascii="Times New Roman" w:hAnsi="Times New Roman" w:cs="Times New Roman" w:eastAsia="Times New Roman" w:hint="default"/>
                <w:sz w:val="21"/>
                <w:szCs w:val="21"/>
              </w:rPr>
              <w:t>9 </w:t>
            </w:r>
            <w:r>
              <w:rPr>
                <w:rFonts w:ascii="宋体" w:hAnsi="宋体" w:cs="宋体" w:eastAsia="宋体" w:hint="default"/>
                <w:sz w:val="21"/>
                <w:szCs w:val="21"/>
              </w:rPr>
              <w:t>月 </w:t>
            </w:r>
            <w:r>
              <w:rPr>
                <w:rFonts w:ascii="Times New Roman" w:hAnsi="Times New Roman" w:cs="Times New Roman" w:eastAsia="Times New Roman" w:hint="default"/>
                <w:sz w:val="21"/>
                <w:szCs w:val="21"/>
              </w:rPr>
              <w:t>22</w:t>
            </w:r>
            <w:r>
              <w:rPr>
                <w:rFonts w:ascii="Times New Roman" w:hAnsi="Times New Roman" w:cs="Times New Roman" w:eastAsia="Times New Roman" w:hint="default"/>
                <w:spacing w:val="43"/>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2004</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9</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23</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r>
        <w:trPr>
          <w:trHeight w:val="952" w:hRule="exact"/>
        </w:trPr>
        <w:tc>
          <w:tcPr>
            <w:tcW w:w="15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9"/>
                <w:sz w:val="21"/>
                <w:szCs w:val="21"/>
              </w:rPr>
              <w:t>中国昊华化工</w:t>
            </w:r>
          </w:p>
          <w:p>
            <w:pPr>
              <w:pStyle w:val="TableParagraph"/>
              <w:spacing w:line="273" w:lineRule="auto" w:before="37"/>
              <w:ind w:left="100" w:right="100"/>
              <w:jc w:val="left"/>
              <w:rPr>
                <w:rFonts w:ascii="宋体" w:hAnsi="宋体" w:cs="宋体" w:eastAsia="宋体" w:hint="default"/>
                <w:sz w:val="21"/>
                <w:szCs w:val="21"/>
              </w:rPr>
            </w:pPr>
            <w:r>
              <w:rPr>
                <w:rFonts w:ascii="宋体" w:hAnsi="宋体" w:cs="宋体" w:eastAsia="宋体" w:hint="default"/>
                <w:spacing w:val="9"/>
                <w:sz w:val="21"/>
                <w:szCs w:val="21"/>
              </w:rPr>
              <w:t>（集团）总公</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司</w:t>
            </w:r>
          </w:p>
        </w:tc>
        <w:tc>
          <w:tcPr>
            <w:tcW w:w="182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74"/>
              <w:jc w:val="left"/>
              <w:rPr>
                <w:rFonts w:ascii="宋体" w:hAnsi="宋体" w:cs="宋体" w:eastAsia="宋体" w:hint="default"/>
                <w:sz w:val="21"/>
                <w:szCs w:val="21"/>
              </w:rPr>
            </w:pPr>
            <w:r>
              <w:rPr>
                <w:rFonts w:ascii="宋体" w:hAnsi="宋体" w:cs="宋体" w:eastAsia="宋体" w:hint="default"/>
                <w:spacing w:val="18"/>
                <w:sz w:val="21"/>
                <w:szCs w:val="21"/>
              </w:rPr>
              <w:t>黑龙江黑化股份</w:t>
            </w:r>
            <w:r>
              <w:rPr>
                <w:rFonts w:ascii="宋体" w:hAnsi="宋体" w:cs="宋体" w:eastAsia="宋体" w:hint="default"/>
                <w:spacing w:val="-101"/>
                <w:sz w:val="21"/>
                <w:szCs w:val="21"/>
              </w:rPr>
              <w:t> </w:t>
            </w:r>
            <w:r>
              <w:rPr>
                <w:rFonts w:ascii="宋体" w:hAnsi="宋体" w:cs="宋体" w:eastAsia="宋体" w:hint="default"/>
                <w:sz w:val="21"/>
                <w:szCs w:val="21"/>
              </w:rPr>
              <w:t>有限公司</w:t>
            </w:r>
          </w:p>
        </w:tc>
        <w:tc>
          <w:tcPr>
            <w:tcW w:w="16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75,000,000.00</w:t>
            </w:r>
          </w:p>
        </w:tc>
        <w:tc>
          <w:tcPr>
            <w:tcW w:w="220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2009</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年</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8"/>
                <w:sz w:val="21"/>
                <w:szCs w:val="21"/>
              </w:rPr>
              <w:t> </w:t>
            </w:r>
            <w:r>
              <w:rPr>
                <w:rFonts w:ascii="宋体" w:hAnsi="宋体" w:cs="宋体" w:eastAsia="宋体" w:hint="default"/>
                <w:sz w:val="21"/>
                <w:szCs w:val="21"/>
              </w:rPr>
              <w:t>月</w:t>
            </w:r>
            <w:r>
              <w:rPr>
                <w:rFonts w:ascii="宋体" w:hAnsi="宋体" w:cs="宋体" w:eastAsia="宋体" w:hint="default"/>
                <w:spacing w:val="-44"/>
                <w:sz w:val="21"/>
                <w:szCs w:val="21"/>
              </w:rPr>
              <w:t> </w:t>
            </w:r>
            <w:r>
              <w:rPr>
                <w:rFonts w:ascii="Times New Roman" w:hAnsi="Times New Roman" w:cs="Times New Roman" w:eastAsia="Times New Roman" w:hint="default"/>
                <w:sz w:val="21"/>
                <w:szCs w:val="21"/>
              </w:rPr>
              <w:t>29</w:t>
            </w:r>
            <w:r>
              <w:rPr>
                <w:rFonts w:ascii="Times New Roman" w:hAnsi="Times New Roman" w:cs="Times New Roman" w:eastAsia="Times New Roman" w:hint="default"/>
                <w:spacing w:val="9"/>
                <w:sz w:val="21"/>
                <w:szCs w:val="21"/>
              </w:rPr>
              <w:t> </w:t>
            </w:r>
            <w:r>
              <w:rPr>
                <w:rFonts w:ascii="宋体" w:hAnsi="宋体" w:cs="宋体" w:eastAsia="宋体" w:hint="default"/>
                <w:sz w:val="21"/>
                <w:szCs w:val="21"/>
              </w:rPr>
              <w:t>日～</w:t>
            </w:r>
          </w:p>
          <w:p>
            <w:pPr>
              <w:pStyle w:val="TableParagraph"/>
              <w:spacing w:line="240" w:lineRule="auto" w:before="2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2013</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年</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12</w:t>
            </w:r>
            <w:r>
              <w:rPr>
                <w:rFonts w:ascii="Times New Roman" w:hAnsi="Times New Roman" w:cs="Times New Roman" w:eastAsia="Times New Roman" w:hint="default"/>
                <w:spacing w:val="-2"/>
                <w:sz w:val="21"/>
                <w:szCs w:val="21"/>
              </w:rPr>
              <w:t> </w:t>
            </w:r>
            <w:r>
              <w:rPr>
                <w:rFonts w:ascii="宋体" w:hAnsi="宋体" w:cs="宋体" w:eastAsia="宋体" w:hint="default"/>
                <w:sz w:val="21"/>
                <w:szCs w:val="21"/>
              </w:rPr>
              <w:t>月</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15</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日</w:t>
            </w:r>
          </w:p>
        </w:tc>
        <w:tc>
          <w:tcPr>
            <w:tcW w:w="21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否</w:t>
            </w:r>
          </w:p>
        </w:tc>
      </w:tr>
    </w:tbl>
    <w:p>
      <w:pPr>
        <w:spacing w:line="240" w:lineRule="auto" w:before="5"/>
        <w:rPr>
          <w:rFonts w:ascii="宋体" w:hAnsi="宋体" w:cs="宋体" w:eastAsia="宋体" w:hint="default"/>
          <w:sz w:val="22"/>
          <w:szCs w:val="22"/>
        </w:rPr>
      </w:pPr>
    </w:p>
    <w:p>
      <w:pPr>
        <w:pStyle w:val="BodyText"/>
        <w:spacing w:line="283" w:lineRule="auto" w:before="35"/>
        <w:ind w:right="7036"/>
        <w:jc w:val="left"/>
        <w:rPr>
          <w:rFonts w:ascii="Times New Roman" w:hAnsi="Times New Roman" w:cs="Times New Roman" w:eastAsia="Times New Roman" w:hint="default"/>
        </w:rPr>
      </w:pPr>
      <w:r>
        <w:rPr>
          <w:rFonts w:ascii="Times New Roman" w:hAnsi="Times New Roman" w:cs="Times New Roman" w:eastAsia="Times New Roman" w:hint="default"/>
        </w:rPr>
        <w:t>5</w:t>
      </w:r>
      <w:r>
        <w:rPr/>
        <w:t>、</w:t>
      </w:r>
      <w:r>
        <w:rPr>
          <w:spacing w:val="-2"/>
        </w:rPr>
        <w:t> </w:t>
      </w:r>
      <w:r>
        <w:rPr/>
        <w:t>关联方应收应付款项</w:t>
      </w:r>
      <w:r>
        <w:rPr/>
        <w:t> 上市公司应收关联方款项</w:t>
      </w:r>
      <w:r>
        <w:rPr>
          <w:rFonts w:ascii="Times New Roman" w:hAnsi="Times New Roman" w:cs="Times New Roman" w:eastAsia="Times New Roman" w:hint="default"/>
        </w:rPr>
        <w:t>:</w:t>
      </w:r>
    </w:p>
    <w:p>
      <w:pPr>
        <w:spacing w:after="0" w:line="283" w:lineRule="auto"/>
        <w:jc w:val="left"/>
        <w:rPr>
          <w:rFonts w:ascii="Times New Roman" w:hAnsi="Times New Roman" w:cs="Times New Roman" w:eastAsia="Times New Roman" w:hint="default"/>
        </w:rPr>
        <w:sectPr>
          <w:pgSz w:w="11910" w:h="16840"/>
          <w:pgMar w:header="877" w:footer="982" w:top="1100" w:bottom="1180" w:left="1660" w:right="680"/>
        </w:sectPr>
      </w:pPr>
    </w:p>
    <w:p>
      <w:pPr>
        <w:spacing w:line="240" w:lineRule="auto" w:before="6"/>
        <w:rPr>
          <w:rFonts w:ascii="Times New Roman" w:hAnsi="Times New Roman" w:cs="Times New Roman" w:eastAsia="Times New Roman" w:hint="default"/>
          <w:sz w:val="23"/>
          <w:szCs w:val="23"/>
        </w:rPr>
      </w:pPr>
    </w:p>
    <w:p>
      <w:pPr>
        <w:pStyle w:val="BodyText"/>
        <w:spacing w:line="240" w:lineRule="auto" w:before="35"/>
        <w:ind w:left="0" w:right="1116"/>
        <w:jc w:val="right"/>
      </w:pPr>
      <w:r>
        <w:rPr/>
        <w:t>单位</w:t>
      </w:r>
      <w:r>
        <w:rPr>
          <w:rFonts w:ascii="Times New Roman" w:hAnsi="Times New Roman" w:cs="Times New Roman" w:eastAsia="Times New Roman" w:hint="default"/>
        </w:rPr>
        <w:t>:</w:t>
      </w:r>
      <w:r>
        <w:rPr/>
        <w:t>元</w:t>
      </w:r>
      <w:r>
        <w:rPr>
          <w:spacing w:val="-2"/>
        </w:rPr>
        <w:t> </w:t>
      </w:r>
      <w:r>
        <w:rPr/>
        <w:t>币种</w:t>
      </w:r>
      <w:r>
        <w:rPr>
          <w:rFonts w:ascii="Times New Roman" w:hAnsi="Times New Roman" w:cs="Times New Roman" w:eastAsia="Times New Roman" w:hint="default"/>
        </w:rPr>
        <w:t>:</w:t>
      </w:r>
      <w:r>
        <w:rPr/>
        <w:t>人民币</w:t>
      </w:r>
    </w:p>
    <w:p>
      <w:pPr>
        <w:spacing w:line="240" w:lineRule="auto" w:before="10"/>
        <w:rPr>
          <w:rFonts w:ascii="宋体" w:hAnsi="宋体" w:cs="宋体" w:eastAsia="宋体" w:hint="default"/>
          <w:sz w:val="2"/>
          <w:szCs w:val="2"/>
        </w:rPr>
      </w:pPr>
    </w:p>
    <w:tbl>
      <w:tblPr>
        <w:tblW w:w="0" w:type="auto"/>
        <w:jc w:val="left"/>
        <w:tblInd w:w="124" w:type="dxa"/>
        <w:tblLayout w:type="fixed"/>
        <w:tblCellMar>
          <w:top w:w="0" w:type="dxa"/>
          <w:left w:w="0" w:type="dxa"/>
          <w:bottom w:w="0" w:type="dxa"/>
          <w:right w:w="0" w:type="dxa"/>
        </w:tblCellMar>
        <w:tblLook w:val="01E0"/>
      </w:tblPr>
      <w:tblGrid>
        <w:gridCol w:w="1519"/>
        <w:gridCol w:w="1519"/>
        <w:gridCol w:w="1518"/>
        <w:gridCol w:w="1613"/>
        <w:gridCol w:w="1518"/>
        <w:gridCol w:w="1613"/>
      </w:tblGrid>
      <w:tr>
        <w:trPr>
          <w:trHeight w:val="326" w:hRule="exact"/>
        </w:trPr>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332" w:right="0"/>
              <w:jc w:val="left"/>
              <w:rPr>
                <w:rFonts w:ascii="宋体" w:hAnsi="宋体" w:cs="宋体" w:eastAsia="宋体" w:hint="default"/>
                <w:sz w:val="21"/>
                <w:szCs w:val="21"/>
              </w:rPr>
            </w:pPr>
            <w:r>
              <w:rPr>
                <w:rFonts w:ascii="宋体" w:hAnsi="宋体" w:cs="宋体" w:eastAsia="宋体" w:hint="default"/>
                <w:sz w:val="21"/>
                <w:szCs w:val="21"/>
              </w:rPr>
              <w:t>项目名称</w:t>
            </w:r>
          </w:p>
        </w:tc>
        <w:tc>
          <w:tcPr>
            <w:tcW w:w="1519" w:type="dxa"/>
            <w:vMerge w:val="restart"/>
            <w:tcBorders>
              <w:top w:val="single" w:sz="6" w:space="0" w:color="000000"/>
              <w:left w:val="single" w:sz="6" w:space="0" w:color="000000"/>
              <w:right w:val="single" w:sz="6" w:space="0" w:color="000000"/>
            </w:tcBorders>
          </w:tcPr>
          <w:p>
            <w:pPr>
              <w:pStyle w:val="TableParagraph"/>
              <w:spacing w:line="240" w:lineRule="auto" w:before="141"/>
              <w:ind w:left="436" w:right="0"/>
              <w:jc w:val="left"/>
              <w:rPr>
                <w:rFonts w:ascii="宋体" w:hAnsi="宋体" w:cs="宋体" w:eastAsia="宋体" w:hint="default"/>
                <w:sz w:val="21"/>
                <w:szCs w:val="21"/>
              </w:rPr>
            </w:pPr>
            <w:r>
              <w:rPr>
                <w:rFonts w:ascii="宋体" w:hAnsi="宋体" w:cs="宋体" w:eastAsia="宋体" w:hint="default"/>
                <w:sz w:val="21"/>
                <w:szCs w:val="21"/>
              </w:rPr>
              <w:t>关联方</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w:t>
            </w:r>
          </w:p>
        </w:tc>
        <w:tc>
          <w:tcPr>
            <w:tcW w:w="3131"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w:t>
            </w:r>
          </w:p>
        </w:tc>
      </w:tr>
      <w:tr>
        <w:trPr>
          <w:trHeight w:val="328" w:hRule="exact"/>
        </w:trPr>
        <w:tc>
          <w:tcPr>
            <w:tcW w:w="1519" w:type="dxa"/>
            <w:vMerge/>
            <w:tcBorders>
              <w:left w:val="single" w:sz="6" w:space="0" w:color="000000"/>
              <w:bottom w:val="single" w:sz="6" w:space="0" w:color="000000"/>
              <w:right w:val="single" w:sz="6" w:space="0" w:color="000000"/>
            </w:tcBorders>
          </w:tcPr>
          <w:p>
            <w:pPr/>
          </w:p>
        </w:tc>
        <w:tc>
          <w:tcPr>
            <w:tcW w:w="1519" w:type="dxa"/>
            <w:vMerge/>
            <w:tcBorders>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3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7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黑龙江黑化集</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15,645,413.62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782,270.68</w:t>
            </w:r>
            <w:r>
              <w:rPr>
                <w:rFonts w:ascii="Times New Roman"/>
                <w:sz w:val="21"/>
              </w:rPr>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71,086,223.44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2"/>
                <w:sz w:val="21"/>
              </w:rPr>
              <w:t>3,554,311.17</w:t>
            </w:r>
            <w:r>
              <w:rPr>
                <w:rFonts w:ascii="Times New Roman"/>
                <w:sz w:val="21"/>
              </w:rPr>
            </w: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齐齐哈尔富龙</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化工有限公司</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1,021,943.32</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1,021,943.32</w:t>
            </w: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3,720,872.34</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186,043.62</w:t>
            </w:r>
            <w:r>
              <w:rPr>
                <w:rFonts w:ascii="Times New Roman"/>
                <w:sz w:val="21"/>
              </w:rPr>
            </w:r>
          </w:p>
        </w:tc>
      </w:tr>
      <w:tr>
        <w:trPr>
          <w:trHeight w:val="640" w:hRule="exact"/>
        </w:trPr>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应收账款</w:t>
            </w:r>
          </w:p>
        </w:tc>
        <w:tc>
          <w:tcPr>
            <w:tcW w:w="151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中国化工橡胶</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总公司</w:t>
            </w:r>
          </w:p>
        </w:tc>
        <w:tc>
          <w:tcPr>
            <w:tcW w:w="1518" w:type="dxa"/>
            <w:tcBorders>
              <w:top w:val="single" w:sz="6" w:space="0" w:color="000000"/>
              <w:left w:val="single" w:sz="6" w:space="0" w:color="000000"/>
              <w:bottom w:val="single" w:sz="6" w:space="0" w:color="000000"/>
              <w:right w:val="single" w:sz="6" w:space="0" w:color="000000"/>
            </w:tcBorders>
          </w:tcPr>
          <w:p>
            <w:pPr/>
          </w:p>
        </w:tc>
        <w:tc>
          <w:tcPr>
            <w:tcW w:w="1613" w:type="dxa"/>
            <w:tcBorders>
              <w:top w:val="single" w:sz="6" w:space="0" w:color="000000"/>
              <w:left w:val="single" w:sz="6" w:space="0" w:color="000000"/>
              <w:bottom w:val="single" w:sz="6" w:space="0" w:color="000000"/>
              <w:right w:val="single" w:sz="6" w:space="0" w:color="000000"/>
            </w:tcBorders>
          </w:tcPr>
          <w:p>
            <w:pPr/>
          </w:p>
        </w:tc>
        <w:tc>
          <w:tcPr>
            <w:tcW w:w="15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872,910.04</w:t>
            </w:r>
            <w:r>
              <w:rPr>
                <w:rFonts w:ascii="Times New Roman"/>
                <w:sz w:val="21"/>
              </w:rPr>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43,645.50</w:t>
            </w:r>
          </w:p>
        </w:tc>
      </w:tr>
    </w:tbl>
    <w:p>
      <w:pPr>
        <w:spacing w:line="240" w:lineRule="auto" w:before="5"/>
        <w:rPr>
          <w:rFonts w:ascii="宋体" w:hAnsi="宋体" w:cs="宋体" w:eastAsia="宋体" w:hint="default"/>
          <w:sz w:val="22"/>
          <w:szCs w:val="22"/>
        </w:rPr>
      </w:pPr>
    </w:p>
    <w:p>
      <w:pPr>
        <w:pStyle w:val="BodyText"/>
        <w:spacing w:line="283" w:lineRule="auto" w:before="35"/>
        <w:ind w:left="351" w:right="7813" w:hanging="212"/>
        <w:jc w:val="left"/>
      </w:pPr>
      <w:r>
        <w:rPr>
          <w:rFonts w:ascii="Times New Roman" w:hAnsi="Times New Roman" w:cs="Times New Roman" w:eastAsia="Times New Roman" w:hint="default"/>
        </w:rPr>
        <w:t>(</w:t>
      </w:r>
      <w:r>
        <w:rPr/>
        <w:t>九</w:t>
      </w:r>
      <w:r>
        <w:rPr>
          <w:rFonts w:ascii="Times New Roman" w:hAnsi="Times New Roman" w:cs="Times New Roman" w:eastAsia="Times New Roman" w:hint="default"/>
        </w:rPr>
        <w:t>) </w:t>
      </w:r>
      <w:r>
        <w:rPr/>
        <w:t>股份支付：</w:t>
      </w:r>
      <w:r>
        <w:rPr>
          <w:w w:val="99"/>
        </w:rPr>
        <w:t> </w:t>
      </w:r>
      <w:r>
        <w:rPr/>
        <w:t>无</w:t>
      </w:r>
    </w:p>
    <w:p>
      <w:pPr>
        <w:spacing w:line="240" w:lineRule="auto" w:before="2"/>
        <w:rPr>
          <w:rFonts w:ascii="宋体" w:hAnsi="宋体" w:cs="宋体" w:eastAsia="宋体" w:hint="default"/>
          <w:sz w:val="26"/>
          <w:szCs w:val="26"/>
        </w:rPr>
      </w:pPr>
    </w:p>
    <w:p>
      <w:pPr>
        <w:pStyle w:val="BodyText"/>
        <w:spacing w:line="283" w:lineRule="auto"/>
        <w:ind w:left="561" w:right="7813" w:hanging="423"/>
        <w:jc w:val="left"/>
      </w:pPr>
      <w:r>
        <w:rPr>
          <w:rFonts w:ascii="Times New Roman" w:hAnsi="Times New Roman" w:cs="Times New Roman" w:eastAsia="Times New Roman" w:hint="default"/>
        </w:rPr>
        <w:t>(</w:t>
      </w:r>
      <w:r>
        <w:rPr/>
        <w:t>十</w:t>
      </w:r>
      <w:r>
        <w:rPr>
          <w:rFonts w:ascii="Times New Roman" w:hAnsi="Times New Roman" w:cs="Times New Roman" w:eastAsia="Times New Roman" w:hint="default"/>
        </w:rPr>
        <w:t>) </w:t>
      </w:r>
      <w:r>
        <w:rPr/>
        <w:t>或有事项：</w:t>
      </w:r>
      <w:r>
        <w:rPr>
          <w:w w:val="99"/>
        </w:rPr>
        <w:t> </w:t>
      </w:r>
      <w:r>
        <w:rPr/>
        <w:t>无</w:t>
      </w:r>
    </w:p>
    <w:p>
      <w:pPr>
        <w:spacing w:line="240" w:lineRule="auto" w:before="6"/>
        <w:rPr>
          <w:rFonts w:ascii="宋体" w:hAnsi="宋体" w:cs="宋体" w:eastAsia="宋体" w:hint="default"/>
          <w:sz w:val="23"/>
          <w:szCs w:val="23"/>
        </w:rPr>
      </w:pPr>
    </w:p>
    <w:p>
      <w:pPr>
        <w:spacing w:after="0" w:line="240" w:lineRule="auto"/>
        <w:rPr>
          <w:rFonts w:ascii="宋体" w:hAnsi="宋体" w:cs="宋体" w:eastAsia="宋体" w:hint="default"/>
          <w:sz w:val="23"/>
          <w:szCs w:val="23"/>
        </w:rPr>
        <w:sectPr>
          <w:pgSz w:w="11910" w:h="16840"/>
          <w:pgMar w:header="877" w:footer="982" w:top="1100" w:bottom="1180" w:left="1660" w:right="680"/>
        </w:sectPr>
      </w:pPr>
    </w:p>
    <w:p>
      <w:pPr>
        <w:pStyle w:val="BodyText"/>
        <w:spacing w:line="283" w:lineRule="auto" w:before="35"/>
        <w:ind w:left="350" w:right="1543" w:hanging="212"/>
        <w:jc w:val="left"/>
      </w:pPr>
      <w:r>
        <w:rPr>
          <w:rFonts w:ascii="Times New Roman" w:hAnsi="Times New Roman" w:cs="Times New Roman" w:eastAsia="Times New Roman" w:hint="default"/>
        </w:rPr>
        <w:t>(</w:t>
      </w:r>
      <w:r>
        <w:rPr/>
        <w:t>十一</w:t>
      </w:r>
      <w:r>
        <w:rPr>
          <w:rFonts w:ascii="Times New Roman" w:hAnsi="Times New Roman" w:cs="Times New Roman" w:eastAsia="Times New Roman" w:hint="default"/>
        </w:rPr>
        <w:t>) </w:t>
      </w:r>
      <w:r>
        <w:rPr/>
        <w:t>承诺事项：</w:t>
      </w:r>
      <w:r>
        <w:rPr>
          <w:w w:val="99"/>
        </w:rPr>
        <w:t> </w:t>
      </w:r>
      <w:r>
        <w:rPr/>
        <w:t>无</w:t>
      </w:r>
    </w:p>
    <w:p>
      <w:pPr>
        <w:pStyle w:val="BodyText"/>
        <w:spacing w:line="240" w:lineRule="auto" w:before="30"/>
        <w:ind w:left="139" w:right="-18"/>
        <w:jc w:val="left"/>
      </w:pPr>
      <w:r>
        <w:rPr>
          <w:rFonts w:ascii="Times New Roman" w:hAnsi="Times New Roman" w:cs="Times New Roman" w:eastAsia="Times New Roman" w:hint="default"/>
        </w:rPr>
        <w:t>(</w:t>
      </w:r>
      <w:r>
        <w:rPr/>
        <w:t>十二</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t>母公司财务报表主要项目注释</w:t>
      </w:r>
    </w:p>
    <w:p>
      <w:pPr>
        <w:pStyle w:val="BodyText"/>
        <w:spacing w:line="240" w:lineRule="auto" w:before="83"/>
        <w:ind w:left="139" w:right="1543"/>
        <w:jc w:val="left"/>
      </w:pPr>
      <w:r>
        <w:rPr>
          <w:rFonts w:ascii="Times New Roman" w:hAnsi="Times New Roman" w:cs="Times New Roman" w:eastAsia="Times New Roman" w:hint="default"/>
        </w:rPr>
        <w:t>1</w:t>
      </w:r>
      <w:r>
        <w:rPr/>
        <w:t>、 应收账款：</w:t>
      </w:r>
    </w:p>
    <w:p>
      <w:pPr>
        <w:pStyle w:val="BodyText"/>
        <w:spacing w:line="240" w:lineRule="auto" w:before="83"/>
        <w:ind w:left="139"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应收账款按种类披露：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18"/>
          <w:szCs w:val="18"/>
        </w:rPr>
      </w:pPr>
    </w:p>
    <w:p>
      <w:pPr>
        <w:pStyle w:val="BodyText"/>
        <w:spacing w:line="240" w:lineRule="auto"/>
        <w:ind w:left="139"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3535" w:space="2567"/>
            <w:col w:w="3468"/>
          </w:cols>
        </w:sectPr>
      </w:pPr>
    </w:p>
    <w:p>
      <w:pPr>
        <w:spacing w:line="240" w:lineRule="auto" w:before="0"/>
        <w:rPr>
          <w:rFonts w:ascii="宋体" w:hAnsi="宋体" w:cs="宋体" w:eastAsia="宋体" w:hint="default"/>
          <w:sz w:val="4"/>
          <w:szCs w:val="4"/>
        </w:rPr>
      </w:pPr>
    </w:p>
    <w:tbl>
      <w:tblPr>
        <w:tblW w:w="0" w:type="auto"/>
        <w:jc w:val="left"/>
        <w:tblInd w:w="124" w:type="dxa"/>
        <w:tblLayout w:type="fixed"/>
        <w:tblCellMar>
          <w:top w:w="0" w:type="dxa"/>
          <w:left w:w="0" w:type="dxa"/>
          <w:bottom w:w="0" w:type="dxa"/>
          <w:right w:w="0" w:type="dxa"/>
        </w:tblCellMar>
        <w:tblLook w:val="01E0"/>
      </w:tblPr>
      <w:tblGrid>
        <w:gridCol w:w="428"/>
        <w:gridCol w:w="1529"/>
        <w:gridCol w:w="689"/>
        <w:gridCol w:w="1424"/>
        <w:gridCol w:w="794"/>
        <w:gridCol w:w="1529"/>
        <w:gridCol w:w="689"/>
        <w:gridCol w:w="1424"/>
        <w:gridCol w:w="793"/>
      </w:tblGrid>
      <w:tr>
        <w:trPr>
          <w:trHeight w:val="326" w:hRule="exact"/>
        </w:trPr>
        <w:tc>
          <w:tcPr>
            <w:tcW w:w="42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73" w:lineRule="auto"/>
              <w:ind w:left="102" w:right="101"/>
              <w:jc w:val="left"/>
              <w:rPr>
                <w:rFonts w:ascii="宋体" w:hAnsi="宋体" w:cs="宋体" w:eastAsia="宋体" w:hint="default"/>
                <w:sz w:val="21"/>
                <w:szCs w:val="21"/>
              </w:rPr>
            </w:pPr>
            <w:r>
              <w:rPr>
                <w:rFonts w:ascii="宋体" w:hAnsi="宋体" w:cs="宋体" w:eastAsia="宋体" w:hint="default"/>
                <w:sz w:val="21"/>
                <w:szCs w:val="21"/>
              </w:rPr>
              <w:t>种 类</w:t>
            </w:r>
          </w:p>
        </w:tc>
        <w:tc>
          <w:tcPr>
            <w:tcW w:w="4436"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435"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428" w:type="dxa"/>
            <w:vMerge/>
            <w:tcBorders>
              <w:left w:val="single" w:sz="6" w:space="0" w:color="000000"/>
              <w:right w:val="single" w:sz="6" w:space="0" w:color="000000"/>
            </w:tcBorders>
          </w:tcPr>
          <w:p>
            <w:pP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428"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9"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9" w:right="0"/>
              <w:jc w:val="left"/>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r>
      <w:tr>
        <w:trPr>
          <w:trHeight w:val="532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单</w:t>
            </w:r>
          </w:p>
          <w:p>
            <w:pPr>
              <w:pStyle w:val="TableParagraph"/>
              <w:spacing w:line="273" w:lineRule="auto" w:before="37"/>
              <w:ind w:left="100" w:right="101"/>
              <w:jc w:val="both"/>
              <w:rPr>
                <w:rFonts w:ascii="宋体" w:hAnsi="宋体" w:cs="宋体" w:eastAsia="宋体" w:hint="default"/>
                <w:sz w:val="21"/>
                <w:szCs w:val="21"/>
              </w:rPr>
            </w:pPr>
            <w:r>
              <w:rPr>
                <w:rFonts w:ascii="宋体" w:hAnsi="宋体" w:cs="宋体" w:eastAsia="宋体" w:hint="default"/>
                <w:sz w:val="21"/>
                <w:szCs w:val="21"/>
              </w:rPr>
              <w:t>项 金 额 重 大 并 单 项 计 提 坏 账 准 备 的 应</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06" w:right="0"/>
              <w:jc w:val="center"/>
              <w:rPr>
                <w:rFonts w:ascii="Times New Roman" w:hAnsi="Times New Roman" w:cs="Times New Roman" w:eastAsia="Times New Roman" w:hint="default"/>
                <w:sz w:val="21"/>
                <w:szCs w:val="21"/>
              </w:rPr>
            </w:pPr>
            <w:r>
              <w:rPr>
                <w:rFonts w:ascii="Times New Roman"/>
                <w:sz w:val="21"/>
              </w:rPr>
              <w:t>39,271,519.83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00" w:right="0"/>
              <w:jc w:val="left"/>
              <w:rPr>
                <w:rFonts w:ascii="Times New Roman" w:hAnsi="Times New Roman" w:cs="Times New Roman" w:eastAsia="Times New Roman" w:hint="default"/>
                <w:sz w:val="21"/>
                <w:szCs w:val="21"/>
              </w:rPr>
            </w:pPr>
            <w:r>
              <w:rPr>
                <w:rFonts w:ascii="Times New Roman"/>
                <w:sz w:val="21"/>
              </w:rPr>
              <w:t>18.42</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 w:right="0"/>
              <w:jc w:val="center"/>
              <w:rPr>
                <w:rFonts w:ascii="Times New Roman" w:hAnsi="Times New Roman" w:cs="Times New Roman" w:eastAsia="Times New Roman" w:hint="default"/>
                <w:sz w:val="21"/>
                <w:szCs w:val="21"/>
              </w:rPr>
            </w:pPr>
            <w:r>
              <w:rPr>
                <w:rFonts w:ascii="Times New Roman"/>
                <w:sz w:val="21"/>
              </w:rPr>
              <w:t>39,271,519.83</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00" w:right="0"/>
              <w:jc w:val="left"/>
              <w:rPr>
                <w:rFonts w:ascii="Times New Roman" w:hAnsi="Times New Roman" w:cs="Times New Roman" w:eastAsia="Times New Roman" w:hint="default"/>
                <w:sz w:val="21"/>
                <w:szCs w:val="21"/>
              </w:rPr>
            </w:pPr>
            <w:r>
              <w:rPr>
                <w:rFonts w:ascii="Times New Roman"/>
                <w:sz w:val="21"/>
              </w:rPr>
              <w:t>100.00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05" w:right="0"/>
              <w:jc w:val="center"/>
              <w:rPr>
                <w:rFonts w:ascii="Times New Roman" w:hAnsi="Times New Roman" w:cs="Times New Roman" w:eastAsia="Times New Roman" w:hint="default"/>
                <w:sz w:val="21"/>
                <w:szCs w:val="21"/>
              </w:rPr>
            </w:pPr>
            <w:r>
              <w:rPr>
                <w:rFonts w:ascii="Times New Roman"/>
                <w:sz w:val="21"/>
              </w:rPr>
              <w:t>45,288,532.18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00" w:right="0"/>
              <w:jc w:val="left"/>
              <w:rPr>
                <w:rFonts w:ascii="Times New Roman" w:hAnsi="Times New Roman" w:cs="Times New Roman" w:eastAsia="Times New Roman" w:hint="default"/>
                <w:sz w:val="21"/>
                <w:szCs w:val="21"/>
              </w:rPr>
            </w:pPr>
            <w:r>
              <w:rPr>
                <w:rFonts w:ascii="Times New Roman"/>
                <w:sz w:val="21"/>
              </w:rPr>
              <w:t>18.24</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 w:right="0"/>
              <w:jc w:val="center"/>
              <w:rPr>
                <w:rFonts w:ascii="Times New Roman" w:hAnsi="Times New Roman" w:cs="Times New Roman" w:eastAsia="Times New Roman" w:hint="default"/>
                <w:sz w:val="21"/>
                <w:szCs w:val="21"/>
              </w:rPr>
            </w:pPr>
            <w:r>
              <w:rPr>
                <w:rFonts w:ascii="Times New Roman"/>
                <w:sz w:val="21"/>
              </w:rPr>
              <w:t>45,288,532.18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76"/>
              <w:ind w:left="100" w:right="0"/>
              <w:jc w:val="left"/>
              <w:rPr>
                <w:rFonts w:ascii="Times New Roman" w:hAnsi="Times New Roman" w:cs="Times New Roman" w:eastAsia="Times New Roman" w:hint="default"/>
                <w:sz w:val="21"/>
                <w:szCs w:val="21"/>
              </w:rPr>
            </w:pPr>
            <w:r>
              <w:rPr>
                <w:rFonts w:ascii="Times New Roman"/>
                <w:sz w:val="21"/>
              </w:rPr>
              <w:t>100.00</w:t>
            </w:r>
          </w:p>
        </w:tc>
      </w:tr>
    </w:tbl>
    <w:p>
      <w:pPr>
        <w:spacing w:after="0" w:line="240" w:lineRule="auto"/>
        <w:jc w:val="lef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28"/>
        <w:gridCol w:w="1529"/>
        <w:gridCol w:w="689"/>
        <w:gridCol w:w="1424"/>
        <w:gridCol w:w="794"/>
        <w:gridCol w:w="1529"/>
        <w:gridCol w:w="689"/>
        <w:gridCol w:w="1424"/>
        <w:gridCol w:w="793"/>
      </w:tblGrid>
      <w:tr>
        <w:trPr>
          <w:trHeight w:val="95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收</w:t>
            </w:r>
          </w:p>
          <w:p>
            <w:pPr>
              <w:pStyle w:val="TableParagraph"/>
              <w:spacing w:line="273" w:lineRule="auto" w:before="37"/>
              <w:ind w:left="100" w:right="101"/>
              <w:jc w:val="left"/>
              <w:rPr>
                <w:rFonts w:ascii="宋体" w:hAnsi="宋体" w:cs="宋体" w:eastAsia="宋体" w:hint="default"/>
                <w:sz w:val="21"/>
                <w:szCs w:val="21"/>
              </w:rPr>
            </w:pPr>
            <w:r>
              <w:rPr>
                <w:rFonts w:ascii="宋体" w:hAnsi="宋体" w:cs="宋体" w:eastAsia="宋体" w:hint="default"/>
                <w:sz w:val="21"/>
                <w:szCs w:val="21"/>
              </w:rPr>
              <w:t>账 款</w:t>
            </w: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9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689"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793"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按组合计提坏账准备的应收账款：</w:t>
            </w:r>
          </w:p>
        </w:tc>
      </w:tr>
      <w:tr>
        <w:trPr>
          <w:trHeight w:val="157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账</w:t>
            </w:r>
          </w:p>
          <w:p>
            <w:pPr>
              <w:pStyle w:val="TableParagraph"/>
              <w:spacing w:line="273" w:lineRule="auto" w:before="37"/>
              <w:ind w:left="100" w:right="101"/>
              <w:jc w:val="both"/>
              <w:rPr>
                <w:rFonts w:ascii="宋体" w:hAnsi="宋体" w:cs="宋体" w:eastAsia="宋体" w:hint="default"/>
                <w:sz w:val="21"/>
                <w:szCs w:val="21"/>
              </w:rPr>
            </w:pPr>
            <w:r>
              <w:rPr>
                <w:rFonts w:ascii="宋体" w:hAnsi="宋体" w:cs="宋体" w:eastAsia="宋体" w:hint="default"/>
                <w:sz w:val="21"/>
                <w:szCs w:val="21"/>
              </w:rPr>
              <w:t>龄 分 析 法</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0" w:right="0"/>
              <w:jc w:val="left"/>
              <w:rPr>
                <w:rFonts w:ascii="Times New Roman" w:hAnsi="Times New Roman" w:cs="Times New Roman" w:eastAsia="Times New Roman" w:hint="default"/>
                <w:sz w:val="21"/>
                <w:szCs w:val="21"/>
              </w:rPr>
            </w:pPr>
            <w:r>
              <w:rPr>
                <w:rFonts w:ascii="Times New Roman"/>
                <w:sz w:val="21"/>
              </w:rPr>
              <w:t>173,886,783.30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 w:right="0"/>
              <w:jc w:val="center"/>
              <w:rPr>
                <w:rFonts w:ascii="Times New Roman" w:hAnsi="Times New Roman" w:cs="Times New Roman" w:eastAsia="Times New Roman" w:hint="default"/>
                <w:sz w:val="21"/>
                <w:szCs w:val="21"/>
              </w:rPr>
            </w:pPr>
            <w:r>
              <w:rPr>
                <w:rFonts w:ascii="Times New Roman"/>
                <w:sz w:val="21"/>
              </w:rPr>
              <w:t>81.58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8"/>
              <w:jc w:val="right"/>
              <w:rPr>
                <w:rFonts w:ascii="Times New Roman" w:hAnsi="Times New Roman" w:cs="Times New Roman" w:eastAsia="Times New Roman" w:hint="default"/>
                <w:sz w:val="21"/>
                <w:szCs w:val="21"/>
              </w:rPr>
            </w:pPr>
            <w:r>
              <w:rPr>
                <w:rFonts w:ascii="Times New Roman"/>
                <w:spacing w:val="-1"/>
                <w:sz w:val="21"/>
              </w:rPr>
              <w:t>16,271,828.54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310" w:right="0"/>
              <w:jc w:val="left"/>
              <w:rPr>
                <w:rFonts w:ascii="Times New Roman" w:hAnsi="Times New Roman" w:cs="Times New Roman" w:eastAsia="Times New Roman" w:hint="default"/>
                <w:sz w:val="21"/>
                <w:szCs w:val="21"/>
              </w:rPr>
            </w:pPr>
            <w:r>
              <w:rPr>
                <w:rFonts w:ascii="Times New Roman"/>
                <w:sz w:val="21"/>
              </w:rPr>
              <w:t>9.36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99"/>
              <w:jc w:val="right"/>
              <w:rPr>
                <w:rFonts w:ascii="Times New Roman" w:hAnsi="Times New Roman" w:cs="Times New Roman" w:eastAsia="Times New Roman" w:hint="default"/>
                <w:sz w:val="21"/>
                <w:szCs w:val="21"/>
              </w:rPr>
            </w:pPr>
            <w:r>
              <w:rPr>
                <w:rFonts w:ascii="Times New Roman"/>
                <w:spacing w:val="-1"/>
                <w:sz w:val="21"/>
              </w:rPr>
              <w:t>202,950,100.10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right="0"/>
              <w:jc w:val="center"/>
              <w:rPr>
                <w:rFonts w:ascii="Times New Roman" w:hAnsi="Times New Roman" w:cs="Times New Roman" w:eastAsia="Times New Roman" w:hint="default"/>
                <w:sz w:val="21"/>
                <w:szCs w:val="21"/>
              </w:rPr>
            </w:pPr>
            <w:r>
              <w:rPr>
                <w:rFonts w:ascii="Times New Roman"/>
                <w:sz w:val="21"/>
              </w:rPr>
              <w:t>81.76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101" w:right="0"/>
              <w:jc w:val="left"/>
              <w:rPr>
                <w:rFonts w:ascii="Times New Roman" w:hAnsi="Times New Roman" w:cs="Times New Roman" w:eastAsia="Times New Roman" w:hint="default"/>
                <w:sz w:val="21"/>
                <w:szCs w:val="21"/>
              </w:rPr>
            </w:pPr>
            <w:r>
              <w:rPr>
                <w:rFonts w:ascii="Times New Roman"/>
                <w:sz w:val="21"/>
              </w:rPr>
              <w:t>16,408,245.60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135"/>
              <w:ind w:left="310" w:right="0"/>
              <w:jc w:val="left"/>
              <w:rPr>
                <w:rFonts w:ascii="Times New Roman" w:hAnsi="Times New Roman" w:cs="Times New Roman" w:eastAsia="Times New Roman" w:hint="default"/>
                <w:sz w:val="21"/>
                <w:szCs w:val="21"/>
              </w:rPr>
            </w:pPr>
            <w:r>
              <w:rPr>
                <w:rFonts w:ascii="Times New Roman"/>
                <w:sz w:val="21"/>
              </w:rPr>
              <w:t>8.08</w:t>
            </w:r>
          </w:p>
        </w:tc>
      </w:tr>
      <w:tr>
        <w:trPr>
          <w:trHeight w:val="1264"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组</w:t>
            </w:r>
          </w:p>
          <w:p>
            <w:pPr>
              <w:pStyle w:val="TableParagraph"/>
              <w:spacing w:line="273" w:lineRule="auto" w:before="37"/>
              <w:ind w:left="100" w:right="101"/>
              <w:jc w:val="both"/>
              <w:rPr>
                <w:rFonts w:ascii="宋体" w:hAnsi="宋体" w:cs="宋体" w:eastAsia="宋体" w:hint="default"/>
                <w:sz w:val="21"/>
                <w:szCs w:val="21"/>
              </w:rPr>
            </w:pPr>
            <w:r>
              <w:rPr>
                <w:rFonts w:ascii="宋体" w:hAnsi="宋体" w:cs="宋体" w:eastAsia="宋体" w:hint="default"/>
                <w:sz w:val="21"/>
                <w:szCs w:val="21"/>
              </w:rPr>
              <w:t>合 小 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173,886,783.30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 w:right="0"/>
              <w:jc w:val="center"/>
              <w:rPr>
                <w:rFonts w:ascii="Times New Roman" w:hAnsi="Times New Roman" w:cs="Times New Roman" w:eastAsia="Times New Roman" w:hint="default"/>
                <w:sz w:val="21"/>
                <w:szCs w:val="21"/>
              </w:rPr>
            </w:pPr>
            <w:r>
              <w:rPr>
                <w:rFonts w:ascii="Times New Roman"/>
                <w:sz w:val="21"/>
              </w:rPr>
              <w:t>81.58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16,271,828.54</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21"/>
                <w:szCs w:val="21"/>
              </w:rPr>
            </w:pPr>
            <w:r>
              <w:rPr>
                <w:rFonts w:ascii="Times New Roman"/>
                <w:sz w:val="21"/>
              </w:rPr>
              <w:t>9.36</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202,950,100.10</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81.76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101" w:right="0"/>
              <w:jc w:val="left"/>
              <w:rPr>
                <w:rFonts w:ascii="Times New Roman" w:hAnsi="Times New Roman" w:cs="Times New Roman" w:eastAsia="Times New Roman" w:hint="default"/>
                <w:sz w:val="21"/>
                <w:szCs w:val="21"/>
              </w:rPr>
            </w:pPr>
            <w:r>
              <w:rPr>
                <w:rFonts w:ascii="Times New Roman"/>
                <w:sz w:val="21"/>
              </w:rPr>
              <w:t>16,408,245.60</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5"/>
              <w:ind w:right="0"/>
              <w:jc w:val="left"/>
              <w:rPr>
                <w:rFonts w:ascii="宋体" w:hAnsi="宋体" w:cs="宋体" w:eastAsia="宋体" w:hint="default"/>
                <w:sz w:val="18"/>
                <w:szCs w:val="18"/>
              </w:rPr>
            </w:pPr>
          </w:p>
          <w:p>
            <w:pPr>
              <w:pStyle w:val="TableParagraph"/>
              <w:spacing w:line="240" w:lineRule="auto"/>
              <w:ind w:left="310" w:right="0"/>
              <w:jc w:val="left"/>
              <w:rPr>
                <w:rFonts w:ascii="Times New Roman" w:hAnsi="Times New Roman" w:cs="Times New Roman" w:eastAsia="Times New Roman" w:hint="default"/>
                <w:sz w:val="21"/>
                <w:szCs w:val="21"/>
              </w:rPr>
            </w:pPr>
            <w:r>
              <w:rPr>
                <w:rFonts w:ascii="Times New Roman"/>
                <w:sz w:val="21"/>
              </w:rPr>
              <w:t>8.08</w:t>
            </w:r>
          </w:p>
        </w:tc>
      </w:tr>
      <w:tr>
        <w:trPr>
          <w:trHeight w:val="640" w:hRule="exact"/>
        </w:trPr>
        <w:tc>
          <w:tcPr>
            <w:tcW w:w="42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2" w:right="0"/>
              <w:jc w:val="left"/>
              <w:rPr>
                <w:rFonts w:ascii="宋体" w:hAnsi="宋体" w:cs="宋体" w:eastAsia="宋体" w:hint="default"/>
                <w:sz w:val="21"/>
                <w:szCs w:val="21"/>
              </w:rPr>
            </w:pPr>
            <w:r>
              <w:rPr>
                <w:rFonts w:ascii="宋体" w:hAnsi="宋体" w:cs="宋体" w:eastAsia="宋体" w:hint="default"/>
                <w:sz w:val="21"/>
                <w:szCs w:val="21"/>
              </w:rPr>
              <w:t>合</w:t>
            </w:r>
          </w:p>
          <w:p>
            <w:pPr>
              <w:pStyle w:val="TableParagraph"/>
              <w:spacing w:line="240" w:lineRule="auto" w:before="37"/>
              <w:ind w:left="102" w:right="0"/>
              <w:jc w:val="left"/>
              <w:rPr>
                <w:rFonts w:ascii="宋体" w:hAnsi="宋体" w:cs="宋体" w:eastAsia="宋体" w:hint="default"/>
                <w:sz w:val="21"/>
                <w:szCs w:val="21"/>
              </w:rPr>
            </w:pPr>
            <w:r>
              <w:rPr>
                <w:rFonts w:ascii="宋体" w:hAnsi="宋体" w:cs="宋体" w:eastAsia="宋体" w:hint="default"/>
                <w:sz w:val="21"/>
                <w:szCs w:val="21"/>
              </w:rPr>
              <w:t>计</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0" w:right="0"/>
              <w:jc w:val="left"/>
              <w:rPr>
                <w:rFonts w:ascii="Times New Roman" w:hAnsi="Times New Roman" w:cs="Times New Roman" w:eastAsia="Times New Roman" w:hint="default"/>
                <w:sz w:val="21"/>
                <w:szCs w:val="21"/>
              </w:rPr>
            </w:pPr>
            <w:r>
              <w:rPr>
                <w:rFonts w:ascii="Times New Roman"/>
                <w:sz w:val="21"/>
              </w:rPr>
              <w:t>213,158,303.13</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55,543,348.37</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9" w:right="0"/>
              <w:jc w:val="left"/>
              <w:rPr>
                <w:rFonts w:ascii="Times New Roman" w:hAnsi="Times New Roman" w:cs="Times New Roman" w:eastAsia="Times New Roman" w:hint="default"/>
                <w:sz w:val="21"/>
                <w:szCs w:val="21"/>
              </w:rPr>
            </w:pPr>
            <w:r>
              <w:rPr>
                <w:rFonts w:ascii="Times New Roman"/>
                <w:sz w:val="21"/>
              </w:rPr>
              <w:t>/</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248,238,632.28</w:t>
            </w:r>
          </w:p>
        </w:tc>
        <w:tc>
          <w:tcPr>
            <w:tcW w:w="68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02" w:right="0"/>
              <w:jc w:val="left"/>
              <w:rPr>
                <w:rFonts w:ascii="Times New Roman" w:hAnsi="Times New Roman" w:cs="Times New Roman" w:eastAsia="Times New Roman" w:hint="default"/>
                <w:sz w:val="21"/>
                <w:szCs w:val="21"/>
              </w:rPr>
            </w:pPr>
            <w:r>
              <w:rPr>
                <w:rFonts w:ascii="Times New Roman"/>
                <w:sz w:val="21"/>
              </w:rPr>
              <w:t>61,696,777.78</w:t>
            </w:r>
          </w:p>
        </w:tc>
        <w:tc>
          <w:tcPr>
            <w:tcW w:w="79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59" w:right="0"/>
              <w:jc w:val="left"/>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999"/>
        <w:jc w:val="left"/>
      </w:pPr>
      <w:r>
        <w:rPr/>
        <w:t>单项金额重大并单项计提坏帐准备的应收账款</w:t>
      </w:r>
    </w:p>
    <w:p>
      <w:pPr>
        <w:pStyle w:val="BodyText"/>
        <w:spacing w:line="240" w:lineRule="auto" w:before="37"/>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92" w:right="0"/>
              <w:jc w:val="left"/>
              <w:rPr>
                <w:rFonts w:ascii="宋体" w:hAnsi="宋体" w:cs="宋体" w:eastAsia="宋体" w:hint="default"/>
                <w:sz w:val="21"/>
                <w:szCs w:val="21"/>
              </w:rPr>
            </w:pPr>
            <w:r>
              <w:rPr>
                <w:rFonts w:ascii="宋体" w:hAnsi="宋体" w:cs="宋体" w:eastAsia="宋体" w:hint="default"/>
                <w:sz w:val="21"/>
                <w:szCs w:val="21"/>
              </w:rPr>
              <w:t>应收账款内容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2" w:right="0"/>
              <w:jc w:val="left"/>
              <w:rPr>
                <w:rFonts w:ascii="宋体" w:hAnsi="宋体" w:cs="宋体" w:eastAsia="宋体" w:hint="default"/>
                <w:sz w:val="21"/>
                <w:szCs w:val="21"/>
              </w:rPr>
            </w:pPr>
            <w:r>
              <w:rPr>
                <w:rFonts w:ascii="宋体" w:hAnsi="宋体" w:cs="宋体" w:eastAsia="宋体" w:hint="default"/>
                <w:sz w:val="21"/>
                <w:szCs w:val="21"/>
              </w:rPr>
              <w:t>坏账金额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345"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计提比例</w:t>
            </w:r>
            <w:r>
              <w:rPr>
                <w:rFonts w:ascii="Times New Roman" w:hAnsi="Times New Roman" w:cs="Times New Roman" w:eastAsia="Times New Roman" w:hint="default"/>
                <w:sz w:val="21"/>
                <w:szCs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理由</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18,608,595.62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18,608,595.62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齐市重型机</w:t>
            </w:r>
            <w:r>
              <w:rPr>
                <w:rFonts w:ascii="宋体" w:hAnsi="宋体" w:cs="宋体" w:eastAsia="宋体" w:hint="default"/>
                <w:spacing w:val="-74"/>
                <w:sz w:val="21"/>
                <w:szCs w:val="21"/>
              </w:rPr>
              <w:t> </w:t>
            </w:r>
            <w:r>
              <w:rPr>
                <w:rFonts w:ascii="宋体" w:hAnsi="宋体" w:cs="宋体" w:eastAsia="宋体" w:hint="default"/>
                <w:spacing w:val="14"/>
                <w:sz w:val="21"/>
                <w:szCs w:val="21"/>
              </w:rPr>
              <w:t>械集</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团有限公司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1,045,309.11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1,045,309.11</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黑龙江齐化</w:t>
            </w:r>
            <w:r>
              <w:rPr>
                <w:rFonts w:ascii="宋体" w:hAnsi="宋体" w:cs="宋体" w:eastAsia="宋体" w:hint="default"/>
                <w:spacing w:val="-74"/>
                <w:sz w:val="21"/>
                <w:szCs w:val="21"/>
              </w:rPr>
              <w:t> </w:t>
            </w:r>
            <w:r>
              <w:rPr>
                <w:rFonts w:ascii="宋体" w:hAnsi="宋体" w:cs="宋体" w:eastAsia="宋体" w:hint="default"/>
                <w:spacing w:val="14"/>
                <w:sz w:val="21"/>
                <w:szCs w:val="21"/>
              </w:rPr>
              <w:t>化工</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3,798,610.07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3,798,610.07</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齐市福来得</w:t>
            </w:r>
            <w:r>
              <w:rPr>
                <w:rFonts w:ascii="宋体" w:hAnsi="宋体" w:cs="宋体" w:eastAsia="宋体" w:hint="default"/>
                <w:spacing w:val="-74"/>
                <w:sz w:val="21"/>
                <w:szCs w:val="21"/>
              </w:rPr>
              <w:t> </w:t>
            </w:r>
            <w:r>
              <w:rPr>
                <w:rFonts w:ascii="宋体" w:hAnsi="宋体" w:cs="宋体" w:eastAsia="宋体" w:hint="default"/>
                <w:spacing w:val="14"/>
                <w:sz w:val="21"/>
                <w:szCs w:val="21"/>
              </w:rPr>
              <w:t>电力</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机械公司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2,730,549.64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北京欣达利</w:t>
            </w:r>
            <w:r>
              <w:rPr>
                <w:rFonts w:ascii="宋体" w:hAnsi="宋体" w:cs="宋体" w:eastAsia="宋体" w:hint="default"/>
                <w:spacing w:val="-74"/>
                <w:sz w:val="21"/>
                <w:szCs w:val="21"/>
              </w:rPr>
              <w:t> </w:t>
            </w:r>
            <w:r>
              <w:rPr>
                <w:rFonts w:ascii="宋体" w:hAnsi="宋体" w:cs="宋体" w:eastAsia="宋体" w:hint="default"/>
                <w:spacing w:val="14"/>
                <w:sz w:val="21"/>
                <w:szCs w:val="21"/>
              </w:rPr>
              <w:t>工贸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2,335,052.76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阿城市小岭</w:t>
            </w:r>
            <w:r>
              <w:rPr>
                <w:rFonts w:ascii="宋体" w:hAnsi="宋体" w:cs="宋体" w:eastAsia="宋体" w:hint="default"/>
                <w:spacing w:val="-74"/>
                <w:sz w:val="21"/>
                <w:szCs w:val="21"/>
              </w:rPr>
              <w:t> </w:t>
            </w:r>
            <w:r>
              <w:rPr>
                <w:rFonts w:ascii="宋体" w:hAnsi="宋体" w:cs="宋体" w:eastAsia="宋体" w:hint="default"/>
                <w:spacing w:val="14"/>
                <w:sz w:val="21"/>
                <w:szCs w:val="21"/>
              </w:rPr>
              <w:t>钢铁</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1,514,693.63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1,514,693.63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牡丹江化工一厂</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1,774,325.45</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辽原市恒汇</w:t>
            </w:r>
            <w:r>
              <w:rPr>
                <w:rFonts w:ascii="宋体" w:hAnsi="宋体" w:cs="宋体" w:eastAsia="宋体" w:hint="default"/>
                <w:spacing w:val="-74"/>
                <w:sz w:val="21"/>
                <w:szCs w:val="21"/>
              </w:rPr>
              <w:t> </w:t>
            </w:r>
            <w:r>
              <w:rPr>
                <w:rFonts w:ascii="宋体" w:hAnsi="宋体" w:cs="宋体" w:eastAsia="宋体" w:hint="default"/>
                <w:spacing w:val="14"/>
                <w:sz w:val="21"/>
                <w:szCs w:val="21"/>
              </w:rPr>
              <w:t>工贸</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1,425,739.74</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债务人不能联系</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抚顺新钢铁</w:t>
            </w:r>
            <w:r>
              <w:rPr>
                <w:rFonts w:ascii="宋体" w:hAnsi="宋体" w:cs="宋体" w:eastAsia="宋体" w:hint="default"/>
                <w:spacing w:val="-74"/>
                <w:sz w:val="21"/>
                <w:szCs w:val="21"/>
              </w:rPr>
              <w:t> </w:t>
            </w:r>
            <w:r>
              <w:rPr>
                <w:rFonts w:ascii="宋体" w:hAnsi="宋体" w:cs="宋体" w:eastAsia="宋体" w:hint="default"/>
                <w:spacing w:val="14"/>
                <w:sz w:val="21"/>
                <w:szCs w:val="21"/>
              </w:rPr>
              <w:t>有限</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责任公司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5,016,700.69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5,016,700.69</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齐齐哈尔富</w:t>
            </w:r>
            <w:r>
              <w:rPr>
                <w:rFonts w:ascii="宋体" w:hAnsi="宋体" w:cs="宋体" w:eastAsia="宋体" w:hint="default"/>
                <w:spacing w:val="-74"/>
                <w:sz w:val="21"/>
                <w:szCs w:val="21"/>
              </w:rPr>
              <w:t> </w:t>
            </w:r>
            <w:r>
              <w:rPr>
                <w:rFonts w:ascii="宋体" w:hAnsi="宋体" w:cs="宋体" w:eastAsia="宋体" w:hint="default"/>
                <w:spacing w:val="14"/>
                <w:sz w:val="21"/>
                <w:szCs w:val="21"/>
              </w:rPr>
              <w:t>龙化</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工有限公司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1,021,943.32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1,021,943.32</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债务人财务</w:t>
            </w:r>
            <w:r>
              <w:rPr>
                <w:rFonts w:ascii="宋体" w:hAnsi="宋体" w:cs="宋体" w:eastAsia="宋体" w:hint="default"/>
                <w:spacing w:val="-74"/>
                <w:sz w:val="21"/>
                <w:szCs w:val="21"/>
              </w:rPr>
              <w:t> </w:t>
            </w:r>
            <w:r>
              <w:rPr>
                <w:rFonts w:ascii="宋体" w:hAnsi="宋体" w:cs="宋体" w:eastAsia="宋体" w:hint="default"/>
                <w:spacing w:val="14"/>
                <w:sz w:val="21"/>
                <w:szCs w:val="21"/>
              </w:rPr>
              <w:t>状况</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恶化</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39,271,520.03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39,271,520.03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999"/>
        <w:jc w:val="left"/>
      </w:pPr>
      <w:r>
        <w:rPr/>
        <w:t>组合中，按账龄分析法计提坏账准备的应收账款：</w:t>
      </w:r>
    </w:p>
    <w:p>
      <w:pPr>
        <w:spacing w:after="0" w:line="240" w:lineRule="auto"/>
        <w:jc w:val="left"/>
        <w:sectPr>
          <w:pgSz w:w="11910" w:h="16840"/>
          <w:pgMar w:header="877" w:footer="982" w:top="1100" w:bottom="11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068"/>
        <w:gridCol w:w="1530"/>
        <w:gridCol w:w="1256"/>
        <w:gridCol w:w="1424"/>
        <w:gridCol w:w="1529"/>
        <w:gridCol w:w="1069"/>
        <w:gridCol w:w="1423"/>
      </w:tblGrid>
      <w:tr>
        <w:trPr>
          <w:trHeight w:val="326" w:hRule="exact"/>
        </w:trPr>
        <w:tc>
          <w:tcPr>
            <w:tcW w:w="1068"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left="316" w:right="0"/>
              <w:jc w:val="left"/>
              <w:rPr>
                <w:rFonts w:ascii="宋体" w:hAnsi="宋体" w:cs="宋体" w:eastAsia="宋体" w:hint="default"/>
                <w:sz w:val="21"/>
                <w:szCs w:val="21"/>
              </w:rPr>
            </w:pPr>
            <w:r>
              <w:rPr>
                <w:rFonts w:ascii="宋体" w:hAnsi="宋体" w:cs="宋体" w:eastAsia="宋体" w:hint="default"/>
                <w:sz w:val="21"/>
                <w:szCs w:val="21"/>
              </w:rPr>
              <w:t>账龄</w:t>
            </w:r>
          </w:p>
        </w:tc>
        <w:tc>
          <w:tcPr>
            <w:tcW w:w="421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21"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068" w:type="dxa"/>
            <w:vMerge/>
            <w:tcBorders>
              <w:left w:val="single" w:sz="6" w:space="0" w:color="000000"/>
              <w:right w:val="single" w:sz="6" w:space="0" w:color="000000"/>
            </w:tcBorders>
          </w:tcPr>
          <w:p>
            <w:pPr/>
          </w:p>
        </w:tc>
        <w:tc>
          <w:tcPr>
            <w:tcW w:w="278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4"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9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423" w:type="dxa"/>
            <w:vMerge w:val="restart"/>
            <w:tcBorders>
              <w:top w:val="single" w:sz="6" w:space="0" w:color="000000"/>
              <w:left w:val="single" w:sz="6" w:space="0" w:color="000000"/>
              <w:right w:val="single" w:sz="6" w:space="0" w:color="000000"/>
            </w:tcBorders>
          </w:tcPr>
          <w:p>
            <w:pPr>
              <w:pStyle w:val="TableParagraph"/>
              <w:spacing w:line="240" w:lineRule="auto" w:before="141"/>
              <w:ind w:left="284"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068" w:type="dxa"/>
            <w:vMerge/>
            <w:tcBorders>
              <w:left w:val="single" w:sz="6" w:space="0" w:color="000000"/>
              <w:bottom w:val="single" w:sz="6" w:space="0" w:color="000000"/>
              <w:right w:val="single" w:sz="6" w:space="0" w:color="000000"/>
            </w:tcBorders>
          </w:tcPr>
          <w:p>
            <w:pP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25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424" w:type="dxa"/>
            <w:vMerge/>
            <w:tcBorders>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58"/>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423" w:type="dxa"/>
            <w:vMerge/>
            <w:tcBorders>
              <w:left w:val="single" w:sz="6" w:space="0" w:color="000000"/>
              <w:bottom w:val="single" w:sz="6" w:space="0" w:color="000000"/>
              <w:right w:val="single" w:sz="6" w:space="0" w:color="000000"/>
            </w:tcBorders>
          </w:tcPr>
          <w:p>
            <w:pPr/>
          </w:p>
        </w:tc>
      </w:tr>
      <w:tr>
        <w:trPr>
          <w:trHeight w:val="32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8232" w:type="dxa"/>
            <w:gridSpan w:val="6"/>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530" w:type="dxa"/>
            <w:tcBorders>
              <w:top w:val="single" w:sz="6" w:space="0" w:color="000000"/>
              <w:left w:val="single" w:sz="6" w:space="0" w:color="000000"/>
              <w:bottom w:val="single" w:sz="6" w:space="0" w:color="000000"/>
              <w:right w:val="single" w:sz="6" w:space="0" w:color="000000"/>
            </w:tcBorders>
          </w:tcPr>
          <w:p>
            <w:pPr/>
          </w:p>
        </w:tc>
        <w:tc>
          <w:tcPr>
            <w:tcW w:w="1256"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529" w:type="dxa"/>
            <w:tcBorders>
              <w:top w:val="single" w:sz="6" w:space="0" w:color="000000"/>
              <w:left w:val="single" w:sz="6" w:space="0" w:color="000000"/>
              <w:bottom w:val="single" w:sz="6" w:space="0" w:color="000000"/>
              <w:right w:val="single" w:sz="6" w:space="0" w:color="000000"/>
            </w:tcBorders>
          </w:tcPr>
          <w:p>
            <w:pPr/>
          </w:p>
        </w:tc>
        <w:tc>
          <w:tcPr>
            <w:tcW w:w="1069"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p>
            <w:pPr>
              <w:pStyle w:val="TableParagraph"/>
              <w:spacing w:line="240" w:lineRule="auto" w:before="21"/>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1"/>
              <w:jc w:val="right"/>
              <w:rPr>
                <w:rFonts w:ascii="Times New Roman" w:hAnsi="Times New Roman" w:cs="Times New Roman" w:eastAsia="Times New Roman" w:hint="default"/>
                <w:sz w:val="21"/>
                <w:szCs w:val="21"/>
              </w:rPr>
            </w:pPr>
            <w:r>
              <w:rPr>
                <w:rFonts w:ascii="Times New Roman"/>
                <w:spacing w:val="-1"/>
                <w:sz w:val="21"/>
              </w:rPr>
              <w:t>153,325,606.14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88.18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7,666,280.30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173,817,195.50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85.65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8,690,859.80</w:t>
            </w:r>
          </w:p>
        </w:tc>
      </w:tr>
      <w:tr>
        <w:trPr>
          <w:trHeight w:val="63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Times New Roman" w:hAnsi="Times New Roman" w:cs="Times New Roman" w:eastAsia="Times New Roman" w:hint="default"/>
                <w:spacing w:val="3"/>
                <w:sz w:val="21"/>
                <w:szCs w:val="21"/>
              </w:rPr>
              <w:t> </w:t>
            </w:r>
            <w:r>
              <w:rPr>
                <w:rFonts w:ascii="宋体" w:hAnsi="宋体" w:cs="宋体" w:eastAsia="宋体" w:hint="default"/>
                <w:spacing w:val="3"/>
                <w:sz w:val="21"/>
                <w:szCs w:val="21"/>
              </w:rPr>
              <w:t>年以内</w:t>
            </w:r>
            <w:r>
              <w:rPr>
                <w:rFonts w:ascii="宋体" w:hAnsi="宋体" w:cs="宋体" w:eastAsia="宋体" w:hint="default"/>
                <w:sz w:val="21"/>
                <w:szCs w:val="21"/>
              </w:rPr>
            </w:r>
          </w:p>
          <w:p>
            <w:pPr>
              <w:pStyle w:val="TableParagraph"/>
              <w:spacing w:line="240" w:lineRule="auto" w:before="21"/>
              <w:ind w:left="100" w:right="0"/>
              <w:jc w:val="left"/>
              <w:rPr>
                <w:rFonts w:ascii="宋体" w:hAnsi="宋体" w:cs="宋体" w:eastAsia="宋体" w:hint="default"/>
                <w:sz w:val="21"/>
                <w:szCs w:val="21"/>
              </w:rPr>
            </w:pPr>
            <w:r>
              <w:rPr>
                <w:rFonts w:ascii="宋体" w:hAnsi="宋体" w:cs="宋体" w:eastAsia="宋体" w:hint="default"/>
                <w:sz w:val="21"/>
                <w:szCs w:val="21"/>
              </w:rPr>
              <w:t>小计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153,325,606.14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88.18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7,666,280.30</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173,817,195.50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85.65</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6"/>
              <w:jc w:val="right"/>
              <w:rPr>
                <w:rFonts w:ascii="Times New Roman" w:hAnsi="Times New Roman" w:cs="Times New Roman" w:eastAsia="Times New Roman" w:hint="default"/>
                <w:sz w:val="21"/>
                <w:szCs w:val="21"/>
              </w:rPr>
            </w:pPr>
            <w:r>
              <w:rPr>
                <w:rFonts w:ascii="Times New Roman"/>
                <w:spacing w:val="-1"/>
                <w:sz w:val="21"/>
              </w:rPr>
              <w:t>8,690,859.80</w:t>
            </w:r>
          </w:p>
        </w:tc>
      </w:tr>
      <w:tr>
        <w:trPr>
          <w:trHeight w:val="32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6,738,144.34</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3.88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336,907.22</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6,719,638.25</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3.31</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335,981.90</w:t>
            </w:r>
            <w:r>
              <w:rPr>
                <w:rFonts w:ascii="Times New Roman"/>
                <w:sz w:val="21"/>
              </w:rPr>
            </w:r>
          </w:p>
        </w:tc>
      </w:tr>
      <w:tr>
        <w:trPr>
          <w:trHeight w:val="326"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2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3 </w:t>
            </w:r>
            <w:r>
              <w:rPr>
                <w:rFonts w:ascii="宋体" w:hAnsi="宋体" w:cs="宋体" w:eastAsia="宋体" w:hint="default"/>
                <w:sz w:val="21"/>
                <w:szCs w:val="21"/>
              </w:rPr>
              <w:t>年</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5,846,728.21</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3.36</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292,336.41</w:t>
            </w:r>
            <w:r>
              <w:rPr>
                <w:rFonts w:ascii="Times New Roman"/>
                <w:sz w:val="21"/>
              </w:rPr>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6,863,500.64</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3.38</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343,175.03</w:t>
            </w:r>
            <w:r>
              <w:rPr>
                <w:rFonts w:ascii="Times New Roman"/>
                <w:sz w:val="21"/>
              </w:rPr>
            </w:r>
          </w:p>
        </w:tc>
      </w:tr>
      <w:tr>
        <w:trPr>
          <w:trHeight w:val="32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7,976,304.61</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4.58</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7,976,304.61</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15,549,765.71</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7,038,228.87</w:t>
            </w:r>
          </w:p>
        </w:tc>
      </w:tr>
      <w:tr>
        <w:trPr>
          <w:trHeight w:val="328" w:hRule="exact"/>
        </w:trPr>
        <w:tc>
          <w:tcPr>
            <w:tcW w:w="106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16"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5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173,886,783.30</w:t>
            </w:r>
          </w:p>
        </w:tc>
        <w:tc>
          <w:tcPr>
            <w:tcW w:w="12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16,271,828.54</w:t>
            </w:r>
          </w:p>
        </w:tc>
        <w:tc>
          <w:tcPr>
            <w:tcW w:w="152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202,950,100.10</w:t>
            </w:r>
          </w:p>
        </w:tc>
        <w:tc>
          <w:tcPr>
            <w:tcW w:w="10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16,408,245.60</w:t>
            </w:r>
          </w:p>
        </w:tc>
      </w:tr>
    </w:tbl>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0"/>
          <w:szCs w:val="20"/>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本期转回或收回情况</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550"/>
        <w:gridCol w:w="1550"/>
        <w:gridCol w:w="1549"/>
        <w:gridCol w:w="1550"/>
        <w:gridCol w:w="1550"/>
        <w:gridCol w:w="1549"/>
      </w:tblGrid>
      <w:tr>
        <w:trPr>
          <w:trHeight w:val="95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应收账款内容</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662" w:right="136" w:hanging="525"/>
              <w:jc w:val="left"/>
              <w:rPr>
                <w:rFonts w:ascii="宋体" w:hAnsi="宋体" w:cs="宋体" w:eastAsia="宋体" w:hint="default"/>
                <w:sz w:val="21"/>
                <w:szCs w:val="21"/>
              </w:rPr>
            </w:pPr>
            <w:r>
              <w:rPr>
                <w:rFonts w:ascii="宋体" w:hAnsi="宋体" w:cs="宋体" w:eastAsia="宋体" w:hint="default"/>
                <w:sz w:val="21"/>
                <w:szCs w:val="21"/>
              </w:rPr>
              <w:t>转回或收回原 因</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347" w:right="134" w:hanging="210"/>
              <w:jc w:val="left"/>
              <w:rPr>
                <w:rFonts w:ascii="宋体" w:hAnsi="宋体" w:cs="宋体" w:eastAsia="宋体" w:hint="default"/>
                <w:sz w:val="21"/>
                <w:szCs w:val="21"/>
              </w:rPr>
            </w:pPr>
            <w:r>
              <w:rPr>
                <w:rFonts w:ascii="宋体" w:hAnsi="宋体" w:cs="宋体" w:eastAsia="宋体" w:hint="default"/>
                <w:sz w:val="21"/>
                <w:szCs w:val="21"/>
              </w:rPr>
              <w:t>确定原坏账准 备的依据</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37" w:right="0"/>
              <w:jc w:val="left"/>
              <w:rPr>
                <w:rFonts w:ascii="宋体" w:hAnsi="宋体" w:cs="宋体" w:eastAsia="宋体" w:hint="default"/>
                <w:sz w:val="21"/>
                <w:szCs w:val="21"/>
              </w:rPr>
            </w:pPr>
            <w:r>
              <w:rPr>
                <w:rFonts w:ascii="宋体" w:hAnsi="宋体" w:cs="宋体" w:eastAsia="宋体" w:hint="default"/>
                <w:sz w:val="21"/>
                <w:szCs w:val="21"/>
              </w:rPr>
              <w:t>转回或收回前</w:t>
            </w:r>
          </w:p>
          <w:p>
            <w:pPr>
              <w:pStyle w:val="TableParagraph"/>
              <w:spacing w:line="273" w:lineRule="auto" w:before="37"/>
              <w:ind w:left="242" w:right="136" w:hanging="105"/>
              <w:jc w:val="left"/>
              <w:rPr>
                <w:rFonts w:ascii="宋体" w:hAnsi="宋体" w:cs="宋体" w:eastAsia="宋体" w:hint="default"/>
                <w:sz w:val="21"/>
                <w:szCs w:val="21"/>
              </w:rPr>
            </w:pPr>
            <w:r>
              <w:rPr>
                <w:rFonts w:ascii="宋体" w:hAnsi="宋体" w:cs="宋体" w:eastAsia="宋体" w:hint="default"/>
                <w:sz w:val="21"/>
                <w:szCs w:val="21"/>
              </w:rPr>
              <w:t>累计已计提坏 账准备金额</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收回金额</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557" w:right="134" w:hanging="420"/>
              <w:jc w:val="left"/>
              <w:rPr>
                <w:rFonts w:ascii="宋体" w:hAnsi="宋体" w:cs="宋体" w:eastAsia="宋体" w:hint="default"/>
                <w:sz w:val="21"/>
                <w:szCs w:val="21"/>
              </w:rPr>
            </w:pPr>
            <w:r>
              <w:rPr>
                <w:rFonts w:ascii="宋体" w:hAnsi="宋体" w:cs="宋体" w:eastAsia="宋体" w:hint="default"/>
                <w:sz w:val="21"/>
                <w:szCs w:val="21"/>
              </w:rPr>
              <w:t>转回坏账准备 金额</w:t>
            </w:r>
          </w:p>
        </w:tc>
      </w:tr>
      <w:tr>
        <w:trPr>
          <w:trHeight w:val="640"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北满特殊钢股</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份有限公司</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债务人重新经</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营</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债务人停产多</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年</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12,055,656.16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128" w:right="0"/>
              <w:jc w:val="center"/>
              <w:rPr>
                <w:rFonts w:ascii="Times New Roman" w:hAnsi="Times New Roman" w:cs="Times New Roman" w:eastAsia="Times New Roman" w:hint="default"/>
                <w:sz w:val="21"/>
                <w:szCs w:val="21"/>
              </w:rPr>
            </w:pPr>
            <w:r>
              <w:rPr>
                <w:rFonts w:ascii="Times New Roman"/>
                <w:sz w:val="21"/>
              </w:rPr>
              <w:t>12,055,656.16</w:t>
            </w:r>
          </w:p>
        </w:tc>
        <w:tc>
          <w:tcPr>
            <w:tcW w:w="1549"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12,055,656.16</w:t>
            </w:r>
          </w:p>
        </w:tc>
        <w:tc>
          <w:tcPr>
            <w:tcW w:w="155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54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(3) </w:t>
      </w:r>
      <w:r>
        <w:rPr/>
        <w:t>本报告期应收账款中持有公司 </w:t>
      </w:r>
      <w:r>
        <w:rPr>
          <w:rFonts w:ascii="Times New Roman" w:hAnsi="Times New Roman" w:cs="Times New Roman" w:eastAsia="Times New Roman" w:hint="default"/>
        </w:rPr>
        <w:t>5%(</w:t>
      </w:r>
      <w:r>
        <w:rPr/>
        <w:t>含</w:t>
      </w:r>
      <w:r>
        <w:rPr>
          <w:spacing w:val="-63"/>
        </w:rPr>
        <w:t> </w:t>
      </w:r>
      <w:r>
        <w:rPr>
          <w:rFonts w:ascii="Times New Roman" w:hAnsi="Times New Roman" w:cs="Times New Roman" w:eastAsia="Times New Roman" w:hint="default"/>
        </w:rPr>
        <w:t>5%)</w:t>
      </w:r>
      <w:r>
        <w:rPr/>
        <w:t>以上表决权股份的股东单位情况</w:t>
      </w:r>
    </w:p>
    <w:p>
      <w:pPr>
        <w:pStyle w:val="BodyText"/>
        <w:spacing w:line="240" w:lineRule="auto" w:before="52"/>
        <w:ind w:left="6242"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088"/>
        <w:gridCol w:w="1804"/>
        <w:gridCol w:w="1802"/>
        <w:gridCol w:w="1804"/>
        <w:gridCol w:w="1802"/>
      </w:tblGrid>
      <w:tr>
        <w:trPr>
          <w:trHeight w:val="326" w:hRule="exact"/>
        </w:trPr>
        <w:tc>
          <w:tcPr>
            <w:tcW w:w="2088" w:type="dxa"/>
            <w:vMerge w:val="restart"/>
            <w:tcBorders>
              <w:top w:val="single" w:sz="6" w:space="0" w:color="000000"/>
              <w:left w:val="single" w:sz="6" w:space="0" w:color="000000"/>
              <w:right w:val="single" w:sz="6" w:space="0" w:color="000000"/>
            </w:tcBorders>
          </w:tcPr>
          <w:p>
            <w:pPr>
              <w:pStyle w:val="TableParagraph"/>
              <w:spacing w:line="240" w:lineRule="auto" w:before="141"/>
              <w:ind w:left="616"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36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60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2088" w:type="dxa"/>
            <w:vMerge/>
            <w:tcBorders>
              <w:left w:val="single" w:sz="6" w:space="0" w:color="000000"/>
              <w:bottom w:val="single" w:sz="6" w:space="0" w:color="000000"/>
              <w:right w:val="single" w:sz="6" w:space="0" w:color="000000"/>
            </w:tcBorders>
          </w:tcPr>
          <w:p>
            <w:pP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金额</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4" w:right="0"/>
              <w:jc w:val="left"/>
              <w:rPr>
                <w:rFonts w:ascii="宋体" w:hAnsi="宋体" w:cs="宋体" w:eastAsia="宋体" w:hint="default"/>
                <w:sz w:val="21"/>
                <w:szCs w:val="21"/>
              </w:rPr>
            </w:pPr>
            <w:r>
              <w:rPr>
                <w:rFonts w:ascii="宋体" w:hAnsi="宋体" w:cs="宋体" w:eastAsia="宋体" w:hint="default"/>
                <w:sz w:val="21"/>
                <w:szCs w:val="21"/>
              </w:rPr>
              <w:t>计提坏帐金额</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64" w:right="0"/>
              <w:jc w:val="left"/>
              <w:rPr>
                <w:rFonts w:ascii="宋体" w:hAnsi="宋体" w:cs="宋体" w:eastAsia="宋体" w:hint="default"/>
                <w:sz w:val="21"/>
                <w:szCs w:val="21"/>
              </w:rPr>
            </w:pPr>
            <w:r>
              <w:rPr>
                <w:rFonts w:ascii="宋体" w:hAnsi="宋体" w:cs="宋体" w:eastAsia="宋体" w:hint="default"/>
                <w:sz w:val="21"/>
                <w:szCs w:val="21"/>
              </w:rPr>
              <w:t>计提坏帐金额</w:t>
            </w:r>
          </w:p>
        </w:tc>
      </w:tr>
      <w:tr>
        <w:trPr>
          <w:trHeight w:val="638"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1"/>
                <w:sz w:val="21"/>
                <w:szCs w:val="21"/>
              </w:rPr>
              <w:t>黑龙江黑化</w:t>
            </w:r>
            <w:r>
              <w:rPr>
                <w:rFonts w:ascii="宋体" w:hAnsi="宋体" w:cs="宋体" w:eastAsia="宋体" w:hint="default"/>
                <w:spacing w:val="-77"/>
                <w:sz w:val="21"/>
                <w:szCs w:val="21"/>
              </w:rPr>
              <w:t> </w:t>
            </w:r>
            <w:r>
              <w:rPr>
                <w:rFonts w:ascii="宋体" w:hAnsi="宋体" w:cs="宋体" w:eastAsia="宋体" w:hint="default"/>
                <w:spacing w:val="18"/>
                <w:sz w:val="21"/>
                <w:szCs w:val="21"/>
              </w:rPr>
              <w:t>集团有</w:t>
            </w:r>
            <w:r>
              <w:rPr>
                <w:rFonts w:ascii="宋体" w:hAnsi="宋体" w:cs="宋体" w:eastAsia="宋体" w:hint="default"/>
                <w:spacing w:val="-78"/>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15,645,413.62</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782,270.68</w:t>
            </w:r>
            <w:r>
              <w:rPr>
                <w:rFonts w:ascii="Times New Roman"/>
                <w:sz w:val="21"/>
              </w:rPr>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71,086,223.44</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2"/>
                <w:sz w:val="21"/>
              </w:rPr>
              <w:t>3,554,311.17</w:t>
            </w:r>
            <w:r>
              <w:rPr>
                <w:rFonts w:ascii="Times New Roman"/>
                <w:sz w:val="21"/>
              </w:rPr>
            </w:r>
          </w:p>
        </w:tc>
      </w:tr>
      <w:tr>
        <w:trPr>
          <w:trHeight w:val="328" w:hRule="exact"/>
        </w:trPr>
        <w:tc>
          <w:tcPr>
            <w:tcW w:w="208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15,645,413.62</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782,270.68</w:t>
            </w:r>
            <w:r>
              <w:rPr>
                <w:rFonts w:ascii="Times New Roman"/>
                <w:sz w:val="21"/>
              </w:rPr>
            </w:r>
          </w:p>
        </w:tc>
        <w:tc>
          <w:tcPr>
            <w:tcW w:w="18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71,086,223.44</w:t>
            </w:r>
          </w:p>
        </w:tc>
        <w:tc>
          <w:tcPr>
            <w:tcW w:w="1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3,554,311.17</w:t>
            </w:r>
            <w:r>
              <w:rPr>
                <w:rFonts w:ascii="Times New Roman"/>
                <w:sz w:val="21"/>
              </w:rPr>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应收账款金额前五名单位情况</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57"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07"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占应收账款总额</w:t>
            </w:r>
          </w:p>
          <w:p>
            <w:pPr>
              <w:pStyle w:val="TableParagraph"/>
              <w:spacing w:line="240" w:lineRule="auto" w:before="37"/>
              <w:ind w:right="0"/>
              <w:jc w:val="center"/>
              <w:rPr>
                <w:rFonts w:ascii="Times New Roman" w:hAnsi="Times New Roman" w:cs="Times New Roman" w:eastAsia="Times New Roman" w:hint="default"/>
                <w:sz w:val="21"/>
                <w:szCs w:val="21"/>
              </w:rPr>
            </w:pPr>
            <w:r>
              <w:rPr>
                <w:rFonts w:ascii="宋体" w:hAnsi="宋体" w:cs="宋体" w:eastAsia="宋体" w:hint="default"/>
                <w:sz w:val="21"/>
                <w:szCs w:val="21"/>
              </w:rPr>
              <w:t>的比例</w:t>
            </w:r>
            <w:r>
              <w:rPr>
                <w:rFonts w:ascii="Times New Roman" w:hAnsi="Times New Roman" w:cs="Times New Roman" w:eastAsia="Times New Roman" w:hint="default"/>
                <w:sz w:val="21"/>
                <w:szCs w:val="21"/>
              </w:rPr>
              <w:t>(%)</w:t>
            </w:r>
          </w:p>
        </w:tc>
      </w:tr>
      <w:tr>
        <w:trPr>
          <w:trHeight w:val="63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盘锦润丰农资有限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48,248,627.50</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22.64</w:t>
            </w:r>
          </w:p>
        </w:tc>
      </w:tr>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齐齐哈尔德科化工</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有限责任公司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38,490,336.29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18.06</w:t>
            </w:r>
          </w:p>
        </w:tc>
      </w:tr>
      <w:tr>
        <w:trPr>
          <w:trHeight w:val="326"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齐市电化厂</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11,885,423.34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5.58</w:t>
            </w:r>
          </w:p>
        </w:tc>
      </w:tr>
      <w:tr>
        <w:trPr>
          <w:trHeight w:val="32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黑龙江黑化集团有</w:t>
            </w:r>
            <w:r>
              <w:rPr>
                <w:rFonts w:ascii="宋体" w:hAnsi="宋体" w:cs="宋体" w:eastAsia="宋体" w:hint="default"/>
                <w:sz w:val="21"/>
                <w:szCs w:val="21"/>
              </w:rPr>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15,645,413.62</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7.34</w:t>
            </w:r>
          </w:p>
        </w:tc>
      </w:tr>
    </w:tbl>
    <w:p>
      <w:pPr>
        <w:spacing w:after="0" w:line="240" w:lineRule="auto"/>
        <w:jc w:val="right"/>
        <w:rPr>
          <w:rFonts w:ascii="Times New Roman" w:hAnsi="Times New Roman" w:cs="Times New Roman" w:eastAsia="Times New Roman" w:hint="default"/>
          <w:sz w:val="21"/>
          <w:szCs w:val="21"/>
        </w:rPr>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1973"/>
        <w:gridCol w:w="1691"/>
        <w:gridCol w:w="1879"/>
        <w:gridCol w:w="1879"/>
        <w:gridCol w:w="1878"/>
      </w:tblGrid>
      <w:tr>
        <w:trPr>
          <w:trHeight w:val="326"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限公司</w:t>
            </w:r>
          </w:p>
        </w:tc>
        <w:tc>
          <w:tcPr>
            <w:tcW w:w="1691"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879" w:type="dxa"/>
            <w:tcBorders>
              <w:top w:val="single" w:sz="6" w:space="0" w:color="000000"/>
              <w:left w:val="single" w:sz="6" w:space="0" w:color="000000"/>
              <w:bottom w:val="single" w:sz="6" w:space="0" w:color="000000"/>
              <w:right w:val="single" w:sz="6" w:space="0" w:color="000000"/>
            </w:tcBorders>
          </w:tcPr>
          <w:p>
            <w:pPr/>
          </w:p>
        </w:tc>
        <w:tc>
          <w:tcPr>
            <w:tcW w:w="1878"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0"/>
                <w:sz w:val="21"/>
                <w:szCs w:val="21"/>
              </w:rPr>
              <w:t>齐齐哈尔江源重型</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机械铸造有限公司</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客户</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11,885,423.34</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5.58</w:t>
            </w:r>
          </w:p>
        </w:tc>
      </w:tr>
      <w:tr>
        <w:trPr>
          <w:trHeight w:val="328" w:hRule="exact"/>
        </w:trPr>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126,155,224.09</w:t>
            </w:r>
          </w:p>
        </w:tc>
        <w:tc>
          <w:tcPr>
            <w:tcW w:w="18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7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59.20</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应收关联方账款情况</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348"/>
        <w:gridCol w:w="2161"/>
        <w:gridCol w:w="1973"/>
        <w:gridCol w:w="2818"/>
      </w:tblGrid>
      <w:tr>
        <w:trPr>
          <w:trHeight w:val="326"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94"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占应收账款总额的比例</w:t>
            </w:r>
            <w:r>
              <w:rPr>
                <w:rFonts w:ascii="Times New Roman" w:hAnsi="Times New Roman" w:cs="Times New Roman" w:eastAsia="Times New Roman" w:hint="default"/>
                <w:sz w:val="21"/>
                <w:szCs w:val="21"/>
              </w:rPr>
              <w:t>(%)</w:t>
            </w: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黑龙江黑化集团有限公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15,645,413.62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7.34</w:t>
            </w:r>
          </w:p>
        </w:tc>
      </w:tr>
      <w:tr>
        <w:trPr>
          <w:trHeight w:val="63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黑龙江黑化集团中美碧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碧肥有限责任公司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5,583,095.52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2.62</w:t>
            </w:r>
          </w:p>
        </w:tc>
      </w:tr>
      <w:tr>
        <w:trPr>
          <w:trHeight w:val="640"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
                <w:sz w:val="21"/>
                <w:szCs w:val="21"/>
              </w:rPr>
              <w:t>齐齐哈尔富龙化工有限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1,021,943.32</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0.48</w:t>
            </w:r>
          </w:p>
        </w:tc>
      </w:tr>
      <w:tr>
        <w:trPr>
          <w:trHeight w:val="328" w:hRule="exact"/>
        </w:trPr>
        <w:tc>
          <w:tcPr>
            <w:tcW w:w="2348"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97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22,250,452.46</w:t>
            </w:r>
          </w:p>
        </w:tc>
        <w:tc>
          <w:tcPr>
            <w:tcW w:w="28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10.44</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7"/>
        <w:jc w:val="left"/>
      </w:pPr>
      <w:r>
        <w:rPr>
          <w:rFonts w:ascii="Times New Roman" w:hAnsi="Times New Roman" w:cs="Times New Roman" w:eastAsia="Times New Roman" w:hint="default"/>
        </w:rPr>
        <w:t>2</w:t>
      </w:r>
      <w:r>
        <w:rPr/>
        <w:t>、</w:t>
      </w:r>
      <w:r>
        <w:rPr>
          <w:spacing w:val="-2"/>
        </w:rPr>
        <w:t> </w:t>
      </w:r>
      <w:r>
        <w:rPr/>
        <w:t>其他应收款：</w:t>
      </w:r>
    </w:p>
    <w:p>
      <w:pPr>
        <w:pStyle w:val="BodyText"/>
        <w:spacing w:line="240" w:lineRule="auto" w:before="83"/>
        <w:ind w:right="-17"/>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其他应收款按种类披露：</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800" w:space="3302"/>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199"/>
        <w:gridCol w:w="1423"/>
        <w:gridCol w:w="733"/>
        <w:gridCol w:w="1162"/>
        <w:gridCol w:w="733"/>
        <w:gridCol w:w="1423"/>
        <w:gridCol w:w="794"/>
        <w:gridCol w:w="1160"/>
        <w:gridCol w:w="672"/>
      </w:tblGrid>
      <w:tr>
        <w:trPr>
          <w:trHeight w:val="326" w:hRule="exact"/>
        </w:trPr>
        <w:tc>
          <w:tcPr>
            <w:tcW w:w="1199" w:type="dxa"/>
            <w:vMerge w:val="restart"/>
            <w:tcBorders>
              <w:top w:val="single" w:sz="6" w:space="0" w:color="000000"/>
              <w:left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4"/>
              <w:ind w:right="0"/>
              <w:jc w:val="left"/>
              <w:rPr>
                <w:rFonts w:ascii="宋体" w:hAnsi="宋体" w:cs="宋体" w:eastAsia="宋体" w:hint="default"/>
                <w:sz w:val="15"/>
                <w:szCs w:val="15"/>
              </w:rPr>
            </w:pPr>
          </w:p>
          <w:p>
            <w:pPr>
              <w:pStyle w:val="TableParagraph"/>
              <w:spacing w:line="240" w:lineRule="auto"/>
              <w:ind w:left="381" w:right="0"/>
              <w:jc w:val="left"/>
              <w:rPr>
                <w:rFonts w:ascii="宋体" w:hAnsi="宋体" w:cs="宋体" w:eastAsia="宋体" w:hint="default"/>
                <w:sz w:val="21"/>
                <w:szCs w:val="21"/>
              </w:rPr>
            </w:pPr>
            <w:r>
              <w:rPr>
                <w:rFonts w:ascii="宋体" w:hAnsi="宋体" w:cs="宋体" w:eastAsia="宋体" w:hint="default"/>
                <w:sz w:val="21"/>
                <w:szCs w:val="21"/>
              </w:rPr>
              <w:t>种类</w:t>
            </w:r>
          </w:p>
        </w:tc>
        <w:tc>
          <w:tcPr>
            <w:tcW w:w="4051"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4050" w:type="dxa"/>
            <w:gridSpan w:val="4"/>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199" w:type="dxa"/>
            <w:vMerge/>
            <w:tcBorders>
              <w:left w:val="single" w:sz="6" w:space="0" w:color="000000"/>
              <w:right w:val="single" w:sz="6" w:space="0" w:color="000000"/>
            </w:tcBorders>
          </w:tcPr>
          <w:p>
            <w:pPr/>
          </w:p>
        </w:tc>
        <w:tc>
          <w:tcPr>
            <w:tcW w:w="215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5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9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19"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218"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681"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83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9"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638" w:hRule="exact"/>
        </w:trPr>
        <w:tc>
          <w:tcPr>
            <w:tcW w:w="1199"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01"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0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01" w:right="0"/>
              <w:jc w:val="left"/>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2"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232" w:right="0"/>
              <w:jc w:val="left"/>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71" w:right="0" w:hanging="53"/>
              <w:jc w:val="left"/>
              <w:rPr>
                <w:rFonts w:ascii="宋体" w:hAnsi="宋体" w:cs="宋体" w:eastAsia="宋体" w:hint="default"/>
                <w:sz w:val="21"/>
                <w:szCs w:val="21"/>
              </w:rPr>
            </w:pPr>
            <w:r>
              <w:rPr>
                <w:rFonts w:ascii="宋体" w:hAnsi="宋体" w:cs="宋体" w:eastAsia="宋体" w:hint="default"/>
                <w:sz w:val="21"/>
                <w:szCs w:val="21"/>
              </w:rPr>
              <w:t>比例</w:t>
            </w:r>
          </w:p>
          <w:p>
            <w:pPr>
              <w:pStyle w:val="TableParagraph"/>
              <w:spacing w:line="240" w:lineRule="auto" w:before="86"/>
              <w:ind w:left="171" w:right="0"/>
              <w:jc w:val="left"/>
              <w:rPr>
                <w:rFonts w:ascii="Times New Roman" w:hAnsi="Times New Roman" w:cs="Times New Roman" w:eastAsia="Times New Roman" w:hint="default"/>
                <w:sz w:val="21"/>
                <w:szCs w:val="21"/>
              </w:rPr>
            </w:pPr>
            <w:r>
              <w:rPr>
                <w:rFonts w:ascii="Times New Roman"/>
                <w:sz w:val="21"/>
              </w:rPr>
              <w:t>(%)</w:t>
            </w:r>
          </w:p>
        </w:tc>
      </w:tr>
      <w:tr>
        <w:trPr>
          <w:trHeight w:val="328" w:hRule="exact"/>
        </w:trPr>
        <w:tc>
          <w:tcPr>
            <w:tcW w:w="9300" w:type="dxa"/>
            <w:gridSpan w:val="9"/>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按组合计提坏账准备的其他应收账款：</w:t>
            </w:r>
          </w:p>
        </w:tc>
      </w:tr>
      <w:tr>
        <w:trPr>
          <w:trHeight w:val="63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34"/>
                <w:sz w:val="21"/>
                <w:szCs w:val="21"/>
              </w:rPr>
              <w:t>账龄分析</w:t>
            </w:r>
            <w:r>
              <w:rPr>
                <w:rFonts w:ascii="宋体" w:hAnsi="宋体" w:cs="宋体" w:eastAsia="宋体" w:hint="default"/>
                <w:spacing w:val="-59"/>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法</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12,670,660.62</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02" w:right="0"/>
              <w:jc w:val="left"/>
              <w:rPr>
                <w:rFonts w:ascii="Times New Roman" w:hAnsi="Times New Roman" w:cs="Times New Roman" w:eastAsia="Times New Roman" w:hint="default"/>
                <w:sz w:val="21"/>
                <w:szCs w:val="21"/>
              </w:rPr>
            </w:pPr>
            <w:r>
              <w:rPr>
                <w:rFonts w:ascii="Times New Roman"/>
                <w:sz w:val="21"/>
              </w:rPr>
              <w:t>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1"/>
              <w:jc w:val="center"/>
              <w:rPr>
                <w:rFonts w:ascii="Times New Roman" w:hAnsi="Times New Roman" w:cs="Times New Roman" w:eastAsia="Times New Roman" w:hint="default"/>
                <w:sz w:val="21"/>
                <w:szCs w:val="21"/>
              </w:rPr>
            </w:pPr>
            <w:r>
              <w:rPr>
                <w:rFonts w:ascii="Times New Roman"/>
                <w:sz w:val="21"/>
              </w:rPr>
              <w:t>676,891.94</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5.34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3" w:right="0"/>
              <w:jc w:val="center"/>
              <w:rPr>
                <w:rFonts w:ascii="Times New Roman" w:hAnsi="Times New Roman" w:cs="Times New Roman" w:eastAsia="Times New Roman" w:hint="default"/>
                <w:sz w:val="21"/>
                <w:szCs w:val="21"/>
              </w:rPr>
            </w:pPr>
            <w:r>
              <w:rPr>
                <w:rFonts w:ascii="Times New Roman"/>
                <w:sz w:val="21"/>
              </w:rPr>
              <w:t>13,510,169.49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826,665.92</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left="87" w:right="0"/>
              <w:jc w:val="center"/>
              <w:rPr>
                <w:rFonts w:ascii="Times New Roman" w:hAnsi="Times New Roman" w:cs="Times New Roman" w:eastAsia="Times New Roman" w:hint="default"/>
                <w:sz w:val="21"/>
                <w:szCs w:val="21"/>
              </w:rPr>
            </w:pPr>
            <w:r>
              <w:rPr>
                <w:rFonts w:ascii="Times New Roman"/>
                <w:sz w:val="21"/>
              </w:rPr>
              <w:t>6.12</w:t>
            </w:r>
          </w:p>
        </w:tc>
      </w:tr>
      <w:tr>
        <w:trPr>
          <w:trHeight w:val="32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组合小计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12,670,660.62</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02" w:right="0"/>
              <w:jc w:val="left"/>
              <w:rPr>
                <w:rFonts w:ascii="Times New Roman" w:hAnsi="Times New Roman" w:cs="Times New Roman" w:eastAsia="Times New Roman" w:hint="default"/>
                <w:sz w:val="21"/>
                <w:szCs w:val="21"/>
              </w:rPr>
            </w:pPr>
            <w:r>
              <w:rPr>
                <w:rFonts w:ascii="Times New Roman"/>
                <w:sz w:val="21"/>
              </w:rPr>
              <w:t>100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676,891.94</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5.34</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13,510,169.49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100.00</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826,665.92</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87" w:right="0"/>
              <w:jc w:val="center"/>
              <w:rPr>
                <w:rFonts w:ascii="Times New Roman" w:hAnsi="Times New Roman" w:cs="Times New Roman" w:eastAsia="Times New Roman" w:hint="default"/>
                <w:sz w:val="21"/>
                <w:szCs w:val="21"/>
              </w:rPr>
            </w:pPr>
            <w:r>
              <w:rPr>
                <w:rFonts w:ascii="Times New Roman"/>
                <w:sz w:val="21"/>
              </w:rPr>
              <w:t>6.12</w:t>
            </w:r>
          </w:p>
        </w:tc>
      </w:tr>
      <w:tr>
        <w:trPr>
          <w:trHeight w:val="328" w:hRule="exact"/>
        </w:trPr>
        <w:tc>
          <w:tcPr>
            <w:tcW w:w="1199"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381" w:right="0"/>
              <w:jc w:val="left"/>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2" w:right="0"/>
              <w:jc w:val="center"/>
              <w:rPr>
                <w:rFonts w:ascii="Times New Roman" w:hAnsi="Times New Roman" w:cs="Times New Roman" w:eastAsia="Times New Roman" w:hint="default"/>
                <w:sz w:val="21"/>
                <w:szCs w:val="21"/>
              </w:rPr>
            </w:pPr>
            <w:r>
              <w:rPr>
                <w:rFonts w:ascii="Times New Roman"/>
                <w:sz w:val="21"/>
              </w:rPr>
              <w:t>12,670,660.62</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29" w:right="0"/>
              <w:jc w:val="left"/>
              <w:rPr>
                <w:rFonts w:ascii="Times New Roman" w:hAnsi="Times New Roman" w:cs="Times New Roman" w:eastAsia="Times New Roman" w:hint="default"/>
                <w:sz w:val="21"/>
                <w:szCs w:val="21"/>
              </w:rPr>
            </w:pPr>
            <w:r>
              <w:rPr>
                <w:rFonts w:ascii="Times New Roman"/>
                <w:sz w:val="21"/>
              </w:rPr>
              <w:t>/</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676,891.94</w:t>
            </w:r>
          </w:p>
        </w:tc>
        <w:tc>
          <w:tcPr>
            <w:tcW w:w="7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3" w:right="0"/>
              <w:jc w:val="center"/>
              <w:rPr>
                <w:rFonts w:ascii="Times New Roman" w:hAnsi="Times New Roman" w:cs="Times New Roman" w:eastAsia="Times New Roman" w:hint="default"/>
                <w:sz w:val="21"/>
                <w:szCs w:val="21"/>
              </w:rPr>
            </w:pPr>
            <w:r>
              <w:rPr>
                <w:rFonts w:ascii="Times New Roman"/>
                <w:sz w:val="21"/>
              </w:rPr>
              <w:t>13,510,169.49</w:t>
            </w:r>
          </w:p>
        </w:tc>
        <w:tc>
          <w:tcPr>
            <w:tcW w:w="79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1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826,665.92</w:t>
            </w:r>
          </w:p>
        </w:tc>
        <w:tc>
          <w:tcPr>
            <w:tcW w:w="6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r>
    </w:tbl>
    <w:p>
      <w:pPr>
        <w:spacing w:line="240" w:lineRule="auto" w:before="0"/>
        <w:rPr>
          <w:rFonts w:ascii="宋体" w:hAnsi="宋体" w:cs="宋体" w:eastAsia="宋体" w:hint="default"/>
          <w:sz w:val="20"/>
          <w:szCs w:val="20"/>
        </w:rPr>
      </w:pPr>
    </w:p>
    <w:p>
      <w:pPr>
        <w:pStyle w:val="BodyText"/>
        <w:spacing w:line="240" w:lineRule="auto" w:before="35"/>
        <w:ind w:right="999"/>
        <w:jc w:val="left"/>
      </w:pPr>
      <w:r>
        <w:rPr/>
        <w:t>组合中，按账龄分析法计提坏账准备的其他应收账款：</w:t>
      </w:r>
    </w:p>
    <w:p>
      <w:pPr>
        <w:pStyle w:val="BodyText"/>
        <w:spacing w:line="240" w:lineRule="auto" w:before="37"/>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1775"/>
        <w:gridCol w:w="1423"/>
        <w:gridCol w:w="1123"/>
        <w:gridCol w:w="1162"/>
        <w:gridCol w:w="1423"/>
        <w:gridCol w:w="1086"/>
        <w:gridCol w:w="1308"/>
      </w:tblGrid>
      <w:tr>
        <w:trPr>
          <w:trHeight w:val="326" w:hRule="exact"/>
        </w:trPr>
        <w:tc>
          <w:tcPr>
            <w:tcW w:w="1775" w:type="dxa"/>
            <w:vMerge w:val="restart"/>
            <w:tcBorders>
              <w:top w:val="single" w:sz="6" w:space="0" w:color="000000"/>
              <w:left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sz w:val="23"/>
                <w:szCs w:val="23"/>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账龄</w:t>
            </w:r>
          </w:p>
        </w:tc>
        <w:tc>
          <w:tcPr>
            <w:tcW w:w="3708"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期末数</w:t>
            </w:r>
          </w:p>
        </w:tc>
        <w:tc>
          <w:tcPr>
            <w:tcW w:w="3817" w:type="dxa"/>
            <w:gridSpan w:val="3"/>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期初数</w:t>
            </w:r>
          </w:p>
        </w:tc>
      </w:tr>
      <w:tr>
        <w:trPr>
          <w:trHeight w:val="328" w:hRule="exact"/>
        </w:trPr>
        <w:tc>
          <w:tcPr>
            <w:tcW w:w="1775" w:type="dxa"/>
            <w:vMerge/>
            <w:tcBorders>
              <w:left w:val="single" w:sz="6" w:space="0" w:color="000000"/>
              <w:right w:val="single" w:sz="6" w:space="0" w:color="000000"/>
            </w:tcBorders>
          </w:tcPr>
          <w:p>
            <w:pPr/>
          </w:p>
        </w:tc>
        <w:tc>
          <w:tcPr>
            <w:tcW w:w="254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账面余额</w:t>
            </w:r>
          </w:p>
        </w:tc>
        <w:tc>
          <w:tcPr>
            <w:tcW w:w="1162" w:type="dxa"/>
            <w:vMerge w:val="restart"/>
            <w:tcBorders>
              <w:top w:val="single" w:sz="6" w:space="0" w:color="000000"/>
              <w:left w:val="single" w:sz="6" w:space="0" w:color="000000"/>
              <w:right w:val="single" w:sz="6" w:space="0" w:color="000000"/>
            </w:tcBorders>
          </w:tcPr>
          <w:p>
            <w:pPr>
              <w:pStyle w:val="TableParagraph"/>
              <w:spacing w:line="240" w:lineRule="auto" w:before="141"/>
              <w:ind w:left="153" w:right="0"/>
              <w:jc w:val="left"/>
              <w:rPr>
                <w:rFonts w:ascii="宋体" w:hAnsi="宋体" w:cs="宋体" w:eastAsia="宋体" w:hint="default"/>
                <w:sz w:val="21"/>
                <w:szCs w:val="21"/>
              </w:rPr>
            </w:pPr>
            <w:r>
              <w:rPr>
                <w:rFonts w:ascii="宋体" w:hAnsi="宋体" w:cs="宋体" w:eastAsia="宋体" w:hint="default"/>
                <w:sz w:val="21"/>
                <w:szCs w:val="21"/>
              </w:rPr>
              <w:t>坏账准备</w:t>
            </w:r>
          </w:p>
        </w:tc>
        <w:tc>
          <w:tcPr>
            <w:tcW w:w="2509"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826" w:right="0"/>
              <w:jc w:val="left"/>
              <w:rPr>
                <w:rFonts w:ascii="宋体" w:hAnsi="宋体" w:cs="宋体" w:eastAsia="宋体" w:hint="default"/>
                <w:sz w:val="21"/>
                <w:szCs w:val="21"/>
              </w:rPr>
            </w:pPr>
            <w:r>
              <w:rPr>
                <w:rFonts w:ascii="宋体" w:hAnsi="宋体" w:cs="宋体" w:eastAsia="宋体" w:hint="default"/>
                <w:sz w:val="21"/>
                <w:szCs w:val="21"/>
              </w:rPr>
              <w:t>账面余额</w:t>
            </w:r>
          </w:p>
        </w:tc>
        <w:tc>
          <w:tcPr>
            <w:tcW w:w="1308" w:type="dxa"/>
            <w:vMerge w:val="restart"/>
            <w:tcBorders>
              <w:top w:val="single" w:sz="6" w:space="0" w:color="000000"/>
              <w:left w:val="single" w:sz="6" w:space="0" w:color="000000"/>
              <w:right w:val="single" w:sz="6" w:space="0" w:color="000000"/>
            </w:tcBorders>
          </w:tcPr>
          <w:p>
            <w:pPr>
              <w:pStyle w:val="TableParagraph"/>
              <w:spacing w:line="240" w:lineRule="auto" w:before="141"/>
              <w:ind w:left="226" w:right="0"/>
              <w:jc w:val="left"/>
              <w:rPr>
                <w:rFonts w:ascii="宋体" w:hAnsi="宋体" w:cs="宋体" w:eastAsia="宋体" w:hint="default"/>
                <w:sz w:val="21"/>
                <w:szCs w:val="21"/>
              </w:rPr>
            </w:pPr>
            <w:r>
              <w:rPr>
                <w:rFonts w:ascii="宋体" w:hAnsi="宋体" w:cs="宋体" w:eastAsia="宋体" w:hint="default"/>
                <w:sz w:val="21"/>
                <w:szCs w:val="21"/>
              </w:rPr>
              <w:t>坏账准备</w:t>
            </w:r>
          </w:p>
        </w:tc>
      </w:tr>
      <w:tr>
        <w:trPr>
          <w:trHeight w:val="326" w:hRule="exact"/>
        </w:trPr>
        <w:tc>
          <w:tcPr>
            <w:tcW w:w="1775"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7"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比例</w:t>
            </w:r>
            <w:r>
              <w:rPr>
                <w:rFonts w:ascii="Times New Roman" w:hAnsi="Times New Roman" w:cs="Times New Roman" w:eastAsia="Times New Roman" w:hint="default"/>
                <w:sz w:val="21"/>
                <w:szCs w:val="21"/>
              </w:rPr>
              <w:t>(%)</w:t>
            </w:r>
          </w:p>
        </w:tc>
        <w:tc>
          <w:tcPr>
            <w:tcW w:w="1162" w:type="dxa"/>
            <w:vMerge/>
            <w:tcBorders>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right="167"/>
              <w:jc w:val="right"/>
              <w:rPr>
                <w:rFonts w:ascii="Times New Roman" w:hAnsi="Times New Roman" w:cs="Times New Roman" w:eastAsia="Times New Roman" w:hint="default"/>
                <w:sz w:val="21"/>
                <w:szCs w:val="21"/>
              </w:rPr>
            </w:pPr>
            <w:r>
              <w:rPr>
                <w:rFonts w:ascii="宋体" w:hAnsi="宋体" w:cs="宋体" w:eastAsia="宋体" w:hint="default"/>
                <w:spacing w:val="-1"/>
                <w:sz w:val="21"/>
                <w:szCs w:val="21"/>
              </w:rPr>
              <w:t>比例</w:t>
            </w:r>
            <w:r>
              <w:rPr>
                <w:rFonts w:ascii="Times New Roman" w:hAnsi="Times New Roman" w:cs="Times New Roman" w:eastAsia="Times New Roman" w:hint="default"/>
                <w:spacing w:val="-1"/>
                <w:sz w:val="21"/>
                <w:szCs w:val="21"/>
              </w:rPr>
              <w:t>(%)</w:t>
            </w:r>
            <w:r>
              <w:rPr>
                <w:rFonts w:ascii="Times New Roman" w:hAnsi="Times New Roman" w:cs="Times New Roman" w:eastAsia="Times New Roman" w:hint="default"/>
                <w:sz w:val="21"/>
                <w:szCs w:val="21"/>
              </w:rPr>
            </w:r>
          </w:p>
        </w:tc>
        <w:tc>
          <w:tcPr>
            <w:tcW w:w="1308" w:type="dxa"/>
            <w:vMerge/>
            <w:tcBorders>
              <w:left w:val="single" w:sz="6" w:space="0" w:color="000000"/>
              <w:bottom w:val="single" w:sz="6" w:space="0" w:color="000000"/>
              <w:right w:val="single" w:sz="6" w:space="0" w:color="000000"/>
            </w:tcBorders>
          </w:tcPr>
          <w:p>
            <w:pPr/>
          </w:p>
        </w:tc>
      </w:tr>
      <w:tr>
        <w:trPr>
          <w:trHeight w:val="328" w:hRule="exact"/>
        </w:trPr>
        <w:tc>
          <w:tcPr>
            <w:tcW w:w="9300" w:type="dxa"/>
            <w:gridSpan w:val="7"/>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r>
      <w:tr>
        <w:trPr>
          <w:trHeight w:val="326" w:hRule="exact"/>
        </w:trPr>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其中：</w:t>
            </w:r>
          </w:p>
        </w:tc>
        <w:tc>
          <w:tcPr>
            <w:tcW w:w="1423" w:type="dxa"/>
            <w:tcBorders>
              <w:top w:val="single" w:sz="6" w:space="0" w:color="000000"/>
              <w:left w:val="single" w:sz="6" w:space="0" w:color="000000"/>
              <w:bottom w:val="single" w:sz="6" w:space="0" w:color="000000"/>
              <w:right w:val="single" w:sz="6" w:space="0" w:color="000000"/>
            </w:tcBorders>
          </w:tcPr>
          <w:p>
            <w:pPr/>
          </w:p>
        </w:tc>
        <w:tc>
          <w:tcPr>
            <w:tcW w:w="1123" w:type="dxa"/>
            <w:tcBorders>
              <w:top w:val="single" w:sz="6" w:space="0" w:color="000000"/>
              <w:left w:val="single" w:sz="6" w:space="0" w:color="000000"/>
              <w:bottom w:val="single" w:sz="6" w:space="0" w:color="000000"/>
              <w:right w:val="single" w:sz="6" w:space="0" w:color="000000"/>
            </w:tcBorders>
          </w:tcPr>
          <w:p>
            <w:pPr/>
          </w:p>
        </w:tc>
        <w:tc>
          <w:tcPr>
            <w:tcW w:w="1162"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Times New Roman" w:hAnsi="Times New Roman" w:cs="Times New Roman" w:eastAsia="Times New Roman" w:hint="default"/>
                <w:sz w:val="21"/>
                <w:szCs w:val="21"/>
              </w:rPr>
            </w:pP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年以内</w:t>
            </w:r>
            <w:r>
              <w:rPr>
                <w:rFonts w:ascii="Times New Roman" w:hAnsi="Times New Roman" w:cs="Times New Roman" w:eastAsia="Times New Roman" w:hint="default"/>
                <w:sz w:val="21"/>
                <w:szCs w:val="21"/>
              </w:rPr>
              <w:t>(</w:t>
            </w:r>
            <w:r>
              <w:rPr>
                <w:rFonts w:ascii="宋体" w:hAnsi="宋体" w:cs="宋体" w:eastAsia="宋体" w:hint="default"/>
                <w:sz w:val="21"/>
                <w:szCs w:val="21"/>
              </w:rPr>
              <w:t>含</w:t>
            </w:r>
            <w:r>
              <w:rPr>
                <w:rFonts w:ascii="宋体" w:hAnsi="宋体" w:cs="宋体" w:eastAsia="宋体" w:hint="default"/>
                <w:spacing w:val="-55"/>
                <w:sz w:val="21"/>
                <w:szCs w:val="21"/>
              </w:rPr>
              <w:t> </w:t>
            </w:r>
            <w:r>
              <w:rPr>
                <w:rFonts w:ascii="Times New Roman" w:hAnsi="Times New Roman" w:cs="Times New Roman" w:eastAsia="Times New Roman" w:hint="default"/>
                <w:sz w:val="21"/>
                <w:szCs w:val="21"/>
              </w:rPr>
              <w:t>1</w:t>
            </w:r>
            <w:r>
              <w:rPr>
                <w:rFonts w:ascii="Times New Roman" w:hAnsi="Times New Roman" w:cs="Times New Roman" w:eastAsia="Times New Roman" w:hint="default"/>
                <w:spacing w:val="-1"/>
                <w:sz w:val="21"/>
                <w:szCs w:val="21"/>
              </w:rPr>
              <w:t> </w:t>
            </w:r>
            <w:r>
              <w:rPr>
                <w:rFonts w:ascii="宋体" w:hAnsi="宋体" w:cs="宋体" w:eastAsia="宋体" w:hint="default"/>
                <w:sz w:val="21"/>
                <w:szCs w:val="21"/>
              </w:rPr>
              <w:t>年</w:t>
            </w:r>
            <w:r>
              <w:rPr>
                <w:rFonts w:ascii="Times New Roman" w:hAnsi="Times New Roman" w:cs="Times New Roman" w:eastAsia="Times New Roman" w:hint="default"/>
                <w:sz w:val="21"/>
                <w:szCs w:val="21"/>
              </w:rPr>
              <w:t>)</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4,519,979.66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35.67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225,998.98</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13,351,056.39</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98.82</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667,552.82</w:t>
            </w:r>
            <w:r>
              <w:rPr>
                <w:rFonts w:ascii="Times New Roman"/>
                <w:sz w:val="21"/>
              </w:rPr>
            </w:r>
          </w:p>
        </w:tc>
      </w:tr>
      <w:tr>
        <w:trPr>
          <w:trHeight w:val="326" w:hRule="exact"/>
        </w:trPr>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年以内小计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4,519,979.66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35.67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225,998.98</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13,351,056.39</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98.82</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667,552.82</w:t>
            </w:r>
            <w:r>
              <w:rPr>
                <w:rFonts w:ascii="Times New Roman"/>
                <w:sz w:val="21"/>
              </w:rPr>
            </w:r>
          </w:p>
        </w:tc>
      </w:tr>
      <w:tr>
        <w:trPr>
          <w:trHeight w:val="328" w:hRule="exact"/>
        </w:trPr>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至</w:t>
            </w:r>
            <w:r>
              <w:rPr>
                <w:rFonts w:ascii="宋体" w:hAnsi="宋体" w:cs="宋体" w:eastAsia="宋体" w:hint="default"/>
                <w:spacing w:val="-54"/>
                <w:sz w:val="21"/>
                <w:szCs w:val="21"/>
              </w:rPr>
              <w:t> </w:t>
            </w:r>
            <w:r>
              <w:rPr>
                <w:rFonts w:ascii="Times New Roman" w:hAnsi="Times New Roman" w:cs="Times New Roman" w:eastAsia="Times New Roman" w:hint="default"/>
                <w:sz w:val="21"/>
                <w:szCs w:val="21"/>
              </w:rPr>
              <w:t>2 </w:t>
            </w:r>
            <w:r>
              <w:rPr>
                <w:rFonts w:ascii="宋体" w:hAnsi="宋体" w:cs="宋体" w:eastAsia="宋体" w:hint="default"/>
                <w:sz w:val="21"/>
                <w:szCs w:val="21"/>
              </w:rPr>
              <w:t>年</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8,105,040.00</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63.97</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405,252.00</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
        </w:tc>
        <w:tc>
          <w:tcPr>
            <w:tcW w:w="1086" w:type="dxa"/>
            <w:tcBorders>
              <w:top w:val="single" w:sz="6" w:space="0" w:color="000000"/>
              <w:left w:val="single" w:sz="6" w:space="0" w:color="000000"/>
              <w:bottom w:val="single" w:sz="6" w:space="0" w:color="000000"/>
              <w:right w:val="single" w:sz="6" w:space="0" w:color="000000"/>
            </w:tcBorders>
          </w:tcPr>
          <w:p>
            <w:pPr/>
          </w:p>
        </w:tc>
        <w:tc>
          <w:tcPr>
            <w:tcW w:w="1308"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3 </w:t>
            </w:r>
            <w:r>
              <w:rPr>
                <w:rFonts w:ascii="宋体" w:hAnsi="宋体" w:cs="宋体" w:eastAsia="宋体" w:hint="default"/>
                <w:sz w:val="21"/>
                <w:szCs w:val="21"/>
              </w:rPr>
              <w:t>年以上</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45,640.96</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0.36</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45,640.96</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159,113.10</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1.18</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2"/>
                <w:sz w:val="21"/>
              </w:rPr>
              <w:t>159,113.10</w:t>
            </w:r>
          </w:p>
        </w:tc>
      </w:tr>
      <w:tr>
        <w:trPr>
          <w:trHeight w:val="328" w:hRule="exact"/>
        </w:trPr>
        <w:tc>
          <w:tcPr>
            <w:tcW w:w="1775"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12,670,660.62</w:t>
            </w:r>
          </w:p>
        </w:tc>
        <w:tc>
          <w:tcPr>
            <w:tcW w:w="11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100.00</w:t>
            </w:r>
          </w:p>
        </w:tc>
        <w:tc>
          <w:tcPr>
            <w:tcW w:w="11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676,891.94</w:t>
            </w:r>
            <w:r>
              <w:rPr>
                <w:rFonts w:ascii="Times New Roman"/>
                <w:sz w:val="21"/>
              </w:rPr>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13,510,169.49</w:t>
            </w:r>
          </w:p>
        </w:tc>
        <w:tc>
          <w:tcPr>
            <w:tcW w:w="10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100.00</w:t>
            </w:r>
          </w:p>
        </w:tc>
        <w:tc>
          <w:tcPr>
            <w:tcW w:w="13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826,665.92</w:t>
            </w:r>
            <w:r>
              <w:rPr>
                <w:rFonts w:ascii="Times New Roman"/>
                <w:sz w:val="21"/>
              </w:rPr>
            </w:r>
          </w:p>
        </w:tc>
      </w:tr>
    </w:tbl>
    <w:p>
      <w:pPr>
        <w:spacing w:after="0" w:line="240" w:lineRule="auto"/>
        <w:jc w:val="right"/>
        <w:rPr>
          <w:rFonts w:ascii="Times New Roman" w:hAnsi="Times New Roman" w:cs="Times New Roman" w:eastAsia="Times New Roman" w:hint="default"/>
          <w:sz w:val="21"/>
          <w:szCs w:val="21"/>
        </w:rPr>
        <w:sectPr>
          <w:type w:val="continuous"/>
          <w:pgSz w:w="11910" w:h="16840"/>
          <w:pgMar w:top="1600" w:bottom="280" w:left="1660" w:right="680"/>
        </w:sectPr>
      </w:pPr>
    </w:p>
    <w:p>
      <w:pPr>
        <w:spacing w:line="240" w:lineRule="auto" w:before="1"/>
        <w:rPr>
          <w:rFonts w:ascii="宋体" w:hAnsi="宋体" w:cs="宋体" w:eastAsia="宋体" w:hint="default"/>
          <w:sz w:val="23"/>
          <w:szCs w:val="23"/>
        </w:rPr>
      </w:pPr>
    </w:p>
    <w:p>
      <w:pPr>
        <w:pStyle w:val="BodyText"/>
        <w:spacing w:line="240" w:lineRule="auto" w:before="35"/>
        <w:ind w:left="320" w:right="0"/>
        <w:jc w:val="left"/>
      </w:pPr>
      <w:r>
        <w:rPr>
          <w:rFonts w:ascii="Times New Roman" w:hAnsi="Times New Roman" w:cs="Times New Roman" w:eastAsia="Times New Roman" w:hint="default"/>
        </w:rPr>
        <w:t>(2) </w:t>
      </w:r>
      <w:r>
        <w:rPr/>
        <w:t>本报告期其他应收款中持有公司 </w:t>
      </w:r>
      <w:r>
        <w:rPr>
          <w:rFonts w:ascii="Times New Roman" w:hAnsi="Times New Roman" w:cs="Times New Roman" w:eastAsia="Times New Roman" w:hint="default"/>
        </w:rPr>
        <w:t>5%(</w:t>
      </w:r>
      <w:r>
        <w:rPr/>
        <w:t>含</w:t>
      </w:r>
      <w:r>
        <w:rPr>
          <w:spacing w:val="-61"/>
        </w:rPr>
        <w:t> </w:t>
      </w:r>
      <w:r>
        <w:rPr>
          <w:rFonts w:ascii="Times New Roman" w:hAnsi="Times New Roman" w:cs="Times New Roman" w:eastAsia="Times New Roman" w:hint="default"/>
        </w:rPr>
        <w:t>5%)</w:t>
      </w:r>
      <w:r>
        <w:rPr/>
        <w:t>以上表决权股份的股东单位情况</w:t>
      </w:r>
    </w:p>
    <w:p>
      <w:pPr>
        <w:spacing w:line="240" w:lineRule="auto" w:before="3"/>
        <w:rPr>
          <w:rFonts w:ascii="宋体" w:hAnsi="宋体" w:cs="宋体" w:eastAsia="宋体" w:hint="default"/>
          <w:sz w:val="30"/>
          <w:szCs w:val="30"/>
        </w:rPr>
      </w:pPr>
    </w:p>
    <w:p>
      <w:pPr>
        <w:pStyle w:val="BodyText"/>
        <w:spacing w:line="240" w:lineRule="auto"/>
        <w:ind w:left="320" w:right="0"/>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金额较大的其他的其他应收款的性质或内容</w:t>
      </w:r>
    </w:p>
    <w:p>
      <w:pPr>
        <w:pStyle w:val="BodyText"/>
        <w:tabs>
          <w:tab w:pos="4959" w:val="left" w:leader="none"/>
        </w:tabs>
        <w:spacing w:line="240" w:lineRule="auto" w:before="52"/>
        <w:ind w:left="100" w:right="0"/>
        <w:jc w:val="left"/>
        <w:rPr>
          <w:rFonts w:ascii="Times New Roman" w:hAnsi="Times New Roman" w:cs="Times New Roman" w:eastAsia="Times New Roman" w:hint="default"/>
        </w:rPr>
      </w:pPr>
      <w:r>
        <w:rPr/>
        <w:t>中国外贸金融租赁有限公司</w:t>
      </w:r>
      <w:r>
        <w:rPr>
          <w:spacing w:val="-62"/>
        </w:rPr>
        <w:t> </w:t>
      </w:r>
      <w:r>
        <w:rPr/>
        <w:t>保证金</w:t>
        <w:tab/>
      </w:r>
      <w:r>
        <w:rPr>
          <w:rFonts w:ascii="Times New Roman" w:hAnsi="Times New Roman" w:cs="Times New Roman" w:eastAsia="Times New Roman" w:hint="default"/>
        </w:rPr>
        <w:t>7,500,000.00</w:t>
      </w:r>
    </w:p>
    <w:p>
      <w:pPr>
        <w:spacing w:line="240" w:lineRule="auto" w:before="7"/>
        <w:rPr>
          <w:rFonts w:ascii="Times New Roman" w:hAnsi="Times New Roman" w:cs="Times New Roman" w:eastAsia="Times New Roman" w:hint="default"/>
          <w:sz w:val="28"/>
          <w:szCs w:val="28"/>
        </w:rPr>
      </w:pPr>
    </w:p>
    <w:p>
      <w:pPr>
        <w:pStyle w:val="BodyText"/>
        <w:spacing w:line="240" w:lineRule="auto" w:before="35"/>
        <w:ind w:left="319" w:right="0"/>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其他应收账款金额前五名单位情况</w:t>
      </w:r>
    </w:p>
    <w:p>
      <w:pPr>
        <w:pStyle w:val="BodyText"/>
        <w:spacing w:line="240" w:lineRule="auto" w:before="52"/>
        <w:ind w:left="642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304" w:type="dxa"/>
        <w:tblLayout w:type="fixed"/>
        <w:tblCellMar>
          <w:top w:w="0" w:type="dxa"/>
          <w:left w:w="0" w:type="dxa"/>
          <w:bottom w:w="0" w:type="dxa"/>
          <w:right w:w="0" w:type="dxa"/>
        </w:tblCellMar>
        <w:tblLook w:val="01E0"/>
      </w:tblPr>
      <w:tblGrid>
        <w:gridCol w:w="1860"/>
        <w:gridCol w:w="1860"/>
        <w:gridCol w:w="1860"/>
        <w:gridCol w:w="1860"/>
        <w:gridCol w:w="1860"/>
      </w:tblGrid>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502" w:right="0"/>
              <w:jc w:val="left"/>
              <w:rPr>
                <w:rFonts w:ascii="宋体" w:hAnsi="宋体" w:cs="宋体" w:eastAsia="宋体" w:hint="default"/>
                <w:sz w:val="21"/>
                <w:szCs w:val="21"/>
              </w:rPr>
            </w:pPr>
            <w:r>
              <w:rPr>
                <w:rFonts w:ascii="宋体" w:hAnsi="宋体" w:cs="宋体" w:eastAsia="宋体" w:hint="default"/>
                <w:sz w:val="21"/>
                <w:szCs w:val="21"/>
              </w:rPr>
              <w:t>单位名称</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292"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年限</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239" w:right="0" w:hanging="53"/>
              <w:jc w:val="left"/>
              <w:rPr>
                <w:rFonts w:ascii="宋体" w:hAnsi="宋体" w:cs="宋体" w:eastAsia="宋体" w:hint="default"/>
                <w:sz w:val="21"/>
                <w:szCs w:val="21"/>
              </w:rPr>
            </w:pPr>
            <w:r>
              <w:rPr>
                <w:rFonts w:ascii="宋体" w:hAnsi="宋体" w:cs="宋体" w:eastAsia="宋体" w:hint="default"/>
                <w:sz w:val="21"/>
                <w:szCs w:val="21"/>
              </w:rPr>
              <w:t>占其他应收账款</w:t>
            </w:r>
          </w:p>
          <w:p>
            <w:pPr>
              <w:pStyle w:val="TableParagraph"/>
              <w:spacing w:line="240" w:lineRule="auto" w:before="37"/>
              <w:ind w:left="239"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总额的比例</w:t>
            </w:r>
            <w:r>
              <w:rPr>
                <w:rFonts w:ascii="Times New Roman" w:hAnsi="Times New Roman" w:cs="Times New Roman" w:eastAsia="Times New Roman" w:hint="default"/>
                <w:sz w:val="21"/>
                <w:szCs w:val="21"/>
              </w:rPr>
              <w:t>(%)</w:t>
            </w:r>
          </w:p>
        </w:tc>
      </w:tr>
      <w:tr>
        <w:trPr>
          <w:trHeight w:val="640"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中国外贸金</w:t>
            </w:r>
            <w:r>
              <w:rPr>
                <w:rFonts w:ascii="宋体" w:hAnsi="宋体" w:cs="宋体" w:eastAsia="宋体" w:hint="default"/>
                <w:spacing w:val="-74"/>
                <w:sz w:val="21"/>
                <w:szCs w:val="21"/>
              </w:rPr>
              <w:t> </w:t>
            </w:r>
            <w:r>
              <w:rPr>
                <w:rFonts w:ascii="宋体" w:hAnsi="宋体" w:cs="宋体" w:eastAsia="宋体" w:hint="default"/>
                <w:spacing w:val="14"/>
                <w:sz w:val="21"/>
                <w:szCs w:val="21"/>
              </w:rPr>
              <w:t>融租</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赁有限公司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7,500,000.00</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59.19</w:t>
            </w:r>
          </w:p>
        </w:tc>
      </w:tr>
      <w:tr>
        <w:trPr>
          <w:trHeight w:val="63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富拉尔基站</w:t>
            </w:r>
            <w:r>
              <w:rPr>
                <w:rFonts w:ascii="宋体" w:hAnsi="宋体" w:cs="宋体" w:eastAsia="宋体" w:hint="default"/>
                <w:spacing w:val="-74"/>
                <w:sz w:val="21"/>
                <w:szCs w:val="21"/>
              </w:rPr>
              <w:t> </w:t>
            </w:r>
            <w:r>
              <w:rPr>
                <w:rFonts w:ascii="宋体" w:hAnsi="宋体" w:cs="宋体" w:eastAsia="宋体" w:hint="default"/>
                <w:spacing w:val="14"/>
                <w:sz w:val="21"/>
                <w:szCs w:val="21"/>
              </w:rPr>
              <w:t>预收</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运费</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3,627,418.73</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28.63</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蓬布押金</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355,000.00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2.80</w:t>
            </w:r>
          </w:p>
        </w:tc>
      </w:tr>
      <w:tr>
        <w:trPr>
          <w:trHeight w:val="326"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刘晓伟</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217,819.03</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 </w:t>
            </w:r>
            <w:r>
              <w:rPr>
                <w:rFonts w:ascii="宋体" w:hAnsi="宋体" w:cs="宋体" w:eastAsia="宋体" w:hint="default"/>
                <w:sz w:val="21"/>
                <w:szCs w:val="21"/>
              </w:rPr>
              <w:t>年以内</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1.72</w:t>
            </w:r>
          </w:p>
        </w:tc>
      </w:tr>
      <w:tr>
        <w:trPr>
          <w:trHeight w:val="952"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22"/>
                <w:sz w:val="21"/>
                <w:szCs w:val="21"/>
              </w:rPr>
              <w:t>哈尔滨先锋</w:t>
            </w:r>
            <w:r>
              <w:rPr>
                <w:rFonts w:ascii="宋体" w:hAnsi="宋体" w:cs="宋体" w:eastAsia="宋体" w:hint="default"/>
                <w:spacing w:val="-74"/>
                <w:sz w:val="21"/>
                <w:szCs w:val="21"/>
              </w:rPr>
              <w:t> </w:t>
            </w:r>
            <w:r>
              <w:rPr>
                <w:rFonts w:ascii="宋体" w:hAnsi="宋体" w:cs="宋体" w:eastAsia="宋体" w:hint="default"/>
                <w:spacing w:val="14"/>
                <w:sz w:val="21"/>
                <w:szCs w:val="21"/>
              </w:rPr>
              <w:t>环保</w:t>
            </w:r>
            <w:r>
              <w:rPr>
                <w:rFonts w:ascii="宋体" w:hAnsi="宋体" w:cs="宋体" w:eastAsia="宋体" w:hint="default"/>
                <w:spacing w:val="-77"/>
                <w:sz w:val="21"/>
                <w:szCs w:val="21"/>
              </w:rPr>
              <w:t> </w:t>
            </w:r>
            <w:r>
              <w:rPr>
                <w:rFonts w:ascii="宋体" w:hAnsi="宋体" w:cs="宋体" w:eastAsia="宋体" w:hint="default"/>
                <w:sz w:val="21"/>
                <w:szCs w:val="21"/>
              </w:rPr>
            </w:r>
          </w:p>
          <w:p>
            <w:pPr>
              <w:pStyle w:val="TableParagraph"/>
              <w:spacing w:line="273" w:lineRule="auto" w:before="37"/>
              <w:ind w:left="100" w:right="70"/>
              <w:jc w:val="left"/>
              <w:rPr>
                <w:rFonts w:ascii="宋体" w:hAnsi="宋体" w:cs="宋体" w:eastAsia="宋体" w:hint="default"/>
                <w:sz w:val="21"/>
                <w:szCs w:val="21"/>
              </w:rPr>
            </w:pPr>
            <w:r>
              <w:rPr>
                <w:rFonts w:ascii="宋体" w:hAnsi="宋体" w:cs="宋体" w:eastAsia="宋体" w:hint="default"/>
                <w:spacing w:val="22"/>
                <w:sz w:val="21"/>
                <w:szCs w:val="21"/>
              </w:rPr>
              <w:t>设备制造有</w:t>
            </w:r>
            <w:r>
              <w:rPr>
                <w:rFonts w:ascii="宋体" w:hAnsi="宋体" w:cs="宋体" w:eastAsia="宋体" w:hint="default"/>
                <w:spacing w:val="-75"/>
                <w:sz w:val="21"/>
                <w:szCs w:val="21"/>
              </w:rPr>
              <w:t> </w:t>
            </w:r>
            <w:r>
              <w:rPr>
                <w:rFonts w:ascii="宋体" w:hAnsi="宋体" w:cs="宋体" w:eastAsia="宋体" w:hint="default"/>
                <w:spacing w:val="14"/>
                <w:sz w:val="21"/>
                <w:szCs w:val="21"/>
              </w:rPr>
              <w:t>限公</w:t>
            </w:r>
            <w:r>
              <w:rPr>
                <w:rFonts w:ascii="宋体" w:hAnsi="宋体" w:cs="宋体" w:eastAsia="宋体" w:hint="default"/>
                <w:spacing w:val="-77"/>
                <w:sz w:val="21"/>
                <w:szCs w:val="21"/>
              </w:rPr>
              <w:t> </w:t>
            </w:r>
            <w:r>
              <w:rPr>
                <w:rFonts w:ascii="宋体" w:hAnsi="宋体" w:cs="宋体" w:eastAsia="宋体" w:hint="default"/>
                <w:sz w:val="21"/>
                <w:szCs w:val="21"/>
              </w:rPr>
              <w:t>司</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宋体" w:hAnsi="宋体" w:cs="宋体" w:eastAsia="宋体" w:hint="default"/>
                <w:sz w:val="21"/>
                <w:szCs w:val="21"/>
              </w:rPr>
              <w:t>供应商</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100"/>
              <w:jc w:val="right"/>
              <w:rPr>
                <w:rFonts w:ascii="Times New Roman" w:hAnsi="Times New Roman" w:cs="Times New Roman" w:eastAsia="Times New Roman" w:hint="default"/>
                <w:sz w:val="21"/>
                <w:szCs w:val="21"/>
              </w:rPr>
            </w:pPr>
            <w:r>
              <w:rPr>
                <w:rFonts w:ascii="Times New Roman"/>
                <w:spacing w:val="-1"/>
                <w:sz w:val="21"/>
              </w:rPr>
              <w:t>195,640.00</w:t>
            </w:r>
            <w:r>
              <w:rPr>
                <w:rFonts w:ascii="Times New Roman"/>
                <w:sz w:val="21"/>
              </w:rPr>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40" w:lineRule="auto"/>
              <w:ind w:left="100" w:right="0"/>
              <w:jc w:val="left"/>
              <w:rPr>
                <w:rFonts w:ascii="宋体" w:hAnsi="宋体" w:cs="宋体" w:eastAsia="宋体" w:hint="default"/>
                <w:sz w:val="21"/>
                <w:szCs w:val="21"/>
              </w:rPr>
            </w:pPr>
            <w:r>
              <w:rPr>
                <w:rFonts w:ascii="Times New Roman" w:hAnsi="Times New Roman" w:cs="Times New Roman" w:eastAsia="Times New Roman" w:hint="default"/>
                <w:sz w:val="21"/>
                <w:szCs w:val="21"/>
              </w:rPr>
              <w:t>1-2 </w:t>
            </w:r>
            <w:r>
              <w:rPr>
                <w:rFonts w:ascii="宋体" w:hAnsi="宋体" w:cs="宋体" w:eastAsia="宋体" w:hint="default"/>
                <w:sz w:val="21"/>
                <w:szCs w:val="21"/>
              </w:rPr>
              <w:t>年</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1.54</w:t>
            </w:r>
          </w:p>
        </w:tc>
      </w:tr>
      <w:tr>
        <w:trPr>
          <w:trHeight w:val="328" w:hRule="exact"/>
        </w:trPr>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11,895,877.76</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
              <w:jc w:val="center"/>
              <w:rPr>
                <w:rFonts w:ascii="Times New Roman" w:hAnsi="Times New Roman" w:cs="Times New Roman" w:eastAsia="Times New Roman" w:hint="default"/>
                <w:sz w:val="21"/>
                <w:szCs w:val="21"/>
              </w:rPr>
            </w:pPr>
            <w:r>
              <w:rPr>
                <w:rFonts w:ascii="Times New Roman"/>
                <w:sz w:val="21"/>
              </w:rPr>
              <w:t>/</w:t>
            </w:r>
          </w:p>
        </w:tc>
        <w:tc>
          <w:tcPr>
            <w:tcW w:w="18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93.88</w:t>
            </w:r>
          </w:p>
        </w:tc>
      </w:tr>
    </w:tbl>
    <w:p>
      <w:pPr>
        <w:spacing w:line="240" w:lineRule="auto" w:before="5"/>
        <w:rPr>
          <w:rFonts w:ascii="宋体" w:hAnsi="宋体" w:cs="宋体" w:eastAsia="宋体" w:hint="default"/>
          <w:sz w:val="22"/>
          <w:szCs w:val="22"/>
        </w:rPr>
      </w:pPr>
    </w:p>
    <w:p>
      <w:pPr>
        <w:pStyle w:val="BodyText"/>
        <w:spacing w:line="240" w:lineRule="auto" w:before="35"/>
        <w:ind w:left="320" w:right="0"/>
        <w:jc w:val="left"/>
      </w:pPr>
      <w:r>
        <w:rPr>
          <w:rFonts w:ascii="Times New Roman" w:hAnsi="Times New Roman" w:cs="Times New Roman" w:eastAsia="Times New Roman" w:hint="default"/>
        </w:rPr>
        <w:t>(5)</w:t>
      </w:r>
      <w:r>
        <w:rPr>
          <w:rFonts w:ascii="Times New Roman" w:hAnsi="Times New Roman" w:cs="Times New Roman" w:eastAsia="Times New Roman" w:hint="default"/>
          <w:spacing w:val="48"/>
        </w:rPr>
        <w:t> </w:t>
      </w:r>
      <w:r>
        <w:rPr/>
        <w:t>其他应收关联方款项情况</w:t>
      </w:r>
    </w:p>
    <w:p>
      <w:pPr>
        <w:pStyle w:val="BodyText"/>
        <w:spacing w:line="240" w:lineRule="auto" w:before="52"/>
        <w:ind w:left="6421" w:right="0"/>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304" w:type="dxa"/>
        <w:tblLayout w:type="fixed"/>
        <w:tblCellMar>
          <w:top w:w="0" w:type="dxa"/>
          <w:left w:w="0" w:type="dxa"/>
          <w:bottom w:w="0" w:type="dxa"/>
          <w:right w:w="0" w:type="dxa"/>
        </w:tblCellMar>
        <w:tblLook w:val="01E0"/>
      </w:tblPr>
      <w:tblGrid>
        <w:gridCol w:w="2374"/>
        <w:gridCol w:w="2087"/>
        <w:gridCol w:w="1613"/>
        <w:gridCol w:w="3227"/>
      </w:tblGrid>
      <w:tr>
        <w:trPr>
          <w:trHeight w:val="326"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单位名称</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05" w:right="0"/>
              <w:jc w:val="left"/>
              <w:rPr>
                <w:rFonts w:ascii="宋体" w:hAnsi="宋体" w:cs="宋体" w:eastAsia="宋体" w:hint="default"/>
                <w:sz w:val="21"/>
                <w:szCs w:val="21"/>
              </w:rPr>
            </w:pPr>
            <w:r>
              <w:rPr>
                <w:rFonts w:ascii="宋体" w:hAnsi="宋体" w:cs="宋体" w:eastAsia="宋体" w:hint="default"/>
                <w:sz w:val="21"/>
                <w:szCs w:val="21"/>
              </w:rPr>
              <w:t>与本公司关系</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金额</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88" w:right="0"/>
              <w:jc w:val="left"/>
              <w:rPr>
                <w:rFonts w:ascii="Times New Roman" w:hAnsi="Times New Roman" w:cs="Times New Roman" w:eastAsia="Times New Roman" w:hint="default"/>
                <w:sz w:val="21"/>
                <w:szCs w:val="21"/>
              </w:rPr>
            </w:pPr>
            <w:r>
              <w:rPr>
                <w:rFonts w:ascii="宋体" w:hAnsi="宋体" w:cs="宋体" w:eastAsia="宋体" w:hint="default"/>
                <w:sz w:val="21"/>
                <w:szCs w:val="21"/>
              </w:rPr>
              <w:t>占其他应收账款总额的比例</w:t>
            </w:r>
            <w:r>
              <w:rPr>
                <w:rFonts w:ascii="Times New Roman" w:hAnsi="Times New Roman" w:cs="Times New Roman" w:eastAsia="Times New Roman" w:hint="default"/>
                <w:sz w:val="21"/>
                <w:szCs w:val="21"/>
              </w:rPr>
              <w:t>(%)</w:t>
            </w:r>
          </w:p>
        </w:tc>
      </w:tr>
      <w:tr>
        <w:trPr>
          <w:trHeight w:val="64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黑龙江黑化集团有限公</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母公司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15,645,413.62</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7.34</w:t>
            </w:r>
          </w:p>
        </w:tc>
      </w:tr>
      <w:tr>
        <w:trPr>
          <w:trHeight w:val="63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黑龙江黑化集团中美碧</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碧肥有限责任公司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子公司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5,583,095.52</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2.62</w:t>
            </w:r>
          </w:p>
        </w:tc>
      </w:tr>
      <w:tr>
        <w:trPr>
          <w:trHeight w:val="640"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6"/>
                <w:sz w:val="21"/>
                <w:szCs w:val="21"/>
              </w:rPr>
              <w:t>齐齐哈尔富龙化工有限</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100" w:right="0"/>
              <w:jc w:val="left"/>
              <w:rPr>
                <w:rFonts w:ascii="宋体" w:hAnsi="宋体" w:cs="宋体" w:eastAsia="宋体" w:hint="default"/>
                <w:sz w:val="21"/>
                <w:szCs w:val="21"/>
              </w:rPr>
            </w:pPr>
            <w:r>
              <w:rPr>
                <w:rFonts w:ascii="宋体" w:hAnsi="宋体" w:cs="宋体" w:eastAsia="宋体" w:hint="default"/>
                <w:sz w:val="21"/>
                <w:szCs w:val="21"/>
              </w:rPr>
              <w:t>同一母公司</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1,021,943.32</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0.48</w:t>
            </w:r>
          </w:p>
        </w:tc>
      </w:tr>
      <w:tr>
        <w:trPr>
          <w:trHeight w:val="328" w:hRule="exact"/>
        </w:trPr>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208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w:t>
            </w:r>
          </w:p>
        </w:tc>
        <w:tc>
          <w:tcPr>
            <w:tcW w:w="16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22,250,452.46</w:t>
            </w:r>
          </w:p>
        </w:tc>
        <w:tc>
          <w:tcPr>
            <w:tcW w:w="32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10.44</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480" w:right="680"/>
        </w:sectPr>
      </w:pPr>
    </w:p>
    <w:p>
      <w:pPr>
        <w:pStyle w:val="BodyText"/>
        <w:spacing w:line="283" w:lineRule="auto" w:before="35"/>
        <w:ind w:left="320" w:right="-18"/>
        <w:jc w:val="left"/>
      </w:pPr>
      <w:r>
        <w:rPr>
          <w:rFonts w:ascii="Times New Roman" w:hAnsi="Times New Roman" w:cs="Times New Roman" w:eastAsia="Times New Roman" w:hint="default"/>
        </w:rPr>
        <w:t>3</w:t>
      </w:r>
      <w:r>
        <w:rPr/>
        <w:t>、</w:t>
      </w:r>
      <w:r>
        <w:rPr>
          <w:spacing w:val="-2"/>
        </w:rPr>
        <w:t> </w:t>
      </w:r>
      <w:r>
        <w:rPr/>
        <w:t>长期股权投资</w:t>
      </w:r>
      <w:r>
        <w:rPr/>
        <w:t> 按成本法核算</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pStyle w:val="BodyText"/>
        <w:spacing w:line="240" w:lineRule="auto" w:before="167"/>
        <w:ind w:left="320" w:right="0"/>
        <w:jc w:val="left"/>
      </w:pPr>
      <w:r>
        <w:rPr/>
        <w:t>单位：元</w:t>
      </w:r>
      <w:r>
        <w:rPr>
          <w:spacing w:val="-2"/>
        </w:rPr>
        <w:t> </w:t>
      </w:r>
      <w:r>
        <w:rPr/>
        <w:t>币种：人民币</w:t>
      </w:r>
    </w:p>
    <w:p>
      <w:pPr>
        <w:spacing w:after="0" w:line="240" w:lineRule="auto"/>
        <w:jc w:val="left"/>
        <w:sectPr>
          <w:type w:val="continuous"/>
          <w:pgSz w:w="11910" w:h="16840"/>
          <w:pgMar w:top="1600" w:bottom="280" w:left="1480" w:right="680"/>
          <w:cols w:num="2" w:equalWidth="0">
            <w:col w:w="2001" w:space="4101"/>
            <w:col w:w="3648"/>
          </w:cols>
        </w:sectPr>
      </w:pPr>
    </w:p>
    <w:p>
      <w:pPr>
        <w:spacing w:line="240" w:lineRule="auto" w:before="13"/>
        <w:rPr>
          <w:rFonts w:ascii="宋体" w:hAnsi="宋体" w:cs="宋体" w:eastAsia="宋体" w:hint="default"/>
          <w:sz w:val="3"/>
          <w:szCs w:val="3"/>
        </w:rPr>
      </w:pPr>
    </w:p>
    <w:tbl>
      <w:tblPr>
        <w:tblW w:w="0" w:type="auto"/>
        <w:jc w:val="left"/>
        <w:tblInd w:w="304" w:type="dxa"/>
        <w:tblLayout w:type="fixed"/>
        <w:tblCellMar>
          <w:top w:w="0" w:type="dxa"/>
          <w:left w:w="0" w:type="dxa"/>
          <w:bottom w:w="0" w:type="dxa"/>
          <w:right w:w="0" w:type="dxa"/>
        </w:tblCellMar>
        <w:tblLook w:val="01E0"/>
      </w:tblPr>
      <w:tblGrid>
        <w:gridCol w:w="636"/>
        <w:gridCol w:w="1424"/>
        <w:gridCol w:w="1424"/>
        <w:gridCol w:w="1423"/>
        <w:gridCol w:w="1424"/>
        <w:gridCol w:w="638"/>
        <w:gridCol w:w="637"/>
        <w:gridCol w:w="846"/>
        <w:gridCol w:w="846"/>
      </w:tblGrid>
      <w:tr>
        <w:trPr>
          <w:trHeight w:val="1574"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sz w:val="22"/>
                <w:szCs w:val="22"/>
              </w:rPr>
            </w:pPr>
          </w:p>
          <w:p>
            <w:pPr>
              <w:pStyle w:val="TableParagraph"/>
              <w:spacing w:line="273" w:lineRule="auto"/>
              <w:ind w:left="100" w:right="98"/>
              <w:jc w:val="both"/>
              <w:rPr>
                <w:rFonts w:ascii="宋体" w:hAnsi="宋体" w:cs="宋体" w:eastAsia="宋体" w:hint="default"/>
                <w:sz w:val="21"/>
                <w:szCs w:val="21"/>
              </w:rPr>
            </w:pPr>
            <w:r>
              <w:rPr>
                <w:rFonts w:ascii="宋体" w:hAnsi="宋体" w:cs="宋体" w:eastAsia="宋体" w:hint="default"/>
                <w:sz w:val="21"/>
                <w:szCs w:val="21"/>
              </w:rPr>
              <w:t>被投 资单 位</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投资成本</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期初余额</w:t>
            </w:r>
          </w:p>
        </w:tc>
        <w:tc>
          <w:tcPr>
            <w:tcW w:w="142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0"/>
              <w:jc w:val="center"/>
              <w:rPr>
                <w:rFonts w:ascii="宋体" w:hAnsi="宋体" w:cs="宋体" w:eastAsia="宋体" w:hint="default"/>
                <w:sz w:val="21"/>
                <w:szCs w:val="21"/>
              </w:rPr>
            </w:pPr>
            <w:r>
              <w:rPr>
                <w:rFonts w:ascii="宋体" w:hAnsi="宋体" w:cs="宋体" w:eastAsia="宋体" w:hint="default"/>
                <w:sz w:val="21"/>
                <w:szCs w:val="21"/>
              </w:rPr>
              <w:t>增减变动</w:t>
            </w:r>
          </w:p>
        </w:tc>
        <w:tc>
          <w:tcPr>
            <w:tcW w:w="142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7"/>
              <w:ind w:right="0"/>
              <w:jc w:val="left"/>
              <w:rPr>
                <w:rFonts w:ascii="宋体" w:hAnsi="宋体" w:cs="宋体" w:eastAsia="宋体" w:hint="default"/>
                <w:sz w:val="26"/>
                <w:szCs w:val="26"/>
              </w:rPr>
            </w:pPr>
          </w:p>
          <w:p>
            <w:pPr>
              <w:pStyle w:val="TableParagraph"/>
              <w:spacing w:line="240" w:lineRule="auto"/>
              <w:ind w:right="1"/>
              <w:jc w:val="center"/>
              <w:rPr>
                <w:rFonts w:ascii="宋体" w:hAnsi="宋体" w:cs="宋体" w:eastAsia="宋体" w:hint="default"/>
                <w:sz w:val="21"/>
                <w:szCs w:val="21"/>
              </w:rPr>
            </w:pPr>
            <w:r>
              <w:rPr>
                <w:rFonts w:ascii="宋体" w:hAnsi="宋体" w:cs="宋体" w:eastAsia="宋体" w:hint="default"/>
                <w:sz w:val="21"/>
                <w:szCs w:val="21"/>
              </w:rPr>
              <w:t>期末余额</w:t>
            </w:r>
          </w:p>
        </w:tc>
        <w:tc>
          <w:tcPr>
            <w:tcW w:w="63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0"/>
              <w:jc w:val="left"/>
              <w:rPr>
                <w:rFonts w:ascii="宋体" w:hAnsi="宋体" w:cs="宋体" w:eastAsia="宋体" w:hint="default"/>
                <w:sz w:val="20"/>
                <w:szCs w:val="20"/>
              </w:rPr>
            </w:pPr>
          </w:p>
          <w:p>
            <w:pPr>
              <w:pStyle w:val="TableParagraph"/>
              <w:spacing w:line="240" w:lineRule="auto" w:before="8"/>
              <w:ind w:right="0"/>
              <w:jc w:val="left"/>
              <w:rPr>
                <w:rFonts w:ascii="宋体" w:hAnsi="宋体" w:cs="宋体" w:eastAsia="宋体" w:hint="default"/>
                <w:sz w:val="14"/>
                <w:szCs w:val="14"/>
              </w:rPr>
            </w:pPr>
          </w:p>
          <w:p>
            <w:pPr>
              <w:pStyle w:val="TableParagraph"/>
              <w:spacing w:line="273" w:lineRule="auto"/>
              <w:ind w:left="101" w:right="100"/>
              <w:jc w:val="left"/>
              <w:rPr>
                <w:rFonts w:ascii="宋体" w:hAnsi="宋体" w:cs="宋体" w:eastAsia="宋体" w:hint="default"/>
                <w:sz w:val="21"/>
                <w:szCs w:val="21"/>
              </w:rPr>
            </w:pPr>
            <w:r>
              <w:rPr>
                <w:rFonts w:ascii="宋体" w:hAnsi="宋体" w:cs="宋体" w:eastAsia="宋体" w:hint="default"/>
                <w:sz w:val="21"/>
                <w:szCs w:val="21"/>
              </w:rPr>
              <w:t>减值 准备</w:t>
            </w:r>
          </w:p>
        </w:tc>
        <w:tc>
          <w:tcPr>
            <w:tcW w:w="637"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1" w:right="98"/>
              <w:jc w:val="both"/>
              <w:rPr>
                <w:rFonts w:ascii="宋体" w:hAnsi="宋体" w:cs="宋体" w:eastAsia="宋体" w:hint="default"/>
                <w:sz w:val="21"/>
                <w:szCs w:val="21"/>
              </w:rPr>
            </w:pPr>
            <w:r>
              <w:rPr>
                <w:rFonts w:ascii="宋体" w:hAnsi="宋体" w:cs="宋体" w:eastAsia="宋体" w:hint="default"/>
                <w:sz w:val="21"/>
                <w:szCs w:val="21"/>
              </w:rPr>
              <w:t>本期 计提 减值 准备</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before="141"/>
              <w:ind w:left="100" w:right="-5"/>
              <w:jc w:val="both"/>
              <w:rPr>
                <w:rFonts w:ascii="宋体" w:hAnsi="宋体" w:cs="宋体" w:eastAsia="宋体" w:hint="default"/>
                <w:sz w:val="21"/>
                <w:szCs w:val="21"/>
              </w:rPr>
            </w:pPr>
            <w:r>
              <w:rPr>
                <w:rFonts w:ascii="宋体" w:hAnsi="宋体" w:cs="宋体" w:eastAsia="宋体" w:hint="default"/>
                <w:sz w:val="21"/>
                <w:szCs w:val="21"/>
              </w:rPr>
              <w:t>在被投 资单位 持股比 </w:t>
            </w:r>
            <w:r>
              <w:rPr>
                <w:rFonts w:ascii="宋体" w:hAnsi="宋体" w:cs="宋体" w:eastAsia="宋体" w:hint="default"/>
                <w:spacing w:val="-27"/>
                <w:sz w:val="21"/>
                <w:szCs w:val="21"/>
              </w:rPr>
              <w:t>例（％）</w:t>
            </w:r>
          </w:p>
        </w:tc>
        <w:tc>
          <w:tcPr>
            <w:tcW w:w="846" w:type="dxa"/>
            <w:tcBorders>
              <w:top w:val="single" w:sz="6" w:space="0" w:color="000000"/>
              <w:left w:val="single" w:sz="6" w:space="0" w:color="000000"/>
              <w:bottom w:val="single" w:sz="6" w:space="0" w:color="000000"/>
              <w:right w:val="single" w:sz="6" w:space="0" w:color="000000"/>
            </w:tcBorders>
          </w:tcPr>
          <w:p>
            <w:pPr>
              <w:pStyle w:val="TableParagraph"/>
              <w:spacing w:line="262" w:lineRule="exact"/>
              <w:ind w:left="100" w:right="0"/>
              <w:jc w:val="both"/>
              <w:rPr>
                <w:rFonts w:ascii="宋体" w:hAnsi="宋体" w:cs="宋体" w:eastAsia="宋体" w:hint="default"/>
                <w:sz w:val="21"/>
                <w:szCs w:val="21"/>
              </w:rPr>
            </w:pPr>
            <w:r>
              <w:rPr>
                <w:rFonts w:ascii="宋体" w:hAnsi="宋体" w:cs="宋体" w:eastAsia="宋体" w:hint="default"/>
                <w:sz w:val="21"/>
                <w:szCs w:val="21"/>
              </w:rPr>
              <w:t>在被投</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资单位 表决权 比例</w:t>
            </w:r>
          </w:p>
          <w:p>
            <w:pPr>
              <w:pStyle w:val="TableParagraph"/>
              <w:spacing w:line="240" w:lineRule="auto" w:before="8"/>
              <w:ind w:left="100" w:right="0"/>
              <w:jc w:val="both"/>
              <w:rPr>
                <w:rFonts w:ascii="宋体" w:hAnsi="宋体" w:cs="宋体" w:eastAsia="宋体" w:hint="default"/>
                <w:sz w:val="21"/>
                <w:szCs w:val="21"/>
              </w:rPr>
            </w:pPr>
            <w:r>
              <w:rPr>
                <w:rFonts w:ascii="宋体" w:hAnsi="宋体" w:cs="宋体" w:eastAsia="宋体" w:hint="default"/>
                <w:sz w:val="21"/>
                <w:szCs w:val="21"/>
              </w:rPr>
              <w:t>（％）</w:t>
            </w:r>
          </w:p>
        </w:tc>
      </w:tr>
      <w:tr>
        <w:trPr>
          <w:trHeight w:val="319" w:hRule="exact"/>
        </w:trPr>
        <w:tc>
          <w:tcPr>
            <w:tcW w:w="636" w:type="dxa"/>
            <w:tcBorders>
              <w:top w:val="single" w:sz="6" w:space="0" w:color="000000"/>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黑龙</w:t>
            </w:r>
          </w:p>
        </w:tc>
        <w:tc>
          <w:tcPr>
            <w:tcW w:w="1424"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1423" w:type="dxa"/>
            <w:tcBorders>
              <w:top w:val="single" w:sz="6" w:space="0" w:color="000000"/>
              <w:left w:val="single" w:sz="6" w:space="0" w:color="000000"/>
              <w:bottom w:val="nil" w:sz="6" w:space="0" w:color="auto"/>
              <w:right w:val="single" w:sz="6" w:space="0" w:color="000000"/>
            </w:tcBorders>
          </w:tcPr>
          <w:p>
            <w:pPr/>
          </w:p>
        </w:tc>
        <w:tc>
          <w:tcPr>
            <w:tcW w:w="1424" w:type="dxa"/>
            <w:tcBorders>
              <w:top w:val="single" w:sz="6" w:space="0" w:color="000000"/>
              <w:left w:val="single" w:sz="6" w:space="0" w:color="000000"/>
              <w:bottom w:val="nil" w:sz="6" w:space="0" w:color="auto"/>
              <w:right w:val="single" w:sz="6" w:space="0" w:color="000000"/>
            </w:tcBorders>
          </w:tcPr>
          <w:p>
            <w:pPr/>
          </w:p>
        </w:tc>
        <w:tc>
          <w:tcPr>
            <w:tcW w:w="638" w:type="dxa"/>
            <w:vMerge w:val="restart"/>
            <w:tcBorders>
              <w:top w:val="single" w:sz="6" w:space="0" w:color="000000"/>
              <w:left w:val="single" w:sz="6" w:space="0" w:color="000000"/>
              <w:right w:val="single" w:sz="6" w:space="0" w:color="000000"/>
            </w:tcBorders>
          </w:tcPr>
          <w:p>
            <w:pPr/>
          </w:p>
        </w:tc>
        <w:tc>
          <w:tcPr>
            <w:tcW w:w="637" w:type="dxa"/>
            <w:vMerge w:val="restart"/>
            <w:tcBorders>
              <w:top w:val="single" w:sz="6" w:space="0" w:color="000000"/>
              <w:left w:val="single" w:sz="6" w:space="0" w:color="000000"/>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c>
          <w:tcPr>
            <w:tcW w:w="846" w:type="dxa"/>
            <w:tcBorders>
              <w:top w:val="single" w:sz="6" w:space="0" w:color="000000"/>
              <w:left w:val="single" w:sz="6" w:space="0" w:color="000000"/>
              <w:bottom w:val="nil" w:sz="6" w:space="0" w:color="auto"/>
              <w:right w:val="single" w:sz="6" w:space="0" w:color="000000"/>
            </w:tcBorders>
          </w:tcPr>
          <w:p>
            <w:pPr/>
          </w:p>
        </w:tc>
      </w:tr>
      <w:tr>
        <w:trPr>
          <w:trHeight w:val="317" w:hRule="exact"/>
        </w:trPr>
        <w:tc>
          <w:tcPr>
            <w:tcW w:w="636" w:type="dxa"/>
            <w:tcBorders>
              <w:top w:val="nil" w:sz="6" w:space="0" w:color="auto"/>
              <w:left w:val="single" w:sz="6" w:space="0" w:color="000000"/>
              <w:bottom w:val="nil" w:sz="6" w:space="0" w:color="auto"/>
              <w:right w:val="single" w:sz="6" w:space="0" w:color="000000"/>
            </w:tcBorders>
          </w:tcPr>
          <w:p>
            <w:pPr>
              <w:pStyle w:val="TableParagraph"/>
              <w:spacing w:line="261" w:lineRule="exact"/>
              <w:ind w:right="98"/>
              <w:jc w:val="right"/>
              <w:rPr>
                <w:rFonts w:ascii="宋体" w:hAnsi="宋体" w:cs="宋体" w:eastAsia="宋体" w:hint="default"/>
                <w:sz w:val="21"/>
                <w:szCs w:val="21"/>
              </w:rPr>
            </w:pPr>
            <w:r>
              <w:rPr>
                <w:rFonts w:ascii="宋体" w:hAnsi="宋体" w:cs="宋体" w:eastAsia="宋体" w:hint="default"/>
                <w:sz w:val="21"/>
                <w:szCs w:val="21"/>
              </w:rPr>
              <w:t>江黑</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19,030,000.00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19,030,000.00</w:t>
            </w:r>
          </w:p>
        </w:tc>
        <w:tc>
          <w:tcPr>
            <w:tcW w:w="1423"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3" w:right="0"/>
              <w:jc w:val="center"/>
              <w:rPr>
                <w:rFonts w:ascii="Times New Roman" w:hAnsi="Times New Roman" w:cs="Times New Roman" w:eastAsia="Times New Roman" w:hint="default"/>
                <w:sz w:val="21"/>
                <w:szCs w:val="21"/>
              </w:rPr>
            </w:pPr>
            <w:r>
              <w:rPr>
                <w:rFonts w:ascii="Times New Roman"/>
                <w:sz w:val="21"/>
              </w:rPr>
              <w:t>19,030,000.00</w:t>
            </w:r>
          </w:p>
        </w:tc>
        <w:tc>
          <w:tcPr>
            <w:tcW w:w="1424"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1" w:right="0"/>
              <w:jc w:val="center"/>
              <w:rPr>
                <w:rFonts w:ascii="Times New Roman" w:hAnsi="Times New Roman" w:cs="Times New Roman" w:eastAsia="Times New Roman" w:hint="default"/>
                <w:sz w:val="21"/>
                <w:szCs w:val="21"/>
              </w:rPr>
            </w:pPr>
            <w:r>
              <w:rPr>
                <w:rFonts w:ascii="Times New Roman"/>
                <w:sz w:val="21"/>
              </w:rPr>
              <w:t>19,030,000.00</w:t>
            </w:r>
          </w:p>
        </w:tc>
        <w:tc>
          <w:tcPr>
            <w:tcW w:w="638" w:type="dxa"/>
            <w:vMerge/>
            <w:tcBorders>
              <w:left w:val="single" w:sz="6" w:space="0" w:color="000000"/>
              <w:right w:val="single" w:sz="6" w:space="0" w:color="000000"/>
            </w:tcBorders>
          </w:tcPr>
          <w:p>
            <w:pPr/>
          </w:p>
        </w:tc>
        <w:tc>
          <w:tcPr>
            <w:tcW w:w="637" w:type="dxa"/>
            <w:vMerge/>
            <w:tcBorders>
              <w:left w:val="single" w:sz="6" w:space="0" w:color="000000"/>
              <w:right w:val="single" w:sz="6" w:space="0" w:color="000000"/>
            </w:tcBorders>
          </w:tcPr>
          <w:p>
            <w:pP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56" w:right="0"/>
              <w:jc w:val="left"/>
              <w:rPr>
                <w:rFonts w:ascii="Times New Roman" w:hAnsi="Times New Roman" w:cs="Times New Roman" w:eastAsia="Times New Roman" w:hint="default"/>
                <w:sz w:val="21"/>
                <w:szCs w:val="21"/>
              </w:rPr>
            </w:pPr>
            <w:r>
              <w:rPr>
                <w:rFonts w:ascii="Times New Roman"/>
                <w:sz w:val="21"/>
              </w:rPr>
              <w:t>64.66</w:t>
            </w:r>
          </w:p>
        </w:tc>
        <w:tc>
          <w:tcPr>
            <w:tcW w:w="846" w:type="dxa"/>
            <w:tcBorders>
              <w:top w:val="nil" w:sz="6" w:space="0" w:color="auto"/>
              <w:left w:val="single" w:sz="6" w:space="0" w:color="000000"/>
              <w:bottom w:val="nil" w:sz="6" w:space="0" w:color="auto"/>
              <w:right w:val="single" w:sz="6" w:space="0" w:color="000000"/>
            </w:tcBorders>
          </w:tcPr>
          <w:p>
            <w:pPr>
              <w:pStyle w:val="TableParagraph"/>
              <w:spacing w:line="240" w:lineRule="auto" w:before="34"/>
              <w:ind w:left="257" w:right="0"/>
              <w:jc w:val="left"/>
              <w:rPr>
                <w:rFonts w:ascii="Times New Roman" w:hAnsi="Times New Roman" w:cs="Times New Roman" w:eastAsia="Times New Roman" w:hint="default"/>
                <w:sz w:val="21"/>
                <w:szCs w:val="21"/>
              </w:rPr>
            </w:pPr>
            <w:r>
              <w:rPr>
                <w:rFonts w:ascii="Times New Roman"/>
                <w:sz w:val="21"/>
              </w:rPr>
              <w:t>64.66</w:t>
            </w:r>
          </w:p>
        </w:tc>
      </w:tr>
      <w:tr>
        <w:trPr>
          <w:trHeight w:val="315" w:hRule="exact"/>
        </w:trPr>
        <w:tc>
          <w:tcPr>
            <w:tcW w:w="636" w:type="dxa"/>
            <w:tcBorders>
              <w:top w:val="nil" w:sz="6" w:space="0" w:color="auto"/>
              <w:left w:val="single" w:sz="6" w:space="0" w:color="000000"/>
              <w:bottom w:val="single" w:sz="6" w:space="0" w:color="000000"/>
              <w:right w:val="single" w:sz="6" w:space="0" w:color="000000"/>
            </w:tcBorders>
          </w:tcPr>
          <w:p>
            <w:pPr>
              <w:pStyle w:val="TableParagraph"/>
              <w:spacing w:line="256" w:lineRule="exact"/>
              <w:ind w:right="98"/>
              <w:jc w:val="right"/>
              <w:rPr>
                <w:rFonts w:ascii="宋体" w:hAnsi="宋体" w:cs="宋体" w:eastAsia="宋体" w:hint="default"/>
                <w:sz w:val="21"/>
                <w:szCs w:val="21"/>
              </w:rPr>
            </w:pPr>
            <w:r>
              <w:rPr>
                <w:rFonts w:ascii="宋体" w:hAnsi="宋体" w:cs="宋体" w:eastAsia="宋体" w:hint="default"/>
                <w:sz w:val="21"/>
                <w:szCs w:val="21"/>
              </w:rPr>
              <w:t>化集</w:t>
            </w:r>
          </w:p>
        </w:tc>
        <w:tc>
          <w:tcPr>
            <w:tcW w:w="1424"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1423" w:type="dxa"/>
            <w:tcBorders>
              <w:top w:val="nil" w:sz="6" w:space="0" w:color="auto"/>
              <w:left w:val="single" w:sz="6" w:space="0" w:color="000000"/>
              <w:bottom w:val="single" w:sz="6" w:space="0" w:color="000000"/>
              <w:right w:val="single" w:sz="6" w:space="0" w:color="000000"/>
            </w:tcBorders>
          </w:tcPr>
          <w:p>
            <w:pPr/>
          </w:p>
        </w:tc>
        <w:tc>
          <w:tcPr>
            <w:tcW w:w="1424" w:type="dxa"/>
            <w:tcBorders>
              <w:top w:val="nil" w:sz="6" w:space="0" w:color="auto"/>
              <w:left w:val="single" w:sz="6" w:space="0" w:color="000000"/>
              <w:bottom w:val="single" w:sz="6" w:space="0" w:color="000000"/>
              <w:right w:val="single" w:sz="6" w:space="0" w:color="000000"/>
            </w:tcBorders>
          </w:tcPr>
          <w:p>
            <w:pPr/>
          </w:p>
        </w:tc>
        <w:tc>
          <w:tcPr>
            <w:tcW w:w="638" w:type="dxa"/>
            <w:vMerge/>
            <w:tcBorders>
              <w:left w:val="single" w:sz="6" w:space="0" w:color="000000"/>
              <w:bottom w:val="single" w:sz="6" w:space="0" w:color="000000"/>
              <w:right w:val="single" w:sz="6" w:space="0" w:color="000000"/>
            </w:tcBorders>
          </w:tcPr>
          <w:p>
            <w:pPr/>
          </w:p>
        </w:tc>
        <w:tc>
          <w:tcPr>
            <w:tcW w:w="637" w:type="dxa"/>
            <w:vMerge/>
            <w:tcBorders>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c>
          <w:tcPr>
            <w:tcW w:w="846" w:type="dxa"/>
            <w:tcBorders>
              <w:top w:val="nil" w:sz="6" w:space="0" w:color="auto"/>
              <w:left w:val="single" w:sz="6" w:space="0" w:color="000000"/>
              <w:bottom w:val="single" w:sz="6" w:space="0" w:color="000000"/>
              <w:right w:val="single" w:sz="6" w:space="0" w:color="000000"/>
            </w:tcBorders>
          </w:tcPr>
          <w:p>
            <w:pPr/>
          </w:p>
        </w:tc>
      </w:tr>
    </w:tbl>
    <w:p>
      <w:pPr>
        <w:spacing w:after="0"/>
        <w:sectPr>
          <w:type w:val="continuous"/>
          <w:pgSz w:w="11910" w:h="16840"/>
          <w:pgMar w:top="1600" w:bottom="280" w:left="148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636"/>
        <w:gridCol w:w="1424"/>
        <w:gridCol w:w="1424"/>
        <w:gridCol w:w="1423"/>
        <w:gridCol w:w="1424"/>
        <w:gridCol w:w="638"/>
        <w:gridCol w:w="637"/>
        <w:gridCol w:w="846"/>
        <w:gridCol w:w="846"/>
      </w:tblGrid>
      <w:tr>
        <w:trPr>
          <w:trHeight w:val="1888" w:hRule="exact"/>
        </w:trPr>
        <w:tc>
          <w:tcPr>
            <w:tcW w:w="63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both"/>
              <w:rPr>
                <w:rFonts w:ascii="宋体" w:hAnsi="宋体" w:cs="宋体" w:eastAsia="宋体" w:hint="default"/>
                <w:sz w:val="21"/>
                <w:szCs w:val="21"/>
              </w:rPr>
            </w:pPr>
            <w:r>
              <w:rPr>
                <w:rFonts w:ascii="宋体" w:hAnsi="宋体" w:cs="宋体" w:eastAsia="宋体" w:hint="default"/>
                <w:sz w:val="21"/>
                <w:szCs w:val="21"/>
              </w:rPr>
              <w:t>团中</w:t>
            </w:r>
          </w:p>
          <w:p>
            <w:pPr>
              <w:pStyle w:val="TableParagraph"/>
              <w:spacing w:line="273" w:lineRule="auto" w:before="37"/>
              <w:ind w:left="100" w:right="98"/>
              <w:jc w:val="both"/>
              <w:rPr>
                <w:rFonts w:ascii="宋体" w:hAnsi="宋体" w:cs="宋体" w:eastAsia="宋体" w:hint="default"/>
                <w:sz w:val="21"/>
                <w:szCs w:val="21"/>
              </w:rPr>
            </w:pPr>
            <w:r>
              <w:rPr>
                <w:rFonts w:ascii="宋体" w:hAnsi="宋体" w:cs="宋体" w:eastAsia="宋体" w:hint="default"/>
                <w:sz w:val="21"/>
                <w:szCs w:val="21"/>
              </w:rPr>
              <w:t>美碧 碧肥 有限 责任 公司</w:t>
            </w:r>
          </w:p>
        </w:tc>
        <w:tc>
          <w:tcPr>
            <w:tcW w:w="1424"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1423" w:type="dxa"/>
            <w:tcBorders>
              <w:top w:val="single" w:sz="6" w:space="0" w:color="000000"/>
              <w:left w:val="single" w:sz="6" w:space="0" w:color="000000"/>
              <w:bottom w:val="single" w:sz="6" w:space="0" w:color="000000"/>
              <w:right w:val="single" w:sz="6" w:space="0" w:color="000000"/>
            </w:tcBorders>
          </w:tcPr>
          <w:p>
            <w:pPr/>
          </w:p>
        </w:tc>
        <w:tc>
          <w:tcPr>
            <w:tcW w:w="1424" w:type="dxa"/>
            <w:tcBorders>
              <w:top w:val="single" w:sz="6" w:space="0" w:color="000000"/>
              <w:left w:val="single" w:sz="6" w:space="0" w:color="000000"/>
              <w:bottom w:val="single" w:sz="6" w:space="0" w:color="000000"/>
              <w:right w:val="single" w:sz="6" w:space="0" w:color="000000"/>
            </w:tcBorders>
          </w:tcPr>
          <w:p>
            <w:pPr/>
          </w:p>
        </w:tc>
        <w:tc>
          <w:tcPr>
            <w:tcW w:w="638" w:type="dxa"/>
            <w:tcBorders>
              <w:top w:val="single" w:sz="6" w:space="0" w:color="000000"/>
              <w:left w:val="single" w:sz="6" w:space="0" w:color="000000"/>
              <w:bottom w:val="single" w:sz="6" w:space="0" w:color="000000"/>
              <w:right w:val="single" w:sz="6" w:space="0" w:color="000000"/>
            </w:tcBorders>
          </w:tcPr>
          <w:p>
            <w:pPr/>
          </w:p>
        </w:tc>
        <w:tc>
          <w:tcPr>
            <w:tcW w:w="637"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c>
          <w:tcPr>
            <w:tcW w:w="846"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4</w:t>
      </w:r>
      <w:r>
        <w:rPr/>
        <w:t>、</w:t>
      </w:r>
      <w:r>
        <w:rPr>
          <w:spacing w:val="-2"/>
        </w:rPr>
        <w:t> </w:t>
      </w:r>
      <w:r>
        <w:rPr/>
        <w:t>营业收入和营业成本：</w:t>
      </w:r>
    </w:p>
    <w:p>
      <w:pPr>
        <w:pStyle w:val="BodyText"/>
        <w:spacing w:line="240" w:lineRule="auto" w:before="83"/>
        <w:ind w:right="-18"/>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48"/>
        </w:rPr>
        <w:t> </w:t>
      </w:r>
      <w:r>
        <w:rPr/>
        <w:t>营业收入、营业成本</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661" w:space="3441"/>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项目</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本期发生额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17" w:right="0"/>
              <w:jc w:val="left"/>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主营业务收入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1,473,867,720.49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1,316,942,870.66</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其他业务收入</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97,704,367.89</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141,755,297.17</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1,569,793,369.43</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1,574,033,179.62</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48"/>
        </w:rPr>
        <w:t> </w:t>
      </w:r>
      <w:r>
        <w:rPr/>
        <w:t>主营业务（分产品）</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232"/>
        <w:gridCol w:w="1686"/>
        <w:gridCol w:w="1686"/>
        <w:gridCol w:w="1840"/>
        <w:gridCol w:w="1856"/>
      </w:tblGrid>
      <w:tr>
        <w:trPr>
          <w:trHeight w:val="328"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41"/>
              <w:ind w:left="687" w:right="0"/>
              <w:jc w:val="left"/>
              <w:rPr>
                <w:rFonts w:ascii="宋体" w:hAnsi="宋体" w:cs="宋体" w:eastAsia="宋体" w:hint="default"/>
                <w:sz w:val="21"/>
                <w:szCs w:val="21"/>
              </w:rPr>
            </w:pPr>
            <w:r>
              <w:rPr>
                <w:rFonts w:ascii="宋体" w:hAnsi="宋体" w:cs="宋体" w:eastAsia="宋体" w:hint="default"/>
                <w:sz w:val="21"/>
                <w:szCs w:val="21"/>
              </w:rPr>
              <w:t>产品名称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15" w:right="0"/>
              <w:jc w:val="left"/>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焦炭</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984,841,098.15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916,683,091.77</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756,151,947.89</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799,301,403.83</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尿素</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245,397,456.37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290,236,046.19</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331,702,667.81</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334,938,393.21</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粗苯</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31,223,951.31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32,652,177.75</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26,480,066.40</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28,040,860.01</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焦油</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58,288,589.69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48,590,428.48</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52,848,273.41</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59,553,799.32</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焦炉煤气</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130,494,035.31</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121,134,831.64</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89,821,177.65</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90,986,642.85</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甲醇</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17,065,150.97</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31,681,481.81</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56,042,532.22</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108,821,474.97</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硫酸铵</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2,674,986.69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4,720,655.77</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3,448,536.26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6"/>
              <w:jc w:val="right"/>
              <w:rPr>
                <w:rFonts w:ascii="Times New Roman" w:hAnsi="Times New Roman" w:cs="Times New Roman" w:eastAsia="Times New Roman" w:hint="default"/>
                <w:sz w:val="21"/>
                <w:szCs w:val="21"/>
              </w:rPr>
            </w:pPr>
            <w:r>
              <w:rPr>
                <w:rFonts w:ascii="Times New Roman"/>
                <w:spacing w:val="-1"/>
                <w:sz w:val="21"/>
              </w:rPr>
              <w:t>5,790,078.40</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液氧</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136,731.61</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118,358.95</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429,000.02</w:t>
            </w:r>
            <w:r>
              <w:rPr>
                <w:rFonts w:ascii="Times New Roman"/>
                <w:sz w:val="21"/>
              </w:rPr>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429,000.02</w:t>
            </w:r>
            <w:r>
              <w:rPr>
                <w:rFonts w:ascii="Times New Roman"/>
                <w:sz w:val="21"/>
              </w:rPr>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硫磺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29,610.25</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29,614.52</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18,669.00</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18,669.00</w:t>
            </w:r>
          </w:p>
        </w:tc>
      </w:tr>
      <w:tr>
        <w:trPr>
          <w:trHeight w:val="326"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合成氨</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2"/>
                <w:sz w:val="21"/>
              </w:rPr>
              <w:t>3,716,110.14</w:t>
            </w:r>
            <w:r>
              <w:rPr>
                <w:rFonts w:ascii="Times New Roman"/>
                <w:sz w:val="21"/>
              </w:rPr>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5,714,236.36</w:t>
            </w:r>
          </w:p>
        </w:tc>
        <w:tc>
          <w:tcPr>
            <w:tcW w:w="1840" w:type="dxa"/>
            <w:tcBorders>
              <w:top w:val="single" w:sz="6" w:space="0" w:color="000000"/>
              <w:left w:val="single" w:sz="6" w:space="0" w:color="000000"/>
              <w:bottom w:val="single" w:sz="6" w:space="0" w:color="000000"/>
              <w:right w:val="single" w:sz="6" w:space="0" w:color="000000"/>
            </w:tcBorders>
          </w:tcPr>
          <w:p>
            <w:pPr/>
          </w:p>
        </w:tc>
        <w:tc>
          <w:tcPr>
            <w:tcW w:w="1856"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1,473,867,720.49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1,451,560,923.24</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1,316,942,870.66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1,427,880,321.61</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(3)</w:t>
      </w:r>
      <w:r>
        <w:rPr>
          <w:rFonts w:ascii="Times New Roman" w:hAnsi="Times New Roman" w:cs="Times New Roman" w:eastAsia="Times New Roman" w:hint="default"/>
          <w:spacing w:val="48"/>
        </w:rPr>
        <w:t> </w:t>
      </w:r>
      <w:r>
        <w:rPr/>
        <w:t>主营业务（分地区）</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2232"/>
        <w:gridCol w:w="1686"/>
        <w:gridCol w:w="1686"/>
        <w:gridCol w:w="1840"/>
        <w:gridCol w:w="1856"/>
      </w:tblGrid>
      <w:tr>
        <w:trPr>
          <w:trHeight w:val="328" w:hRule="exact"/>
        </w:trPr>
        <w:tc>
          <w:tcPr>
            <w:tcW w:w="2232" w:type="dxa"/>
            <w:vMerge w:val="restart"/>
            <w:tcBorders>
              <w:top w:val="single" w:sz="6" w:space="0" w:color="000000"/>
              <w:left w:val="single" w:sz="6" w:space="0" w:color="000000"/>
              <w:right w:val="single" w:sz="6" w:space="0" w:color="000000"/>
            </w:tcBorders>
          </w:tcPr>
          <w:p>
            <w:pPr>
              <w:pStyle w:val="TableParagraph"/>
              <w:spacing w:line="240" w:lineRule="auto" w:before="141"/>
              <w:ind w:left="687" w:right="0"/>
              <w:jc w:val="left"/>
              <w:rPr>
                <w:rFonts w:ascii="宋体" w:hAnsi="宋体" w:cs="宋体" w:eastAsia="宋体" w:hint="default"/>
                <w:sz w:val="21"/>
                <w:szCs w:val="21"/>
              </w:rPr>
            </w:pPr>
            <w:r>
              <w:rPr>
                <w:rFonts w:ascii="宋体" w:hAnsi="宋体" w:cs="宋体" w:eastAsia="宋体" w:hint="default"/>
                <w:sz w:val="21"/>
                <w:szCs w:val="21"/>
              </w:rPr>
              <w:t>地区名称</w:t>
            </w:r>
          </w:p>
        </w:tc>
        <w:tc>
          <w:tcPr>
            <w:tcW w:w="3372"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本期发生额</w:t>
            </w:r>
          </w:p>
        </w:tc>
        <w:tc>
          <w:tcPr>
            <w:tcW w:w="3696"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上期发生额</w:t>
            </w:r>
          </w:p>
        </w:tc>
      </w:tr>
      <w:tr>
        <w:trPr>
          <w:trHeight w:val="326" w:hRule="exact"/>
        </w:trPr>
        <w:tc>
          <w:tcPr>
            <w:tcW w:w="2232" w:type="dxa"/>
            <w:vMerge/>
            <w:tcBorders>
              <w:left w:val="single" w:sz="6" w:space="0" w:color="000000"/>
              <w:bottom w:val="single" w:sz="6" w:space="0" w:color="000000"/>
              <w:right w:val="single" w:sz="6" w:space="0" w:color="000000"/>
            </w:tcBorders>
          </w:tcPr>
          <w:p>
            <w:pP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营业收入</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营业成本</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91" w:right="0"/>
              <w:jc w:val="left"/>
              <w:rPr>
                <w:rFonts w:ascii="宋体" w:hAnsi="宋体" w:cs="宋体" w:eastAsia="宋体" w:hint="default"/>
                <w:sz w:val="21"/>
                <w:szCs w:val="21"/>
              </w:rPr>
            </w:pPr>
            <w:r>
              <w:rPr>
                <w:rFonts w:ascii="宋体" w:hAnsi="宋体" w:cs="宋体" w:eastAsia="宋体" w:hint="default"/>
                <w:sz w:val="21"/>
                <w:szCs w:val="21"/>
              </w:rPr>
              <w:t>营业收入</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501" w:right="0"/>
              <w:jc w:val="left"/>
              <w:rPr>
                <w:rFonts w:ascii="宋体" w:hAnsi="宋体" w:cs="宋体" w:eastAsia="宋体" w:hint="default"/>
                <w:sz w:val="21"/>
                <w:szCs w:val="21"/>
              </w:rPr>
            </w:pPr>
            <w:r>
              <w:rPr>
                <w:rFonts w:ascii="宋体" w:hAnsi="宋体" w:cs="宋体" w:eastAsia="宋体" w:hint="default"/>
                <w:sz w:val="21"/>
                <w:szCs w:val="21"/>
              </w:rPr>
              <w:t>营业成本</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东北及内蒙地区</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1,473,867,720.49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1,451,560,923.24</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1,316,942,870.66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1,427,880,321.61</w:t>
            </w:r>
          </w:p>
        </w:tc>
      </w:tr>
      <w:tr>
        <w:trPr>
          <w:trHeight w:val="328" w:hRule="exact"/>
        </w:trPr>
        <w:tc>
          <w:tcPr>
            <w:tcW w:w="223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1,473,867,720.49</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0"/>
              <w:jc w:val="center"/>
              <w:rPr>
                <w:rFonts w:ascii="Times New Roman" w:hAnsi="Times New Roman" w:cs="Times New Roman" w:eastAsia="Times New Roman" w:hint="default"/>
                <w:sz w:val="21"/>
                <w:szCs w:val="21"/>
              </w:rPr>
            </w:pPr>
            <w:r>
              <w:rPr>
                <w:rFonts w:ascii="Times New Roman"/>
                <w:sz w:val="21"/>
              </w:rPr>
              <w:t>1,451,560,923.24</w:t>
            </w:r>
          </w:p>
        </w:tc>
        <w:tc>
          <w:tcPr>
            <w:tcW w:w="18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1,316,942,870.66</w:t>
            </w:r>
          </w:p>
        </w:tc>
        <w:tc>
          <w:tcPr>
            <w:tcW w:w="185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1,427,880,321.61</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48"/>
        </w:rPr>
        <w:t> </w:t>
      </w:r>
      <w:r>
        <w:rPr/>
        <w:t>公司前五名客户的营业收入情况</w:t>
      </w:r>
    </w:p>
    <w:p>
      <w:pPr>
        <w:spacing w:after="0" w:line="240" w:lineRule="auto"/>
        <w:jc w:val="left"/>
        <w:sectPr>
          <w:type w:val="continuous"/>
          <w:pgSz w:w="11910" w:h="16840"/>
          <w:pgMar w:top="1600" w:bottom="280" w:left="1660" w:right="680"/>
        </w:sectPr>
      </w:pPr>
    </w:p>
    <w:p>
      <w:pPr>
        <w:spacing w:line="240" w:lineRule="auto" w:before="9"/>
        <w:rPr>
          <w:rFonts w:ascii="宋体" w:hAnsi="宋体" w:cs="宋体" w:eastAsia="宋体" w:hint="default"/>
          <w:sz w:val="20"/>
          <w:szCs w:val="20"/>
        </w:rPr>
      </w:pPr>
    </w:p>
    <w:p>
      <w:pPr>
        <w:pStyle w:val="BodyText"/>
        <w:spacing w:line="240" w:lineRule="auto" w:before="35"/>
        <w:ind w:left="6242"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3101"/>
        <w:gridCol w:w="3100"/>
        <w:gridCol w:w="3100"/>
      </w:tblGrid>
      <w:tr>
        <w:trPr>
          <w:trHeight w:val="63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right="0"/>
              <w:jc w:val="center"/>
              <w:rPr>
                <w:rFonts w:ascii="宋体" w:hAnsi="宋体" w:cs="宋体" w:eastAsia="宋体" w:hint="default"/>
                <w:sz w:val="21"/>
                <w:szCs w:val="21"/>
              </w:rPr>
            </w:pPr>
            <w:r>
              <w:rPr>
                <w:rFonts w:ascii="宋体" w:hAnsi="宋体" w:cs="宋体" w:eastAsia="宋体" w:hint="default"/>
                <w:sz w:val="21"/>
                <w:szCs w:val="21"/>
              </w:rPr>
              <w:t>客户名称</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41"/>
              <w:ind w:left="912" w:right="0"/>
              <w:jc w:val="left"/>
              <w:rPr>
                <w:rFonts w:ascii="宋体" w:hAnsi="宋体" w:cs="宋体" w:eastAsia="宋体" w:hint="default"/>
                <w:sz w:val="21"/>
                <w:szCs w:val="21"/>
              </w:rPr>
            </w:pPr>
            <w:r>
              <w:rPr>
                <w:rFonts w:ascii="宋体" w:hAnsi="宋体" w:cs="宋体" w:eastAsia="宋体" w:hint="default"/>
                <w:sz w:val="21"/>
                <w:szCs w:val="21"/>
              </w:rPr>
              <w:t>营业收入总额</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占公司全部营业收入的比例</w:t>
            </w:r>
          </w:p>
          <w:p>
            <w:pPr>
              <w:pStyle w:val="TableParagraph"/>
              <w:spacing w:line="240" w:lineRule="auto" w:before="37"/>
              <w:ind w:right="0"/>
              <w:jc w:val="center"/>
              <w:rPr>
                <w:rFonts w:ascii="宋体" w:hAnsi="宋体" w:cs="宋体" w:eastAsia="宋体" w:hint="default"/>
                <w:sz w:val="21"/>
                <w:szCs w:val="21"/>
              </w:rPr>
            </w:pPr>
            <w:r>
              <w:rPr>
                <w:rFonts w:ascii="宋体" w:hAnsi="宋体" w:cs="宋体" w:eastAsia="宋体" w:hint="default"/>
                <w:sz w:val="21"/>
                <w:szCs w:val="21"/>
              </w:rPr>
              <w:t>（％）</w:t>
            </w:r>
          </w:p>
        </w:tc>
      </w:tr>
      <w:tr>
        <w:trPr>
          <w:trHeight w:val="640"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12"/>
                <w:sz w:val="21"/>
                <w:szCs w:val="21"/>
              </w:rPr>
              <w:t>齐齐哈尔北兴特殊钢有限责任</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264,551,122.21</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16.83</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黑龙江黑化集团有限公司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198,069,226.20</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12.60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辽宁方大集团国贸有限公司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139,526,880.22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8.88</w:t>
            </w:r>
          </w:p>
        </w:tc>
      </w:tr>
      <w:tr>
        <w:trPr>
          <w:trHeight w:val="326"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辽阳钢铁有限公司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128,893,843.75</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8.20</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吉林鑫达钢铁有限公司</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120,109,970.54</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7.64</w:t>
            </w:r>
          </w:p>
        </w:tc>
      </w:tr>
      <w:tr>
        <w:trPr>
          <w:trHeight w:val="328" w:hRule="exact"/>
        </w:trPr>
        <w:tc>
          <w:tcPr>
            <w:tcW w:w="310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851,151,042.92</w:t>
            </w:r>
          </w:p>
        </w:tc>
        <w:tc>
          <w:tcPr>
            <w:tcW w:w="3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54.15</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5</w:t>
      </w:r>
      <w:r>
        <w:rPr/>
        <w:t>、</w:t>
      </w:r>
      <w:r>
        <w:rPr>
          <w:spacing w:val="-2"/>
        </w:rPr>
        <w:t> </w:t>
      </w:r>
      <w:r>
        <w:rPr/>
        <w:t>现金流量表补充资料：</w:t>
      </w:r>
    </w:p>
    <w:p>
      <w:pPr>
        <w:pStyle w:val="BodyText"/>
        <w:spacing w:line="240" w:lineRule="auto" w:before="52"/>
        <w:ind w:left="6241" w:right="999"/>
        <w:jc w:val="left"/>
      </w:pPr>
      <w:r>
        <w:rPr/>
        <w:t>单位：元</w:t>
      </w:r>
      <w:r>
        <w:rPr>
          <w:spacing w:val="-2"/>
        </w:rPr>
        <w:t> </w:t>
      </w:r>
      <w:r>
        <w:rPr/>
        <w:t>币种：人民币</w:t>
      </w: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补充资料</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本期金额</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759" w:right="0"/>
              <w:jc w:val="left"/>
              <w:rPr>
                <w:rFonts w:ascii="宋体" w:hAnsi="宋体" w:cs="宋体" w:eastAsia="宋体" w:hint="default"/>
                <w:sz w:val="21"/>
                <w:szCs w:val="21"/>
              </w:rPr>
            </w:pPr>
            <w:r>
              <w:rPr>
                <w:rFonts w:ascii="宋体" w:hAnsi="宋体" w:cs="宋体" w:eastAsia="宋体" w:hint="default"/>
                <w:sz w:val="21"/>
                <w:szCs w:val="21"/>
              </w:rPr>
              <w:t>上期金额</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．将净利润调节为经营活动现金流量：</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净利润</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18,307,538.24</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-232,034,407.46</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加：资产减值准备</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-14,860,762.09</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20,255,777.26</w:t>
            </w:r>
          </w:p>
        </w:tc>
      </w:tr>
      <w:tr>
        <w:trPr>
          <w:trHeight w:val="63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固定资产折旧、油气资产折耗、生产性生物资产</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折旧</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2"/>
                <w:sz w:val="21"/>
              </w:rPr>
              <w:t>111,171,684.13</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7"/>
              <w:jc w:val="right"/>
              <w:rPr>
                <w:rFonts w:ascii="Times New Roman" w:hAnsi="Times New Roman" w:cs="Times New Roman" w:eastAsia="Times New Roman" w:hint="default"/>
                <w:sz w:val="21"/>
                <w:szCs w:val="21"/>
              </w:rPr>
            </w:pPr>
            <w:r>
              <w:rPr>
                <w:rFonts w:ascii="Times New Roman"/>
                <w:spacing w:val="-1"/>
                <w:sz w:val="21"/>
              </w:rPr>
              <w:t>109,985,116.94</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无形资产摊销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长期待摊费用摊销</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640"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4"/>
                <w:sz w:val="21"/>
                <w:szCs w:val="21"/>
              </w:rPr>
              <w:t>处置固定资产、无形资产和其他长期资产的损失</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固定资产报废损失（收益以“－”号填列）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100"/>
              <w:jc w:val="right"/>
              <w:rPr>
                <w:rFonts w:ascii="Times New Roman" w:hAnsi="Times New Roman" w:cs="Times New Roman" w:eastAsia="Times New Roman" w:hint="default"/>
                <w:sz w:val="21"/>
                <w:szCs w:val="21"/>
              </w:rPr>
            </w:pPr>
            <w:r>
              <w:rPr>
                <w:rFonts w:ascii="Times New Roman"/>
                <w:spacing w:val="-1"/>
                <w:sz w:val="21"/>
              </w:rPr>
              <w:t>-92,054.94</w:t>
            </w:r>
            <w:r>
              <w:rPr>
                <w:rFonts w:ascii="Times New Roman"/>
                <w:sz w:val="21"/>
              </w:rPr>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932,468.16</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公允价值变动损失（收益以“－”号填列）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财务费用（收益以“－”号填列）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28,423,605.12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23,779,266.46</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投资损失（收益以“－”号填列）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递延所得税资产减少（增加以“－”号填列）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递延所得税负债增加（减少以“－”号填列）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存货的减少（增加以“－”号填列）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39,803,071.29</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45,663,927.98</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经营性应收项目的减少（增加以“－”号填列）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-2,161,005.33</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95,423,819.68</w:t>
            </w: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经营性应付项目的增加（减少以“－”号填列）</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17,580,765.00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-97,698,955.58</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其他</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经营活动产生的现金流量净额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198,172,841.42</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-33,692,986.56</w:t>
            </w:r>
            <w:r>
              <w:rPr>
                <w:rFonts w:ascii="Times New Roman"/>
                <w:sz w:val="21"/>
              </w:rPr>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．不涉及现金收支的重大投资和筹资活动：</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债务转为资本</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一年内到期的可转换公司债券</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融资租入固定资产</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77" w:lineRule="exact"/>
              <w:ind w:left="100" w:right="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．现金及现金等价物净变动情况：</w:t>
            </w:r>
            <w:r>
              <w:rPr>
                <w:rFonts w:ascii="宋体" w:hAnsi="宋体" w:cs="宋体" w:eastAsia="宋体" w:hint="default"/>
                <w:sz w:val="21"/>
                <w:szCs w:val="21"/>
              </w:rPr>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现金的期末余额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170,604,012.31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141,572,858.21</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减：现金的期初余额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141,572,858.21</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22,956,648.40</w:t>
            </w: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加：现金等价物的期末余额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bl>
    <w:p>
      <w:pPr>
        <w:spacing w:after="0"/>
        <w:sectPr>
          <w:pgSz w:w="11910" w:h="16840"/>
          <w:pgMar w:header="877" w:footer="982" w:top="1100" w:bottom="1180" w:left="1660" w:right="680"/>
        </w:sectPr>
      </w:pPr>
    </w:p>
    <w:p>
      <w:pPr>
        <w:spacing w:line="240" w:lineRule="auto" w:before="6"/>
        <w:rPr>
          <w:rFonts w:ascii="宋体" w:hAnsi="宋体" w:cs="宋体" w:eastAsia="宋体" w:hint="default"/>
          <w:sz w:val="24"/>
          <w:szCs w:val="24"/>
        </w:rPr>
      </w:pPr>
    </w:p>
    <w:tbl>
      <w:tblPr>
        <w:tblW w:w="0" w:type="auto"/>
        <w:jc w:val="left"/>
        <w:tblInd w:w="124" w:type="dxa"/>
        <w:tblLayout w:type="fixed"/>
        <w:tblCellMar>
          <w:top w:w="0" w:type="dxa"/>
          <w:left w:w="0" w:type="dxa"/>
          <w:bottom w:w="0" w:type="dxa"/>
          <w:right w:w="0" w:type="dxa"/>
        </w:tblCellMar>
        <w:tblLook w:val="01E0"/>
      </w:tblPr>
      <w:tblGrid>
        <w:gridCol w:w="4554"/>
        <w:gridCol w:w="2374"/>
        <w:gridCol w:w="2372"/>
      </w:tblGrid>
      <w:tr>
        <w:trPr>
          <w:trHeight w:val="326"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bookmarkStart w:name="_bookmark9" w:id="10"/>
            <w:bookmarkEnd w:id="10"/>
            <w:r>
              <w:rPr/>
            </w:r>
            <w:r>
              <w:rPr>
                <w:rFonts w:ascii="宋体" w:hAnsi="宋体" w:cs="宋体" w:eastAsia="宋体" w:hint="default"/>
                <w:sz w:val="21"/>
                <w:szCs w:val="21"/>
              </w:rPr>
              <w:t>减：现金等价物的期初余额</w:t>
            </w:r>
          </w:p>
        </w:tc>
        <w:tc>
          <w:tcPr>
            <w:tcW w:w="2374" w:type="dxa"/>
            <w:tcBorders>
              <w:top w:val="single" w:sz="6" w:space="0" w:color="000000"/>
              <w:left w:val="single" w:sz="6" w:space="0" w:color="000000"/>
              <w:bottom w:val="single" w:sz="6" w:space="0" w:color="000000"/>
              <w:right w:val="single" w:sz="6" w:space="0" w:color="000000"/>
            </w:tcBorders>
          </w:tcPr>
          <w:p>
            <w:pPr/>
          </w:p>
        </w:tc>
        <w:tc>
          <w:tcPr>
            <w:tcW w:w="2372" w:type="dxa"/>
            <w:tcBorders>
              <w:top w:val="single" w:sz="6" w:space="0" w:color="000000"/>
              <w:left w:val="single" w:sz="6" w:space="0" w:color="000000"/>
              <w:bottom w:val="single" w:sz="6" w:space="0" w:color="000000"/>
              <w:right w:val="single" w:sz="6" w:space="0" w:color="000000"/>
            </w:tcBorders>
          </w:tcPr>
          <w:p>
            <w:pPr/>
          </w:p>
        </w:tc>
      </w:tr>
      <w:tr>
        <w:trPr>
          <w:trHeight w:val="328" w:hRule="exact"/>
        </w:trPr>
        <w:tc>
          <w:tcPr>
            <w:tcW w:w="45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现金及现金等价物净增加额</w:t>
            </w:r>
          </w:p>
        </w:tc>
        <w:tc>
          <w:tcPr>
            <w:tcW w:w="237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1051" w:right="0"/>
              <w:jc w:val="left"/>
              <w:rPr>
                <w:rFonts w:ascii="Times New Roman" w:hAnsi="Times New Roman" w:cs="Times New Roman" w:eastAsia="Times New Roman" w:hint="default"/>
                <w:sz w:val="21"/>
                <w:szCs w:val="21"/>
              </w:rPr>
            </w:pPr>
            <w:r>
              <w:rPr>
                <w:rFonts w:ascii="Times New Roman"/>
                <w:sz w:val="21"/>
              </w:rPr>
              <w:t>29,031,154.10</w:t>
            </w:r>
          </w:p>
        </w:tc>
        <w:tc>
          <w:tcPr>
            <w:tcW w:w="23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left="952" w:right="0"/>
              <w:jc w:val="left"/>
              <w:rPr>
                <w:rFonts w:ascii="Times New Roman" w:hAnsi="Times New Roman" w:cs="Times New Roman" w:eastAsia="Times New Roman" w:hint="default"/>
                <w:sz w:val="21"/>
                <w:szCs w:val="21"/>
              </w:rPr>
            </w:pPr>
            <w:r>
              <w:rPr>
                <w:rFonts w:ascii="Times New Roman"/>
                <w:sz w:val="21"/>
              </w:rPr>
              <w:t>118,616,209.81</w:t>
            </w:r>
          </w:p>
        </w:tc>
      </w:tr>
    </w:tbl>
    <w:p>
      <w:pPr>
        <w:spacing w:line="240" w:lineRule="auto" w:before="5"/>
        <w:rPr>
          <w:rFonts w:ascii="宋体" w:hAnsi="宋体" w:cs="宋体" w:eastAsia="宋体" w:hint="default"/>
          <w:sz w:val="22"/>
          <w:szCs w:val="22"/>
        </w:rPr>
      </w:pPr>
    </w:p>
    <w:p>
      <w:pPr>
        <w:spacing w:after="0" w:line="240" w:lineRule="auto"/>
        <w:rPr>
          <w:rFonts w:ascii="宋体" w:hAnsi="宋体" w:cs="宋体" w:eastAsia="宋体" w:hint="default"/>
          <w:sz w:val="22"/>
          <w:szCs w:val="22"/>
        </w:rPr>
        <w:sectPr>
          <w:pgSz w:w="11910" w:h="16840"/>
          <w:pgMar w:header="877" w:footer="982" w:top="1100" w:bottom="1180" w:left="1660" w:right="680"/>
        </w:sectPr>
      </w:pPr>
    </w:p>
    <w:p>
      <w:pPr>
        <w:pStyle w:val="BodyText"/>
        <w:spacing w:line="240" w:lineRule="auto" w:before="35"/>
        <w:ind w:right="-18"/>
        <w:jc w:val="left"/>
      </w:pPr>
      <w:r>
        <w:rPr>
          <w:rFonts w:ascii="Times New Roman" w:hAnsi="Times New Roman" w:cs="Times New Roman" w:eastAsia="Times New Roman" w:hint="default"/>
        </w:rPr>
        <w:t>(</w:t>
      </w:r>
      <w:r>
        <w:rPr/>
        <w:t>十三</w:t>
      </w:r>
      <w:r>
        <w:rPr>
          <w:rFonts w:ascii="Times New Roman" w:hAnsi="Times New Roman" w:cs="Times New Roman" w:eastAsia="Times New Roman" w:hint="default"/>
        </w:rPr>
        <w:t>)</w:t>
      </w:r>
      <w:r>
        <w:rPr>
          <w:rFonts w:ascii="Times New Roman" w:hAnsi="Times New Roman" w:cs="Times New Roman" w:eastAsia="Times New Roman" w:hint="default"/>
          <w:spacing w:val="52"/>
        </w:rPr>
        <w:t> </w:t>
      </w:r>
      <w:r>
        <w:rPr/>
        <w:t>补充资料</w:t>
      </w:r>
    </w:p>
    <w:p>
      <w:pPr>
        <w:pStyle w:val="BodyText"/>
        <w:spacing w:line="240" w:lineRule="auto" w:before="83"/>
        <w:ind w:right="-18"/>
        <w:jc w:val="left"/>
      </w:pPr>
      <w:r>
        <w:rPr>
          <w:rFonts w:ascii="Times New Roman" w:hAnsi="Times New Roman" w:cs="Times New Roman" w:eastAsia="Times New Roman" w:hint="default"/>
        </w:rPr>
        <w:t>1</w:t>
      </w:r>
      <w:r>
        <w:rPr/>
        <w:t>、</w:t>
      </w:r>
      <w:r>
        <w:rPr>
          <w:spacing w:val="-2"/>
        </w:rPr>
        <w:t> </w:t>
      </w:r>
      <w:r>
        <w:rPr/>
        <w:t>当期非经常性损益明细表</w:t>
      </w:r>
    </w:p>
    <w:p>
      <w:pPr>
        <w:spacing w:line="240" w:lineRule="auto" w:before="0"/>
        <w:rPr>
          <w:rFonts w:ascii="宋体" w:hAnsi="宋体" w:cs="宋体" w:eastAsia="宋体" w:hint="default"/>
          <w:sz w:val="20"/>
          <w:szCs w:val="20"/>
        </w:rPr>
      </w:pPr>
      <w:r>
        <w:rPr/>
        <w:br w:type="column"/>
      </w:r>
      <w:r>
        <w:rPr>
          <w:rFonts w:ascii="宋体"/>
          <w:sz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7"/>
          <w:szCs w:val="17"/>
        </w:rPr>
      </w:pPr>
    </w:p>
    <w:p>
      <w:pPr>
        <w:pStyle w:val="BodyText"/>
        <w:spacing w:line="240" w:lineRule="auto"/>
        <w:ind w:right="0"/>
        <w:jc w:val="left"/>
      </w:pPr>
      <w:r>
        <w:rPr/>
        <w:t>单位：元</w:t>
      </w:r>
      <w:r>
        <w:rPr>
          <w:spacing w:val="-2"/>
        </w:rPr>
        <w:t> </w:t>
      </w:r>
      <w:r>
        <w:rPr/>
        <w:t>币种：人民币</w:t>
      </w:r>
    </w:p>
    <w:p>
      <w:pPr>
        <w:spacing w:after="0" w:line="240" w:lineRule="auto"/>
        <w:jc w:val="left"/>
        <w:sectPr>
          <w:type w:val="continuous"/>
          <w:pgSz w:w="11910" w:h="16840"/>
          <w:pgMar w:top="1600" w:bottom="280" w:left="1660" w:right="680"/>
          <w:cols w:num="2" w:equalWidth="0">
            <w:col w:w="2871" w:space="3231"/>
            <w:col w:w="3468"/>
          </w:cols>
        </w:sectPr>
      </w:pPr>
    </w:p>
    <w:p>
      <w:pPr>
        <w:spacing w:line="240" w:lineRule="auto" w:before="13"/>
        <w:rPr>
          <w:rFonts w:ascii="宋体" w:hAnsi="宋体" w:cs="宋体" w:eastAsia="宋体" w:hint="default"/>
          <w:sz w:val="3"/>
          <w:szCs w:val="3"/>
        </w:rPr>
      </w:pPr>
    </w:p>
    <w:tbl>
      <w:tblPr>
        <w:tblW w:w="0" w:type="auto"/>
        <w:jc w:val="left"/>
        <w:tblInd w:w="124" w:type="dxa"/>
        <w:tblLayout w:type="fixed"/>
        <w:tblCellMar>
          <w:top w:w="0" w:type="dxa"/>
          <w:left w:w="0" w:type="dxa"/>
          <w:bottom w:w="0" w:type="dxa"/>
          <w:right w:w="0" w:type="dxa"/>
        </w:tblCellMar>
        <w:tblLook w:val="01E0"/>
      </w:tblPr>
      <w:tblGrid>
        <w:gridCol w:w="5920"/>
        <w:gridCol w:w="3380"/>
      </w:tblGrid>
      <w:tr>
        <w:trPr>
          <w:trHeight w:val="32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项目</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金额</w:t>
            </w:r>
          </w:p>
        </w:tc>
      </w:tr>
      <w:tr>
        <w:trPr>
          <w:trHeight w:val="326"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非流动资产处置损益</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9"/>
              <w:jc w:val="right"/>
              <w:rPr>
                <w:rFonts w:ascii="Times New Roman" w:hAnsi="Times New Roman" w:cs="Times New Roman" w:eastAsia="Times New Roman" w:hint="default"/>
                <w:sz w:val="21"/>
                <w:szCs w:val="21"/>
              </w:rPr>
            </w:pPr>
            <w:r>
              <w:rPr>
                <w:rFonts w:ascii="Times New Roman"/>
                <w:spacing w:val="-1"/>
                <w:sz w:val="21"/>
              </w:rPr>
              <w:t>-57,607.85</w:t>
            </w:r>
            <w:r>
              <w:rPr>
                <w:rFonts w:ascii="Times New Roman"/>
                <w:sz w:val="21"/>
              </w:rPr>
            </w:r>
          </w:p>
        </w:tc>
      </w:tr>
      <w:tr>
        <w:trPr>
          <w:trHeight w:val="640"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计入当期损益的政府补助（与企业业务密切相关，按照国家统</w:t>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一标准定额或定量享受的政府补助除外）</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158,500,000.00</w:t>
            </w:r>
          </w:p>
        </w:tc>
      </w:tr>
      <w:tr>
        <w:trPr>
          <w:trHeight w:val="326"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单独进行减值测试的应收款项减值准备转回</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12,055,656.16</w:t>
            </w:r>
          </w:p>
        </w:tc>
      </w:tr>
      <w:tr>
        <w:trPr>
          <w:trHeight w:val="32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除上述各项之外的其他营业外收入和支出</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73,266.94</w:t>
            </w:r>
          </w:p>
        </w:tc>
      </w:tr>
      <w:tr>
        <w:trPr>
          <w:trHeight w:val="326"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z w:val="21"/>
                <w:szCs w:val="21"/>
              </w:rPr>
              <w:t>少数股东权益影响额（税后）</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7"/>
              <w:jc w:val="right"/>
              <w:rPr>
                <w:rFonts w:ascii="Times New Roman" w:hAnsi="Times New Roman" w:cs="Times New Roman" w:eastAsia="Times New Roman" w:hint="default"/>
                <w:sz w:val="21"/>
                <w:szCs w:val="21"/>
              </w:rPr>
            </w:pPr>
            <w:r>
              <w:rPr>
                <w:rFonts w:ascii="Times New Roman"/>
                <w:spacing w:val="-1"/>
                <w:sz w:val="21"/>
              </w:rPr>
              <w:t>52,890.83</w:t>
            </w:r>
          </w:p>
        </w:tc>
      </w:tr>
      <w:tr>
        <w:trPr>
          <w:trHeight w:val="328" w:hRule="exact"/>
        </w:trPr>
        <w:tc>
          <w:tcPr>
            <w:tcW w:w="59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合计</w:t>
            </w:r>
          </w:p>
        </w:tc>
        <w:tc>
          <w:tcPr>
            <w:tcW w:w="338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5"/>
              <w:ind w:right="98"/>
              <w:jc w:val="right"/>
              <w:rPr>
                <w:rFonts w:ascii="Times New Roman" w:hAnsi="Times New Roman" w:cs="Times New Roman" w:eastAsia="Times New Roman" w:hint="default"/>
                <w:sz w:val="21"/>
                <w:szCs w:val="21"/>
              </w:rPr>
            </w:pPr>
            <w:r>
              <w:rPr>
                <w:rFonts w:ascii="Times New Roman"/>
                <w:spacing w:val="-1"/>
                <w:sz w:val="21"/>
              </w:rPr>
              <w:t>170,624,206.08</w:t>
            </w:r>
          </w:p>
        </w:tc>
      </w:tr>
    </w:tbl>
    <w:p>
      <w:pPr>
        <w:spacing w:line="240" w:lineRule="auto" w:before="5"/>
        <w:rPr>
          <w:rFonts w:ascii="宋体" w:hAnsi="宋体" w:cs="宋体" w:eastAsia="宋体" w:hint="default"/>
          <w:sz w:val="22"/>
          <w:szCs w:val="22"/>
        </w:rPr>
      </w:pPr>
    </w:p>
    <w:p>
      <w:pPr>
        <w:pStyle w:val="BodyText"/>
        <w:spacing w:line="240" w:lineRule="auto" w:before="35"/>
        <w:ind w:right="999"/>
        <w:jc w:val="left"/>
      </w:pPr>
      <w:r>
        <w:rPr>
          <w:rFonts w:ascii="Times New Roman" w:hAnsi="Times New Roman" w:cs="Times New Roman" w:eastAsia="Times New Roman" w:hint="default"/>
        </w:rPr>
        <w:t>2</w:t>
      </w:r>
      <w:r>
        <w:rPr/>
        <w:t>、</w:t>
      </w:r>
      <w:r>
        <w:rPr>
          <w:spacing w:val="-2"/>
        </w:rPr>
        <w:t> </w:t>
      </w:r>
      <w:r>
        <w:rPr/>
        <w:t>净资产收益率及每股收益</w:t>
      </w:r>
    </w:p>
    <w:p>
      <w:pPr>
        <w:spacing w:line="240" w:lineRule="auto" w:before="2"/>
        <w:rPr>
          <w:rFonts w:ascii="宋体" w:hAnsi="宋体" w:cs="宋体" w:eastAsia="宋体" w:hint="default"/>
          <w:sz w:val="5"/>
          <w:szCs w:val="5"/>
        </w:rPr>
      </w:pPr>
    </w:p>
    <w:tbl>
      <w:tblPr>
        <w:tblW w:w="0" w:type="auto"/>
        <w:jc w:val="left"/>
        <w:tblInd w:w="124" w:type="dxa"/>
        <w:tblLayout w:type="fixed"/>
        <w:tblCellMar>
          <w:top w:w="0" w:type="dxa"/>
          <w:left w:w="0" w:type="dxa"/>
          <w:bottom w:w="0" w:type="dxa"/>
          <w:right w:w="0" w:type="dxa"/>
        </w:tblCellMar>
        <w:tblLook w:val="01E0"/>
      </w:tblPr>
      <w:tblGrid>
        <w:gridCol w:w="2820"/>
        <w:gridCol w:w="2065"/>
        <w:gridCol w:w="2161"/>
        <w:gridCol w:w="2254"/>
      </w:tblGrid>
      <w:tr>
        <w:trPr>
          <w:trHeight w:val="328" w:hRule="exact"/>
        </w:trPr>
        <w:tc>
          <w:tcPr>
            <w:tcW w:w="2820" w:type="dxa"/>
            <w:vMerge w:val="restart"/>
            <w:tcBorders>
              <w:top w:val="single" w:sz="6" w:space="0" w:color="000000"/>
              <w:left w:val="single" w:sz="6" w:space="0" w:color="000000"/>
              <w:right w:val="single" w:sz="6" w:space="0" w:color="000000"/>
            </w:tcBorders>
          </w:tcPr>
          <w:p>
            <w:pPr>
              <w:pStyle w:val="TableParagraph"/>
              <w:spacing w:line="240" w:lineRule="auto" w:before="141"/>
              <w:ind w:left="877" w:right="0"/>
              <w:jc w:val="left"/>
              <w:rPr>
                <w:rFonts w:ascii="宋体" w:hAnsi="宋体" w:cs="宋体" w:eastAsia="宋体" w:hint="default"/>
                <w:sz w:val="21"/>
                <w:szCs w:val="21"/>
              </w:rPr>
            </w:pPr>
            <w:r>
              <w:rPr>
                <w:rFonts w:ascii="宋体" w:hAnsi="宋体" w:cs="宋体" w:eastAsia="宋体" w:hint="default"/>
                <w:sz w:val="21"/>
                <w:szCs w:val="21"/>
              </w:rPr>
              <w:t>报告期利润</w:t>
            </w:r>
          </w:p>
        </w:tc>
        <w:tc>
          <w:tcPr>
            <w:tcW w:w="2065" w:type="dxa"/>
            <w:vMerge w:val="restart"/>
            <w:tcBorders>
              <w:top w:val="single" w:sz="6" w:space="0" w:color="000000"/>
              <w:left w:val="single" w:sz="6" w:space="0" w:color="000000"/>
              <w:right w:val="single" w:sz="6" w:space="0" w:color="000000"/>
            </w:tcBorders>
          </w:tcPr>
          <w:p>
            <w:pPr>
              <w:pStyle w:val="TableParagraph"/>
              <w:spacing w:line="261" w:lineRule="exact"/>
              <w:ind w:left="1" w:right="0"/>
              <w:jc w:val="center"/>
              <w:rPr>
                <w:rFonts w:ascii="宋体" w:hAnsi="宋体" w:cs="宋体" w:eastAsia="宋体" w:hint="default"/>
                <w:sz w:val="21"/>
                <w:szCs w:val="21"/>
              </w:rPr>
            </w:pPr>
            <w:r>
              <w:rPr>
                <w:rFonts w:ascii="宋体" w:hAnsi="宋体" w:cs="宋体" w:eastAsia="宋体" w:hint="default"/>
                <w:sz w:val="21"/>
                <w:szCs w:val="21"/>
              </w:rPr>
              <w:t>加权平均净资产收</w:t>
            </w:r>
          </w:p>
          <w:p>
            <w:pPr>
              <w:pStyle w:val="TableParagraph"/>
              <w:spacing w:line="240" w:lineRule="auto" w:before="37"/>
              <w:ind w:left="1" w:right="0"/>
              <w:jc w:val="center"/>
              <w:rPr>
                <w:rFonts w:ascii="宋体" w:hAnsi="宋体" w:cs="宋体" w:eastAsia="宋体" w:hint="default"/>
                <w:sz w:val="21"/>
                <w:szCs w:val="21"/>
              </w:rPr>
            </w:pPr>
            <w:r>
              <w:rPr>
                <w:rFonts w:ascii="宋体" w:hAnsi="宋体" w:cs="宋体" w:eastAsia="宋体" w:hint="default"/>
                <w:sz w:val="21"/>
                <w:szCs w:val="21"/>
              </w:rPr>
              <w:t>益率（</w:t>
            </w:r>
            <w:r>
              <w:rPr>
                <w:rFonts w:ascii="Times New Roman" w:hAnsi="Times New Roman" w:cs="Times New Roman" w:eastAsia="Times New Roman" w:hint="default"/>
                <w:sz w:val="21"/>
                <w:szCs w:val="21"/>
              </w:rPr>
              <w:t>%</w:t>
            </w:r>
            <w:r>
              <w:rPr>
                <w:rFonts w:ascii="宋体" w:hAnsi="宋体" w:cs="宋体" w:eastAsia="宋体" w:hint="default"/>
                <w:sz w:val="21"/>
                <w:szCs w:val="21"/>
              </w:rPr>
              <w:t>）</w:t>
            </w:r>
          </w:p>
        </w:tc>
        <w:tc>
          <w:tcPr>
            <w:tcW w:w="4415" w:type="dxa"/>
            <w:gridSpan w:val="2"/>
            <w:tcBorders>
              <w:top w:val="single" w:sz="6" w:space="0" w:color="000000"/>
              <w:left w:val="single" w:sz="6" w:space="0" w:color="000000"/>
              <w:bottom w:val="single" w:sz="6" w:space="0" w:color="000000"/>
              <w:right w:val="single" w:sz="6" w:space="0" w:color="000000"/>
            </w:tcBorders>
          </w:tcPr>
          <w:p>
            <w:pPr>
              <w:pStyle w:val="TableParagraph"/>
              <w:spacing w:line="261" w:lineRule="exact"/>
              <w:ind w:right="1"/>
              <w:jc w:val="center"/>
              <w:rPr>
                <w:rFonts w:ascii="宋体" w:hAnsi="宋体" w:cs="宋体" w:eastAsia="宋体" w:hint="default"/>
                <w:sz w:val="21"/>
                <w:szCs w:val="21"/>
              </w:rPr>
            </w:pPr>
            <w:r>
              <w:rPr>
                <w:rFonts w:ascii="宋体" w:hAnsi="宋体" w:cs="宋体" w:eastAsia="宋体" w:hint="default"/>
                <w:sz w:val="21"/>
                <w:szCs w:val="21"/>
              </w:rPr>
              <w:t>每股收益</w:t>
            </w:r>
          </w:p>
        </w:tc>
      </w:tr>
      <w:tr>
        <w:trPr>
          <w:trHeight w:val="326" w:hRule="exact"/>
        </w:trPr>
        <w:tc>
          <w:tcPr>
            <w:tcW w:w="2820" w:type="dxa"/>
            <w:vMerge/>
            <w:tcBorders>
              <w:left w:val="single" w:sz="6" w:space="0" w:color="000000"/>
              <w:bottom w:val="single" w:sz="6" w:space="0" w:color="000000"/>
              <w:right w:val="single" w:sz="6" w:space="0" w:color="000000"/>
            </w:tcBorders>
          </w:tcPr>
          <w:p>
            <w:pPr/>
          </w:p>
        </w:tc>
        <w:tc>
          <w:tcPr>
            <w:tcW w:w="2065" w:type="dxa"/>
            <w:vMerge/>
            <w:tcBorders>
              <w:left w:val="single" w:sz="6" w:space="0" w:color="000000"/>
              <w:bottom w:val="single" w:sz="6" w:space="0" w:color="000000"/>
              <w:right w:val="single" w:sz="6" w:space="0" w:color="000000"/>
            </w:tcBorders>
          </w:tcPr>
          <w:p>
            <w:pP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42" w:right="0"/>
              <w:jc w:val="left"/>
              <w:rPr>
                <w:rFonts w:ascii="宋体" w:hAnsi="宋体" w:cs="宋体" w:eastAsia="宋体" w:hint="default"/>
                <w:sz w:val="21"/>
                <w:szCs w:val="21"/>
              </w:rPr>
            </w:pPr>
            <w:r>
              <w:rPr>
                <w:rFonts w:ascii="宋体" w:hAnsi="宋体" w:cs="宋体" w:eastAsia="宋体" w:hint="default"/>
                <w:sz w:val="21"/>
                <w:szCs w:val="21"/>
              </w:rPr>
              <w:t>基本每股收益</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489" w:right="0"/>
              <w:jc w:val="left"/>
              <w:rPr>
                <w:rFonts w:ascii="宋体" w:hAnsi="宋体" w:cs="宋体" w:eastAsia="宋体" w:hint="default"/>
                <w:sz w:val="21"/>
                <w:szCs w:val="21"/>
              </w:rPr>
            </w:pPr>
            <w:r>
              <w:rPr>
                <w:rFonts w:ascii="宋体" w:hAnsi="宋体" w:cs="宋体" w:eastAsia="宋体" w:hint="default"/>
                <w:sz w:val="21"/>
                <w:szCs w:val="21"/>
              </w:rPr>
              <w:t>稀释每股收益</w:t>
            </w:r>
          </w:p>
        </w:tc>
      </w:tr>
      <w:tr>
        <w:trPr>
          <w:trHeight w:val="64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归属于公司普通股股东的净</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2.65</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0.04</w:t>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spacing w:val="-1"/>
                <w:sz w:val="21"/>
              </w:rPr>
              <w:t>0.04</w:t>
            </w:r>
          </w:p>
        </w:tc>
      </w:tr>
      <w:tr>
        <w:trPr>
          <w:trHeight w:val="640" w:hRule="exact"/>
        </w:trPr>
        <w:tc>
          <w:tcPr>
            <w:tcW w:w="2820" w:type="dxa"/>
            <w:tcBorders>
              <w:top w:val="single" w:sz="6" w:space="0" w:color="000000"/>
              <w:left w:val="single" w:sz="6" w:space="0" w:color="000000"/>
              <w:bottom w:val="single" w:sz="6" w:space="0" w:color="000000"/>
              <w:right w:val="single" w:sz="6" w:space="0" w:color="000000"/>
            </w:tcBorders>
          </w:tcPr>
          <w:p>
            <w:pPr>
              <w:pStyle w:val="TableParagraph"/>
              <w:spacing w:line="261" w:lineRule="exact"/>
              <w:ind w:left="100" w:right="0"/>
              <w:jc w:val="left"/>
              <w:rPr>
                <w:rFonts w:ascii="宋体" w:hAnsi="宋体" w:cs="宋体" w:eastAsia="宋体" w:hint="default"/>
                <w:sz w:val="21"/>
                <w:szCs w:val="21"/>
              </w:rPr>
            </w:pPr>
            <w:r>
              <w:rPr>
                <w:rFonts w:ascii="宋体" w:hAnsi="宋体" w:cs="宋体" w:eastAsia="宋体" w:hint="default"/>
                <w:spacing w:val="7"/>
                <w:sz w:val="21"/>
                <w:szCs w:val="21"/>
              </w:rPr>
              <w:t>扣除非经常性损益后归属于</w:t>
            </w:r>
            <w:r>
              <w:rPr>
                <w:rFonts w:ascii="宋体" w:hAnsi="宋体" w:cs="宋体" w:eastAsia="宋体" w:hint="default"/>
                <w:sz w:val="21"/>
                <w:szCs w:val="21"/>
              </w:rPr>
            </w:r>
          </w:p>
          <w:p>
            <w:pPr>
              <w:pStyle w:val="TableParagraph"/>
              <w:spacing w:line="240" w:lineRule="auto" w:before="37"/>
              <w:ind w:left="100" w:right="0"/>
              <w:jc w:val="left"/>
              <w:rPr>
                <w:rFonts w:ascii="宋体" w:hAnsi="宋体" w:cs="宋体" w:eastAsia="宋体" w:hint="default"/>
                <w:sz w:val="21"/>
                <w:szCs w:val="21"/>
              </w:rPr>
            </w:pPr>
            <w:r>
              <w:rPr>
                <w:rFonts w:ascii="宋体" w:hAnsi="宋体" w:cs="宋体" w:eastAsia="宋体" w:hint="default"/>
                <w:sz w:val="21"/>
                <w:szCs w:val="21"/>
              </w:rPr>
              <w:t>公司普通股股东的净利润</w:t>
            </w:r>
          </w:p>
        </w:tc>
        <w:tc>
          <w:tcPr>
            <w:tcW w:w="206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8"/>
              <w:jc w:val="right"/>
              <w:rPr>
                <w:rFonts w:ascii="Times New Roman" w:hAnsi="Times New Roman" w:cs="Times New Roman" w:eastAsia="Times New Roman" w:hint="default"/>
                <w:sz w:val="21"/>
                <w:szCs w:val="21"/>
              </w:rPr>
            </w:pPr>
            <w:r>
              <w:rPr>
                <w:rFonts w:ascii="Times New Roman"/>
                <w:spacing w:val="-1"/>
                <w:sz w:val="21"/>
              </w:rPr>
              <w:t>-24.39</w:t>
            </w:r>
          </w:p>
        </w:tc>
        <w:tc>
          <w:tcPr>
            <w:tcW w:w="21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-0.39</w:t>
            </w:r>
            <w:r>
              <w:rPr>
                <w:rFonts w:ascii="Times New Roman"/>
                <w:sz w:val="21"/>
              </w:rPr>
            </w:r>
          </w:p>
        </w:tc>
        <w:tc>
          <w:tcPr>
            <w:tcW w:w="22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sz w:val="14"/>
                <w:szCs w:val="14"/>
              </w:rPr>
            </w:pPr>
          </w:p>
          <w:p>
            <w:pPr>
              <w:pStyle w:val="TableParagraph"/>
              <w:spacing w:line="240" w:lineRule="auto"/>
              <w:ind w:right="99"/>
              <w:jc w:val="right"/>
              <w:rPr>
                <w:rFonts w:ascii="Times New Roman" w:hAnsi="Times New Roman" w:cs="Times New Roman" w:eastAsia="Times New Roman" w:hint="default"/>
                <w:sz w:val="21"/>
                <w:szCs w:val="21"/>
              </w:rPr>
            </w:pPr>
            <w:r>
              <w:rPr>
                <w:rFonts w:ascii="Times New Roman"/>
                <w:w w:val="95"/>
                <w:sz w:val="21"/>
              </w:rPr>
              <w:t>-0.39</w:t>
            </w:r>
            <w:r>
              <w:rPr>
                <w:rFonts w:ascii="Times New Roman"/>
                <w:sz w:val="21"/>
              </w:rPr>
            </w:r>
          </w:p>
        </w:tc>
      </w:tr>
    </w:tbl>
    <w:p>
      <w:pPr>
        <w:spacing w:line="240" w:lineRule="auto" w:before="5"/>
        <w:rPr>
          <w:rFonts w:ascii="宋体" w:hAnsi="宋体" w:cs="宋体" w:eastAsia="宋体" w:hint="default"/>
          <w:sz w:val="22"/>
          <w:szCs w:val="22"/>
        </w:rPr>
      </w:pPr>
    </w:p>
    <w:p>
      <w:pPr>
        <w:pStyle w:val="Heading1"/>
        <w:spacing w:line="240" w:lineRule="auto"/>
        <w:ind w:right="999"/>
        <w:jc w:val="left"/>
        <w:rPr>
          <w:b w:val="0"/>
          <w:bCs w:val="0"/>
        </w:rPr>
      </w:pPr>
      <w:r>
        <w:rPr/>
        <w:t>十二、</w:t>
      </w:r>
      <w:r>
        <w:rPr>
          <w:spacing w:val="-6"/>
        </w:rPr>
        <w:t> </w:t>
      </w:r>
      <w:r>
        <w:rPr/>
        <w:t>备查文件目录</w:t>
      </w:r>
      <w:r>
        <w:rPr>
          <w:b w:val="0"/>
          <w:bCs w:val="0"/>
        </w:rPr>
      </w:r>
    </w:p>
    <w:p>
      <w:pPr>
        <w:pStyle w:val="BodyText"/>
        <w:spacing w:line="240" w:lineRule="auto" w:before="99"/>
        <w:ind w:left="139" w:right="999"/>
        <w:jc w:val="left"/>
      </w:pPr>
      <w:r>
        <w:rPr>
          <w:rFonts w:ascii="Times New Roman" w:hAnsi="Times New Roman" w:cs="Times New Roman" w:eastAsia="Times New Roman" w:hint="default"/>
        </w:rPr>
        <w:t>1</w:t>
      </w:r>
      <w:r>
        <w:rPr/>
        <w:t>、</w:t>
      </w:r>
      <w:r>
        <w:rPr>
          <w:spacing w:val="-2"/>
        </w:rPr>
        <w:t> </w:t>
      </w:r>
      <w:r>
        <w:rPr/>
        <w:t>载有法定代表人、主管会计工作负责人及会计机构负责人签名并盖章的会计报表</w:t>
      </w:r>
    </w:p>
    <w:p>
      <w:pPr>
        <w:pStyle w:val="BodyText"/>
        <w:spacing w:line="240" w:lineRule="auto" w:before="83"/>
        <w:ind w:right="999"/>
        <w:jc w:val="left"/>
      </w:pPr>
      <w:r>
        <w:rPr>
          <w:rFonts w:ascii="Times New Roman" w:hAnsi="Times New Roman" w:cs="Times New Roman" w:eastAsia="Times New Roman" w:hint="default"/>
        </w:rPr>
        <w:t>2</w:t>
      </w:r>
      <w:r>
        <w:rPr/>
        <w:t>、</w:t>
      </w:r>
      <w:r>
        <w:rPr>
          <w:spacing w:val="-2"/>
        </w:rPr>
        <w:t> </w:t>
      </w:r>
      <w:r>
        <w:rPr/>
        <w:t>载有会计师事务所盖章、注册会计师签名并盖章的审计报告原件</w:t>
      </w:r>
    </w:p>
    <w:p>
      <w:pPr>
        <w:pStyle w:val="BodyText"/>
        <w:spacing w:line="240" w:lineRule="auto" w:before="83"/>
        <w:ind w:right="999"/>
        <w:jc w:val="left"/>
      </w:pPr>
      <w:r>
        <w:rPr>
          <w:rFonts w:ascii="Times New Roman" w:hAnsi="Times New Roman" w:cs="Times New Roman" w:eastAsia="Times New Roman" w:hint="default"/>
        </w:rPr>
        <w:t>3</w:t>
      </w:r>
      <w:r>
        <w:rPr/>
        <w:t>、</w:t>
      </w:r>
      <w:r>
        <w:rPr>
          <w:spacing w:val="-2"/>
        </w:rPr>
        <w:t> </w:t>
      </w:r>
      <w:r>
        <w:rPr/>
        <w:t>报告期内在中国证监会指定报纸上公开披露过的所有公司文件的正本及公告的原稿</w:t>
      </w:r>
    </w:p>
    <w:p>
      <w:pPr>
        <w:pStyle w:val="BodyText"/>
        <w:spacing w:line="240" w:lineRule="auto" w:before="83"/>
        <w:ind w:right="999"/>
        <w:jc w:val="left"/>
      </w:pPr>
      <w:r>
        <w:rPr>
          <w:rFonts w:ascii="Times New Roman" w:hAnsi="Times New Roman" w:cs="Times New Roman" w:eastAsia="Times New Roman" w:hint="default"/>
        </w:rPr>
        <w:t>4</w:t>
      </w:r>
      <w:r>
        <w:rPr/>
        <w:t>、</w:t>
      </w:r>
      <w:r>
        <w:rPr>
          <w:spacing w:val="-3"/>
        </w:rPr>
        <w:t> </w:t>
      </w:r>
      <w:r>
        <w:rPr/>
        <w:t>载有公司董事长亲笔签名的</w:t>
      </w:r>
      <w:r>
        <w:rPr>
          <w:spacing w:val="-55"/>
        </w:rPr>
        <w:t> </w:t>
      </w:r>
      <w:r>
        <w:rPr>
          <w:rFonts w:ascii="Times New Roman" w:hAnsi="Times New Roman" w:cs="Times New Roman" w:eastAsia="Times New Roman" w:hint="default"/>
        </w:rPr>
        <w:t>2010</w:t>
      </w:r>
      <w:r>
        <w:rPr>
          <w:rFonts w:ascii="Times New Roman" w:hAnsi="Times New Roman" w:cs="Times New Roman" w:eastAsia="Times New Roman" w:hint="default"/>
          <w:spacing w:val="-2"/>
        </w:rPr>
        <w:t> </w:t>
      </w:r>
      <w:r>
        <w:rPr/>
        <w:t>年度报告正本</w:t>
      </w:r>
    </w:p>
    <w:p>
      <w:pPr>
        <w:pStyle w:val="BodyText"/>
        <w:spacing w:line="314" w:lineRule="auto" w:before="121"/>
        <w:ind w:left="6136" w:right="1116" w:firstLine="840"/>
        <w:jc w:val="right"/>
      </w:pPr>
      <w:r>
        <w:rPr/>
        <w:t>董事长：王宏伟 黑龙江黑化股份有限公司</w:t>
      </w:r>
    </w:p>
    <w:p>
      <w:pPr>
        <w:pStyle w:val="BodyText"/>
        <w:spacing w:line="240" w:lineRule="auto" w:before="20"/>
        <w:ind w:left="0" w:right="1116"/>
        <w:jc w:val="right"/>
      </w:pPr>
      <w:r>
        <w:rPr>
          <w:rFonts w:ascii="Times New Roman" w:hAnsi="Times New Roman" w:cs="Times New Roman" w:eastAsia="Times New Roman" w:hint="default"/>
          <w:spacing w:val="-3"/>
        </w:rPr>
        <w:t>2011</w:t>
      </w:r>
      <w:r>
        <w:rPr>
          <w:rFonts w:ascii="Times New Roman" w:hAnsi="Times New Roman" w:cs="Times New Roman" w:eastAsia="Times New Roman" w:hint="default"/>
        </w:rPr>
        <w:t> </w:t>
      </w:r>
      <w:r>
        <w:rPr/>
        <w:t>年</w:t>
      </w:r>
      <w:r>
        <w:rPr>
          <w:spacing w:val="-54"/>
        </w:rPr>
        <w:t> </w:t>
      </w:r>
      <w:r>
        <w:rPr>
          <w:rFonts w:ascii="Times New Roman" w:hAnsi="Times New Roman" w:cs="Times New Roman" w:eastAsia="Times New Roman" w:hint="default"/>
        </w:rPr>
        <w:t>3 </w:t>
      </w:r>
      <w:r>
        <w:rPr/>
        <w:t>月</w:t>
      </w:r>
      <w:r>
        <w:rPr>
          <w:spacing w:val="-54"/>
        </w:rPr>
        <w:t> </w:t>
      </w:r>
      <w:r>
        <w:rPr>
          <w:rFonts w:ascii="Times New Roman" w:hAnsi="Times New Roman" w:cs="Times New Roman" w:eastAsia="Times New Roman" w:hint="default"/>
        </w:rPr>
        <w:t>7 </w:t>
      </w:r>
      <w:r>
        <w:rPr/>
        <w:t>日</w:t>
      </w:r>
    </w:p>
    <w:sectPr>
      <w:type w:val="continuous"/>
      <w:pgSz w:w="11910" w:h="16840"/>
      <w:pgMar w:top="1600" w:bottom="280" w:left="166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5766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14.44751pt;margin-top:535.297913pt;width:13pt;height:11pt;mso-position-horizontal-relative:page;mso-position-vertical-relative:page;z-index:-576592"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44</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291.159698pt;margin-top:781.897522pt;width:13pt;height:11pt;mso-position-horizontal-relative:page;mso-position-vertical-relative:page;z-index:-57652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53</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576712"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type id="_x0000_t202" o:spt="202" coordsize="21600,21600" path="m,l,21600r21600,l21600,xe">
          <v:stroke joinstyle="miter"/>
          <v:path gradientshapeok="t" o:connecttype="rect"/>
        </v:shapetype>
        <v:shape style="position:absolute;margin-left:89pt;margin-top:42.865326pt;width:170.75pt;height:11.5pt;mso-position-horizontal-relative:page;mso-position-vertical-relative:page;z-index:-576688"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70.490997pt;margin-top:55.619999pt;width:700.95pt;height:.1pt;mso-position-horizontal-relative:page;mso-position-vertical-relative:page;z-index:-576640" coordorigin="1410,1112" coordsize="14019,2">
          <v:shape style="position:absolute;left:1410;top:1112;width:14019;height:2" coordorigin="1410,1112" coordsize="14019,0" path="m1410,1112l15428,1112e" filled="false" stroked="true" strokeweight=".72pt" strokecolor="#000000">
            <v:path arrowok="t"/>
          </v:shape>
          <w10:wrap type="none"/>
        </v:group>
      </w:pict>
    </w:r>
    <w:r>
      <w:rPr/>
      <w:pict>
        <v:shape style="position:absolute;margin-left:70.990501pt;margin-top:42.865623pt;width:170.75pt;height:11.5pt;mso-position-horizontal-relative:page;mso-position-vertical-relative:page;z-index:-576616"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group style="position:absolute;margin-left:88.5pt;margin-top:55.619999pt;width:418.35pt;height:.1pt;mso-position-horizontal-relative:page;mso-position-vertical-relative:page;z-index:-576568" coordorigin="1770,1112" coordsize="8367,2">
          <v:shape style="position:absolute;left:1770;top:1112;width:8367;height:2" coordorigin="1770,1112" coordsize="8367,0" path="m1770,1112l10136,1112e" filled="false" stroked="true" strokeweight=".72pt" strokecolor="#000000">
            <v:path arrowok="t"/>
          </v:shape>
          <w10:wrap type="none"/>
        </v:group>
      </w:pict>
    </w:r>
    <w:r>
      <w:rPr/>
      <w:pict>
        <v:shape style="position:absolute;margin-left:89pt;margin-top:42.865326pt;width:170.75pt;height:11.5pt;mso-position-horizontal-relative:page;mso-position-vertical-relative:page;z-index:-576544"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黑龙江黑化股份有限公司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年年度报告</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
      <w:ind w:left="140"/>
    </w:pPr>
    <w:rPr>
      <w:rFonts w:ascii="宋体" w:hAnsi="宋体" w:eastAsia="宋体"/>
      <w:b/>
      <w:bCs/>
      <w:sz w:val="21"/>
      <w:szCs w:val="21"/>
    </w:rPr>
  </w:style>
  <w:style w:styleId="TOC2" w:type="paragraph">
    <w:name w:val="TOC 2"/>
    <w:basedOn w:val="Normal"/>
    <w:uiPriority w:val="1"/>
    <w:qFormat/>
    <w:pPr>
      <w:spacing w:before="21"/>
      <w:ind w:left="140"/>
    </w:pPr>
    <w:rPr>
      <w:rFonts w:ascii="宋体" w:hAnsi="宋体" w:eastAsia="宋体"/>
      <w:b/>
      <w:bCs/>
      <w:i/>
    </w:rPr>
  </w:style>
  <w:style w:styleId="BodyText" w:type="paragraph">
    <w:name w:val="Body Text"/>
    <w:basedOn w:val="Normal"/>
    <w:uiPriority w:val="1"/>
    <w:qFormat/>
    <w:pPr>
      <w:ind w:left="140"/>
    </w:pPr>
    <w:rPr>
      <w:rFonts w:ascii="宋体" w:hAnsi="宋体" w:eastAsia="宋体"/>
      <w:sz w:val="21"/>
      <w:szCs w:val="21"/>
    </w:rPr>
  </w:style>
  <w:style w:styleId="Heading1" w:type="paragraph">
    <w:name w:val="Heading 1"/>
    <w:basedOn w:val="Normal"/>
    <w:uiPriority w:val="1"/>
    <w:qFormat/>
    <w:pPr>
      <w:spacing w:before="35"/>
      <w:ind w:left="140"/>
      <w:outlineLvl w:val="1"/>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hhgf@tom.com" TargetMode="External"/><Relationship Id="rId8" Type="http://schemas.openxmlformats.org/officeDocument/2006/relationships/hyperlink" Target="mailto:zlz600179@sohu.com" TargetMode="External"/><Relationship Id="rId9" Type="http://schemas.openxmlformats.org/officeDocument/2006/relationships/hyperlink" Target="http://www.sse.com.cn/" TargetMode="External"/><Relationship Id="rId10" Type="http://schemas.openxmlformats.org/officeDocument/2006/relationships/image" Target="media/image1.png"/><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dc:title>Microsoft Word - 600179_2010_n.doc</dc:title>
  <dcterms:created xsi:type="dcterms:W3CDTF">2020-04-29T04:48:45Z</dcterms:created>
  <dcterms:modified xsi:type="dcterms:W3CDTF">2020-04-29T04:48:45Z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2011-03-08T00:00:00Z</vt:filetime>
  </property>
  <property fmtid="{D5CDD505-2E9C-101B-9397-08002B2CF9AE}" pid="3" name="Creator">
    <vt:lpwstr>Acrobat PDFMaker 7.0 for Word</vt:lpwstr>
  </property>
  <property fmtid="{D5CDD505-2E9C-101B-9397-08002B2CF9AE}" pid="4" name="LastSaved">
    <vt:filetime>2020-04-28T00:00:00Z</vt:filetime>
  </property>
</Properties>
</file>